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2D7AF4">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2"/>
          <w:highlight w:val="none"/>
        </w:rPr>
        <w:drawing>
          <wp:anchor distT="0" distB="0" distL="0" distR="0" simplePos="0" relativeHeight="251660288" behindDoc="1" locked="0" layoutInCell="1" allowOverlap="1">
            <wp:simplePos x="0" y="0"/>
            <wp:positionH relativeFrom="column">
              <wp:posOffset>4031615</wp:posOffset>
            </wp:positionH>
            <wp:positionV relativeFrom="paragraph">
              <wp:posOffset>58420</wp:posOffset>
            </wp:positionV>
            <wp:extent cx="1628775" cy="6000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1628775" cy="600075"/>
                    </a:xfrm>
                    <a:prstGeom prst="rect">
                      <a:avLst/>
                    </a:prstGeom>
                    <a:noFill/>
                    <a:ln>
                      <a:noFill/>
                    </a:ln>
                  </pic:spPr>
                </pic:pic>
              </a:graphicData>
            </a:graphic>
          </wp:anchor>
        </w:drawing>
      </w:r>
    </w:p>
    <w:p w14:paraId="210199BF">
      <w:pPr>
        <w:autoSpaceDE w:val="0"/>
        <w:autoSpaceDN w:val="0"/>
        <w:adjustRightInd w:val="0"/>
        <w:spacing w:line="360" w:lineRule="auto"/>
        <w:rPr>
          <w:rFonts w:hint="default" w:ascii="Times New Roman" w:hAnsi="Times New Roman" w:eastAsia="宋体" w:cs="Times New Roman"/>
          <w:kern w:val="0"/>
          <w:sz w:val="24"/>
          <w:szCs w:val="24"/>
          <w:highlight w:val="none"/>
        </w:rPr>
      </w:pPr>
    </w:p>
    <w:p w14:paraId="105AA2A9">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p>
    <w:p w14:paraId="79DC7C9E">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p>
    <w:p w14:paraId="6CA2357E">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p>
    <w:p w14:paraId="5F8C67A5">
      <w:pPr>
        <w:autoSpaceDE w:val="0"/>
        <w:autoSpaceDN w:val="0"/>
        <w:adjustRightInd w:val="0"/>
        <w:spacing w:line="360" w:lineRule="auto"/>
        <w:rPr>
          <w:rFonts w:hint="default" w:ascii="Times New Roman" w:hAnsi="Times New Roman" w:eastAsia="宋体" w:cs="Times New Roman"/>
          <w:kern w:val="0"/>
          <w:sz w:val="72"/>
          <w:szCs w:val="72"/>
          <w:highlight w:val="none"/>
          <w:lang w:val="zh-CN"/>
        </w:rPr>
      </w:pPr>
    </w:p>
    <w:p w14:paraId="6682E81A">
      <w:pPr>
        <w:autoSpaceDE w:val="0"/>
        <w:autoSpaceDN w:val="0"/>
        <w:adjustRightInd w:val="0"/>
        <w:spacing w:line="360" w:lineRule="auto"/>
        <w:jc w:val="center"/>
        <w:rPr>
          <w:rFonts w:hint="default" w:ascii="Times New Roman" w:hAnsi="Times New Roman" w:eastAsia="宋体" w:cs="Times New Roman"/>
          <w:b/>
          <w:bCs/>
          <w:kern w:val="0"/>
          <w:sz w:val="112"/>
          <w:szCs w:val="112"/>
          <w:highlight w:val="none"/>
        </w:rPr>
      </w:pPr>
      <w:r>
        <w:rPr>
          <w:rFonts w:hint="default" w:ascii="Times New Roman" w:hAnsi="Times New Roman" w:eastAsia="宋体" w:cs="Times New Roman"/>
          <w:b/>
          <w:bCs/>
          <w:kern w:val="0"/>
          <w:sz w:val="112"/>
          <w:szCs w:val="112"/>
          <w:highlight w:val="none"/>
          <w:lang w:val="zh-CN"/>
        </w:rPr>
        <w:t>招标文件</w:t>
      </w:r>
    </w:p>
    <w:p w14:paraId="731DB6A8">
      <w:pPr>
        <w:autoSpaceDE w:val="0"/>
        <w:autoSpaceDN w:val="0"/>
        <w:adjustRightInd w:val="0"/>
        <w:spacing w:line="360" w:lineRule="auto"/>
        <w:rPr>
          <w:rFonts w:hint="default" w:ascii="Times New Roman" w:hAnsi="Times New Roman" w:eastAsia="宋体" w:cs="Times New Roman"/>
          <w:kern w:val="0"/>
          <w:sz w:val="32"/>
          <w:szCs w:val="32"/>
          <w:highlight w:val="none"/>
          <w:lang w:val="zh-CN"/>
        </w:rPr>
      </w:pPr>
    </w:p>
    <w:p w14:paraId="75AE1840">
      <w:pPr>
        <w:autoSpaceDE w:val="0"/>
        <w:autoSpaceDN w:val="0"/>
        <w:adjustRightInd w:val="0"/>
        <w:spacing w:line="360" w:lineRule="auto"/>
        <w:ind w:left="2884" w:leftChars="513" w:hanging="1807" w:hangingChars="500"/>
        <w:rPr>
          <w:rFonts w:hint="default" w:ascii="Times New Roman" w:hAnsi="Times New Roman" w:eastAsia="宋体" w:cs="Times New Roman"/>
          <w:b/>
          <w:bCs/>
          <w:kern w:val="0"/>
          <w:sz w:val="36"/>
          <w:szCs w:val="36"/>
          <w:highlight w:val="none"/>
          <w:lang w:eastAsia="zh-CN"/>
        </w:rPr>
      </w:pPr>
      <w:r>
        <w:rPr>
          <w:rFonts w:hint="default" w:ascii="Times New Roman" w:hAnsi="Times New Roman" w:eastAsia="宋体" w:cs="Times New Roman"/>
          <w:b/>
          <w:bCs/>
          <w:kern w:val="0"/>
          <w:sz w:val="36"/>
          <w:szCs w:val="36"/>
          <w:highlight w:val="none"/>
        </w:rPr>
        <w:t>项目名称：ZYCGR22011901</w:t>
      </w:r>
      <w:r>
        <w:rPr>
          <w:rFonts w:hint="default" w:ascii="Times New Roman" w:hAnsi="Times New Roman" w:eastAsia="宋体" w:cs="Times New Roman"/>
          <w:b/>
          <w:bCs/>
          <w:kern w:val="0"/>
          <w:sz w:val="36"/>
          <w:szCs w:val="36"/>
          <w:highlight w:val="none"/>
          <w:lang w:eastAsia="zh-CN"/>
        </w:rPr>
        <w:t>葛洪系统二期采购项目</w:t>
      </w:r>
    </w:p>
    <w:p w14:paraId="266723AD">
      <w:pPr>
        <w:autoSpaceDE w:val="0"/>
        <w:autoSpaceDN w:val="0"/>
        <w:adjustRightInd w:val="0"/>
        <w:spacing w:line="360" w:lineRule="auto"/>
        <w:ind w:firstLine="1084" w:firstLineChars="300"/>
        <w:rPr>
          <w:rFonts w:hint="default" w:ascii="Times New Roman" w:hAnsi="Times New Roman" w:eastAsia="宋体" w:cs="Times New Roman"/>
          <w:b/>
          <w:bCs/>
          <w:kern w:val="0"/>
          <w:sz w:val="36"/>
          <w:szCs w:val="36"/>
          <w:highlight w:val="none"/>
          <w:lang w:eastAsia="zh-CN"/>
        </w:rPr>
      </w:pPr>
      <w:r>
        <w:rPr>
          <w:rFonts w:hint="default" w:ascii="Times New Roman" w:hAnsi="Times New Roman" w:eastAsia="宋体" w:cs="Times New Roman"/>
          <w:b/>
          <w:bCs/>
          <w:kern w:val="0"/>
          <w:sz w:val="36"/>
          <w:szCs w:val="36"/>
          <w:highlight w:val="none"/>
        </w:rPr>
        <w:t>招标编号：</w:t>
      </w:r>
      <w:r>
        <w:rPr>
          <w:rFonts w:hint="default" w:ascii="Times New Roman" w:hAnsi="Times New Roman" w:eastAsia="宋体" w:cs="Times New Roman"/>
          <w:b/>
          <w:bCs/>
          <w:kern w:val="0"/>
          <w:sz w:val="36"/>
          <w:szCs w:val="36"/>
          <w:highlight w:val="none"/>
          <w:lang w:eastAsia="zh-CN"/>
        </w:rPr>
        <w:t>OITC-G260600298</w:t>
      </w:r>
    </w:p>
    <w:p w14:paraId="4483B67B">
      <w:pPr>
        <w:autoSpaceDE w:val="0"/>
        <w:autoSpaceDN w:val="0"/>
        <w:adjustRightInd w:val="0"/>
        <w:spacing w:line="360" w:lineRule="auto"/>
        <w:ind w:firstLine="1084" w:firstLineChars="300"/>
        <w:rPr>
          <w:rFonts w:hint="default" w:ascii="Times New Roman" w:hAnsi="Times New Roman" w:eastAsia="宋体" w:cs="Times New Roman"/>
          <w:b/>
          <w:bCs/>
          <w:kern w:val="0"/>
          <w:sz w:val="36"/>
          <w:szCs w:val="36"/>
          <w:highlight w:val="none"/>
        </w:rPr>
      </w:pPr>
      <w:r>
        <w:rPr>
          <w:rFonts w:hint="default" w:ascii="Times New Roman" w:hAnsi="Times New Roman" w:eastAsia="宋体" w:cs="Times New Roman"/>
          <w:b/>
          <w:bCs/>
          <w:kern w:val="0"/>
          <w:sz w:val="36"/>
          <w:szCs w:val="36"/>
          <w:highlight w:val="none"/>
        </w:rPr>
        <w:t>采购类型：货物类</w:t>
      </w:r>
    </w:p>
    <w:p w14:paraId="722B9F91">
      <w:pPr>
        <w:autoSpaceDE w:val="0"/>
        <w:autoSpaceDN w:val="0"/>
        <w:adjustRightInd w:val="0"/>
        <w:spacing w:line="360" w:lineRule="auto"/>
        <w:ind w:firstLine="1084" w:firstLineChars="300"/>
        <w:rPr>
          <w:rFonts w:hint="default" w:ascii="Times New Roman" w:hAnsi="Times New Roman" w:eastAsia="宋体" w:cs="Times New Roman"/>
          <w:b/>
          <w:bCs/>
          <w:kern w:val="0"/>
          <w:sz w:val="36"/>
          <w:szCs w:val="36"/>
          <w:highlight w:val="none"/>
        </w:rPr>
      </w:pPr>
      <w:r>
        <w:rPr>
          <w:rFonts w:hint="default" w:ascii="Times New Roman" w:hAnsi="Times New Roman" w:eastAsia="宋体" w:cs="Times New Roman"/>
          <w:b/>
          <w:bCs/>
          <w:kern w:val="0"/>
          <w:sz w:val="36"/>
          <w:szCs w:val="36"/>
          <w:highlight w:val="none"/>
        </w:rPr>
        <w:t>采购人：ZYCGR22011901</w:t>
      </w:r>
    </w:p>
    <w:p w14:paraId="21FE6FA4">
      <w:pPr>
        <w:autoSpaceDE w:val="0"/>
        <w:autoSpaceDN w:val="0"/>
        <w:adjustRightInd w:val="0"/>
        <w:spacing w:line="360" w:lineRule="auto"/>
        <w:rPr>
          <w:rFonts w:hint="default" w:ascii="Times New Roman" w:hAnsi="Times New Roman" w:eastAsia="宋体" w:cs="Times New Roman"/>
          <w:kern w:val="0"/>
          <w:sz w:val="24"/>
          <w:szCs w:val="24"/>
          <w:highlight w:val="none"/>
        </w:rPr>
      </w:pPr>
    </w:p>
    <w:p w14:paraId="7200E00F">
      <w:pPr>
        <w:pStyle w:val="27"/>
        <w:ind w:firstLine="560"/>
        <w:jc w:val="both"/>
        <w:rPr>
          <w:rFonts w:hint="default" w:ascii="Times New Roman" w:hAnsi="Times New Roman" w:eastAsia="宋体" w:cs="Times New Roman"/>
          <w:highlight w:val="none"/>
        </w:rPr>
      </w:pPr>
    </w:p>
    <w:p w14:paraId="54AF22FF">
      <w:pPr>
        <w:autoSpaceDE w:val="0"/>
        <w:autoSpaceDN w:val="0"/>
        <w:adjustRightInd w:val="0"/>
        <w:spacing w:line="360" w:lineRule="auto"/>
        <w:jc w:val="center"/>
        <w:rPr>
          <w:rFonts w:hint="default" w:ascii="Times New Roman" w:hAnsi="Times New Roman" w:eastAsia="宋体" w:cs="Times New Roman"/>
          <w:b/>
          <w:bCs/>
          <w:kern w:val="0"/>
          <w:sz w:val="36"/>
          <w:szCs w:val="36"/>
          <w:highlight w:val="none"/>
        </w:rPr>
      </w:pPr>
      <w:r>
        <w:rPr>
          <w:rFonts w:hint="default" w:ascii="Times New Roman" w:hAnsi="Times New Roman" w:eastAsia="宋体" w:cs="Times New Roman"/>
          <w:b/>
          <w:bCs/>
          <w:kern w:val="0"/>
          <w:sz w:val="36"/>
          <w:szCs w:val="36"/>
          <w:highlight w:val="none"/>
          <w:lang w:val="zh-CN"/>
        </w:rPr>
        <w:t>202</w:t>
      </w:r>
      <w:r>
        <w:rPr>
          <w:rFonts w:hint="default" w:ascii="Times New Roman" w:hAnsi="Times New Roman" w:eastAsia="宋体" w:cs="Times New Roman"/>
          <w:b/>
          <w:bCs/>
          <w:kern w:val="0"/>
          <w:sz w:val="36"/>
          <w:szCs w:val="36"/>
          <w:highlight w:val="none"/>
        </w:rPr>
        <w:t>6</w:t>
      </w:r>
      <w:r>
        <w:rPr>
          <w:rFonts w:hint="default" w:ascii="Times New Roman" w:hAnsi="Times New Roman" w:eastAsia="宋体" w:cs="Times New Roman"/>
          <w:b/>
          <w:bCs/>
          <w:kern w:val="0"/>
          <w:sz w:val="36"/>
          <w:szCs w:val="36"/>
          <w:highlight w:val="none"/>
          <w:lang w:val="zh-CN"/>
        </w:rPr>
        <w:t>年</w:t>
      </w:r>
      <w:r>
        <w:rPr>
          <w:rFonts w:hint="default" w:ascii="Times New Roman" w:hAnsi="Times New Roman" w:eastAsia="宋体" w:cs="Times New Roman"/>
          <w:b/>
          <w:bCs/>
          <w:kern w:val="0"/>
          <w:sz w:val="36"/>
          <w:szCs w:val="36"/>
          <w:highlight w:val="none"/>
          <w:lang w:val="en-US" w:eastAsia="zh-CN"/>
        </w:rPr>
        <w:t>8</w:t>
      </w:r>
      <w:r>
        <w:rPr>
          <w:rFonts w:hint="default" w:ascii="Times New Roman" w:hAnsi="Times New Roman" w:eastAsia="宋体" w:cs="Times New Roman"/>
          <w:b/>
          <w:bCs/>
          <w:kern w:val="0"/>
          <w:sz w:val="36"/>
          <w:szCs w:val="36"/>
          <w:highlight w:val="none"/>
          <w:lang w:val="zh-CN"/>
        </w:rPr>
        <w:t>月</w:t>
      </w:r>
    </w:p>
    <w:p w14:paraId="03E7F9A2">
      <w:pPr>
        <w:spacing w:line="360" w:lineRule="auto"/>
        <w:rPr>
          <w:rFonts w:hint="default" w:ascii="Times New Roman" w:hAnsi="Times New Roman" w:eastAsia="宋体" w:cs="Times New Roman"/>
          <w:b/>
          <w:kern w:val="0"/>
          <w:sz w:val="24"/>
          <w:szCs w:val="24"/>
          <w:highlight w:val="none"/>
          <w:lang w:val="zh-CN"/>
        </w:rPr>
      </w:pPr>
    </w:p>
    <w:p w14:paraId="0EE8E001">
      <w:pPr>
        <w:rPr>
          <w:rFonts w:hint="default" w:ascii="Times New Roman" w:hAnsi="Times New Roman" w:eastAsia="宋体" w:cs="Times New Roman"/>
          <w:b/>
          <w:kern w:val="0"/>
          <w:sz w:val="36"/>
          <w:szCs w:val="36"/>
          <w:highlight w:val="none"/>
          <w:lang w:val="zh-CN"/>
        </w:rPr>
      </w:pPr>
      <w:r>
        <w:rPr>
          <w:rFonts w:hint="default" w:ascii="Times New Roman" w:hAnsi="Times New Roman" w:eastAsia="宋体" w:cs="Times New Roman"/>
          <w:b/>
          <w:kern w:val="0"/>
          <w:sz w:val="36"/>
          <w:szCs w:val="36"/>
          <w:highlight w:val="none"/>
          <w:lang w:val="zh-CN"/>
        </w:rPr>
        <w:br w:type="page"/>
      </w:r>
    </w:p>
    <w:p w14:paraId="7EAEEBA4">
      <w:pPr>
        <w:autoSpaceDE w:val="0"/>
        <w:autoSpaceDN w:val="0"/>
        <w:adjustRightInd w:val="0"/>
        <w:spacing w:line="360" w:lineRule="auto"/>
        <w:outlineLvl w:val="0"/>
        <w:rPr>
          <w:rFonts w:hint="default" w:ascii="Times New Roman" w:hAnsi="Times New Roman" w:eastAsia="宋体" w:cs="Times New Roman"/>
          <w:b/>
          <w:kern w:val="0"/>
          <w:sz w:val="36"/>
          <w:szCs w:val="36"/>
          <w:highlight w:val="none"/>
          <w:lang w:val="zh-CN"/>
        </w:rPr>
      </w:pPr>
      <w:r>
        <w:rPr>
          <w:rFonts w:hint="default" w:ascii="Times New Roman" w:hAnsi="Times New Roman" w:eastAsia="宋体" w:cs="Times New Roman"/>
          <w:b/>
          <w:kern w:val="0"/>
          <w:sz w:val="36"/>
          <w:szCs w:val="36"/>
          <w:highlight w:val="none"/>
          <w:lang w:val="zh-CN"/>
        </w:rPr>
        <w:t>目录</w:t>
      </w:r>
    </w:p>
    <w:p w14:paraId="54BD7D92">
      <w:pPr>
        <w:autoSpaceDE w:val="0"/>
        <w:autoSpaceDN w:val="0"/>
        <w:adjustRightInd w:val="0"/>
        <w:spacing w:line="360" w:lineRule="auto"/>
        <w:rPr>
          <w:rFonts w:hint="default" w:ascii="Times New Roman" w:hAnsi="Times New Roman" w:eastAsia="宋体" w:cs="Times New Roman"/>
          <w:b/>
          <w:kern w:val="0"/>
          <w:sz w:val="24"/>
          <w:szCs w:val="24"/>
          <w:highlight w:val="none"/>
        </w:rPr>
      </w:pPr>
    </w:p>
    <w:p w14:paraId="390064E8">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p>
    <w:p w14:paraId="53DB3857">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lang w:val="zh-CN"/>
        </w:rPr>
        <w:t>第一章 投标邀请</w:t>
      </w:r>
    </w:p>
    <w:p w14:paraId="300BC5CE">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p>
    <w:p w14:paraId="50A45DEC">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第二章 投标人须知资料表</w:t>
      </w:r>
    </w:p>
    <w:p w14:paraId="142FCE14">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p>
    <w:p w14:paraId="153180D6">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第三章 投标人须知</w:t>
      </w:r>
    </w:p>
    <w:p w14:paraId="0E5B3F0C">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p>
    <w:p w14:paraId="4B0A5486">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第四章 项目需求</w:t>
      </w:r>
    </w:p>
    <w:p w14:paraId="156DF96F">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p>
    <w:p w14:paraId="2A74EBCF">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第五章 拟签订的合同文本（范本）</w:t>
      </w:r>
    </w:p>
    <w:p w14:paraId="298B0698">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p>
    <w:p w14:paraId="5A3193C0">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第六章 投标文件格式</w:t>
      </w:r>
    </w:p>
    <w:p w14:paraId="6A06758A">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p>
    <w:p w14:paraId="4D39CD55">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第七章 评标文件（附：评标标准）</w:t>
      </w:r>
    </w:p>
    <w:p w14:paraId="52B495B3">
      <w:pPr>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br w:type="page"/>
      </w:r>
    </w:p>
    <w:p w14:paraId="4522D07D">
      <w:pPr>
        <w:autoSpaceDE w:val="0"/>
        <w:autoSpaceDN w:val="0"/>
        <w:adjustRightInd w:val="0"/>
        <w:spacing w:line="360" w:lineRule="auto"/>
        <w:outlineLvl w:val="0"/>
        <w:rPr>
          <w:rFonts w:hint="default" w:ascii="Times New Roman" w:hAnsi="Times New Roman" w:eastAsia="宋体" w:cs="Times New Roman"/>
          <w:b/>
          <w:bCs/>
          <w:kern w:val="0"/>
          <w:sz w:val="44"/>
          <w:szCs w:val="44"/>
          <w:highlight w:val="none"/>
        </w:rPr>
      </w:pPr>
      <w:r>
        <w:rPr>
          <w:rFonts w:hint="default" w:ascii="Times New Roman" w:hAnsi="Times New Roman" w:eastAsia="宋体" w:cs="Times New Roman"/>
          <w:b/>
          <w:bCs/>
          <w:kern w:val="0"/>
          <w:sz w:val="44"/>
          <w:szCs w:val="44"/>
          <w:highlight w:val="none"/>
          <w:lang w:val="zh-CN"/>
        </w:rPr>
        <w:t>第一章 投标邀请</w:t>
      </w:r>
    </w:p>
    <w:p w14:paraId="1E47FA18">
      <w:pPr>
        <w:pStyle w:val="27"/>
        <w:ind w:firstLine="0" w:firstLineChars="0"/>
        <w:jc w:val="both"/>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项目概况</w:t>
      </w:r>
    </w:p>
    <w:p w14:paraId="1060483E">
      <w:pPr>
        <w:pStyle w:val="27"/>
        <w:jc w:val="both"/>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ZYCGR22011901葛洪系统二期采购项目的潜在投标人应在https://www.oitccas.com获取招标文件，并于202</w:t>
      </w:r>
      <w:r>
        <w:rPr>
          <w:rFonts w:hint="default" w:ascii="Times New Roman" w:hAnsi="Times New Roman" w:eastAsia="宋体" w:cs="Times New Roman"/>
          <w:kern w:val="0"/>
          <w:sz w:val="24"/>
          <w:szCs w:val="24"/>
          <w:highlight w:val="none"/>
        </w:rPr>
        <w:t>6</w:t>
      </w:r>
      <w:r>
        <w:rPr>
          <w:rFonts w:hint="default" w:ascii="Times New Roman" w:hAnsi="Times New Roman" w:eastAsia="宋体" w:cs="Times New Roman"/>
          <w:kern w:val="0"/>
          <w:sz w:val="24"/>
          <w:szCs w:val="24"/>
          <w:highlight w:val="none"/>
          <w:lang w:val="zh-CN"/>
        </w:rPr>
        <w:t>年</w:t>
      </w:r>
      <w:r>
        <w:rPr>
          <w:rFonts w:hint="default" w:ascii="Times New Roman" w:hAnsi="Times New Roman" w:eastAsia="宋体" w:cs="Times New Roman"/>
          <w:kern w:val="0"/>
          <w:sz w:val="24"/>
          <w:szCs w:val="24"/>
          <w:highlight w:val="none"/>
        </w:rPr>
        <w:t>9</w:t>
      </w:r>
      <w:r>
        <w:rPr>
          <w:rFonts w:hint="default" w:ascii="Times New Roman" w:hAnsi="Times New Roman" w:eastAsia="宋体" w:cs="Times New Roman"/>
          <w:kern w:val="0"/>
          <w:sz w:val="24"/>
          <w:szCs w:val="24"/>
          <w:highlight w:val="none"/>
          <w:lang w:val="zh-CN"/>
        </w:rPr>
        <w:t>月</w:t>
      </w:r>
      <w:r>
        <w:rPr>
          <w:rFonts w:hint="default" w:ascii="Times New Roman" w:hAnsi="Times New Roman" w:eastAsia="宋体" w:cs="Times New Roman"/>
          <w:kern w:val="0"/>
          <w:sz w:val="24"/>
          <w:szCs w:val="24"/>
          <w:highlight w:val="none"/>
          <w:lang w:val="en-US" w:eastAsia="zh-CN"/>
        </w:rPr>
        <w:t>7</w:t>
      </w:r>
      <w:r>
        <w:rPr>
          <w:rFonts w:hint="default" w:ascii="Times New Roman" w:hAnsi="Times New Roman" w:eastAsia="宋体" w:cs="Times New Roman"/>
          <w:kern w:val="0"/>
          <w:sz w:val="24"/>
          <w:szCs w:val="24"/>
          <w:highlight w:val="none"/>
          <w:lang w:val="zh-CN"/>
        </w:rPr>
        <w:t>日</w:t>
      </w:r>
      <w:r>
        <w:rPr>
          <w:rFonts w:hint="default" w:ascii="Times New Roman" w:hAnsi="Times New Roman" w:eastAsia="宋体" w:cs="Times New Roman"/>
          <w:kern w:val="0"/>
          <w:sz w:val="24"/>
          <w:szCs w:val="24"/>
          <w:highlight w:val="none"/>
          <w:lang w:val="en-US" w:eastAsia="zh-CN"/>
        </w:rPr>
        <w:t>14</w:t>
      </w:r>
      <w:r>
        <w:rPr>
          <w:rFonts w:hint="default" w:ascii="Times New Roman" w:hAnsi="Times New Roman" w:eastAsia="宋体" w:cs="Times New Roman"/>
          <w:kern w:val="0"/>
          <w:sz w:val="24"/>
          <w:szCs w:val="24"/>
          <w:highlight w:val="none"/>
          <w:lang w:val="zh-CN"/>
        </w:rPr>
        <w:t>点</w:t>
      </w:r>
      <w:r>
        <w:rPr>
          <w:rFonts w:hint="default" w:ascii="Times New Roman" w:hAnsi="Times New Roman" w:eastAsia="宋体" w:cs="Times New Roman"/>
          <w:kern w:val="0"/>
          <w:sz w:val="24"/>
          <w:szCs w:val="24"/>
          <w:highlight w:val="none"/>
        </w:rPr>
        <w:t>30</w:t>
      </w:r>
      <w:r>
        <w:rPr>
          <w:rFonts w:hint="default" w:ascii="Times New Roman" w:hAnsi="Times New Roman" w:eastAsia="宋体" w:cs="Times New Roman"/>
          <w:kern w:val="0"/>
          <w:sz w:val="24"/>
          <w:szCs w:val="24"/>
          <w:highlight w:val="none"/>
          <w:lang w:val="zh-CN"/>
        </w:rPr>
        <w:t>分（北京时间）前递交投标文件。</w:t>
      </w:r>
    </w:p>
    <w:p w14:paraId="57A61900">
      <w:pPr>
        <w:autoSpaceDE w:val="0"/>
        <w:autoSpaceDN w:val="0"/>
        <w:adjustRightInd w:val="0"/>
        <w:spacing w:line="360" w:lineRule="auto"/>
        <w:rPr>
          <w:rFonts w:hint="default" w:ascii="Times New Roman" w:hAnsi="Times New Roman" w:eastAsia="宋体" w:cs="Times New Roman"/>
          <w:b/>
          <w:bCs/>
          <w:kern w:val="0"/>
          <w:sz w:val="24"/>
          <w:szCs w:val="24"/>
          <w:highlight w:val="none"/>
        </w:rPr>
      </w:pPr>
      <w:r>
        <w:rPr>
          <w:rFonts w:hint="default" w:ascii="Times New Roman" w:hAnsi="Times New Roman" w:eastAsia="宋体" w:cs="Times New Roman"/>
          <w:b/>
          <w:bCs/>
          <w:kern w:val="0"/>
          <w:sz w:val="24"/>
          <w:szCs w:val="24"/>
          <w:highlight w:val="none"/>
          <w:lang w:val="zh-CN"/>
        </w:rPr>
        <w:t>一、项目基本情况</w:t>
      </w:r>
    </w:p>
    <w:p w14:paraId="429845E8">
      <w:pPr>
        <w:autoSpaceDE w:val="0"/>
        <w:autoSpaceDN w:val="0"/>
        <w:adjustRightInd w:val="0"/>
        <w:spacing w:line="360" w:lineRule="auto"/>
        <w:rPr>
          <w:rFonts w:hint="default" w:ascii="Times New Roman" w:hAnsi="Times New Roman" w:eastAsia="宋体" w:cs="Times New Roman"/>
          <w:color w:val="00B0F0"/>
          <w:kern w:val="0"/>
          <w:sz w:val="24"/>
          <w:szCs w:val="24"/>
          <w:highlight w:val="none"/>
          <w:lang w:eastAsia="zh-CN"/>
        </w:rPr>
      </w:pPr>
      <w:r>
        <w:rPr>
          <w:rFonts w:hint="default" w:ascii="Times New Roman" w:hAnsi="Times New Roman" w:eastAsia="宋体" w:cs="Times New Roman"/>
          <w:kern w:val="0"/>
          <w:sz w:val="24"/>
          <w:szCs w:val="24"/>
          <w:highlight w:val="none"/>
          <w:lang w:val="zh-CN"/>
        </w:rPr>
        <w:t>项目名称：</w:t>
      </w:r>
      <w:r>
        <w:rPr>
          <w:rFonts w:hint="default" w:ascii="Times New Roman" w:hAnsi="Times New Roman" w:eastAsia="宋体" w:cs="Times New Roman"/>
          <w:kern w:val="0"/>
          <w:sz w:val="24"/>
          <w:highlight w:val="none"/>
        </w:rPr>
        <w:t>ZYCGR22011901</w:t>
      </w:r>
      <w:r>
        <w:rPr>
          <w:rFonts w:hint="default" w:ascii="Times New Roman" w:hAnsi="Times New Roman" w:eastAsia="宋体" w:cs="Times New Roman"/>
          <w:kern w:val="0"/>
          <w:sz w:val="24"/>
          <w:highlight w:val="none"/>
          <w:lang w:eastAsia="zh-CN"/>
        </w:rPr>
        <w:t>葛洪系统二期采购项目</w:t>
      </w:r>
    </w:p>
    <w:p w14:paraId="027409BD">
      <w:pPr>
        <w:autoSpaceDE w:val="0"/>
        <w:autoSpaceDN w:val="0"/>
        <w:adjustRightInd w:val="0"/>
        <w:spacing w:line="360" w:lineRule="auto"/>
        <w:rPr>
          <w:rFonts w:hint="default" w:ascii="Times New Roman" w:hAnsi="Times New Roman" w:eastAsia="宋体" w:cs="Times New Roman"/>
          <w:kern w:val="0"/>
          <w:sz w:val="24"/>
          <w:szCs w:val="24"/>
          <w:highlight w:val="none"/>
          <w:lang w:val="zh-CN" w:eastAsia="zh-CN"/>
        </w:rPr>
      </w:pPr>
      <w:r>
        <w:rPr>
          <w:rFonts w:hint="default" w:ascii="Times New Roman" w:hAnsi="Times New Roman" w:eastAsia="宋体" w:cs="Times New Roman"/>
          <w:kern w:val="0"/>
          <w:sz w:val="24"/>
          <w:szCs w:val="24"/>
          <w:highlight w:val="none"/>
          <w:lang w:val="zh-CN"/>
        </w:rPr>
        <w:t>项目编号/招标编号：</w:t>
      </w:r>
      <w:r>
        <w:rPr>
          <w:rFonts w:hint="default" w:ascii="Times New Roman" w:hAnsi="Times New Roman" w:eastAsia="宋体" w:cs="Times New Roman"/>
          <w:kern w:val="0"/>
          <w:sz w:val="24"/>
          <w:highlight w:val="none"/>
          <w:lang w:eastAsia="zh-CN"/>
        </w:rPr>
        <w:t>OITC-G260600298</w:t>
      </w:r>
    </w:p>
    <w:p w14:paraId="395F8999">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预算金额：</w:t>
      </w:r>
      <w:r>
        <w:rPr>
          <w:rFonts w:hint="default" w:ascii="Times New Roman" w:hAnsi="Times New Roman" w:eastAsia="宋体" w:cs="Times New Roman"/>
          <w:kern w:val="0"/>
          <w:sz w:val="24"/>
          <w:szCs w:val="24"/>
          <w:highlight w:val="none"/>
          <w:lang w:val="en-US" w:eastAsia="zh-CN"/>
        </w:rPr>
        <w:t>3796</w:t>
      </w:r>
      <w:r>
        <w:rPr>
          <w:rFonts w:hint="default" w:ascii="Times New Roman" w:hAnsi="Times New Roman" w:eastAsia="宋体" w:cs="Times New Roman"/>
          <w:kern w:val="0"/>
          <w:sz w:val="24"/>
          <w:szCs w:val="24"/>
          <w:highlight w:val="none"/>
          <w:lang w:val="zh-CN"/>
        </w:rPr>
        <w:t>万元（人民币）</w:t>
      </w:r>
    </w:p>
    <w:p w14:paraId="681D007C">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最高限价（如有）：</w:t>
      </w:r>
      <w:r>
        <w:rPr>
          <w:rFonts w:hint="default" w:ascii="Times New Roman" w:hAnsi="Times New Roman" w:eastAsia="宋体" w:cs="Times New Roman"/>
          <w:kern w:val="0"/>
          <w:sz w:val="24"/>
          <w:szCs w:val="24"/>
          <w:highlight w:val="none"/>
          <w:lang w:val="en-US" w:eastAsia="zh-CN"/>
        </w:rPr>
        <w:t>3796</w:t>
      </w:r>
      <w:r>
        <w:rPr>
          <w:rFonts w:hint="default" w:ascii="Times New Roman" w:hAnsi="Times New Roman" w:eastAsia="宋体" w:cs="Times New Roman"/>
          <w:kern w:val="0"/>
          <w:sz w:val="24"/>
          <w:szCs w:val="24"/>
          <w:highlight w:val="none"/>
          <w:lang w:val="zh-CN"/>
        </w:rPr>
        <w:t>万元（人民币）</w:t>
      </w:r>
    </w:p>
    <w:p w14:paraId="4585851B">
      <w:pPr>
        <w:pStyle w:val="11"/>
        <w:snapToGrid w:val="0"/>
        <w:spacing w:line="360" w:lineRule="auto"/>
        <w:ind w:left="0" w:leftChars="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采购需求：</w:t>
      </w:r>
    </w:p>
    <w:p w14:paraId="488FEEF2">
      <w:pPr>
        <w:autoSpaceDE w:val="0"/>
        <w:autoSpaceDN w:val="0"/>
        <w:adjustRightInd w:val="0"/>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1、项目内容需求简表：</w:t>
      </w:r>
    </w:p>
    <w:tbl>
      <w:tblPr>
        <w:tblStyle w:val="28"/>
        <w:tblW w:w="89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0"/>
        <w:gridCol w:w="2212"/>
        <w:gridCol w:w="645"/>
        <w:gridCol w:w="1620"/>
        <w:gridCol w:w="1845"/>
        <w:gridCol w:w="1825"/>
      </w:tblGrid>
      <w:tr w14:paraId="6741B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830" w:type="dxa"/>
            <w:vAlign w:val="center"/>
          </w:tcPr>
          <w:p w14:paraId="28C33980">
            <w:pPr>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t>包号</w:t>
            </w:r>
          </w:p>
        </w:tc>
        <w:tc>
          <w:tcPr>
            <w:tcW w:w="2212" w:type="dxa"/>
            <w:vAlign w:val="center"/>
          </w:tcPr>
          <w:p w14:paraId="5671F74E">
            <w:pPr>
              <w:rPr>
                <w:rFonts w:hint="default" w:ascii="Times New Roman" w:hAnsi="Times New Roman" w:eastAsia="宋体" w:cs="Times New Roman"/>
                <w:b/>
                <w:sz w:val="24"/>
                <w:highlight w:val="none"/>
                <w:lang w:eastAsia="zh-CN"/>
              </w:rPr>
            </w:pPr>
            <w:r>
              <w:rPr>
                <w:rFonts w:hint="default" w:ascii="Times New Roman" w:hAnsi="Times New Roman" w:eastAsia="宋体" w:cs="Times New Roman"/>
                <w:b/>
                <w:sz w:val="24"/>
                <w:highlight w:val="none"/>
                <w:lang w:val="en-US" w:eastAsia="zh-CN"/>
              </w:rPr>
              <w:t>产品</w:t>
            </w:r>
            <w:r>
              <w:rPr>
                <w:rFonts w:hint="default" w:ascii="Times New Roman" w:hAnsi="Times New Roman" w:eastAsia="宋体" w:cs="Times New Roman"/>
                <w:b/>
                <w:sz w:val="24"/>
                <w:highlight w:val="none"/>
              </w:rPr>
              <w:t>名称</w:t>
            </w:r>
            <w:r>
              <w:rPr>
                <w:rFonts w:hint="default" w:ascii="Times New Roman" w:hAnsi="Times New Roman" w:eastAsia="宋体" w:cs="Times New Roman"/>
                <w:b/>
                <w:sz w:val="24"/>
                <w:highlight w:val="none"/>
                <w:lang w:eastAsia="zh-CN"/>
              </w:rPr>
              <w:t>（</w:t>
            </w:r>
            <w:r>
              <w:rPr>
                <w:rFonts w:hint="default" w:ascii="Times New Roman" w:hAnsi="Times New Roman" w:eastAsia="宋体" w:cs="Times New Roman"/>
                <w:b/>
                <w:sz w:val="24"/>
                <w:highlight w:val="none"/>
                <w:lang w:val="en-US" w:eastAsia="zh-CN"/>
              </w:rPr>
              <w:t>标的名称</w:t>
            </w:r>
            <w:r>
              <w:rPr>
                <w:rFonts w:hint="default" w:ascii="Times New Roman" w:hAnsi="Times New Roman" w:eastAsia="宋体" w:cs="Times New Roman"/>
                <w:b/>
                <w:sz w:val="24"/>
                <w:highlight w:val="none"/>
                <w:lang w:eastAsia="zh-CN"/>
              </w:rPr>
              <w:t>）</w:t>
            </w:r>
          </w:p>
        </w:tc>
        <w:tc>
          <w:tcPr>
            <w:tcW w:w="645" w:type="dxa"/>
            <w:vAlign w:val="center"/>
          </w:tcPr>
          <w:p w14:paraId="6FC1CE07">
            <w:pPr>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t>数量</w:t>
            </w:r>
          </w:p>
        </w:tc>
        <w:tc>
          <w:tcPr>
            <w:tcW w:w="1620" w:type="dxa"/>
            <w:vAlign w:val="center"/>
          </w:tcPr>
          <w:p w14:paraId="50A0CD3C">
            <w:pPr>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t>是否允许采购进口产品</w:t>
            </w:r>
          </w:p>
        </w:tc>
        <w:tc>
          <w:tcPr>
            <w:tcW w:w="1845" w:type="dxa"/>
            <w:vAlign w:val="center"/>
          </w:tcPr>
          <w:p w14:paraId="1034C907">
            <w:pPr>
              <w:widowControl/>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t>采购预算（</w:t>
            </w:r>
            <w:r>
              <w:rPr>
                <w:rFonts w:hint="default" w:ascii="Times New Roman" w:hAnsi="Times New Roman" w:eastAsia="宋体" w:cs="Times New Roman"/>
                <w:b/>
                <w:sz w:val="24"/>
                <w:highlight w:val="none"/>
                <w:lang w:val="en-US" w:eastAsia="zh-CN"/>
              </w:rPr>
              <w:t>万元</w:t>
            </w:r>
            <w:r>
              <w:rPr>
                <w:rFonts w:hint="default" w:ascii="Times New Roman" w:hAnsi="Times New Roman" w:eastAsia="宋体" w:cs="Times New Roman"/>
                <w:b/>
                <w:sz w:val="24"/>
                <w:highlight w:val="none"/>
              </w:rPr>
              <w:t>人民币）</w:t>
            </w:r>
          </w:p>
        </w:tc>
        <w:tc>
          <w:tcPr>
            <w:tcW w:w="1825" w:type="dxa"/>
            <w:vAlign w:val="center"/>
          </w:tcPr>
          <w:p w14:paraId="38071707">
            <w:pPr>
              <w:widowControl/>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t>最高限价（</w:t>
            </w:r>
            <w:r>
              <w:rPr>
                <w:rFonts w:hint="default" w:ascii="Times New Roman" w:hAnsi="Times New Roman" w:eastAsia="宋体" w:cs="Times New Roman"/>
                <w:b/>
                <w:sz w:val="24"/>
                <w:highlight w:val="none"/>
                <w:lang w:val="en-US" w:eastAsia="zh-CN"/>
              </w:rPr>
              <w:t>万元</w:t>
            </w:r>
            <w:r>
              <w:rPr>
                <w:rFonts w:hint="default" w:ascii="Times New Roman" w:hAnsi="Times New Roman" w:eastAsia="宋体" w:cs="Times New Roman"/>
                <w:b/>
                <w:sz w:val="24"/>
                <w:highlight w:val="none"/>
              </w:rPr>
              <w:t>人民币）</w:t>
            </w:r>
          </w:p>
        </w:tc>
      </w:tr>
      <w:tr w14:paraId="10E39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830" w:type="dxa"/>
            <w:vMerge w:val="restart"/>
            <w:tcBorders>
              <w:left w:val="single" w:color="auto" w:sz="4" w:space="0"/>
              <w:right w:val="single" w:color="auto" w:sz="4" w:space="0"/>
            </w:tcBorders>
            <w:vAlign w:val="center"/>
          </w:tcPr>
          <w:p w14:paraId="6E1D97B0">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1</w:t>
            </w:r>
          </w:p>
        </w:tc>
        <w:tc>
          <w:tcPr>
            <w:tcW w:w="2212" w:type="dxa"/>
            <w:tcBorders>
              <w:top w:val="single" w:color="auto" w:sz="4" w:space="0"/>
              <w:left w:val="single" w:color="auto" w:sz="4" w:space="0"/>
              <w:bottom w:val="single" w:color="auto" w:sz="4" w:space="0"/>
              <w:right w:val="single" w:color="auto" w:sz="4" w:space="0"/>
            </w:tcBorders>
            <w:vAlign w:val="center"/>
          </w:tcPr>
          <w:p w14:paraId="2F2B50B4">
            <w:pPr>
              <w:spacing w:line="360" w:lineRule="auto"/>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样本预处理工作站</w:t>
            </w:r>
          </w:p>
        </w:tc>
        <w:tc>
          <w:tcPr>
            <w:tcW w:w="645" w:type="dxa"/>
            <w:tcBorders>
              <w:top w:val="single" w:color="auto" w:sz="4" w:space="0"/>
              <w:left w:val="single" w:color="auto" w:sz="4" w:space="0"/>
              <w:bottom w:val="single" w:color="auto" w:sz="4" w:space="0"/>
              <w:right w:val="single" w:color="auto" w:sz="4" w:space="0"/>
            </w:tcBorders>
            <w:vAlign w:val="center"/>
          </w:tcPr>
          <w:p w14:paraId="653DD8A1">
            <w:pPr>
              <w:spacing w:line="360" w:lineRule="auto"/>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1</w:t>
            </w:r>
          </w:p>
        </w:tc>
        <w:tc>
          <w:tcPr>
            <w:tcW w:w="1620" w:type="dxa"/>
            <w:tcBorders>
              <w:top w:val="single" w:color="auto" w:sz="4" w:space="0"/>
              <w:left w:val="single" w:color="auto" w:sz="4" w:space="0"/>
              <w:bottom w:val="single" w:color="auto" w:sz="4" w:space="0"/>
              <w:right w:val="single" w:color="auto" w:sz="4" w:space="0"/>
            </w:tcBorders>
            <w:vAlign w:val="center"/>
          </w:tcPr>
          <w:p w14:paraId="4BF783A7">
            <w:pPr>
              <w:spacing w:line="360" w:lineRule="auto"/>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否</w:t>
            </w:r>
          </w:p>
        </w:tc>
        <w:tc>
          <w:tcPr>
            <w:tcW w:w="1845" w:type="dxa"/>
            <w:tcBorders>
              <w:top w:val="single" w:color="auto" w:sz="4" w:space="0"/>
              <w:left w:val="single" w:color="auto" w:sz="4" w:space="0"/>
              <w:bottom w:val="single" w:color="auto" w:sz="4" w:space="0"/>
              <w:right w:val="single" w:color="auto" w:sz="4" w:space="0"/>
            </w:tcBorders>
            <w:vAlign w:val="center"/>
          </w:tcPr>
          <w:p w14:paraId="63917EB1">
            <w:pPr>
              <w:spacing w:line="360" w:lineRule="auto"/>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1216</w:t>
            </w:r>
          </w:p>
        </w:tc>
        <w:tc>
          <w:tcPr>
            <w:tcW w:w="1825" w:type="dxa"/>
            <w:tcBorders>
              <w:top w:val="single" w:color="auto" w:sz="4" w:space="0"/>
              <w:left w:val="single" w:color="auto" w:sz="4" w:space="0"/>
              <w:bottom w:val="single" w:color="auto" w:sz="4" w:space="0"/>
              <w:right w:val="single" w:color="auto" w:sz="4" w:space="0"/>
            </w:tcBorders>
            <w:vAlign w:val="center"/>
          </w:tcPr>
          <w:p w14:paraId="6EF76D48">
            <w:pPr>
              <w:spacing w:line="360" w:lineRule="auto"/>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1216</w:t>
            </w:r>
          </w:p>
        </w:tc>
      </w:tr>
      <w:tr w14:paraId="6AC21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830" w:type="dxa"/>
            <w:vMerge w:val="continue"/>
            <w:tcBorders>
              <w:left w:val="single" w:color="auto" w:sz="4" w:space="0"/>
              <w:right w:val="single" w:color="auto" w:sz="4" w:space="0"/>
            </w:tcBorders>
            <w:vAlign w:val="center"/>
          </w:tcPr>
          <w:p w14:paraId="25A57A49">
            <w:pPr>
              <w:spacing w:line="360" w:lineRule="auto"/>
              <w:rPr>
                <w:rFonts w:hint="default" w:ascii="Times New Roman" w:hAnsi="Times New Roman" w:eastAsia="宋体" w:cs="Times New Roman"/>
                <w:sz w:val="24"/>
                <w:highlight w:val="none"/>
              </w:rPr>
            </w:pPr>
          </w:p>
        </w:tc>
        <w:tc>
          <w:tcPr>
            <w:tcW w:w="2212" w:type="dxa"/>
            <w:tcBorders>
              <w:top w:val="single" w:color="auto" w:sz="4" w:space="0"/>
              <w:left w:val="single" w:color="auto" w:sz="4" w:space="0"/>
              <w:bottom w:val="single" w:color="auto" w:sz="4" w:space="0"/>
              <w:right w:val="single" w:color="auto" w:sz="4" w:space="0"/>
            </w:tcBorders>
            <w:vAlign w:val="center"/>
          </w:tcPr>
          <w:p w14:paraId="380E5F66">
            <w:pPr>
              <w:spacing w:line="360" w:lineRule="auto"/>
              <w:rPr>
                <w:rFonts w:hint="default" w:ascii="Times New Roman" w:hAnsi="Times New Roman" w:eastAsia="宋体" w:cs="Times New Roman"/>
                <w:sz w:val="24"/>
                <w:highlight w:val="none"/>
                <w:lang w:val="zh-CN" w:eastAsia="zh-CN"/>
              </w:rPr>
            </w:pPr>
            <w:r>
              <w:rPr>
                <w:rFonts w:hint="default" w:ascii="Times New Roman" w:hAnsi="Times New Roman" w:eastAsia="宋体" w:cs="Times New Roman"/>
                <w:sz w:val="24"/>
                <w:highlight w:val="none"/>
                <w:lang w:val="en-US" w:eastAsia="zh-CN"/>
              </w:rPr>
              <w:t>全自动提取模块</w:t>
            </w:r>
          </w:p>
        </w:tc>
        <w:tc>
          <w:tcPr>
            <w:tcW w:w="645" w:type="dxa"/>
            <w:tcBorders>
              <w:top w:val="single" w:color="auto" w:sz="4" w:space="0"/>
              <w:left w:val="single" w:color="auto" w:sz="4" w:space="0"/>
              <w:bottom w:val="single" w:color="auto" w:sz="4" w:space="0"/>
              <w:right w:val="single" w:color="auto" w:sz="4" w:space="0"/>
            </w:tcBorders>
            <w:vAlign w:val="center"/>
          </w:tcPr>
          <w:p w14:paraId="68BB4B72">
            <w:pPr>
              <w:spacing w:line="360" w:lineRule="auto"/>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1</w:t>
            </w:r>
          </w:p>
        </w:tc>
        <w:tc>
          <w:tcPr>
            <w:tcW w:w="1620" w:type="dxa"/>
            <w:tcBorders>
              <w:top w:val="single" w:color="auto" w:sz="4" w:space="0"/>
              <w:left w:val="single" w:color="auto" w:sz="4" w:space="0"/>
              <w:bottom w:val="single" w:color="auto" w:sz="4" w:space="0"/>
              <w:right w:val="single" w:color="auto" w:sz="4" w:space="0"/>
            </w:tcBorders>
            <w:vAlign w:val="center"/>
          </w:tcPr>
          <w:p w14:paraId="5A60413A">
            <w:pPr>
              <w:spacing w:line="360" w:lineRule="auto"/>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否</w:t>
            </w:r>
          </w:p>
        </w:tc>
        <w:tc>
          <w:tcPr>
            <w:tcW w:w="1845" w:type="dxa"/>
            <w:tcBorders>
              <w:top w:val="single" w:color="auto" w:sz="4" w:space="0"/>
              <w:left w:val="single" w:color="auto" w:sz="4" w:space="0"/>
              <w:bottom w:val="single" w:color="auto" w:sz="4" w:space="0"/>
              <w:right w:val="single" w:color="auto" w:sz="4" w:space="0"/>
            </w:tcBorders>
            <w:vAlign w:val="center"/>
          </w:tcPr>
          <w:p w14:paraId="2EB68166">
            <w:pPr>
              <w:spacing w:line="360" w:lineRule="auto"/>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856</w:t>
            </w:r>
          </w:p>
        </w:tc>
        <w:tc>
          <w:tcPr>
            <w:tcW w:w="1825" w:type="dxa"/>
            <w:tcBorders>
              <w:top w:val="single" w:color="auto" w:sz="4" w:space="0"/>
              <w:left w:val="single" w:color="auto" w:sz="4" w:space="0"/>
              <w:bottom w:val="single" w:color="auto" w:sz="4" w:space="0"/>
              <w:right w:val="single" w:color="auto" w:sz="4" w:space="0"/>
            </w:tcBorders>
            <w:vAlign w:val="center"/>
          </w:tcPr>
          <w:p w14:paraId="270D64A0">
            <w:pPr>
              <w:spacing w:line="360" w:lineRule="auto"/>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856</w:t>
            </w:r>
          </w:p>
        </w:tc>
      </w:tr>
      <w:tr w14:paraId="663B5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830" w:type="dxa"/>
            <w:vMerge w:val="continue"/>
            <w:tcBorders>
              <w:left w:val="single" w:color="auto" w:sz="4" w:space="0"/>
              <w:right w:val="single" w:color="auto" w:sz="4" w:space="0"/>
            </w:tcBorders>
            <w:vAlign w:val="center"/>
          </w:tcPr>
          <w:p w14:paraId="5BD5912C">
            <w:pPr>
              <w:spacing w:line="360" w:lineRule="auto"/>
              <w:rPr>
                <w:rFonts w:hint="default" w:ascii="Times New Roman" w:hAnsi="Times New Roman" w:eastAsia="宋体" w:cs="Times New Roman"/>
                <w:sz w:val="24"/>
                <w:highlight w:val="none"/>
              </w:rPr>
            </w:pPr>
          </w:p>
        </w:tc>
        <w:tc>
          <w:tcPr>
            <w:tcW w:w="2212" w:type="dxa"/>
            <w:tcBorders>
              <w:top w:val="single" w:color="auto" w:sz="4" w:space="0"/>
              <w:left w:val="single" w:color="auto" w:sz="4" w:space="0"/>
              <w:bottom w:val="single" w:color="auto" w:sz="4" w:space="0"/>
              <w:right w:val="single" w:color="auto" w:sz="4" w:space="0"/>
            </w:tcBorders>
            <w:vAlign w:val="center"/>
          </w:tcPr>
          <w:p w14:paraId="60D8E98F">
            <w:pPr>
              <w:spacing w:line="360" w:lineRule="auto"/>
              <w:rPr>
                <w:rFonts w:hint="default" w:ascii="Times New Roman" w:hAnsi="Times New Roman" w:eastAsia="宋体" w:cs="Times New Roman"/>
                <w:sz w:val="24"/>
                <w:highlight w:val="none"/>
                <w:lang w:val="zh-CN" w:eastAsia="zh-CN"/>
              </w:rPr>
            </w:pPr>
            <w:r>
              <w:rPr>
                <w:rFonts w:hint="default" w:ascii="Times New Roman" w:hAnsi="Times New Roman" w:eastAsia="宋体" w:cs="Times New Roman"/>
                <w:sz w:val="24"/>
                <w:highlight w:val="none"/>
                <w:lang w:val="en-US" w:eastAsia="zh-CN"/>
              </w:rPr>
              <w:t>全自动建库模块</w:t>
            </w:r>
          </w:p>
        </w:tc>
        <w:tc>
          <w:tcPr>
            <w:tcW w:w="645" w:type="dxa"/>
            <w:tcBorders>
              <w:top w:val="single" w:color="auto" w:sz="4" w:space="0"/>
              <w:left w:val="single" w:color="auto" w:sz="4" w:space="0"/>
              <w:bottom w:val="single" w:color="auto" w:sz="4" w:space="0"/>
              <w:right w:val="single" w:color="auto" w:sz="4" w:space="0"/>
            </w:tcBorders>
            <w:vAlign w:val="center"/>
          </w:tcPr>
          <w:p w14:paraId="21111408">
            <w:pPr>
              <w:spacing w:line="360" w:lineRule="auto"/>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1</w:t>
            </w:r>
          </w:p>
        </w:tc>
        <w:tc>
          <w:tcPr>
            <w:tcW w:w="1620" w:type="dxa"/>
            <w:tcBorders>
              <w:top w:val="single" w:color="auto" w:sz="4" w:space="0"/>
              <w:left w:val="single" w:color="auto" w:sz="4" w:space="0"/>
              <w:bottom w:val="single" w:color="auto" w:sz="4" w:space="0"/>
              <w:right w:val="single" w:color="auto" w:sz="4" w:space="0"/>
            </w:tcBorders>
            <w:vAlign w:val="center"/>
          </w:tcPr>
          <w:p w14:paraId="7B28DF11">
            <w:pPr>
              <w:spacing w:line="360" w:lineRule="auto"/>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否</w:t>
            </w:r>
          </w:p>
        </w:tc>
        <w:tc>
          <w:tcPr>
            <w:tcW w:w="1845" w:type="dxa"/>
            <w:tcBorders>
              <w:top w:val="single" w:color="auto" w:sz="4" w:space="0"/>
              <w:left w:val="single" w:color="auto" w:sz="4" w:space="0"/>
              <w:bottom w:val="single" w:color="auto" w:sz="4" w:space="0"/>
              <w:right w:val="single" w:color="auto" w:sz="4" w:space="0"/>
            </w:tcBorders>
            <w:vAlign w:val="center"/>
          </w:tcPr>
          <w:p w14:paraId="3F022C7C">
            <w:pPr>
              <w:spacing w:line="360" w:lineRule="auto"/>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1016</w:t>
            </w:r>
          </w:p>
        </w:tc>
        <w:tc>
          <w:tcPr>
            <w:tcW w:w="1825" w:type="dxa"/>
            <w:tcBorders>
              <w:top w:val="single" w:color="auto" w:sz="4" w:space="0"/>
              <w:left w:val="single" w:color="auto" w:sz="4" w:space="0"/>
              <w:bottom w:val="single" w:color="auto" w:sz="4" w:space="0"/>
              <w:right w:val="single" w:color="auto" w:sz="4" w:space="0"/>
            </w:tcBorders>
            <w:vAlign w:val="center"/>
          </w:tcPr>
          <w:p w14:paraId="5F79CCC1">
            <w:pPr>
              <w:spacing w:line="360" w:lineRule="auto"/>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1016</w:t>
            </w:r>
          </w:p>
        </w:tc>
      </w:tr>
      <w:tr w14:paraId="05CFA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830" w:type="dxa"/>
            <w:vMerge w:val="continue"/>
            <w:tcBorders>
              <w:left w:val="single" w:color="auto" w:sz="4" w:space="0"/>
              <w:right w:val="single" w:color="auto" w:sz="4" w:space="0"/>
            </w:tcBorders>
            <w:vAlign w:val="center"/>
          </w:tcPr>
          <w:p w14:paraId="72390850">
            <w:pPr>
              <w:spacing w:line="360" w:lineRule="auto"/>
              <w:rPr>
                <w:rFonts w:hint="default" w:ascii="Times New Roman" w:hAnsi="Times New Roman" w:eastAsia="宋体" w:cs="Times New Roman"/>
                <w:sz w:val="24"/>
                <w:highlight w:val="none"/>
              </w:rPr>
            </w:pPr>
          </w:p>
        </w:tc>
        <w:tc>
          <w:tcPr>
            <w:tcW w:w="2212" w:type="dxa"/>
            <w:tcBorders>
              <w:top w:val="single" w:color="auto" w:sz="4" w:space="0"/>
              <w:left w:val="single" w:color="auto" w:sz="4" w:space="0"/>
              <w:bottom w:val="single" w:color="auto" w:sz="4" w:space="0"/>
              <w:right w:val="single" w:color="auto" w:sz="4" w:space="0"/>
            </w:tcBorders>
            <w:vAlign w:val="center"/>
          </w:tcPr>
          <w:p w14:paraId="34C74BEA">
            <w:pPr>
              <w:spacing w:line="360" w:lineRule="auto"/>
              <w:rPr>
                <w:rFonts w:hint="default" w:ascii="Times New Roman" w:hAnsi="Times New Roman" w:eastAsia="宋体" w:cs="Times New Roman"/>
                <w:sz w:val="24"/>
                <w:highlight w:val="none"/>
                <w:lang w:val="zh-CN" w:eastAsia="zh-CN"/>
              </w:rPr>
            </w:pPr>
            <w:r>
              <w:rPr>
                <w:rFonts w:hint="default" w:ascii="Times New Roman" w:hAnsi="Times New Roman" w:eastAsia="宋体" w:cs="Times New Roman"/>
                <w:sz w:val="24"/>
                <w:highlight w:val="none"/>
                <w:lang w:val="en-US" w:eastAsia="zh-CN"/>
              </w:rPr>
              <w:t>智能交付系统</w:t>
            </w:r>
          </w:p>
        </w:tc>
        <w:tc>
          <w:tcPr>
            <w:tcW w:w="645" w:type="dxa"/>
            <w:tcBorders>
              <w:top w:val="single" w:color="auto" w:sz="4" w:space="0"/>
              <w:left w:val="single" w:color="auto" w:sz="4" w:space="0"/>
              <w:bottom w:val="single" w:color="auto" w:sz="4" w:space="0"/>
              <w:right w:val="single" w:color="auto" w:sz="4" w:space="0"/>
            </w:tcBorders>
            <w:vAlign w:val="center"/>
          </w:tcPr>
          <w:p w14:paraId="20902E7E">
            <w:pPr>
              <w:spacing w:line="360" w:lineRule="auto"/>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1</w:t>
            </w:r>
          </w:p>
        </w:tc>
        <w:tc>
          <w:tcPr>
            <w:tcW w:w="1620" w:type="dxa"/>
            <w:tcBorders>
              <w:top w:val="single" w:color="auto" w:sz="4" w:space="0"/>
              <w:left w:val="single" w:color="auto" w:sz="4" w:space="0"/>
              <w:bottom w:val="single" w:color="auto" w:sz="4" w:space="0"/>
              <w:right w:val="single" w:color="auto" w:sz="4" w:space="0"/>
            </w:tcBorders>
            <w:vAlign w:val="center"/>
          </w:tcPr>
          <w:p w14:paraId="191AE9A2">
            <w:pPr>
              <w:spacing w:line="360" w:lineRule="auto"/>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否</w:t>
            </w:r>
          </w:p>
        </w:tc>
        <w:tc>
          <w:tcPr>
            <w:tcW w:w="1845" w:type="dxa"/>
            <w:tcBorders>
              <w:top w:val="single" w:color="auto" w:sz="4" w:space="0"/>
              <w:left w:val="single" w:color="auto" w:sz="4" w:space="0"/>
              <w:bottom w:val="single" w:color="auto" w:sz="4" w:space="0"/>
              <w:right w:val="single" w:color="auto" w:sz="4" w:space="0"/>
            </w:tcBorders>
            <w:vAlign w:val="center"/>
          </w:tcPr>
          <w:p w14:paraId="68CC0E33">
            <w:pPr>
              <w:spacing w:line="360" w:lineRule="auto"/>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708</w:t>
            </w:r>
          </w:p>
        </w:tc>
        <w:tc>
          <w:tcPr>
            <w:tcW w:w="1825" w:type="dxa"/>
            <w:tcBorders>
              <w:top w:val="single" w:color="auto" w:sz="4" w:space="0"/>
              <w:left w:val="single" w:color="auto" w:sz="4" w:space="0"/>
              <w:bottom w:val="single" w:color="auto" w:sz="4" w:space="0"/>
              <w:right w:val="single" w:color="auto" w:sz="4" w:space="0"/>
            </w:tcBorders>
            <w:vAlign w:val="center"/>
          </w:tcPr>
          <w:p w14:paraId="1234C43F">
            <w:pPr>
              <w:spacing w:line="360" w:lineRule="auto"/>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708</w:t>
            </w:r>
          </w:p>
        </w:tc>
      </w:tr>
    </w:tbl>
    <w:p w14:paraId="0F8BDC87">
      <w:pPr>
        <w:autoSpaceDE w:val="0"/>
        <w:autoSpaceDN w:val="0"/>
        <w:adjustRightInd w:val="0"/>
        <w:spacing w:line="360" w:lineRule="auto"/>
        <w:rPr>
          <w:rFonts w:hint="default" w:ascii="Times New Roman" w:hAnsi="Times New Roman" w:eastAsia="宋体" w:cs="Times New Roman"/>
          <w:kern w:val="0"/>
          <w:sz w:val="24"/>
          <w:highlight w:val="none"/>
        </w:rPr>
      </w:pPr>
    </w:p>
    <w:p w14:paraId="5A9BD793">
      <w:pPr>
        <w:autoSpaceDE w:val="0"/>
        <w:autoSpaceDN w:val="0"/>
        <w:adjustRightInd w:val="0"/>
        <w:spacing w:line="360" w:lineRule="auto"/>
        <w:rPr>
          <w:rFonts w:hint="default" w:ascii="Times New Roman" w:hAnsi="Times New Roman" w:eastAsia="宋体" w:cs="Times New Roman"/>
          <w:kern w:val="0"/>
          <w:sz w:val="24"/>
          <w:highlight w:val="none"/>
        </w:rPr>
      </w:pPr>
      <w:r>
        <w:rPr>
          <w:rFonts w:hint="default" w:ascii="Times New Roman" w:hAnsi="Times New Roman" w:eastAsia="宋体" w:cs="Times New Roman"/>
          <w:kern w:val="0"/>
          <w:sz w:val="24"/>
          <w:highlight w:val="none"/>
        </w:rPr>
        <w:t>2、技术要求详见公告附件。</w:t>
      </w:r>
    </w:p>
    <w:p w14:paraId="77A56F1C">
      <w:pPr>
        <w:autoSpaceDE w:val="0"/>
        <w:autoSpaceDN w:val="0"/>
        <w:adjustRightInd w:val="0"/>
        <w:spacing w:line="360" w:lineRule="auto"/>
        <w:rPr>
          <w:rFonts w:hint="default" w:ascii="Times New Roman" w:hAnsi="Times New Roman" w:eastAsia="宋体" w:cs="Times New Roman"/>
          <w:kern w:val="0"/>
          <w:sz w:val="24"/>
          <w:highlight w:val="none"/>
        </w:rPr>
      </w:pPr>
      <w:r>
        <w:rPr>
          <w:rFonts w:hint="default" w:ascii="Times New Roman" w:hAnsi="Times New Roman" w:eastAsia="宋体" w:cs="Times New Roman"/>
          <w:kern w:val="0"/>
          <w:sz w:val="24"/>
          <w:highlight w:val="none"/>
        </w:rPr>
        <w:t>合同履行期限：详见项目需求。</w:t>
      </w:r>
    </w:p>
    <w:p w14:paraId="7449AC53">
      <w:pPr>
        <w:pStyle w:val="11"/>
        <w:snapToGrid w:val="0"/>
        <w:spacing w:line="360" w:lineRule="auto"/>
        <w:ind w:left="0" w:leftChars="0"/>
        <w:rPr>
          <w:rFonts w:hint="default" w:ascii="Times New Roman" w:hAnsi="Times New Roman" w:eastAsia="宋体" w:cs="Times New Roman"/>
          <w:highlight w:val="none"/>
          <w:lang w:val="zh-CN"/>
        </w:rPr>
      </w:pPr>
      <w:r>
        <w:rPr>
          <w:rFonts w:hint="default" w:ascii="Times New Roman" w:hAnsi="Times New Roman" w:eastAsia="宋体" w:cs="Times New Roman"/>
          <w:sz w:val="24"/>
          <w:highlight w:val="none"/>
        </w:rPr>
        <w:t>本项目</w:t>
      </w:r>
      <w:r>
        <w:rPr>
          <w:rFonts w:hint="default" w:ascii="Times New Roman" w:hAnsi="Times New Roman" w:eastAsia="宋体" w:cs="Times New Roman"/>
          <w:b/>
          <w:bCs/>
          <w:sz w:val="24"/>
          <w:highlight w:val="none"/>
          <w:u w:val="single"/>
        </w:rPr>
        <w:t>不接受</w:t>
      </w:r>
      <w:r>
        <w:rPr>
          <w:rFonts w:hint="default" w:ascii="Times New Roman" w:hAnsi="Times New Roman" w:eastAsia="宋体" w:cs="Times New Roman"/>
          <w:sz w:val="24"/>
          <w:highlight w:val="none"/>
        </w:rPr>
        <w:t>联合体投标。</w:t>
      </w:r>
    </w:p>
    <w:p w14:paraId="56DAA847">
      <w:pPr>
        <w:pStyle w:val="11"/>
        <w:snapToGrid w:val="0"/>
        <w:spacing w:line="360" w:lineRule="auto"/>
        <w:ind w:left="0" w:leftChars="0"/>
        <w:rPr>
          <w:rFonts w:hint="default" w:ascii="Times New Roman" w:hAnsi="Times New Roman" w:eastAsia="宋体" w:cs="Times New Roman"/>
          <w:b/>
          <w:bCs/>
          <w:kern w:val="0"/>
          <w:sz w:val="24"/>
          <w:szCs w:val="24"/>
          <w:highlight w:val="none"/>
          <w:lang w:val="zh-CN"/>
        </w:rPr>
      </w:pPr>
      <w:r>
        <w:rPr>
          <w:rFonts w:hint="default" w:ascii="Times New Roman" w:hAnsi="Times New Roman" w:eastAsia="宋体" w:cs="Times New Roman"/>
          <w:b/>
          <w:bCs/>
          <w:kern w:val="0"/>
          <w:sz w:val="24"/>
          <w:szCs w:val="24"/>
          <w:highlight w:val="none"/>
          <w:lang w:val="zh-CN"/>
        </w:rPr>
        <w:t>二、申请人的资格要求：</w:t>
      </w:r>
    </w:p>
    <w:p w14:paraId="0E11EA97">
      <w:pPr>
        <w:autoSpaceDE w:val="0"/>
        <w:autoSpaceDN w:val="0"/>
        <w:adjustRightInd w:val="0"/>
        <w:spacing w:line="360" w:lineRule="auto"/>
        <w:rPr>
          <w:rFonts w:hint="default" w:ascii="Times New Roman" w:hAnsi="Times New Roman" w:eastAsia="宋体" w:cs="Times New Roman"/>
          <w:kern w:val="0"/>
          <w:sz w:val="24"/>
          <w:highlight w:val="none"/>
        </w:rPr>
      </w:pPr>
      <w:r>
        <w:rPr>
          <w:rFonts w:hint="default" w:ascii="Times New Roman" w:hAnsi="Times New Roman" w:eastAsia="宋体" w:cs="Times New Roman"/>
          <w:kern w:val="0"/>
          <w:sz w:val="24"/>
          <w:highlight w:val="none"/>
        </w:rPr>
        <w:t>1.满足《中华人民共和国政府采购法》第二十二条规定；</w:t>
      </w:r>
    </w:p>
    <w:p w14:paraId="109367A9">
      <w:pPr>
        <w:autoSpaceDE w:val="0"/>
        <w:autoSpaceDN w:val="0"/>
        <w:adjustRightInd w:val="0"/>
        <w:spacing w:line="360" w:lineRule="auto"/>
        <w:rPr>
          <w:rFonts w:hint="default" w:ascii="Times New Roman" w:hAnsi="Times New Roman" w:eastAsia="宋体" w:cs="Times New Roman"/>
          <w:kern w:val="0"/>
          <w:sz w:val="24"/>
          <w:highlight w:val="none"/>
        </w:rPr>
      </w:pPr>
      <w:r>
        <w:rPr>
          <w:rFonts w:hint="default" w:ascii="Times New Roman" w:hAnsi="Times New Roman" w:eastAsia="宋体" w:cs="Times New Roman"/>
          <w:kern w:val="0"/>
          <w:sz w:val="24"/>
          <w:highlight w:val="none"/>
        </w:rPr>
        <w:t>2.落实政府采购政策需满足的资格要求：本项目不属于专门面向中小微企业、监狱企业、残疾人福利性单位采购的项目。</w:t>
      </w:r>
    </w:p>
    <w:p w14:paraId="09F7D6B7">
      <w:pPr>
        <w:autoSpaceDE w:val="0"/>
        <w:autoSpaceDN w:val="0"/>
        <w:adjustRightInd w:val="0"/>
        <w:spacing w:line="360" w:lineRule="auto"/>
        <w:rPr>
          <w:rFonts w:hint="default" w:ascii="Times New Roman" w:hAnsi="Times New Roman" w:eastAsia="宋体" w:cs="Times New Roman"/>
          <w:kern w:val="0"/>
          <w:sz w:val="24"/>
          <w:highlight w:val="none"/>
        </w:rPr>
      </w:pPr>
      <w:r>
        <w:rPr>
          <w:rFonts w:hint="default" w:ascii="Times New Roman" w:hAnsi="Times New Roman" w:eastAsia="宋体" w:cs="Times New Roman"/>
          <w:kern w:val="0"/>
          <w:sz w:val="24"/>
          <w:highlight w:val="none"/>
        </w:rPr>
        <w:t>3.本项目的特定资格要求：</w:t>
      </w:r>
    </w:p>
    <w:p w14:paraId="42AB7B65">
      <w:pPr>
        <w:autoSpaceDE w:val="0"/>
        <w:autoSpaceDN w:val="0"/>
        <w:adjustRightInd w:val="0"/>
        <w:spacing w:line="360" w:lineRule="auto"/>
        <w:rPr>
          <w:rFonts w:hint="default" w:ascii="Times New Roman" w:hAnsi="Times New Roman" w:eastAsia="宋体" w:cs="Times New Roman"/>
          <w:kern w:val="0"/>
          <w:sz w:val="24"/>
          <w:highlight w:val="none"/>
        </w:rPr>
      </w:pPr>
      <w:r>
        <w:rPr>
          <w:rFonts w:hint="default" w:ascii="Times New Roman" w:hAnsi="Times New Roman" w:eastAsia="宋体" w:cs="Times New Roman"/>
          <w:kern w:val="0"/>
          <w:sz w:val="24"/>
          <w:highlight w:val="none"/>
        </w:rPr>
        <w:t>1）在中华人民共和国境内依法注册的，具有独立承担民事责任能力，遵守国家法律法规，具有良好信誉，具有履行合同能力和良好的履行合同的记录，具有良好资金、财务状况的企事业法人、其他组织或者自然人；</w:t>
      </w:r>
      <w:bookmarkStart w:id="209" w:name="_GoBack"/>
      <w:bookmarkEnd w:id="209"/>
    </w:p>
    <w:p w14:paraId="7EB5E8F4">
      <w:pPr>
        <w:autoSpaceDE w:val="0"/>
        <w:autoSpaceDN w:val="0"/>
        <w:adjustRightInd w:val="0"/>
        <w:spacing w:line="360" w:lineRule="auto"/>
        <w:rPr>
          <w:rFonts w:hint="default" w:ascii="Times New Roman" w:hAnsi="Times New Roman" w:eastAsia="宋体" w:cs="Times New Roman"/>
          <w:kern w:val="0"/>
          <w:sz w:val="24"/>
          <w:highlight w:val="none"/>
        </w:rPr>
      </w:pPr>
      <w:r>
        <w:rPr>
          <w:rFonts w:hint="default" w:ascii="Times New Roman" w:hAnsi="Times New Roman" w:eastAsia="宋体" w:cs="Times New Roman"/>
          <w:kern w:val="0"/>
          <w:sz w:val="24"/>
          <w:highlight w:val="none"/>
        </w:rPr>
        <w:t>2）</w:t>
      </w:r>
      <w:r>
        <w:rPr>
          <w:rFonts w:hint="default" w:ascii="Times New Roman" w:hAnsi="Times New Roman" w:eastAsia="宋体" w:cs="Times New Roman"/>
          <w:sz w:val="24"/>
          <w:highlight w:val="none"/>
        </w:rPr>
        <w:t>投标人资格声明函；</w:t>
      </w:r>
    </w:p>
    <w:p w14:paraId="7F101091">
      <w:pPr>
        <w:autoSpaceDE w:val="0"/>
        <w:autoSpaceDN w:val="0"/>
        <w:adjustRightInd w:val="0"/>
        <w:spacing w:line="360" w:lineRule="auto"/>
        <w:rPr>
          <w:rFonts w:hint="default" w:ascii="Times New Roman" w:hAnsi="Times New Roman" w:eastAsia="宋体" w:cs="Times New Roman"/>
          <w:kern w:val="0"/>
          <w:sz w:val="24"/>
          <w:highlight w:val="none"/>
        </w:rPr>
      </w:pPr>
      <w:r>
        <w:rPr>
          <w:rFonts w:hint="default" w:ascii="Times New Roman" w:hAnsi="Times New Roman" w:eastAsia="宋体" w:cs="Times New Roman"/>
          <w:kern w:val="0"/>
          <w:sz w:val="24"/>
          <w:highlight w:val="none"/>
        </w:rPr>
        <w:t>3）按本投标邀请的规定获取招标文件；</w:t>
      </w:r>
    </w:p>
    <w:p w14:paraId="72195714">
      <w:pPr>
        <w:autoSpaceDE w:val="0"/>
        <w:autoSpaceDN w:val="0"/>
        <w:adjustRightInd w:val="0"/>
        <w:spacing w:line="360" w:lineRule="auto"/>
        <w:rPr>
          <w:rFonts w:hint="default" w:ascii="Times New Roman" w:hAnsi="Times New Roman" w:eastAsia="宋体" w:cs="Times New Roman"/>
          <w:kern w:val="0"/>
          <w:sz w:val="24"/>
          <w:highlight w:val="none"/>
        </w:rPr>
      </w:pPr>
      <w:r>
        <w:rPr>
          <w:rFonts w:hint="default" w:ascii="Times New Roman" w:hAnsi="Times New Roman" w:eastAsia="宋体" w:cs="Times New Roman"/>
          <w:kern w:val="0"/>
          <w:sz w:val="24"/>
          <w:highlight w:val="none"/>
        </w:rPr>
        <w:t>4）投标人不得为列入失信被执行人、重大税收违法</w:t>
      </w:r>
      <w:r>
        <w:rPr>
          <w:rFonts w:hint="default" w:ascii="Times New Roman" w:hAnsi="Times New Roman" w:eastAsia="宋体" w:cs="Times New Roman"/>
          <w:kern w:val="0"/>
          <w:sz w:val="24"/>
          <w:highlight w:val="none"/>
          <w:lang w:eastAsia="zh-CN"/>
        </w:rPr>
        <w:t>失信主体</w:t>
      </w:r>
      <w:r>
        <w:rPr>
          <w:rFonts w:hint="default" w:ascii="Times New Roman" w:hAnsi="Times New Roman" w:eastAsia="宋体" w:cs="Times New Roman"/>
          <w:kern w:val="0"/>
          <w:sz w:val="24"/>
          <w:highlight w:val="none"/>
        </w:rPr>
        <w:t>名单、政府采购严重违法失信行为记录名单的投标人。</w:t>
      </w:r>
    </w:p>
    <w:p w14:paraId="0429D1B6">
      <w:pPr>
        <w:autoSpaceDE w:val="0"/>
        <w:autoSpaceDN w:val="0"/>
        <w:adjustRightInd w:val="0"/>
        <w:spacing w:line="360" w:lineRule="auto"/>
        <w:rPr>
          <w:rFonts w:hint="default" w:ascii="Times New Roman" w:hAnsi="Times New Roman" w:eastAsia="宋体" w:cs="Times New Roman"/>
          <w:b/>
          <w:bCs/>
          <w:kern w:val="0"/>
          <w:sz w:val="24"/>
          <w:szCs w:val="24"/>
          <w:highlight w:val="none"/>
          <w:lang w:val="zh-CN"/>
        </w:rPr>
      </w:pPr>
      <w:r>
        <w:rPr>
          <w:rFonts w:hint="default" w:ascii="Times New Roman" w:hAnsi="Times New Roman" w:eastAsia="宋体" w:cs="Times New Roman"/>
          <w:b/>
          <w:bCs/>
          <w:kern w:val="0"/>
          <w:sz w:val="24"/>
          <w:szCs w:val="24"/>
          <w:highlight w:val="none"/>
          <w:lang w:val="zh-CN"/>
        </w:rPr>
        <w:t>三、获取招标文件：</w:t>
      </w:r>
    </w:p>
    <w:p w14:paraId="4A3C47BF">
      <w:pPr>
        <w:autoSpaceDE w:val="0"/>
        <w:autoSpaceDN w:val="0"/>
        <w:adjustRightInd w:val="0"/>
        <w:spacing w:before="100" w:after="100"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时间：202</w:t>
      </w:r>
      <w:r>
        <w:rPr>
          <w:rFonts w:hint="default" w:ascii="Times New Roman" w:hAnsi="Times New Roman" w:eastAsia="宋体" w:cs="Times New Roman"/>
          <w:kern w:val="0"/>
          <w:sz w:val="24"/>
          <w:szCs w:val="24"/>
          <w:highlight w:val="none"/>
        </w:rPr>
        <w:t>6</w:t>
      </w:r>
      <w:r>
        <w:rPr>
          <w:rFonts w:hint="default" w:ascii="Times New Roman" w:hAnsi="Times New Roman" w:eastAsia="宋体" w:cs="Times New Roman"/>
          <w:kern w:val="0"/>
          <w:sz w:val="24"/>
          <w:szCs w:val="24"/>
          <w:highlight w:val="none"/>
          <w:lang w:val="zh-CN"/>
        </w:rPr>
        <w:t>年</w:t>
      </w:r>
      <w:r>
        <w:rPr>
          <w:rFonts w:hint="default" w:ascii="Times New Roman" w:hAnsi="Times New Roman" w:eastAsia="宋体" w:cs="Times New Roman"/>
          <w:kern w:val="0"/>
          <w:sz w:val="24"/>
          <w:szCs w:val="24"/>
          <w:highlight w:val="none"/>
          <w:lang w:val="en-US" w:eastAsia="zh-CN"/>
        </w:rPr>
        <w:t>8</w:t>
      </w:r>
      <w:r>
        <w:rPr>
          <w:rFonts w:hint="default" w:ascii="Times New Roman" w:hAnsi="Times New Roman" w:eastAsia="宋体" w:cs="Times New Roman"/>
          <w:kern w:val="0"/>
          <w:sz w:val="24"/>
          <w:szCs w:val="24"/>
          <w:highlight w:val="none"/>
          <w:lang w:val="zh-CN"/>
        </w:rPr>
        <w:t>月</w:t>
      </w:r>
      <w:r>
        <w:rPr>
          <w:rFonts w:hint="default" w:ascii="Times New Roman" w:hAnsi="Times New Roman" w:eastAsia="宋体" w:cs="Times New Roman"/>
          <w:kern w:val="0"/>
          <w:sz w:val="24"/>
          <w:szCs w:val="24"/>
          <w:highlight w:val="none"/>
        </w:rPr>
        <w:t>1</w:t>
      </w:r>
      <w:r>
        <w:rPr>
          <w:rFonts w:hint="default" w:ascii="Times New Roman" w:hAnsi="Times New Roman" w:eastAsia="宋体" w:cs="Times New Roman"/>
          <w:kern w:val="0"/>
          <w:sz w:val="24"/>
          <w:szCs w:val="24"/>
          <w:highlight w:val="none"/>
          <w:lang w:val="en-US" w:eastAsia="zh-CN"/>
        </w:rPr>
        <w:t>7</w:t>
      </w:r>
      <w:r>
        <w:rPr>
          <w:rFonts w:hint="default" w:ascii="Times New Roman" w:hAnsi="Times New Roman" w:eastAsia="宋体" w:cs="Times New Roman"/>
          <w:kern w:val="0"/>
          <w:sz w:val="24"/>
          <w:szCs w:val="24"/>
          <w:highlight w:val="none"/>
          <w:lang w:val="zh-CN"/>
        </w:rPr>
        <w:t>日 至 202</w:t>
      </w:r>
      <w:r>
        <w:rPr>
          <w:rFonts w:hint="default" w:ascii="Times New Roman" w:hAnsi="Times New Roman" w:eastAsia="宋体" w:cs="Times New Roman"/>
          <w:kern w:val="0"/>
          <w:sz w:val="24"/>
          <w:szCs w:val="24"/>
          <w:highlight w:val="none"/>
        </w:rPr>
        <w:t>6</w:t>
      </w:r>
      <w:r>
        <w:rPr>
          <w:rFonts w:hint="default" w:ascii="Times New Roman" w:hAnsi="Times New Roman" w:eastAsia="宋体" w:cs="Times New Roman"/>
          <w:kern w:val="0"/>
          <w:sz w:val="24"/>
          <w:szCs w:val="24"/>
          <w:highlight w:val="none"/>
          <w:lang w:val="zh-CN"/>
        </w:rPr>
        <w:t>年</w:t>
      </w:r>
      <w:r>
        <w:rPr>
          <w:rFonts w:hint="default" w:ascii="Times New Roman" w:hAnsi="Times New Roman" w:eastAsia="宋体" w:cs="Times New Roman"/>
          <w:kern w:val="0"/>
          <w:sz w:val="24"/>
          <w:szCs w:val="24"/>
          <w:highlight w:val="none"/>
          <w:lang w:val="en-US" w:eastAsia="zh-CN"/>
        </w:rPr>
        <w:t>8</w:t>
      </w:r>
      <w:r>
        <w:rPr>
          <w:rFonts w:hint="default" w:ascii="Times New Roman" w:hAnsi="Times New Roman" w:eastAsia="宋体" w:cs="Times New Roman"/>
          <w:kern w:val="0"/>
          <w:sz w:val="24"/>
          <w:szCs w:val="24"/>
          <w:highlight w:val="none"/>
          <w:lang w:val="zh-CN"/>
        </w:rPr>
        <w:t>月</w:t>
      </w:r>
      <w:r>
        <w:rPr>
          <w:rFonts w:hint="eastAsia" w:ascii="Times New Roman" w:hAnsi="Times New Roman" w:eastAsia="宋体" w:cs="Times New Roman"/>
          <w:color w:val="auto"/>
          <w:kern w:val="0"/>
          <w:sz w:val="24"/>
          <w:szCs w:val="24"/>
          <w:highlight w:val="none"/>
          <w:lang w:val="en-US" w:eastAsia="zh-CN"/>
        </w:rPr>
        <w:t>2</w:t>
      </w:r>
      <w:r>
        <w:rPr>
          <w:rFonts w:hint="default" w:ascii="Times New Roman" w:hAnsi="Times New Roman" w:eastAsia="宋体" w:cs="Times New Roman"/>
          <w:color w:val="auto"/>
          <w:kern w:val="0"/>
          <w:sz w:val="24"/>
          <w:szCs w:val="24"/>
          <w:highlight w:val="none"/>
          <w:lang w:val="en-US" w:eastAsia="zh-CN"/>
        </w:rPr>
        <w:t>4</w:t>
      </w:r>
      <w:r>
        <w:rPr>
          <w:rFonts w:hint="default" w:ascii="Times New Roman" w:hAnsi="Times New Roman" w:eastAsia="宋体" w:cs="Times New Roman"/>
          <w:kern w:val="0"/>
          <w:sz w:val="24"/>
          <w:szCs w:val="24"/>
          <w:highlight w:val="none"/>
          <w:lang w:val="zh-CN"/>
        </w:rPr>
        <w:t>日，每天上午9:00至1</w:t>
      </w:r>
      <w:r>
        <w:rPr>
          <w:rFonts w:hint="default" w:ascii="Times New Roman" w:hAnsi="Times New Roman" w:eastAsia="宋体" w:cs="Times New Roman"/>
          <w:kern w:val="0"/>
          <w:sz w:val="24"/>
          <w:szCs w:val="24"/>
          <w:highlight w:val="none"/>
        </w:rPr>
        <w:t>2</w:t>
      </w:r>
      <w:r>
        <w:rPr>
          <w:rFonts w:hint="default" w:ascii="Times New Roman" w:hAnsi="Times New Roman" w:eastAsia="宋体" w:cs="Times New Roman"/>
          <w:kern w:val="0"/>
          <w:sz w:val="24"/>
          <w:szCs w:val="24"/>
          <w:highlight w:val="none"/>
          <w:lang w:val="zh-CN"/>
        </w:rPr>
        <w:t>:00，下午1</w:t>
      </w:r>
      <w:r>
        <w:rPr>
          <w:rFonts w:hint="default" w:ascii="Times New Roman" w:hAnsi="Times New Roman" w:eastAsia="宋体" w:cs="Times New Roman"/>
          <w:kern w:val="0"/>
          <w:sz w:val="24"/>
          <w:szCs w:val="24"/>
          <w:highlight w:val="none"/>
        </w:rPr>
        <w:t>4</w:t>
      </w:r>
      <w:r>
        <w:rPr>
          <w:rFonts w:hint="default" w:ascii="Times New Roman" w:hAnsi="Times New Roman" w:eastAsia="宋体" w:cs="Times New Roman"/>
          <w:kern w:val="0"/>
          <w:sz w:val="24"/>
          <w:szCs w:val="24"/>
          <w:highlight w:val="none"/>
          <w:lang w:val="zh-CN"/>
        </w:rPr>
        <w:t>:00至17:00。（北京时间，法定节假日除外）</w:t>
      </w:r>
    </w:p>
    <w:p w14:paraId="283ED872">
      <w:pPr>
        <w:autoSpaceDE w:val="0"/>
        <w:autoSpaceDN w:val="0"/>
        <w:adjustRightInd w:val="0"/>
        <w:spacing w:before="100" w:after="100"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地点：https://www.oitccas.com。</w:t>
      </w:r>
    </w:p>
    <w:p w14:paraId="001ABE14">
      <w:pPr>
        <w:autoSpaceDE w:val="0"/>
        <w:autoSpaceDN w:val="0"/>
        <w:adjustRightInd w:val="0"/>
        <w:spacing w:before="100" w:after="100"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lang w:val="zh-CN"/>
        </w:rPr>
        <w:t>招标文件售价：￥600.00元，本公告包含的招标文件售价总和。</w:t>
      </w:r>
    </w:p>
    <w:p w14:paraId="654E3387">
      <w:pPr>
        <w:autoSpaceDE w:val="0"/>
        <w:autoSpaceDN w:val="0"/>
        <w:adjustRightInd w:val="0"/>
        <w:spacing w:before="100" w:after="100"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bCs/>
          <w:kern w:val="0"/>
          <w:sz w:val="24"/>
          <w:szCs w:val="24"/>
          <w:highlight w:val="none"/>
          <w:lang w:val="zh-CN"/>
        </w:rPr>
        <w:t>招标文件</w:t>
      </w:r>
      <w:r>
        <w:rPr>
          <w:rFonts w:hint="default" w:ascii="Times New Roman" w:hAnsi="Times New Roman" w:eastAsia="宋体" w:cs="Times New Roman"/>
          <w:kern w:val="0"/>
          <w:sz w:val="24"/>
          <w:szCs w:val="24"/>
          <w:highlight w:val="none"/>
          <w:lang w:val="zh-CN"/>
        </w:rPr>
        <w:t>获取方式</w:t>
      </w:r>
      <w:r>
        <w:rPr>
          <w:rFonts w:hint="default" w:ascii="Times New Roman" w:hAnsi="Times New Roman" w:eastAsia="宋体" w:cs="Times New Roman"/>
          <w:kern w:val="0"/>
          <w:sz w:val="24"/>
          <w:szCs w:val="24"/>
          <w:highlight w:val="none"/>
        </w:rPr>
        <w:t>：</w:t>
      </w:r>
      <w:r>
        <w:rPr>
          <w:rFonts w:hint="default" w:ascii="Times New Roman" w:hAnsi="Times New Roman" w:eastAsia="宋体" w:cs="Times New Roman"/>
          <w:kern w:val="0"/>
          <w:sz w:val="24"/>
          <w:szCs w:val="24"/>
          <w:highlight w:val="none"/>
          <w:lang w:val="zh-CN"/>
        </w:rPr>
        <w:t>登录</w:t>
      </w:r>
      <w:r>
        <w:rPr>
          <w:rFonts w:hint="default" w:ascii="Times New Roman" w:hAnsi="Times New Roman" w:eastAsia="宋体" w:cs="Times New Roman"/>
          <w:kern w:val="0"/>
          <w:sz w:val="24"/>
          <w:szCs w:val="24"/>
          <w:highlight w:val="none"/>
        </w:rPr>
        <w:t>https://www.oitccas.com</w:t>
      </w:r>
      <w:r>
        <w:rPr>
          <w:rFonts w:hint="default" w:ascii="Times New Roman" w:hAnsi="Times New Roman" w:eastAsia="宋体" w:cs="Times New Roman"/>
          <w:kern w:val="0"/>
          <w:sz w:val="24"/>
          <w:szCs w:val="24"/>
          <w:highlight w:val="none"/>
          <w:lang w:val="zh-CN"/>
        </w:rPr>
        <w:t>注册并购买。</w:t>
      </w:r>
    </w:p>
    <w:p w14:paraId="376E8959">
      <w:pPr>
        <w:autoSpaceDE w:val="0"/>
        <w:autoSpaceDN w:val="0"/>
        <w:adjustRightInd w:val="0"/>
        <w:spacing w:before="100" w:after="100" w:line="360" w:lineRule="auto"/>
        <w:rPr>
          <w:rFonts w:hint="default" w:ascii="Times New Roman" w:hAnsi="Times New Roman" w:eastAsia="宋体" w:cs="Times New Roman"/>
          <w:kern w:val="0"/>
          <w:sz w:val="24"/>
          <w:szCs w:val="24"/>
          <w:highlight w:val="none"/>
        </w:rPr>
      </w:pPr>
    </w:p>
    <w:p w14:paraId="08FAAAB5">
      <w:pPr>
        <w:autoSpaceDE w:val="0"/>
        <w:autoSpaceDN w:val="0"/>
        <w:adjustRightInd w:val="0"/>
        <w:spacing w:line="360" w:lineRule="auto"/>
        <w:rPr>
          <w:rFonts w:hint="default" w:ascii="Times New Roman" w:hAnsi="Times New Roman" w:eastAsia="宋体" w:cs="Times New Roman"/>
          <w:b/>
          <w:bCs/>
          <w:kern w:val="0"/>
          <w:sz w:val="24"/>
          <w:szCs w:val="24"/>
          <w:highlight w:val="none"/>
          <w:lang w:val="zh-CN"/>
        </w:rPr>
      </w:pPr>
      <w:r>
        <w:rPr>
          <w:rFonts w:hint="default" w:ascii="Times New Roman" w:hAnsi="Times New Roman" w:eastAsia="宋体" w:cs="Times New Roman"/>
          <w:b/>
          <w:bCs/>
          <w:kern w:val="0"/>
          <w:sz w:val="24"/>
          <w:szCs w:val="24"/>
          <w:highlight w:val="none"/>
          <w:lang w:val="en-US" w:eastAsia="zh-CN"/>
        </w:rPr>
        <w:t>四</w:t>
      </w:r>
      <w:r>
        <w:rPr>
          <w:rFonts w:hint="default" w:ascii="Times New Roman" w:hAnsi="Times New Roman" w:eastAsia="宋体" w:cs="Times New Roman"/>
          <w:b/>
          <w:bCs/>
          <w:kern w:val="0"/>
          <w:sz w:val="24"/>
          <w:szCs w:val="24"/>
          <w:highlight w:val="none"/>
          <w:lang w:val="zh-CN"/>
        </w:rPr>
        <w:t>、提交投标文件截止时间、开标时间和地点</w:t>
      </w:r>
    </w:p>
    <w:p w14:paraId="46DED459">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lang w:val="zh-CN"/>
        </w:rPr>
        <w:t>提交投标文件截止时间：20</w:t>
      </w:r>
      <w:r>
        <w:rPr>
          <w:rFonts w:hint="default" w:ascii="Times New Roman" w:hAnsi="Times New Roman" w:eastAsia="宋体" w:cs="Times New Roman"/>
          <w:kern w:val="0"/>
          <w:sz w:val="24"/>
          <w:szCs w:val="24"/>
          <w:highlight w:val="none"/>
        </w:rPr>
        <w:t>26</w:t>
      </w:r>
      <w:r>
        <w:rPr>
          <w:rFonts w:hint="default" w:ascii="Times New Roman" w:hAnsi="Times New Roman" w:eastAsia="宋体" w:cs="Times New Roman"/>
          <w:kern w:val="0"/>
          <w:sz w:val="24"/>
          <w:szCs w:val="24"/>
          <w:highlight w:val="none"/>
          <w:lang w:val="zh-CN"/>
        </w:rPr>
        <w:t>年</w:t>
      </w:r>
      <w:r>
        <w:rPr>
          <w:rFonts w:hint="default" w:ascii="Times New Roman" w:hAnsi="Times New Roman" w:eastAsia="宋体" w:cs="Times New Roman"/>
          <w:kern w:val="0"/>
          <w:sz w:val="24"/>
          <w:szCs w:val="24"/>
          <w:highlight w:val="none"/>
        </w:rPr>
        <w:t>9</w:t>
      </w:r>
      <w:r>
        <w:rPr>
          <w:rFonts w:hint="default" w:ascii="Times New Roman" w:hAnsi="Times New Roman" w:eastAsia="宋体" w:cs="Times New Roman"/>
          <w:kern w:val="0"/>
          <w:sz w:val="24"/>
          <w:szCs w:val="24"/>
          <w:highlight w:val="none"/>
          <w:lang w:val="zh-CN"/>
        </w:rPr>
        <w:t>月</w:t>
      </w:r>
      <w:r>
        <w:rPr>
          <w:rFonts w:hint="default" w:ascii="Times New Roman" w:hAnsi="Times New Roman" w:eastAsia="宋体" w:cs="Times New Roman"/>
          <w:kern w:val="0"/>
          <w:sz w:val="24"/>
          <w:szCs w:val="24"/>
          <w:highlight w:val="none"/>
          <w:lang w:val="en-US" w:eastAsia="zh-CN"/>
        </w:rPr>
        <w:t>7</w:t>
      </w:r>
      <w:r>
        <w:rPr>
          <w:rFonts w:hint="default" w:ascii="Times New Roman" w:hAnsi="Times New Roman" w:eastAsia="宋体" w:cs="Times New Roman"/>
          <w:kern w:val="0"/>
          <w:sz w:val="24"/>
          <w:szCs w:val="24"/>
          <w:highlight w:val="none"/>
          <w:lang w:val="zh-CN"/>
        </w:rPr>
        <w:t>日</w:t>
      </w:r>
      <w:r>
        <w:rPr>
          <w:rFonts w:hint="default" w:ascii="Times New Roman" w:hAnsi="Times New Roman" w:eastAsia="宋体" w:cs="Times New Roman"/>
          <w:kern w:val="0"/>
          <w:sz w:val="24"/>
          <w:szCs w:val="24"/>
          <w:highlight w:val="none"/>
          <w:lang w:val="en-US" w:eastAsia="zh-CN"/>
        </w:rPr>
        <w:t>14</w:t>
      </w:r>
      <w:r>
        <w:rPr>
          <w:rFonts w:hint="default" w:ascii="Times New Roman" w:hAnsi="Times New Roman" w:eastAsia="宋体" w:cs="Times New Roman"/>
          <w:kern w:val="0"/>
          <w:sz w:val="24"/>
          <w:szCs w:val="24"/>
          <w:highlight w:val="none"/>
          <w:lang w:val="zh-CN"/>
        </w:rPr>
        <w:t>:</w:t>
      </w:r>
      <w:r>
        <w:rPr>
          <w:rFonts w:hint="default" w:ascii="Times New Roman" w:hAnsi="Times New Roman" w:eastAsia="宋体" w:cs="Times New Roman"/>
          <w:kern w:val="0"/>
          <w:sz w:val="24"/>
          <w:szCs w:val="24"/>
          <w:highlight w:val="none"/>
        </w:rPr>
        <w:t>30</w:t>
      </w:r>
      <w:r>
        <w:rPr>
          <w:rFonts w:hint="default" w:ascii="Times New Roman" w:hAnsi="Times New Roman" w:eastAsia="宋体" w:cs="Times New Roman"/>
          <w:kern w:val="0"/>
          <w:sz w:val="24"/>
          <w:szCs w:val="24"/>
          <w:highlight w:val="none"/>
          <w:lang w:val="zh-CN"/>
        </w:rPr>
        <w:t>（北京时间）</w:t>
      </w:r>
    </w:p>
    <w:p w14:paraId="16D99EEA">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开标时间：20</w:t>
      </w:r>
      <w:r>
        <w:rPr>
          <w:rFonts w:hint="default" w:ascii="Times New Roman" w:hAnsi="Times New Roman" w:eastAsia="宋体" w:cs="Times New Roman"/>
          <w:kern w:val="0"/>
          <w:sz w:val="24"/>
          <w:szCs w:val="24"/>
          <w:highlight w:val="none"/>
        </w:rPr>
        <w:t>26</w:t>
      </w:r>
      <w:r>
        <w:rPr>
          <w:rFonts w:hint="default" w:ascii="Times New Roman" w:hAnsi="Times New Roman" w:eastAsia="宋体" w:cs="Times New Roman"/>
          <w:kern w:val="0"/>
          <w:sz w:val="24"/>
          <w:szCs w:val="24"/>
          <w:highlight w:val="none"/>
          <w:lang w:val="zh-CN"/>
        </w:rPr>
        <w:t>年</w:t>
      </w:r>
      <w:r>
        <w:rPr>
          <w:rFonts w:hint="default" w:ascii="Times New Roman" w:hAnsi="Times New Roman" w:eastAsia="宋体" w:cs="Times New Roman"/>
          <w:kern w:val="0"/>
          <w:sz w:val="24"/>
          <w:szCs w:val="24"/>
          <w:highlight w:val="none"/>
        </w:rPr>
        <w:t>9</w:t>
      </w:r>
      <w:r>
        <w:rPr>
          <w:rFonts w:hint="default" w:ascii="Times New Roman" w:hAnsi="Times New Roman" w:eastAsia="宋体" w:cs="Times New Roman"/>
          <w:kern w:val="0"/>
          <w:sz w:val="24"/>
          <w:szCs w:val="24"/>
          <w:highlight w:val="none"/>
          <w:lang w:val="zh-CN"/>
        </w:rPr>
        <w:t>月</w:t>
      </w:r>
      <w:r>
        <w:rPr>
          <w:rFonts w:hint="default" w:ascii="Times New Roman" w:hAnsi="Times New Roman" w:eastAsia="宋体" w:cs="Times New Roman"/>
          <w:kern w:val="0"/>
          <w:sz w:val="24"/>
          <w:szCs w:val="24"/>
          <w:highlight w:val="none"/>
          <w:lang w:val="en-US" w:eastAsia="zh-CN"/>
        </w:rPr>
        <w:t>7</w:t>
      </w:r>
      <w:r>
        <w:rPr>
          <w:rFonts w:hint="default" w:ascii="Times New Roman" w:hAnsi="Times New Roman" w:eastAsia="宋体" w:cs="Times New Roman"/>
          <w:kern w:val="0"/>
          <w:sz w:val="24"/>
          <w:szCs w:val="24"/>
          <w:highlight w:val="none"/>
          <w:lang w:val="zh-CN"/>
        </w:rPr>
        <w:t>日</w:t>
      </w:r>
      <w:r>
        <w:rPr>
          <w:rFonts w:hint="default" w:ascii="Times New Roman" w:hAnsi="Times New Roman" w:eastAsia="宋体" w:cs="Times New Roman"/>
          <w:kern w:val="0"/>
          <w:sz w:val="24"/>
          <w:szCs w:val="24"/>
          <w:highlight w:val="none"/>
          <w:lang w:val="en-US" w:eastAsia="zh-CN"/>
        </w:rPr>
        <w:t>14</w:t>
      </w:r>
      <w:r>
        <w:rPr>
          <w:rFonts w:hint="default" w:ascii="Times New Roman" w:hAnsi="Times New Roman" w:eastAsia="宋体" w:cs="Times New Roman"/>
          <w:kern w:val="0"/>
          <w:sz w:val="24"/>
          <w:szCs w:val="24"/>
          <w:highlight w:val="none"/>
          <w:lang w:val="zh-CN"/>
        </w:rPr>
        <w:t>:</w:t>
      </w:r>
      <w:r>
        <w:rPr>
          <w:rFonts w:hint="default" w:ascii="Times New Roman" w:hAnsi="Times New Roman" w:eastAsia="宋体" w:cs="Times New Roman"/>
          <w:kern w:val="0"/>
          <w:sz w:val="24"/>
          <w:szCs w:val="24"/>
          <w:highlight w:val="none"/>
        </w:rPr>
        <w:t>30</w:t>
      </w:r>
      <w:r>
        <w:rPr>
          <w:rFonts w:hint="default" w:ascii="Times New Roman" w:hAnsi="Times New Roman" w:eastAsia="宋体" w:cs="Times New Roman"/>
          <w:kern w:val="0"/>
          <w:sz w:val="24"/>
          <w:szCs w:val="24"/>
          <w:highlight w:val="none"/>
          <w:lang w:val="zh-CN"/>
        </w:rPr>
        <w:t>（北京时间）</w:t>
      </w:r>
    </w:p>
    <w:p w14:paraId="445B7DD5">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开标地点：广州市越秀区先烈中路81号共富金农科创园76栋之二308</w:t>
      </w:r>
    </w:p>
    <w:p w14:paraId="6AE293A6">
      <w:pPr>
        <w:pStyle w:val="27"/>
        <w:ind w:firstLine="0" w:firstLineChars="0"/>
        <w:jc w:val="both"/>
        <w:rPr>
          <w:rFonts w:hint="default" w:ascii="Times New Roman" w:hAnsi="Times New Roman" w:eastAsia="宋体" w:cs="Times New Roman"/>
          <w:b/>
          <w:bCs/>
          <w:kern w:val="0"/>
          <w:sz w:val="24"/>
          <w:szCs w:val="24"/>
          <w:highlight w:val="none"/>
          <w:lang w:val="zh-CN" w:eastAsia="zh-CN"/>
        </w:rPr>
      </w:pPr>
    </w:p>
    <w:p w14:paraId="7976DBC5">
      <w:pPr>
        <w:pStyle w:val="27"/>
        <w:ind w:firstLine="0" w:firstLineChars="0"/>
        <w:jc w:val="both"/>
        <w:rPr>
          <w:rFonts w:hint="default" w:ascii="Times New Roman" w:hAnsi="Times New Roman" w:eastAsia="宋体" w:cs="Times New Roman"/>
          <w:b/>
          <w:bCs/>
          <w:kern w:val="0"/>
          <w:sz w:val="24"/>
          <w:szCs w:val="24"/>
          <w:highlight w:val="none"/>
          <w:lang w:val="zh-CN" w:eastAsia="zh-CN"/>
        </w:rPr>
      </w:pPr>
      <w:r>
        <w:rPr>
          <w:rFonts w:hint="default" w:ascii="Times New Roman" w:hAnsi="Times New Roman" w:eastAsia="宋体" w:cs="Times New Roman"/>
          <w:b/>
          <w:bCs/>
          <w:kern w:val="0"/>
          <w:sz w:val="24"/>
          <w:szCs w:val="24"/>
          <w:highlight w:val="none"/>
          <w:lang w:val="zh-CN" w:eastAsia="zh-CN"/>
        </w:rPr>
        <w:t>五、公告期限</w:t>
      </w:r>
    </w:p>
    <w:p w14:paraId="6ABD32AD">
      <w:pPr>
        <w:autoSpaceDE w:val="0"/>
        <w:autoSpaceDN w:val="0"/>
        <w:adjustRightInd w:val="0"/>
        <w:spacing w:line="360" w:lineRule="auto"/>
        <w:rPr>
          <w:rFonts w:hint="default" w:ascii="Times New Roman" w:hAnsi="Times New Roman" w:eastAsia="宋体" w:cs="Times New Roman"/>
          <w:b w:val="0"/>
          <w:bCs w:val="0"/>
          <w:kern w:val="0"/>
          <w:sz w:val="24"/>
          <w:szCs w:val="24"/>
          <w:highlight w:val="none"/>
          <w:lang w:val="zh-CN"/>
        </w:rPr>
      </w:pPr>
      <w:r>
        <w:rPr>
          <w:rFonts w:hint="default" w:ascii="Times New Roman" w:hAnsi="Times New Roman" w:eastAsia="宋体" w:cs="Times New Roman"/>
          <w:b w:val="0"/>
          <w:bCs w:val="0"/>
          <w:i w:val="0"/>
          <w:iCs w:val="0"/>
          <w:caps w:val="0"/>
          <w:color w:val="auto"/>
          <w:spacing w:val="0"/>
          <w:kern w:val="0"/>
          <w:sz w:val="24"/>
          <w:szCs w:val="24"/>
          <w:highlight w:val="none"/>
          <w:shd w:val="clear" w:fill="auto"/>
          <w:lang w:val="zh-CN"/>
        </w:rPr>
        <w:t>自本公告发布之日起5个工作日。</w:t>
      </w:r>
    </w:p>
    <w:p w14:paraId="0EADB92E">
      <w:pPr>
        <w:autoSpaceDE w:val="0"/>
        <w:autoSpaceDN w:val="0"/>
        <w:adjustRightInd w:val="0"/>
        <w:spacing w:line="360" w:lineRule="auto"/>
        <w:rPr>
          <w:rFonts w:hint="default" w:ascii="Times New Roman" w:hAnsi="Times New Roman" w:eastAsia="宋体" w:cs="Times New Roman"/>
          <w:b/>
          <w:bCs/>
          <w:kern w:val="0"/>
          <w:sz w:val="24"/>
          <w:szCs w:val="24"/>
          <w:highlight w:val="none"/>
          <w:lang w:val="zh-CN"/>
        </w:rPr>
      </w:pPr>
    </w:p>
    <w:p w14:paraId="2B76417C">
      <w:pPr>
        <w:autoSpaceDE w:val="0"/>
        <w:autoSpaceDN w:val="0"/>
        <w:adjustRightInd w:val="0"/>
        <w:spacing w:line="360" w:lineRule="auto"/>
        <w:rPr>
          <w:rFonts w:hint="default" w:ascii="Times New Roman" w:hAnsi="Times New Roman" w:eastAsia="宋体" w:cs="Times New Roman"/>
          <w:b/>
          <w:bCs/>
          <w:kern w:val="0"/>
          <w:sz w:val="24"/>
          <w:szCs w:val="24"/>
          <w:highlight w:val="none"/>
        </w:rPr>
      </w:pPr>
      <w:r>
        <w:rPr>
          <w:rFonts w:hint="default" w:ascii="Times New Roman" w:hAnsi="Times New Roman" w:eastAsia="宋体" w:cs="Times New Roman"/>
          <w:b/>
          <w:bCs/>
          <w:kern w:val="0"/>
          <w:sz w:val="24"/>
          <w:szCs w:val="24"/>
          <w:highlight w:val="none"/>
          <w:lang w:val="zh-CN"/>
        </w:rPr>
        <w:t>六、其它补充事宜</w:t>
      </w:r>
    </w:p>
    <w:p w14:paraId="3F962F9C">
      <w:pPr>
        <w:autoSpaceDE w:val="0"/>
        <w:autoSpaceDN w:val="0"/>
        <w:adjustRightInd w:val="0"/>
        <w:spacing w:line="360" w:lineRule="auto"/>
        <w:rPr>
          <w:rFonts w:hint="default" w:ascii="Times New Roman" w:hAnsi="Times New Roman" w:eastAsia="宋体" w:cs="Times New Roman"/>
          <w:b/>
          <w:bCs/>
          <w:kern w:val="0"/>
          <w:sz w:val="24"/>
          <w:highlight w:val="none"/>
        </w:rPr>
      </w:pPr>
      <w:r>
        <w:rPr>
          <w:rFonts w:hint="default" w:ascii="Times New Roman" w:hAnsi="Times New Roman" w:eastAsia="宋体" w:cs="Times New Roman"/>
          <w:kern w:val="0"/>
          <w:sz w:val="24"/>
          <w:highlight w:val="none"/>
        </w:rPr>
        <w:t>1、招标文件采用网上电子版本发售和纸质招标文件同时发售方式:</w:t>
      </w:r>
    </w:p>
    <w:p w14:paraId="09741B31">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highlight w:val="none"/>
        </w:rPr>
        <w:t>（1）有兴趣的投标人可登录“东方招标”平台（https://www.oitccas.com），点击“获取采购文件”链接图标，或直接输入访问地址（https://www.oitccas.com/pages/sign_in.html）完成投标人注册手续（免费），然后登录系统寻找有意向参与的项目，已注册的投标人无需重新注册。招标文件售价：每包人民币600元</w:t>
      </w:r>
      <w:r>
        <w:rPr>
          <w:rFonts w:hint="default" w:ascii="Times New Roman" w:hAnsi="Times New Roman" w:eastAsia="宋体" w:cs="Times New Roman"/>
          <w:kern w:val="0"/>
          <w:sz w:val="24"/>
          <w:highlight w:val="none"/>
          <w:lang w:eastAsia="zh-CN"/>
        </w:rPr>
        <w:t>，</w:t>
      </w:r>
      <w:r>
        <w:rPr>
          <w:rFonts w:hint="default" w:ascii="Times New Roman" w:hAnsi="Times New Roman" w:eastAsia="宋体" w:cs="Times New Roman"/>
          <w:kern w:val="0"/>
          <w:sz w:val="24"/>
          <w:highlight w:val="none"/>
          <w:lang w:val="en-US" w:eastAsia="zh-CN"/>
        </w:rPr>
        <w:t>售后不退</w:t>
      </w:r>
      <w:r>
        <w:rPr>
          <w:rFonts w:hint="default" w:ascii="Times New Roman" w:hAnsi="Times New Roman" w:eastAsia="宋体" w:cs="Times New Roman"/>
          <w:kern w:val="0"/>
          <w:sz w:val="24"/>
          <w:highlight w:val="none"/>
        </w:rPr>
        <w:t>。如决定购买招标文件，请完成标书款缴费及标书下载手续,纸质文件可联系采购代理机构联系人通过快递或现场领取获取。电子版招标文件与纸质招标文件具有同等的法律效力。</w:t>
      </w:r>
    </w:p>
    <w:p w14:paraId="1AD99331">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（2）投标人可以电汇的形式支付标书款（应以公司名义汇款至下述指定账号）。</w:t>
      </w:r>
    </w:p>
    <w:p w14:paraId="478C12F9">
      <w:pPr>
        <w:autoSpaceDE w:val="0"/>
        <w:autoSpaceDN w:val="0"/>
        <w:adjustRightInd w:val="0"/>
        <w:spacing w:line="360" w:lineRule="auto"/>
        <w:rPr>
          <w:rFonts w:hint="default" w:ascii="Times New Roman" w:hAnsi="Times New Roman" w:eastAsia="宋体" w:cs="Times New Roman"/>
          <w:b/>
          <w:bCs/>
          <w:kern w:val="0"/>
          <w:sz w:val="24"/>
          <w:szCs w:val="24"/>
          <w:highlight w:val="none"/>
        </w:rPr>
      </w:pPr>
      <w:r>
        <w:rPr>
          <w:rFonts w:hint="default" w:ascii="Times New Roman" w:hAnsi="Times New Roman" w:eastAsia="宋体" w:cs="Times New Roman"/>
          <w:kern w:val="0"/>
          <w:sz w:val="24"/>
          <w:szCs w:val="24"/>
          <w:highlight w:val="none"/>
        </w:rPr>
        <w:t>开户名称：东方国际招标有限责任公司</w:t>
      </w:r>
    </w:p>
    <w:p w14:paraId="66AA0E8D">
      <w:pPr>
        <w:autoSpaceDE w:val="0"/>
        <w:autoSpaceDN w:val="0"/>
        <w:adjustRightInd w:val="0"/>
        <w:spacing w:line="360" w:lineRule="auto"/>
        <w:rPr>
          <w:rFonts w:hint="default" w:ascii="Times New Roman" w:hAnsi="Times New Roman" w:eastAsia="宋体" w:cs="Times New Roman"/>
          <w:b/>
          <w:bCs/>
          <w:kern w:val="0"/>
          <w:sz w:val="24"/>
          <w:szCs w:val="24"/>
          <w:highlight w:val="none"/>
        </w:rPr>
      </w:pPr>
      <w:r>
        <w:rPr>
          <w:rFonts w:hint="default" w:ascii="Times New Roman" w:hAnsi="Times New Roman" w:eastAsia="宋体" w:cs="Times New Roman"/>
          <w:kern w:val="0"/>
          <w:sz w:val="24"/>
          <w:szCs w:val="24"/>
          <w:highlight w:val="none"/>
        </w:rPr>
        <w:t>开户行：招商银行北京西三环支行</w:t>
      </w:r>
    </w:p>
    <w:p w14:paraId="364194D9">
      <w:pPr>
        <w:autoSpaceDE w:val="0"/>
        <w:autoSpaceDN w:val="0"/>
        <w:adjustRightInd w:val="0"/>
        <w:spacing w:line="360" w:lineRule="auto"/>
        <w:rPr>
          <w:rFonts w:hint="default" w:ascii="Times New Roman" w:hAnsi="Times New Roman" w:eastAsia="宋体" w:cs="Times New Roman"/>
          <w:b/>
          <w:bCs/>
          <w:kern w:val="0"/>
          <w:sz w:val="24"/>
          <w:szCs w:val="24"/>
          <w:highlight w:val="none"/>
        </w:rPr>
      </w:pPr>
      <w:r>
        <w:rPr>
          <w:rFonts w:hint="default" w:ascii="Times New Roman" w:hAnsi="Times New Roman" w:eastAsia="宋体" w:cs="Times New Roman"/>
          <w:kern w:val="0"/>
          <w:sz w:val="24"/>
          <w:szCs w:val="24"/>
          <w:highlight w:val="none"/>
        </w:rPr>
        <w:t>账号：862081657710001</w:t>
      </w:r>
    </w:p>
    <w:p w14:paraId="7990D82B">
      <w:pPr>
        <w:autoSpaceDE w:val="0"/>
        <w:autoSpaceDN w:val="0"/>
        <w:adjustRightInd w:val="0"/>
        <w:spacing w:line="360" w:lineRule="auto"/>
        <w:rPr>
          <w:rFonts w:hint="default" w:ascii="Times New Roman" w:hAnsi="Times New Roman" w:eastAsia="宋体" w:cs="Times New Roman"/>
          <w:b/>
          <w:bCs/>
          <w:kern w:val="0"/>
          <w:sz w:val="24"/>
          <w:szCs w:val="24"/>
          <w:highlight w:val="none"/>
        </w:rPr>
      </w:pPr>
      <w:r>
        <w:rPr>
          <w:rFonts w:hint="default" w:ascii="Times New Roman" w:hAnsi="Times New Roman" w:eastAsia="宋体" w:cs="Times New Roman"/>
          <w:sz w:val="24"/>
          <w:szCs w:val="24"/>
          <w:highlight w:val="none"/>
        </w:rPr>
        <w:t>（3）投标人应在“东方招标”平台上填写开票信息。在投标人足额缴纳标书款后，标书款电子发票将发送至投标人在“东方招标”平台上登记的电子邮箱，投标人自行下载打印。</w:t>
      </w:r>
    </w:p>
    <w:p w14:paraId="13D6C1F7">
      <w:pPr>
        <w:autoSpaceDE w:val="0"/>
        <w:autoSpaceDN w:val="0"/>
        <w:adjustRightInd w:val="0"/>
        <w:spacing w:line="360" w:lineRule="auto"/>
        <w:rPr>
          <w:rFonts w:hint="default" w:ascii="Times New Roman" w:hAnsi="Times New Roman" w:eastAsia="宋体" w:cs="Times New Roman"/>
          <w:b/>
          <w:bCs/>
          <w:kern w:val="0"/>
          <w:sz w:val="24"/>
          <w:szCs w:val="24"/>
          <w:highlight w:val="none"/>
        </w:rPr>
      </w:pPr>
      <w:r>
        <w:rPr>
          <w:rFonts w:hint="default" w:ascii="Times New Roman" w:hAnsi="Times New Roman" w:eastAsia="宋体" w:cs="Times New Roman"/>
          <w:kern w:val="0"/>
          <w:sz w:val="24"/>
          <w:szCs w:val="24"/>
          <w:highlight w:val="none"/>
        </w:rPr>
        <w:t>2、</w:t>
      </w:r>
      <w:r>
        <w:rPr>
          <w:rFonts w:hint="default" w:ascii="Times New Roman" w:hAnsi="Times New Roman" w:eastAsia="宋体" w:cs="Times New Roman"/>
          <w:sz w:val="24"/>
          <w:highlight w:val="none"/>
        </w:rPr>
        <w:t>以电汇方式购买招标文件和递交投标保证金的，须在电汇凭据附言栏中写明招标编号（如未标明招标编号</w:t>
      </w:r>
      <w:r>
        <w:rPr>
          <w:rFonts w:hint="default" w:ascii="Times New Roman" w:hAnsi="Times New Roman" w:eastAsia="宋体" w:cs="Times New Roman"/>
          <w:sz w:val="24"/>
          <w:highlight w:val="none"/>
          <w:lang w:eastAsia="zh-CN"/>
        </w:rPr>
        <w:t>OITC-G260600298</w:t>
      </w:r>
      <w:r>
        <w:rPr>
          <w:rFonts w:hint="default" w:ascii="Times New Roman" w:hAnsi="Times New Roman" w:eastAsia="宋体" w:cs="Times New Roman"/>
          <w:sz w:val="24"/>
          <w:highlight w:val="none"/>
        </w:rPr>
        <w:t>第1包</w:t>
      </w:r>
      <w:r>
        <w:rPr>
          <w:rFonts w:hint="default" w:ascii="Times New Roman" w:hAnsi="Times New Roman" w:eastAsia="宋体" w:cs="Times New Roman"/>
          <w:sz w:val="24"/>
          <w:highlight w:val="none"/>
          <w:lang w:val="en-US" w:eastAsia="zh-CN"/>
        </w:rPr>
        <w:t>标书款</w:t>
      </w:r>
      <w:r>
        <w:rPr>
          <w:rFonts w:hint="default" w:ascii="Times New Roman" w:hAnsi="Times New Roman" w:eastAsia="宋体" w:cs="Times New Roman"/>
          <w:sz w:val="24"/>
          <w:highlight w:val="none"/>
        </w:rPr>
        <w:t>或</w:t>
      </w:r>
      <w:r>
        <w:rPr>
          <w:rFonts w:hint="default" w:ascii="Times New Roman" w:hAnsi="Times New Roman" w:eastAsia="宋体" w:cs="Times New Roman"/>
          <w:sz w:val="24"/>
          <w:highlight w:val="none"/>
          <w:lang w:eastAsia="zh-CN"/>
        </w:rPr>
        <w:t>OITC-G260600298</w:t>
      </w:r>
      <w:r>
        <w:rPr>
          <w:rFonts w:hint="default" w:ascii="Times New Roman" w:hAnsi="Times New Roman" w:eastAsia="宋体" w:cs="Times New Roman"/>
          <w:sz w:val="24"/>
          <w:highlight w:val="none"/>
        </w:rPr>
        <w:t>第1包投标保证金，有可能导致投标无效）</w:t>
      </w:r>
      <w:r>
        <w:rPr>
          <w:rFonts w:hint="default" w:ascii="Times New Roman" w:hAnsi="Times New Roman" w:eastAsia="宋体" w:cs="Times New Roman"/>
          <w:kern w:val="0"/>
          <w:sz w:val="24"/>
          <w:szCs w:val="24"/>
          <w:highlight w:val="none"/>
        </w:rPr>
        <w:t>。</w:t>
      </w:r>
    </w:p>
    <w:p w14:paraId="1A4610E4">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3、公告期限：自本公告发布之日起5个工作日。</w:t>
      </w:r>
    </w:p>
    <w:p w14:paraId="1195B30B">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4、采购项目需要落实的政府采购政策:</w:t>
      </w:r>
    </w:p>
    <w:p w14:paraId="48831E41">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（1）政府采购促进中小企业发展</w:t>
      </w:r>
    </w:p>
    <w:p w14:paraId="5B0005A7">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（2）政府采购支持监狱企业发展</w:t>
      </w:r>
    </w:p>
    <w:p w14:paraId="354FBDDD">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（3）政府采购促进残疾人就业</w:t>
      </w:r>
    </w:p>
    <w:p w14:paraId="52A3E6B9">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（4）政府采购鼓励采购节能环保产品</w:t>
      </w:r>
    </w:p>
    <w:p w14:paraId="61471A26">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（5）扶持不发达地区和少数民族地区</w:t>
      </w:r>
    </w:p>
    <w:p w14:paraId="4C734969">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（6）政府采购支持本国产品</w:t>
      </w:r>
    </w:p>
    <w:p w14:paraId="169E91E8">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b/>
          <w:bCs/>
          <w:kern w:val="0"/>
          <w:sz w:val="24"/>
          <w:szCs w:val="24"/>
          <w:highlight w:val="none"/>
          <w:lang w:val="zh-CN"/>
        </w:rPr>
        <w:t>七、对本次招标提出询问，请按以下方式联系</w:t>
      </w:r>
      <w:r>
        <w:rPr>
          <w:rFonts w:hint="default" w:ascii="Times New Roman" w:hAnsi="Times New Roman" w:eastAsia="宋体" w:cs="Times New Roman"/>
          <w:kern w:val="0"/>
          <w:sz w:val="24"/>
          <w:szCs w:val="24"/>
          <w:highlight w:val="none"/>
          <w:lang w:val="zh-CN"/>
        </w:rPr>
        <w:t>：</w:t>
      </w:r>
    </w:p>
    <w:p w14:paraId="6FE4BB50">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1、采购人（采购人）信息：</w:t>
      </w:r>
    </w:p>
    <w:p w14:paraId="7556A4FA">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名称：ZYCGR22011901</w:t>
      </w:r>
    </w:p>
    <w:p w14:paraId="687A7E60">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lang w:val="zh-CN"/>
        </w:rPr>
        <w:t>地址：</w:t>
      </w:r>
      <w:r>
        <w:rPr>
          <w:rFonts w:hint="default" w:ascii="Times New Roman" w:hAnsi="Times New Roman" w:eastAsia="宋体" w:cs="Times New Roman"/>
          <w:kern w:val="0"/>
          <w:sz w:val="24"/>
          <w:highlight w:val="none"/>
        </w:rPr>
        <w:t>广东省广州市海珠区广州国际生物岛星岛环北路9号</w:t>
      </w:r>
    </w:p>
    <w:p w14:paraId="58CC67B0">
      <w:pPr>
        <w:autoSpaceDE w:val="0"/>
        <w:autoSpaceDN w:val="0"/>
        <w:adjustRightInd w:val="0"/>
        <w:spacing w:line="360" w:lineRule="auto"/>
        <w:rPr>
          <w:rFonts w:hint="default" w:ascii="Times New Roman" w:hAnsi="Times New Roman" w:eastAsia="宋体" w:cs="Times New Roman"/>
          <w:kern w:val="0"/>
          <w:sz w:val="24"/>
          <w:szCs w:val="24"/>
          <w:highlight w:val="none"/>
        </w:rPr>
      </w:pPr>
      <w:bookmarkStart w:id="0" w:name="OLE_LINK4"/>
      <w:r>
        <w:rPr>
          <w:rFonts w:hint="default" w:ascii="Times New Roman" w:hAnsi="Times New Roman" w:eastAsia="宋体" w:cs="Times New Roman"/>
          <w:kern w:val="0"/>
          <w:sz w:val="24"/>
          <w:szCs w:val="24"/>
          <w:highlight w:val="none"/>
          <w:lang w:val="zh-CN"/>
        </w:rPr>
        <w:t>联系方式：位老师020-89806606（6057）</w:t>
      </w:r>
    </w:p>
    <w:bookmarkEnd w:id="0"/>
    <w:p w14:paraId="7D566E91">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2、采购代理机构（招标代理机构）信息：</w:t>
      </w:r>
    </w:p>
    <w:p w14:paraId="5966D8F8">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名称：东方国际招标有限责任公司</w:t>
      </w:r>
    </w:p>
    <w:p w14:paraId="57846C37">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地址：</w:t>
      </w:r>
      <w:r>
        <w:rPr>
          <w:rFonts w:hint="default" w:ascii="Times New Roman" w:hAnsi="Times New Roman" w:eastAsia="宋体" w:cs="Times New Roman"/>
          <w:bCs/>
          <w:kern w:val="0"/>
          <w:sz w:val="24"/>
          <w:highlight w:val="none"/>
        </w:rPr>
        <w:t>北京市海淀区丹棱街1号互联网金融中心20层</w:t>
      </w:r>
    </w:p>
    <w:p w14:paraId="14E892AD">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lang w:val="zh-CN"/>
        </w:rPr>
        <w:t>联系人：迟兆洋、叶明、林杨婷、王宸极、李飒</w:t>
      </w:r>
    </w:p>
    <w:p w14:paraId="429A9C3E">
      <w:pPr>
        <w:autoSpaceDE w:val="0"/>
        <w:autoSpaceDN w:val="0"/>
        <w:adjustRightInd w:val="0"/>
        <w:spacing w:line="360" w:lineRule="auto"/>
        <w:rPr>
          <w:rFonts w:hint="default" w:ascii="Times New Roman" w:hAnsi="Times New Roman" w:eastAsia="宋体" w:cs="Times New Roman"/>
          <w:highlight w:val="none"/>
        </w:rPr>
      </w:pPr>
      <w:r>
        <w:rPr>
          <w:rFonts w:hint="default" w:ascii="Times New Roman" w:hAnsi="Times New Roman" w:eastAsia="宋体" w:cs="Times New Roman"/>
          <w:kern w:val="0"/>
          <w:sz w:val="24"/>
          <w:szCs w:val="24"/>
          <w:highlight w:val="none"/>
        </w:rPr>
        <w:t>联系方式</w:t>
      </w:r>
      <w:r>
        <w:rPr>
          <w:rFonts w:hint="default" w:ascii="Times New Roman" w:hAnsi="Times New Roman" w:eastAsia="宋体" w:cs="Times New Roman"/>
          <w:kern w:val="0"/>
          <w:sz w:val="24"/>
          <w:szCs w:val="24"/>
          <w:highlight w:val="none"/>
          <w:lang w:val="zh-CN"/>
        </w:rPr>
        <w:t>：</w:t>
      </w:r>
      <w:r>
        <w:rPr>
          <w:rFonts w:hint="default" w:ascii="Times New Roman" w:hAnsi="Times New Roman" w:eastAsia="宋体" w:cs="Times New Roman"/>
          <w:kern w:val="0"/>
          <w:sz w:val="24"/>
          <w:szCs w:val="24"/>
          <w:highlight w:val="none"/>
        </w:rPr>
        <w:t>020-87001523、</w:t>
      </w:r>
      <w:r>
        <w:rPr>
          <w:rFonts w:hint="default" w:ascii="Times New Roman" w:hAnsi="Times New Roman" w:eastAsia="宋体" w:cs="Times New Roman"/>
          <w:kern w:val="0"/>
          <w:sz w:val="24"/>
          <w:highlight w:val="none"/>
          <w:lang w:val="zh-CN"/>
        </w:rPr>
        <w:t>0769-26627023</w:t>
      </w:r>
    </w:p>
    <w:p w14:paraId="0DA1C294">
      <w:pPr>
        <w:autoSpaceDE w:val="0"/>
        <w:autoSpaceDN w:val="0"/>
        <w:adjustRightInd w:val="0"/>
        <w:spacing w:line="360" w:lineRule="auto"/>
        <w:rPr>
          <w:rFonts w:hint="default" w:ascii="Times New Roman" w:hAnsi="Times New Roman" w:eastAsia="宋体" w:cs="Times New Roman"/>
          <w:bCs/>
          <w:kern w:val="0"/>
          <w:sz w:val="24"/>
          <w:szCs w:val="24"/>
          <w:highlight w:val="none"/>
        </w:rPr>
      </w:pPr>
      <w:r>
        <w:rPr>
          <w:rFonts w:hint="default" w:ascii="Times New Roman" w:hAnsi="Times New Roman" w:eastAsia="宋体" w:cs="Times New Roman"/>
          <w:bCs/>
          <w:kern w:val="0"/>
          <w:sz w:val="24"/>
          <w:szCs w:val="24"/>
          <w:highlight w:val="none"/>
        </w:rPr>
        <w:t>3、项目联系方式：</w:t>
      </w:r>
    </w:p>
    <w:p w14:paraId="6A712703">
      <w:pPr>
        <w:widowControl/>
        <w:adjustRightInd w:val="0"/>
        <w:snapToGrid w:val="0"/>
        <w:spacing w:line="360" w:lineRule="auto"/>
        <w:rPr>
          <w:rFonts w:hint="default" w:ascii="Times New Roman" w:hAnsi="Times New Roman" w:eastAsia="宋体" w:cs="Times New Roman"/>
          <w:bCs/>
          <w:kern w:val="0"/>
          <w:sz w:val="24"/>
          <w:szCs w:val="24"/>
          <w:highlight w:val="none"/>
          <w:lang w:val="zh-CN"/>
        </w:rPr>
      </w:pPr>
      <w:r>
        <w:rPr>
          <w:rFonts w:hint="default" w:ascii="Times New Roman" w:hAnsi="Times New Roman" w:eastAsia="宋体" w:cs="Times New Roman"/>
          <w:bCs/>
          <w:kern w:val="0"/>
          <w:sz w:val="24"/>
          <w:szCs w:val="24"/>
          <w:highlight w:val="none"/>
        </w:rPr>
        <w:t>项目联系人：</w:t>
      </w:r>
      <w:r>
        <w:rPr>
          <w:rFonts w:hint="default" w:ascii="Times New Roman" w:hAnsi="Times New Roman" w:eastAsia="宋体" w:cs="Times New Roman"/>
          <w:kern w:val="0"/>
          <w:sz w:val="24"/>
          <w:szCs w:val="24"/>
          <w:highlight w:val="none"/>
          <w:lang w:val="zh-CN"/>
        </w:rPr>
        <w:t>迟兆洋、叶明、林杨婷、王宸极、李飒</w:t>
      </w:r>
    </w:p>
    <w:p w14:paraId="25BED066">
      <w:pPr>
        <w:widowControl/>
        <w:adjustRightInd w:val="0"/>
        <w:snapToGrid w:val="0"/>
        <w:spacing w:line="360" w:lineRule="auto"/>
        <w:rPr>
          <w:rFonts w:hint="default" w:ascii="Times New Roman" w:hAnsi="Times New Roman" w:eastAsia="宋体" w:cs="Times New Roman"/>
          <w:kern w:val="0"/>
          <w:sz w:val="32"/>
          <w:szCs w:val="32"/>
          <w:highlight w:val="none"/>
        </w:rPr>
      </w:pPr>
      <w:r>
        <w:rPr>
          <w:rFonts w:hint="default" w:ascii="Times New Roman" w:hAnsi="Times New Roman" w:eastAsia="宋体" w:cs="Times New Roman"/>
          <w:bCs/>
          <w:kern w:val="0"/>
          <w:sz w:val="24"/>
          <w:szCs w:val="24"/>
          <w:highlight w:val="none"/>
        </w:rPr>
        <w:t>电话：</w:t>
      </w:r>
      <w:bookmarkStart w:id="1" w:name="_Hlk164440326"/>
      <w:r>
        <w:rPr>
          <w:rFonts w:hint="default" w:ascii="Times New Roman" w:hAnsi="Times New Roman" w:eastAsia="宋体" w:cs="Times New Roman"/>
          <w:kern w:val="0"/>
          <w:sz w:val="24"/>
          <w:szCs w:val="24"/>
          <w:highlight w:val="none"/>
        </w:rPr>
        <w:t>020-87001523、</w:t>
      </w:r>
      <w:bookmarkEnd w:id="1"/>
      <w:r>
        <w:rPr>
          <w:rFonts w:hint="default" w:ascii="Times New Roman" w:hAnsi="Times New Roman" w:eastAsia="宋体" w:cs="Times New Roman"/>
          <w:kern w:val="0"/>
          <w:sz w:val="24"/>
          <w:highlight w:val="none"/>
          <w:lang w:val="zh-CN"/>
        </w:rPr>
        <w:t>0769-26627023（电话若一时无人接听请发邮件</w:t>
      </w:r>
      <w:r>
        <w:rPr>
          <w:rFonts w:hint="default" w:ascii="Times New Roman" w:hAnsi="Times New Roman" w:eastAsia="宋体" w:cs="Times New Roman"/>
          <w:bCs/>
          <w:kern w:val="0"/>
          <w:sz w:val="24"/>
          <w:szCs w:val="24"/>
          <w:highlight w:val="none"/>
        </w:rPr>
        <w:t>mye@oitc.com.cn、cjwang@oitc.com.cn、sli@oitc.com.cn</w:t>
      </w:r>
      <w:r>
        <w:rPr>
          <w:rFonts w:hint="default" w:ascii="Times New Roman" w:hAnsi="Times New Roman" w:eastAsia="宋体" w:cs="Times New Roman"/>
          <w:bCs/>
          <w:kern w:val="0"/>
          <w:sz w:val="24"/>
          <w:szCs w:val="24"/>
          <w:highlight w:val="none"/>
          <w:lang w:val="zh-CN"/>
        </w:rPr>
        <w:t xml:space="preserve"> </w:t>
      </w:r>
      <w:r>
        <w:rPr>
          <w:rFonts w:hint="default" w:ascii="Times New Roman" w:hAnsi="Times New Roman" w:eastAsia="宋体" w:cs="Times New Roman"/>
          <w:kern w:val="0"/>
          <w:sz w:val="24"/>
          <w:highlight w:val="none"/>
          <w:lang w:val="zh-CN"/>
        </w:rPr>
        <w:t>咨询，我司会及时回复）</w:t>
      </w:r>
    </w:p>
    <w:p w14:paraId="5B8BB460">
      <w:pPr>
        <w:jc w:val="left"/>
        <w:rPr>
          <w:rFonts w:hint="default" w:ascii="Times New Roman" w:hAnsi="Times New Roman" w:eastAsia="宋体" w:cs="Times New Roman"/>
          <w:b/>
          <w:bCs/>
          <w:kern w:val="0"/>
          <w:sz w:val="44"/>
          <w:szCs w:val="44"/>
          <w:highlight w:val="none"/>
          <w:lang w:val="zh-CN"/>
        </w:rPr>
      </w:pPr>
      <w:r>
        <w:rPr>
          <w:rFonts w:hint="default" w:ascii="Times New Roman" w:hAnsi="Times New Roman" w:eastAsia="宋体" w:cs="Times New Roman"/>
          <w:b/>
          <w:bCs/>
          <w:kern w:val="0"/>
          <w:sz w:val="44"/>
          <w:szCs w:val="44"/>
          <w:highlight w:val="none"/>
          <w:lang w:val="zh-CN"/>
        </w:rPr>
        <w:br w:type="page"/>
      </w:r>
    </w:p>
    <w:p w14:paraId="4AA7EADD">
      <w:pPr>
        <w:autoSpaceDE w:val="0"/>
        <w:autoSpaceDN w:val="0"/>
        <w:adjustRightInd w:val="0"/>
        <w:spacing w:line="360" w:lineRule="auto"/>
        <w:outlineLvl w:val="0"/>
        <w:rPr>
          <w:rFonts w:hint="default" w:ascii="Times New Roman" w:hAnsi="Times New Roman" w:eastAsia="宋体" w:cs="Times New Roman"/>
          <w:b/>
          <w:bCs/>
          <w:kern w:val="0"/>
          <w:sz w:val="44"/>
          <w:szCs w:val="44"/>
          <w:highlight w:val="none"/>
        </w:rPr>
      </w:pPr>
      <w:r>
        <w:rPr>
          <w:rFonts w:hint="default" w:ascii="Times New Roman" w:hAnsi="Times New Roman" w:eastAsia="宋体" w:cs="Times New Roman"/>
          <w:b/>
          <w:bCs/>
          <w:kern w:val="0"/>
          <w:sz w:val="44"/>
          <w:szCs w:val="44"/>
          <w:highlight w:val="none"/>
          <w:lang w:val="zh-CN"/>
        </w:rPr>
        <w:t>第二章 投标人须知资料表</w:t>
      </w:r>
    </w:p>
    <w:p w14:paraId="15DB5E09">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lang w:val="zh-CN"/>
        </w:rPr>
        <w:t>本表关于招标的具体要求是对投标人须知的具体补充和修改，如有矛盾，应以本表为准。</w:t>
      </w:r>
    </w:p>
    <w:tbl>
      <w:tblPr>
        <w:tblStyle w:val="28"/>
        <w:tblW w:w="8789"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34"/>
        <w:gridCol w:w="7655"/>
      </w:tblGrid>
      <w:tr w14:paraId="2C5F7B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9" w:hRule="atLeast"/>
        </w:trPr>
        <w:tc>
          <w:tcPr>
            <w:tcW w:w="1134" w:type="dxa"/>
            <w:tcBorders>
              <w:top w:val="single" w:color="auto" w:sz="4" w:space="0"/>
              <w:left w:val="single" w:color="auto" w:sz="4" w:space="0"/>
              <w:bottom w:val="single" w:color="auto" w:sz="4" w:space="0"/>
              <w:right w:val="single" w:color="auto" w:sz="4" w:space="0"/>
            </w:tcBorders>
            <w:vAlign w:val="center"/>
          </w:tcPr>
          <w:p w14:paraId="5536C572">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lang w:val="zh-CN"/>
              </w:rPr>
              <w:t>序号</w:t>
            </w:r>
          </w:p>
        </w:tc>
        <w:tc>
          <w:tcPr>
            <w:tcW w:w="7655" w:type="dxa"/>
            <w:tcBorders>
              <w:top w:val="single" w:color="auto" w:sz="4" w:space="0"/>
              <w:left w:val="single" w:color="auto" w:sz="4" w:space="0"/>
              <w:bottom w:val="single" w:color="auto" w:sz="4" w:space="0"/>
              <w:right w:val="single" w:color="auto" w:sz="4" w:space="0"/>
            </w:tcBorders>
            <w:vAlign w:val="center"/>
          </w:tcPr>
          <w:p w14:paraId="41590F4D">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lang w:val="zh-CN"/>
              </w:rPr>
              <w:t>说明与要求</w:t>
            </w:r>
          </w:p>
        </w:tc>
      </w:tr>
      <w:tr w14:paraId="35B2BE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09" w:hRule="atLeast"/>
        </w:trPr>
        <w:tc>
          <w:tcPr>
            <w:tcW w:w="1134" w:type="dxa"/>
            <w:tcBorders>
              <w:top w:val="single" w:color="auto" w:sz="4" w:space="0"/>
              <w:left w:val="single" w:color="auto" w:sz="4" w:space="0"/>
              <w:bottom w:val="single" w:color="auto" w:sz="4" w:space="0"/>
              <w:right w:val="single" w:color="auto" w:sz="4" w:space="0"/>
            </w:tcBorders>
            <w:vAlign w:val="center"/>
          </w:tcPr>
          <w:p w14:paraId="333A9FDE">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1</w:t>
            </w:r>
          </w:p>
        </w:tc>
        <w:tc>
          <w:tcPr>
            <w:tcW w:w="7655" w:type="dxa"/>
            <w:tcBorders>
              <w:top w:val="single" w:color="auto" w:sz="4" w:space="0"/>
              <w:left w:val="single" w:color="auto" w:sz="4" w:space="0"/>
              <w:bottom w:val="single" w:color="auto" w:sz="4" w:space="0"/>
              <w:right w:val="single" w:color="auto" w:sz="4" w:space="0"/>
            </w:tcBorders>
            <w:vAlign w:val="center"/>
          </w:tcPr>
          <w:p w14:paraId="35A36F33">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lang w:val="zh-CN"/>
              </w:rPr>
              <w:t>采购人：ZYCGR22011901</w:t>
            </w:r>
          </w:p>
          <w:p w14:paraId="357F5D69">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lang w:val="zh-CN"/>
              </w:rPr>
              <w:t>地址：</w:t>
            </w:r>
            <w:r>
              <w:rPr>
                <w:rFonts w:hint="default" w:ascii="Times New Roman" w:hAnsi="Times New Roman" w:eastAsia="宋体" w:cs="Times New Roman"/>
                <w:sz w:val="24"/>
                <w:szCs w:val="24"/>
                <w:highlight w:val="none"/>
              </w:rPr>
              <w:t>广东省广州市海珠区广州国际生物岛星岛环北路9号</w:t>
            </w:r>
          </w:p>
          <w:p w14:paraId="201ACD3D">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lang w:val="zh-CN"/>
              </w:rPr>
              <w:t>联系电话：位老师020-89806606（6057）</w:t>
            </w:r>
          </w:p>
        </w:tc>
      </w:tr>
      <w:tr w14:paraId="003230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95" w:hRule="atLeast"/>
        </w:trPr>
        <w:tc>
          <w:tcPr>
            <w:tcW w:w="1134" w:type="dxa"/>
            <w:tcBorders>
              <w:top w:val="single" w:color="auto" w:sz="4" w:space="0"/>
              <w:left w:val="single" w:color="auto" w:sz="4" w:space="0"/>
              <w:bottom w:val="single" w:color="auto" w:sz="4" w:space="0"/>
              <w:right w:val="single" w:color="auto" w:sz="4" w:space="0"/>
            </w:tcBorders>
            <w:vAlign w:val="center"/>
          </w:tcPr>
          <w:p w14:paraId="50CBE03C">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2</w:t>
            </w:r>
          </w:p>
        </w:tc>
        <w:tc>
          <w:tcPr>
            <w:tcW w:w="7655" w:type="dxa"/>
            <w:tcBorders>
              <w:top w:val="single" w:color="auto" w:sz="4" w:space="0"/>
              <w:left w:val="single" w:color="auto" w:sz="4" w:space="0"/>
              <w:bottom w:val="single" w:color="auto" w:sz="4" w:space="0"/>
              <w:right w:val="single" w:color="auto" w:sz="4" w:space="0"/>
            </w:tcBorders>
            <w:vAlign w:val="center"/>
          </w:tcPr>
          <w:p w14:paraId="5D52A780">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lang w:val="zh-CN"/>
              </w:rPr>
              <w:t>采购代理机构（招标代理机构）：东方国际招标有限责任公司</w:t>
            </w:r>
          </w:p>
          <w:p w14:paraId="1EF5CB5D">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lang w:val="zh-CN"/>
              </w:rPr>
              <w:t>地址：北京市海淀区丹棱街1号互联网金融中心20层</w:t>
            </w:r>
          </w:p>
          <w:p w14:paraId="17510493">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lang w:val="zh-CN"/>
              </w:rPr>
              <w:t>邮编：100081</w:t>
            </w:r>
          </w:p>
          <w:p w14:paraId="3D6FF4F0">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联系人：迟兆洋、叶明、林杨婷、王宸极、李飒</w:t>
            </w:r>
          </w:p>
          <w:p w14:paraId="16080CE1">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lang w:val="zh-CN"/>
              </w:rPr>
              <w:t>电话：</w:t>
            </w:r>
            <w:r>
              <w:rPr>
                <w:rFonts w:hint="default" w:ascii="Times New Roman" w:hAnsi="Times New Roman" w:eastAsia="宋体" w:cs="Times New Roman"/>
                <w:kern w:val="0"/>
                <w:sz w:val="24"/>
                <w:szCs w:val="24"/>
                <w:highlight w:val="none"/>
              </w:rPr>
              <w:t>020-87001523、</w:t>
            </w:r>
            <w:r>
              <w:rPr>
                <w:rFonts w:hint="default" w:ascii="Times New Roman" w:hAnsi="Times New Roman" w:eastAsia="宋体" w:cs="Times New Roman"/>
                <w:kern w:val="0"/>
                <w:sz w:val="24"/>
                <w:szCs w:val="24"/>
                <w:highlight w:val="none"/>
                <w:lang w:val="zh-CN"/>
              </w:rPr>
              <w:t>0769-26627023</w:t>
            </w:r>
          </w:p>
          <w:p w14:paraId="2B1C7EBF">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lang w:val="zh-CN"/>
              </w:rPr>
              <w:t>传真：010-50828550</w:t>
            </w:r>
          </w:p>
        </w:tc>
      </w:tr>
      <w:tr w14:paraId="576CEE2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72" w:hRule="atLeast"/>
        </w:trPr>
        <w:tc>
          <w:tcPr>
            <w:tcW w:w="1134" w:type="dxa"/>
            <w:tcBorders>
              <w:top w:val="single" w:color="auto" w:sz="4" w:space="0"/>
              <w:left w:val="single" w:color="auto" w:sz="4" w:space="0"/>
              <w:bottom w:val="single" w:color="auto" w:sz="4" w:space="0"/>
              <w:right w:val="single" w:color="auto" w:sz="4" w:space="0"/>
            </w:tcBorders>
            <w:vAlign w:val="center"/>
          </w:tcPr>
          <w:p w14:paraId="327BF007">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3</w:t>
            </w:r>
          </w:p>
        </w:tc>
        <w:tc>
          <w:tcPr>
            <w:tcW w:w="7655" w:type="dxa"/>
            <w:tcBorders>
              <w:top w:val="single" w:color="auto" w:sz="4" w:space="0"/>
              <w:left w:val="single" w:color="auto" w:sz="4" w:space="0"/>
              <w:bottom w:val="single" w:color="auto" w:sz="4" w:space="0"/>
              <w:right w:val="single" w:color="auto" w:sz="4" w:space="0"/>
            </w:tcBorders>
            <w:vAlign w:val="center"/>
          </w:tcPr>
          <w:p w14:paraId="0223E0C0">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lang w:val="zh-CN"/>
              </w:rPr>
              <w:t>资金来源：财政性拨款经费，已落实。</w:t>
            </w:r>
          </w:p>
        </w:tc>
      </w:tr>
      <w:tr w14:paraId="47D3945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61" w:hRule="atLeast"/>
        </w:trPr>
        <w:tc>
          <w:tcPr>
            <w:tcW w:w="1134" w:type="dxa"/>
            <w:tcBorders>
              <w:top w:val="single" w:color="auto" w:sz="4" w:space="0"/>
              <w:left w:val="single" w:color="auto" w:sz="4" w:space="0"/>
              <w:bottom w:val="single" w:color="auto" w:sz="4" w:space="0"/>
              <w:right w:val="single" w:color="auto" w:sz="4" w:space="0"/>
            </w:tcBorders>
            <w:vAlign w:val="center"/>
          </w:tcPr>
          <w:p w14:paraId="4D87EF64">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4</w:t>
            </w:r>
          </w:p>
        </w:tc>
        <w:tc>
          <w:tcPr>
            <w:tcW w:w="7655" w:type="dxa"/>
            <w:tcBorders>
              <w:top w:val="single" w:color="auto" w:sz="4" w:space="0"/>
              <w:left w:val="single" w:color="auto" w:sz="4" w:space="0"/>
              <w:bottom w:val="single" w:color="auto" w:sz="4" w:space="0"/>
              <w:right w:val="single" w:color="auto" w:sz="4" w:space="0"/>
            </w:tcBorders>
            <w:vAlign w:val="center"/>
          </w:tcPr>
          <w:p w14:paraId="1C5D3160">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项目名称：ZYCGR22011901葛洪系统二期采购项目</w:t>
            </w:r>
          </w:p>
          <w:p w14:paraId="415A2E63">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产品名称：详见招标文件项目需求</w:t>
            </w:r>
          </w:p>
          <w:p w14:paraId="4593B8DF">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lang w:val="zh-CN"/>
              </w:rPr>
              <w:t>招标内容：详见招标文件项目需求</w:t>
            </w:r>
          </w:p>
        </w:tc>
      </w:tr>
      <w:tr w14:paraId="26148F2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1134" w:type="dxa"/>
            <w:tcBorders>
              <w:top w:val="single" w:color="auto" w:sz="4" w:space="0"/>
              <w:left w:val="single" w:color="auto" w:sz="4" w:space="0"/>
              <w:bottom w:val="single" w:color="auto" w:sz="4" w:space="0"/>
              <w:right w:val="single" w:color="auto" w:sz="4" w:space="0"/>
            </w:tcBorders>
            <w:vAlign w:val="center"/>
          </w:tcPr>
          <w:p w14:paraId="0C2455BD">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5</w:t>
            </w:r>
          </w:p>
        </w:tc>
        <w:tc>
          <w:tcPr>
            <w:tcW w:w="7655" w:type="dxa"/>
            <w:tcBorders>
              <w:top w:val="single" w:color="auto" w:sz="4" w:space="0"/>
              <w:left w:val="single" w:color="auto" w:sz="4" w:space="0"/>
              <w:bottom w:val="single" w:color="auto" w:sz="4" w:space="0"/>
              <w:right w:val="single" w:color="auto" w:sz="4" w:space="0"/>
            </w:tcBorders>
            <w:vAlign w:val="center"/>
          </w:tcPr>
          <w:p w14:paraId="0478E183">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合格的投标人资格：</w:t>
            </w:r>
          </w:p>
          <w:p w14:paraId="1299F248">
            <w:pPr>
              <w:adjustRightInd w:val="0"/>
              <w:snapToGrid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在中华人民共和国境内依法注册的，具有独立承担民事责任能力，遵守国家法律法规，具有良好信誉，具有履行合同能力和良好的履行合同的记录，具有良好资金、财务状况的企事业法人、其他组织或者自然人；</w:t>
            </w:r>
          </w:p>
          <w:p w14:paraId="144FE6A9">
            <w:pPr>
              <w:adjustRightInd w:val="0"/>
              <w:snapToGrid w:val="0"/>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kern w:val="0"/>
                <w:sz w:val="24"/>
                <w:highlight w:val="none"/>
              </w:rPr>
              <w:t>2）</w:t>
            </w:r>
            <w:r>
              <w:rPr>
                <w:rFonts w:hint="default" w:ascii="Times New Roman" w:hAnsi="Times New Roman" w:eastAsia="宋体" w:cs="Times New Roman"/>
                <w:sz w:val="24"/>
                <w:highlight w:val="none"/>
              </w:rPr>
              <w:t>投标人资格声明函；</w:t>
            </w:r>
          </w:p>
          <w:p w14:paraId="02E3DDEC">
            <w:pPr>
              <w:adjustRightInd w:val="0"/>
              <w:snapToGrid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3）按本投标邀请的规定获取招标文件；</w:t>
            </w:r>
          </w:p>
          <w:p w14:paraId="65B8E9BE">
            <w:pPr>
              <w:autoSpaceDE w:val="0"/>
              <w:autoSpaceDN w:val="0"/>
              <w:adjustRightInd w:val="0"/>
              <w:spacing w:line="360" w:lineRule="auto"/>
              <w:ind w:left="-109" w:leftChars="-52" w:firstLine="120" w:firstLineChars="50"/>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sz w:val="24"/>
                <w:szCs w:val="24"/>
                <w:highlight w:val="none"/>
              </w:rPr>
              <w:t>4）投标人不得为列入失信被执行人、重大税收违法</w:t>
            </w:r>
            <w:r>
              <w:rPr>
                <w:rFonts w:hint="default" w:ascii="Times New Roman" w:hAnsi="Times New Roman" w:eastAsia="宋体" w:cs="Times New Roman"/>
                <w:sz w:val="24"/>
                <w:szCs w:val="24"/>
                <w:highlight w:val="none"/>
                <w:lang w:eastAsia="zh-CN"/>
              </w:rPr>
              <w:t>失信主体</w:t>
            </w:r>
            <w:r>
              <w:rPr>
                <w:rFonts w:hint="default" w:ascii="Times New Roman" w:hAnsi="Times New Roman" w:eastAsia="宋体" w:cs="Times New Roman"/>
                <w:sz w:val="24"/>
                <w:szCs w:val="24"/>
                <w:highlight w:val="none"/>
              </w:rPr>
              <w:t>名单、政府采购严重违法失信行为记录名单的投标人。（注1）</w:t>
            </w:r>
          </w:p>
        </w:tc>
      </w:tr>
      <w:tr w14:paraId="31732FD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79" w:hRule="atLeast"/>
        </w:trPr>
        <w:tc>
          <w:tcPr>
            <w:tcW w:w="1134" w:type="dxa"/>
            <w:tcBorders>
              <w:top w:val="single" w:color="auto" w:sz="4" w:space="0"/>
              <w:left w:val="single" w:color="auto" w:sz="4" w:space="0"/>
              <w:bottom w:val="single" w:color="auto" w:sz="4" w:space="0"/>
              <w:right w:val="single" w:color="auto" w:sz="4" w:space="0"/>
            </w:tcBorders>
            <w:vAlign w:val="center"/>
          </w:tcPr>
          <w:p w14:paraId="4F9BC43F">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6</w:t>
            </w:r>
          </w:p>
        </w:tc>
        <w:tc>
          <w:tcPr>
            <w:tcW w:w="7655" w:type="dxa"/>
            <w:tcBorders>
              <w:top w:val="single" w:color="auto" w:sz="4" w:space="0"/>
              <w:left w:val="single" w:color="auto" w:sz="4" w:space="0"/>
              <w:bottom w:val="single" w:color="auto" w:sz="4" w:space="0"/>
              <w:right w:val="single" w:color="auto" w:sz="4" w:space="0"/>
            </w:tcBorders>
            <w:vAlign w:val="center"/>
          </w:tcPr>
          <w:p w14:paraId="48A7A326">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投标人须以包为单位对包中全部内容进行投标，不得拆分，否则其投标将被拒绝。评标、授标以包为单位。</w:t>
            </w:r>
          </w:p>
        </w:tc>
      </w:tr>
      <w:tr w14:paraId="6B85233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1" w:hRule="atLeast"/>
        </w:trPr>
        <w:tc>
          <w:tcPr>
            <w:tcW w:w="1134" w:type="dxa"/>
            <w:tcBorders>
              <w:top w:val="single" w:color="auto" w:sz="4" w:space="0"/>
              <w:left w:val="single" w:color="auto" w:sz="4" w:space="0"/>
              <w:bottom w:val="single" w:color="auto" w:sz="4" w:space="0"/>
              <w:right w:val="single" w:color="auto" w:sz="4" w:space="0"/>
            </w:tcBorders>
            <w:vAlign w:val="center"/>
          </w:tcPr>
          <w:p w14:paraId="566C2D2F">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7</w:t>
            </w:r>
          </w:p>
        </w:tc>
        <w:tc>
          <w:tcPr>
            <w:tcW w:w="7655" w:type="dxa"/>
            <w:tcBorders>
              <w:top w:val="single" w:color="auto" w:sz="4" w:space="0"/>
              <w:left w:val="single" w:color="auto" w:sz="4" w:space="0"/>
              <w:bottom w:val="single" w:color="auto" w:sz="4" w:space="0"/>
              <w:right w:val="single" w:color="auto" w:sz="4" w:space="0"/>
            </w:tcBorders>
            <w:vAlign w:val="center"/>
          </w:tcPr>
          <w:p w14:paraId="2D458913">
            <w:pPr>
              <w:adjustRightInd w:val="0"/>
              <w:snapToGrid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现场踏勘：</w:t>
            </w:r>
          </w:p>
          <w:p w14:paraId="27D76E14">
            <w:pPr>
              <w:adjustRightInd w:val="0"/>
              <w:snapToGrid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sym w:font="Wingdings 2" w:char="0052"/>
            </w:r>
            <w:r>
              <w:rPr>
                <w:rFonts w:hint="default" w:ascii="Times New Roman" w:hAnsi="Times New Roman" w:eastAsia="宋体" w:cs="Times New Roman"/>
                <w:sz w:val="24"/>
                <w:szCs w:val="24"/>
                <w:highlight w:val="none"/>
              </w:rPr>
              <w:t>不组织</w:t>
            </w:r>
          </w:p>
          <w:p w14:paraId="6FE893BB">
            <w:pPr>
              <w:adjustRightInd w:val="0"/>
              <w:snapToGrid w:val="0"/>
              <w:spacing w:line="360" w:lineRule="auto"/>
              <w:rPr>
                <w:rFonts w:hint="default" w:ascii="Times New Roman" w:hAnsi="Times New Roman" w:eastAsia="宋体" w:cs="Times New Roman"/>
                <w:b/>
                <w:bCs/>
                <w:sz w:val="24"/>
                <w:szCs w:val="24"/>
                <w:highlight w:val="none"/>
              </w:rPr>
            </w:pPr>
            <w:r>
              <w:rPr>
                <w:rFonts w:hint="default" w:ascii="Times New Roman" w:hAnsi="Times New Roman" w:eastAsia="宋体" w:cs="Times New Roman"/>
                <w:sz w:val="24"/>
                <w:szCs w:val="24"/>
                <w:highlight w:val="none"/>
              </w:rPr>
              <w:t>□组织</w:t>
            </w:r>
          </w:p>
        </w:tc>
      </w:tr>
      <w:tr w14:paraId="51FAC6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1" w:hRule="atLeast"/>
        </w:trPr>
        <w:tc>
          <w:tcPr>
            <w:tcW w:w="1134" w:type="dxa"/>
            <w:tcBorders>
              <w:top w:val="single" w:color="auto" w:sz="4" w:space="0"/>
              <w:left w:val="single" w:color="auto" w:sz="4" w:space="0"/>
              <w:bottom w:val="single" w:color="auto" w:sz="4" w:space="0"/>
              <w:right w:val="single" w:color="auto" w:sz="4" w:space="0"/>
            </w:tcBorders>
            <w:vAlign w:val="center"/>
          </w:tcPr>
          <w:p w14:paraId="1019E70E">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8</w:t>
            </w:r>
          </w:p>
        </w:tc>
        <w:tc>
          <w:tcPr>
            <w:tcW w:w="7655" w:type="dxa"/>
            <w:tcBorders>
              <w:top w:val="single" w:color="auto" w:sz="4" w:space="0"/>
              <w:left w:val="single" w:color="auto" w:sz="4" w:space="0"/>
              <w:bottom w:val="single" w:color="auto" w:sz="4" w:space="0"/>
              <w:right w:val="single" w:color="auto" w:sz="4" w:space="0"/>
            </w:tcBorders>
            <w:vAlign w:val="center"/>
          </w:tcPr>
          <w:p w14:paraId="7D6DECEC">
            <w:pPr>
              <w:adjustRightInd w:val="0"/>
              <w:snapToGrid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中标后分包或转包：</w:t>
            </w:r>
          </w:p>
          <w:p w14:paraId="6BC74275">
            <w:pPr>
              <w:adjustRightInd w:val="0"/>
              <w:snapToGrid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sym w:font="Wingdings 2" w:char="0052"/>
            </w:r>
            <w:r>
              <w:rPr>
                <w:rFonts w:hint="default" w:ascii="Times New Roman" w:hAnsi="Times New Roman" w:eastAsia="宋体" w:cs="Times New Roman"/>
                <w:sz w:val="24"/>
                <w:szCs w:val="24"/>
                <w:highlight w:val="none"/>
              </w:rPr>
              <w:t>不允许</w:t>
            </w:r>
          </w:p>
          <w:p w14:paraId="2419320B">
            <w:pPr>
              <w:adjustRightInd w:val="0"/>
              <w:snapToGrid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□允许，分包内容要求：                 </w:t>
            </w:r>
          </w:p>
          <w:p w14:paraId="1814DCC9">
            <w:pPr>
              <w:adjustRightInd w:val="0"/>
              <w:snapToGrid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        分包金额要求：                 </w:t>
            </w:r>
          </w:p>
          <w:p w14:paraId="055660A6">
            <w:pPr>
              <w:adjustRightInd w:val="0"/>
              <w:snapToGrid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        分包人资质要求：               </w:t>
            </w:r>
          </w:p>
        </w:tc>
      </w:tr>
      <w:tr w14:paraId="062386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1" w:hRule="atLeast"/>
        </w:trPr>
        <w:tc>
          <w:tcPr>
            <w:tcW w:w="1134" w:type="dxa"/>
            <w:tcBorders>
              <w:top w:val="single" w:color="auto" w:sz="4" w:space="0"/>
              <w:left w:val="single" w:color="auto" w:sz="4" w:space="0"/>
              <w:bottom w:val="single" w:color="auto" w:sz="4" w:space="0"/>
              <w:right w:val="single" w:color="auto" w:sz="4" w:space="0"/>
            </w:tcBorders>
            <w:vAlign w:val="center"/>
          </w:tcPr>
          <w:p w14:paraId="37019A91">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9</w:t>
            </w:r>
          </w:p>
        </w:tc>
        <w:tc>
          <w:tcPr>
            <w:tcW w:w="7655" w:type="dxa"/>
            <w:tcBorders>
              <w:top w:val="single" w:color="auto" w:sz="4" w:space="0"/>
              <w:left w:val="single" w:color="auto" w:sz="4" w:space="0"/>
              <w:bottom w:val="single" w:color="auto" w:sz="4" w:space="0"/>
              <w:right w:val="single" w:color="auto" w:sz="4" w:space="0"/>
            </w:tcBorders>
            <w:vAlign w:val="center"/>
          </w:tcPr>
          <w:p w14:paraId="7F6D122C">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是否允许备选方案：否</w:t>
            </w:r>
          </w:p>
        </w:tc>
      </w:tr>
      <w:tr w14:paraId="6E6A526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1" w:hRule="atLeast"/>
        </w:trPr>
        <w:tc>
          <w:tcPr>
            <w:tcW w:w="1134" w:type="dxa"/>
            <w:tcBorders>
              <w:top w:val="single" w:color="auto" w:sz="4" w:space="0"/>
              <w:left w:val="single" w:color="auto" w:sz="4" w:space="0"/>
              <w:bottom w:val="single" w:color="auto" w:sz="4" w:space="0"/>
              <w:right w:val="single" w:color="auto" w:sz="4" w:space="0"/>
            </w:tcBorders>
            <w:vAlign w:val="center"/>
          </w:tcPr>
          <w:p w14:paraId="529EC0F3">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★10</w:t>
            </w:r>
          </w:p>
        </w:tc>
        <w:tc>
          <w:tcPr>
            <w:tcW w:w="7655" w:type="dxa"/>
            <w:tcBorders>
              <w:top w:val="single" w:color="auto" w:sz="4" w:space="0"/>
              <w:bottom w:val="single" w:color="auto" w:sz="4" w:space="0"/>
            </w:tcBorders>
            <w:vAlign w:val="center"/>
          </w:tcPr>
          <w:p w14:paraId="7EC40E68">
            <w:pPr>
              <w:pStyle w:val="10"/>
              <w:spacing w:line="360" w:lineRule="auto"/>
              <w:ind w:right="109" w:rightChars="52"/>
              <w:jc w:val="both"/>
              <w:rPr>
                <w:rFonts w:hint="default" w:ascii="Times New Roman" w:hAnsi="Times New Roman" w:eastAsia="宋体" w:cs="Times New Roman"/>
                <w:color w:val="FF0000"/>
                <w:sz w:val="24"/>
                <w:szCs w:val="24"/>
                <w:highlight w:val="none"/>
              </w:rPr>
            </w:pPr>
            <w:r>
              <w:rPr>
                <w:rFonts w:hint="default" w:ascii="Times New Roman" w:hAnsi="Times New Roman" w:eastAsia="宋体" w:cs="Times New Roman"/>
                <w:sz w:val="24"/>
                <w:szCs w:val="24"/>
                <w:highlight w:val="none"/>
              </w:rPr>
              <w:t>投标货币：人民币</w:t>
            </w:r>
          </w:p>
        </w:tc>
      </w:tr>
      <w:tr w14:paraId="5A43CC6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1" w:hRule="atLeast"/>
        </w:trPr>
        <w:tc>
          <w:tcPr>
            <w:tcW w:w="1134" w:type="dxa"/>
            <w:tcBorders>
              <w:top w:val="single" w:color="auto" w:sz="4" w:space="0"/>
              <w:left w:val="single" w:color="auto" w:sz="4" w:space="0"/>
              <w:bottom w:val="single" w:color="auto" w:sz="4" w:space="0"/>
              <w:right w:val="single" w:color="auto" w:sz="4" w:space="0"/>
            </w:tcBorders>
            <w:vAlign w:val="center"/>
          </w:tcPr>
          <w:p w14:paraId="2EB21C06">
            <w:pPr>
              <w:pStyle w:val="10"/>
              <w:spacing w:line="360" w:lineRule="auto"/>
              <w:ind w:right="109" w:rightChars="52" w:firstLine="360" w:firstLineChars="150"/>
              <w:jc w:val="both"/>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11</w:t>
            </w:r>
          </w:p>
        </w:tc>
        <w:tc>
          <w:tcPr>
            <w:tcW w:w="7655" w:type="dxa"/>
            <w:tcBorders>
              <w:top w:val="single" w:color="auto" w:sz="4" w:space="0"/>
            </w:tcBorders>
            <w:vAlign w:val="center"/>
          </w:tcPr>
          <w:p w14:paraId="257D451A">
            <w:pPr>
              <w:pStyle w:val="10"/>
              <w:spacing w:line="360" w:lineRule="auto"/>
              <w:ind w:right="109" w:rightChars="52"/>
              <w:jc w:val="both"/>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投标报价要求：详见招标文件“第四章项目需求”的具体要求</w:t>
            </w:r>
          </w:p>
        </w:tc>
      </w:tr>
      <w:tr w14:paraId="6783AA4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1" w:hRule="atLeast"/>
        </w:trPr>
        <w:tc>
          <w:tcPr>
            <w:tcW w:w="1134" w:type="dxa"/>
            <w:tcBorders>
              <w:top w:val="single" w:color="auto" w:sz="4" w:space="0"/>
              <w:left w:val="single" w:color="auto" w:sz="4" w:space="0"/>
              <w:bottom w:val="single" w:color="auto" w:sz="4" w:space="0"/>
              <w:right w:val="single" w:color="auto" w:sz="4" w:space="0"/>
            </w:tcBorders>
            <w:vAlign w:val="center"/>
          </w:tcPr>
          <w:p w14:paraId="6823787A">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12</w:t>
            </w:r>
          </w:p>
        </w:tc>
        <w:tc>
          <w:tcPr>
            <w:tcW w:w="7655" w:type="dxa"/>
            <w:tcBorders>
              <w:top w:val="single" w:color="auto" w:sz="4" w:space="0"/>
              <w:left w:val="single" w:color="auto" w:sz="4" w:space="0"/>
              <w:bottom w:val="single" w:color="auto" w:sz="4" w:space="0"/>
              <w:right w:val="single" w:color="auto" w:sz="4" w:space="0"/>
            </w:tcBorders>
            <w:vAlign w:val="center"/>
          </w:tcPr>
          <w:p w14:paraId="2CA2A7F5">
            <w:pPr>
              <w:autoSpaceDE w:val="0"/>
              <w:autoSpaceDN w:val="0"/>
              <w:adjustRightInd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lang w:val="zh-CN"/>
              </w:rPr>
              <w:t>投标保证金金额：</w:t>
            </w:r>
            <w:r>
              <w:rPr>
                <w:rFonts w:hint="default" w:ascii="Times New Roman" w:hAnsi="Times New Roman" w:eastAsia="宋体" w:cs="Times New Roman"/>
                <w:sz w:val="24"/>
                <w:szCs w:val="24"/>
                <w:highlight w:val="none"/>
              </w:rPr>
              <w:t>采购预算金额的1.5%</w:t>
            </w:r>
          </w:p>
          <w:p w14:paraId="7055203C">
            <w:pPr>
              <w:adjustRightInd w:val="0"/>
              <w:snapToGrid w:val="0"/>
              <w:spacing w:line="360" w:lineRule="auto"/>
              <w:ind w:left="1898" w:hanging="1898" w:hangingChars="791"/>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投标保证金形式：电汇、网银转账或金融机构、担保机构出具的保函。</w:t>
            </w:r>
          </w:p>
          <w:p w14:paraId="2E2BED02">
            <w:pPr>
              <w:spacing w:line="360" w:lineRule="auto"/>
              <w:ind w:left="32"/>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(1)采用保函形式的，</w:t>
            </w:r>
            <w:r>
              <w:rPr>
                <w:rFonts w:hint="default" w:ascii="Times New Roman" w:hAnsi="Times New Roman" w:eastAsia="宋体" w:cs="Times New Roman"/>
                <w:sz w:val="24"/>
                <w:szCs w:val="24"/>
                <w:highlight w:val="none"/>
                <w:lang w:bidi="ar"/>
              </w:rPr>
              <w:t>保函的格式以保函出具机构格式为准，保函的内容应包括投标保证金金额、保函的有效期限、担保的内容（即：如因投标人原因发生招标文件规定的投标保证金不予退还的情况，由保函出具机构向采购人或采购代理机构足额支付投标保证金）</w:t>
            </w:r>
            <w:r>
              <w:rPr>
                <w:rFonts w:hint="default" w:ascii="Times New Roman" w:hAnsi="Times New Roman" w:eastAsia="宋体" w:cs="Times New Roman"/>
                <w:sz w:val="24"/>
                <w:szCs w:val="24"/>
                <w:highlight w:val="none"/>
              </w:rPr>
              <w:t>；投标人应承担投标保函开具、递交、退还、通知及核印等产生的一切相关费用。</w:t>
            </w:r>
          </w:p>
          <w:p w14:paraId="5EDB2371">
            <w:pPr>
              <w:spacing w:line="360" w:lineRule="auto"/>
              <w:ind w:left="32"/>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(2) 使用电汇、网银转账形式的，投标保证金必须从境内银行账户转出，且在投标截止时间前汇到招标代理机构账户，否则投标被拒绝：</w:t>
            </w:r>
          </w:p>
          <w:p w14:paraId="38FFC68E">
            <w:pPr>
              <w:autoSpaceDE w:val="0"/>
              <w:autoSpaceDN w:val="0"/>
              <w:adjustRightInd w:val="0"/>
              <w:spacing w:line="360" w:lineRule="auto"/>
              <w:ind w:left="32"/>
              <w:rPr>
                <w:rFonts w:hint="default" w:ascii="Times New Roman" w:hAnsi="Times New Roman" w:eastAsia="宋体" w:cs="Times New Roman"/>
                <w:bCs/>
                <w:sz w:val="24"/>
                <w:szCs w:val="24"/>
                <w:highlight w:val="none"/>
              </w:rPr>
            </w:pPr>
            <w:r>
              <w:rPr>
                <w:rFonts w:hint="default" w:ascii="Times New Roman" w:hAnsi="Times New Roman" w:eastAsia="宋体" w:cs="Times New Roman"/>
                <w:b/>
                <w:sz w:val="24"/>
                <w:szCs w:val="24"/>
                <w:highlight w:val="none"/>
              </w:rPr>
              <w:t>投标人应于投标截止期前将全额投标保证金转入下述指定账号, 并应将“投标保证金电汇凭证/投标保函”单独密封，在投标时与“投标一览表”同时递交。</w:t>
            </w:r>
          </w:p>
          <w:p w14:paraId="1128C0EB">
            <w:pPr>
              <w:autoSpaceDE w:val="0"/>
              <w:autoSpaceDN w:val="0"/>
              <w:adjustRightInd w:val="0"/>
              <w:spacing w:before="100" w:after="100"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开户名称：东方国际招标有限责任公司</w:t>
            </w:r>
          </w:p>
          <w:p w14:paraId="062A0CAA">
            <w:pPr>
              <w:autoSpaceDE w:val="0"/>
              <w:autoSpaceDN w:val="0"/>
              <w:adjustRightInd w:val="0"/>
              <w:spacing w:before="100" w:after="100"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开户行：招商银行北京西三环支行</w:t>
            </w:r>
          </w:p>
          <w:p w14:paraId="0009EA73">
            <w:pPr>
              <w:autoSpaceDE w:val="0"/>
              <w:autoSpaceDN w:val="0"/>
              <w:adjustRightInd w:val="0"/>
              <w:spacing w:before="100" w:after="100"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账号：862081657710001</w:t>
            </w:r>
          </w:p>
          <w:p w14:paraId="70BAE11B">
            <w:pPr>
              <w:pStyle w:val="27"/>
              <w:ind w:firstLine="0" w:firstLineChars="0"/>
              <w:jc w:val="both"/>
              <w:rPr>
                <w:rFonts w:hint="default" w:ascii="Times New Roman" w:hAnsi="Times New Roman" w:eastAsia="宋体" w:cs="Times New Roman"/>
                <w:sz w:val="24"/>
                <w:szCs w:val="24"/>
                <w:highlight w:val="none"/>
                <w:lang w:val="zh-CN"/>
              </w:rPr>
            </w:pPr>
            <w:r>
              <w:rPr>
                <w:rFonts w:hint="default" w:ascii="Times New Roman" w:hAnsi="Times New Roman" w:eastAsia="宋体" w:cs="Times New Roman"/>
                <w:sz w:val="24"/>
                <w:szCs w:val="24"/>
                <w:highlight w:val="none"/>
                <w:lang w:bidi="ar"/>
              </w:rPr>
              <w:t>注：须在电汇凭据附言栏中写明招标编号（如未标明招标编号</w:t>
            </w:r>
            <w:r>
              <w:rPr>
                <w:rFonts w:hint="default" w:ascii="Times New Roman" w:hAnsi="Times New Roman" w:eastAsia="宋体" w:cs="Times New Roman"/>
                <w:sz w:val="24"/>
                <w:szCs w:val="24"/>
                <w:highlight w:val="none"/>
                <w:lang w:eastAsia="zh-CN" w:bidi="ar"/>
              </w:rPr>
              <w:t>OITC-G260600298</w:t>
            </w:r>
            <w:r>
              <w:rPr>
                <w:rFonts w:hint="default" w:ascii="Times New Roman" w:hAnsi="Times New Roman" w:eastAsia="宋体" w:cs="Times New Roman"/>
                <w:sz w:val="24"/>
                <w:szCs w:val="24"/>
                <w:highlight w:val="none"/>
                <w:lang w:bidi="ar"/>
              </w:rPr>
              <w:t>，有可能导致投标无效）</w:t>
            </w:r>
          </w:p>
        </w:tc>
      </w:tr>
      <w:tr w14:paraId="327E945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81" w:hRule="atLeast"/>
        </w:trPr>
        <w:tc>
          <w:tcPr>
            <w:tcW w:w="1134" w:type="dxa"/>
            <w:tcBorders>
              <w:top w:val="single" w:color="auto" w:sz="4" w:space="0"/>
              <w:left w:val="single" w:color="auto" w:sz="4" w:space="0"/>
              <w:bottom w:val="single" w:color="auto" w:sz="4" w:space="0"/>
              <w:right w:val="single" w:color="auto" w:sz="4" w:space="0"/>
            </w:tcBorders>
            <w:vAlign w:val="center"/>
          </w:tcPr>
          <w:p w14:paraId="74A27DD5">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13</w:t>
            </w:r>
          </w:p>
        </w:tc>
        <w:tc>
          <w:tcPr>
            <w:tcW w:w="7655" w:type="dxa"/>
            <w:tcBorders>
              <w:top w:val="single" w:color="auto" w:sz="4" w:space="0"/>
              <w:left w:val="single" w:color="auto" w:sz="4" w:space="0"/>
              <w:bottom w:val="single" w:color="auto" w:sz="4" w:space="0"/>
              <w:right w:val="single" w:color="auto" w:sz="4" w:space="0"/>
            </w:tcBorders>
            <w:vAlign w:val="center"/>
          </w:tcPr>
          <w:p w14:paraId="14748A92">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投标有效期及投标保证金有效期：</w:t>
            </w:r>
            <w:r>
              <w:rPr>
                <w:rFonts w:hint="default" w:ascii="Times New Roman" w:hAnsi="Times New Roman" w:eastAsia="宋体" w:cs="Times New Roman"/>
                <w:kern w:val="0"/>
                <w:sz w:val="24"/>
                <w:szCs w:val="24"/>
                <w:highlight w:val="none"/>
              </w:rPr>
              <w:t>自提交投标文件的截止之日起算</w:t>
            </w:r>
            <w:r>
              <w:rPr>
                <w:rFonts w:hint="default" w:ascii="Times New Roman" w:hAnsi="Times New Roman" w:eastAsia="宋体" w:cs="Times New Roman"/>
                <w:kern w:val="0"/>
                <w:sz w:val="24"/>
                <w:szCs w:val="24"/>
                <w:highlight w:val="none"/>
                <w:u w:val="single"/>
              </w:rPr>
              <w:t>__90个__</w:t>
            </w:r>
            <w:r>
              <w:rPr>
                <w:rFonts w:hint="default" w:ascii="Times New Roman" w:hAnsi="Times New Roman" w:eastAsia="宋体" w:cs="Times New Roman"/>
                <w:kern w:val="0"/>
                <w:sz w:val="24"/>
                <w:szCs w:val="24"/>
                <w:highlight w:val="none"/>
              </w:rPr>
              <w:t>日历天</w:t>
            </w:r>
            <w:r>
              <w:rPr>
                <w:rFonts w:hint="default" w:ascii="Times New Roman" w:hAnsi="Times New Roman" w:eastAsia="宋体" w:cs="Times New Roman"/>
                <w:kern w:val="0"/>
                <w:sz w:val="24"/>
                <w:szCs w:val="24"/>
                <w:highlight w:val="none"/>
                <w:lang w:val="zh-CN"/>
              </w:rPr>
              <w:t>（不得少于90个日历天）</w:t>
            </w:r>
          </w:p>
        </w:tc>
      </w:tr>
      <w:tr w14:paraId="03C95EE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7" w:hRule="atLeast"/>
        </w:trPr>
        <w:tc>
          <w:tcPr>
            <w:tcW w:w="1134" w:type="dxa"/>
            <w:tcBorders>
              <w:top w:val="single" w:color="auto" w:sz="4" w:space="0"/>
              <w:left w:val="single" w:color="auto" w:sz="4" w:space="0"/>
              <w:bottom w:val="single" w:color="auto" w:sz="4" w:space="0"/>
              <w:right w:val="single" w:color="auto" w:sz="4" w:space="0"/>
            </w:tcBorders>
            <w:vAlign w:val="center"/>
          </w:tcPr>
          <w:p w14:paraId="40E2A126">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14</w:t>
            </w:r>
          </w:p>
        </w:tc>
        <w:tc>
          <w:tcPr>
            <w:tcW w:w="7655" w:type="dxa"/>
            <w:tcBorders>
              <w:top w:val="single" w:color="auto" w:sz="4" w:space="0"/>
              <w:left w:val="single" w:color="auto" w:sz="4" w:space="0"/>
              <w:bottom w:val="single" w:color="auto" w:sz="4" w:space="0"/>
              <w:right w:val="single" w:color="auto" w:sz="4" w:space="0"/>
            </w:tcBorders>
            <w:vAlign w:val="center"/>
          </w:tcPr>
          <w:p w14:paraId="7C2EAB75">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为了投标文件的规范和统一，投标人需按第六章内容及顺序编写投标文件，实际响应中如有必要，应由投标人对目录未涉及的部分予以补充。</w:t>
            </w:r>
          </w:p>
          <w:p w14:paraId="46843BA8">
            <w:pPr>
              <w:autoSpaceDE w:val="0"/>
              <w:autoSpaceDN w:val="0"/>
              <w:adjustRightInd w:val="0"/>
              <w:spacing w:line="360" w:lineRule="auto"/>
              <w:rPr>
                <w:rFonts w:hint="default" w:ascii="Times New Roman" w:hAnsi="Times New Roman" w:eastAsia="宋体" w:cs="Times New Roman"/>
                <w:sz w:val="24"/>
                <w:szCs w:val="24"/>
                <w:highlight w:val="none"/>
                <w:lang w:val="zh-CN"/>
              </w:rPr>
            </w:pPr>
            <w:r>
              <w:rPr>
                <w:rFonts w:hint="default" w:ascii="Times New Roman" w:hAnsi="Times New Roman" w:eastAsia="宋体" w:cs="Times New Roman"/>
                <w:sz w:val="24"/>
                <w:szCs w:val="24"/>
                <w:highlight w:val="none"/>
              </w:rPr>
              <w:t>注：投标文件项目需求应答简单复制招标文件内容，或全部响应仅以“符合、满足”应答，未提供基本项目需求服务方案描述的，将可能导致其投标响应被拒绝；投标人编制上述投标文件时，本招标文件第六章已提供格式的文件须按格式要求填写。</w:t>
            </w:r>
          </w:p>
        </w:tc>
      </w:tr>
      <w:tr w14:paraId="3CD0C09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61" w:hRule="atLeast"/>
        </w:trPr>
        <w:tc>
          <w:tcPr>
            <w:tcW w:w="1134" w:type="dxa"/>
            <w:tcBorders>
              <w:top w:val="single" w:color="auto" w:sz="4" w:space="0"/>
              <w:left w:val="single" w:color="auto" w:sz="4" w:space="0"/>
              <w:bottom w:val="single" w:color="auto" w:sz="4" w:space="0"/>
              <w:right w:val="single" w:color="auto" w:sz="4" w:space="0"/>
            </w:tcBorders>
            <w:vAlign w:val="center"/>
          </w:tcPr>
          <w:p w14:paraId="1DD62187">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15</w:t>
            </w:r>
          </w:p>
        </w:tc>
        <w:tc>
          <w:tcPr>
            <w:tcW w:w="7655" w:type="dxa"/>
            <w:tcBorders>
              <w:top w:val="single" w:color="auto" w:sz="4" w:space="0"/>
              <w:left w:val="single" w:color="auto" w:sz="4" w:space="0"/>
              <w:bottom w:val="single" w:color="auto" w:sz="4" w:space="0"/>
              <w:right w:val="single" w:color="auto" w:sz="4" w:space="0"/>
            </w:tcBorders>
            <w:vAlign w:val="center"/>
          </w:tcPr>
          <w:p w14:paraId="34CBDD96">
            <w:pPr>
              <w:autoSpaceDE w:val="0"/>
              <w:autoSpaceDN w:val="0"/>
              <w:adjustRightInd w:val="0"/>
              <w:spacing w:line="360" w:lineRule="auto"/>
              <w:rPr>
                <w:rFonts w:hint="default" w:ascii="Times New Roman" w:hAnsi="Times New Roman" w:eastAsia="宋体" w:cs="Times New Roman"/>
                <w:b/>
                <w:bCs/>
                <w:sz w:val="24"/>
                <w:szCs w:val="24"/>
                <w:highlight w:val="none"/>
                <w:lang w:val="zh-CN"/>
              </w:rPr>
            </w:pPr>
            <w:r>
              <w:rPr>
                <w:rFonts w:hint="default" w:ascii="Times New Roman" w:hAnsi="Times New Roman" w:eastAsia="宋体" w:cs="Times New Roman"/>
                <w:b/>
                <w:bCs/>
                <w:sz w:val="24"/>
                <w:szCs w:val="24"/>
                <w:highlight w:val="none"/>
                <w:lang w:val="zh-CN"/>
              </w:rPr>
              <w:t>★15.1投标文件数量：</w:t>
            </w:r>
          </w:p>
          <w:p w14:paraId="72F7B39B">
            <w:pPr>
              <w:autoSpaceDE w:val="0"/>
              <w:autoSpaceDN w:val="0"/>
              <w:adjustRightInd w:val="0"/>
              <w:spacing w:line="360" w:lineRule="auto"/>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lang w:val="zh-CN"/>
              </w:rPr>
              <w:t>投标文件：正本：</w:t>
            </w:r>
            <w:r>
              <w:rPr>
                <w:rFonts w:hint="default" w:ascii="Times New Roman" w:hAnsi="Times New Roman" w:eastAsia="宋体" w:cs="Times New Roman"/>
                <w:b/>
                <w:bCs/>
                <w:sz w:val="24"/>
                <w:szCs w:val="24"/>
                <w:highlight w:val="none"/>
                <w:u w:val="single"/>
              </w:rPr>
              <w:t>1</w:t>
            </w:r>
            <w:r>
              <w:rPr>
                <w:rFonts w:hint="default" w:ascii="Times New Roman" w:hAnsi="Times New Roman" w:eastAsia="宋体" w:cs="Times New Roman"/>
                <w:b/>
                <w:bCs/>
                <w:sz w:val="24"/>
                <w:szCs w:val="24"/>
                <w:highlight w:val="none"/>
                <w:lang w:val="zh-CN"/>
              </w:rPr>
              <w:t>份</w:t>
            </w:r>
          </w:p>
          <w:p w14:paraId="583A4627">
            <w:pPr>
              <w:autoSpaceDE w:val="0"/>
              <w:autoSpaceDN w:val="0"/>
              <w:adjustRightInd w:val="0"/>
              <w:spacing w:line="360" w:lineRule="auto"/>
              <w:ind w:firstLine="1200"/>
              <w:rPr>
                <w:rFonts w:hint="default" w:ascii="Times New Roman" w:hAnsi="Times New Roman" w:eastAsia="宋体" w:cs="Times New Roman"/>
                <w:b/>
                <w:bCs/>
                <w:sz w:val="24"/>
                <w:szCs w:val="24"/>
                <w:highlight w:val="none"/>
                <w:lang w:val="zh-CN"/>
              </w:rPr>
            </w:pPr>
            <w:r>
              <w:rPr>
                <w:rFonts w:hint="default" w:ascii="Times New Roman" w:hAnsi="Times New Roman" w:eastAsia="宋体" w:cs="Times New Roman"/>
                <w:b/>
                <w:bCs/>
                <w:sz w:val="24"/>
                <w:szCs w:val="24"/>
                <w:highlight w:val="none"/>
                <w:lang w:val="zh-CN"/>
              </w:rPr>
              <w:t>副本：</w:t>
            </w:r>
            <w:r>
              <w:rPr>
                <w:rFonts w:hint="default" w:ascii="Times New Roman" w:hAnsi="Times New Roman" w:eastAsia="宋体" w:cs="Times New Roman"/>
                <w:b/>
                <w:bCs/>
                <w:sz w:val="24"/>
                <w:szCs w:val="24"/>
                <w:highlight w:val="none"/>
                <w:u w:val="single"/>
                <w:lang w:val="en-US" w:eastAsia="zh-CN"/>
              </w:rPr>
              <w:t>7</w:t>
            </w:r>
            <w:r>
              <w:rPr>
                <w:rFonts w:hint="default" w:ascii="Times New Roman" w:hAnsi="Times New Roman" w:eastAsia="宋体" w:cs="Times New Roman"/>
                <w:b/>
                <w:bCs/>
                <w:sz w:val="24"/>
                <w:szCs w:val="24"/>
                <w:highlight w:val="none"/>
                <w:lang w:val="zh-CN"/>
              </w:rPr>
              <w:t>份</w:t>
            </w:r>
          </w:p>
          <w:p w14:paraId="4D7091D3">
            <w:pPr>
              <w:adjustRightInd w:val="0"/>
              <w:snapToGrid w:val="0"/>
              <w:spacing w:line="360" w:lineRule="auto"/>
              <w:rPr>
                <w:rFonts w:hint="default" w:ascii="Times New Roman" w:hAnsi="Times New Roman" w:eastAsia="宋体" w:cs="Times New Roman"/>
                <w:b/>
                <w:bCs/>
                <w:sz w:val="24"/>
                <w:szCs w:val="24"/>
                <w:highlight w:val="none"/>
                <w:lang w:val="zh-CN"/>
              </w:rPr>
            </w:pPr>
            <w:r>
              <w:rPr>
                <w:rFonts w:hint="default" w:ascii="Times New Roman" w:hAnsi="Times New Roman" w:eastAsia="宋体" w:cs="Times New Roman"/>
                <w:b/>
                <w:bCs/>
                <w:sz w:val="24"/>
                <w:szCs w:val="24"/>
                <w:highlight w:val="none"/>
                <w:lang w:val="zh-CN"/>
              </w:rPr>
              <w:t>电子版：1份。（签字盖章版的正本投标文件的扫描件，PDF格式，与盖章签字版的纸质正本内容一致；U盘或光盘）。</w:t>
            </w:r>
          </w:p>
          <w:p w14:paraId="77D4E281">
            <w:pPr>
              <w:pStyle w:val="27"/>
              <w:ind w:firstLine="0" w:firstLineChars="0"/>
              <w:jc w:val="both"/>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15.</w:t>
            </w:r>
            <w:r>
              <w:rPr>
                <w:rFonts w:hint="default" w:ascii="Times New Roman" w:hAnsi="Times New Roman" w:eastAsia="宋体" w:cs="Times New Roman"/>
                <w:bCs/>
                <w:sz w:val="24"/>
                <w:szCs w:val="24"/>
                <w:highlight w:val="none"/>
                <w:lang w:val="zh-CN"/>
              </w:rPr>
              <w:t>2</w:t>
            </w:r>
            <w:r>
              <w:rPr>
                <w:rFonts w:hint="default" w:ascii="Times New Roman" w:hAnsi="Times New Roman" w:eastAsia="宋体" w:cs="Times New Roman"/>
                <w:bCs/>
                <w:sz w:val="24"/>
                <w:szCs w:val="24"/>
                <w:highlight w:val="none"/>
              </w:rPr>
              <w:t>所有纸质版投标文件</w:t>
            </w:r>
            <w:r>
              <w:rPr>
                <w:rFonts w:hint="default" w:ascii="Times New Roman" w:hAnsi="Times New Roman" w:eastAsia="宋体" w:cs="Times New Roman"/>
                <w:bCs/>
                <w:sz w:val="24"/>
                <w:szCs w:val="24"/>
                <w:highlight w:val="none"/>
                <w:lang w:val="zh-CN"/>
              </w:rPr>
              <w:t>建议</w:t>
            </w:r>
            <w:r>
              <w:rPr>
                <w:rFonts w:hint="default" w:ascii="Times New Roman" w:hAnsi="Times New Roman" w:eastAsia="宋体" w:cs="Times New Roman"/>
                <w:bCs/>
                <w:sz w:val="24"/>
                <w:szCs w:val="24"/>
                <w:highlight w:val="none"/>
              </w:rPr>
              <w:t>采用左侧书本方式装订，装订应牢固、不易拆散和换页。</w:t>
            </w:r>
          </w:p>
          <w:p w14:paraId="5D601B9A">
            <w:pPr>
              <w:pStyle w:val="27"/>
              <w:ind w:firstLine="0" w:firstLineChars="0"/>
              <w:jc w:val="both"/>
              <w:rPr>
                <w:rFonts w:hint="default" w:ascii="Times New Roman" w:hAnsi="Times New Roman" w:eastAsia="宋体" w:cs="Times New Roman"/>
                <w:sz w:val="24"/>
                <w:szCs w:val="24"/>
                <w:highlight w:val="none"/>
                <w:lang w:val="zh-CN"/>
              </w:rPr>
            </w:pPr>
            <w:r>
              <w:rPr>
                <w:rFonts w:hint="default" w:ascii="Times New Roman" w:hAnsi="Times New Roman" w:eastAsia="宋体" w:cs="Times New Roman"/>
                <w:bCs/>
                <w:sz w:val="24"/>
                <w:szCs w:val="24"/>
                <w:highlight w:val="none"/>
              </w:rPr>
              <w:t>15.</w:t>
            </w:r>
            <w:r>
              <w:rPr>
                <w:rFonts w:hint="default" w:ascii="Times New Roman" w:hAnsi="Times New Roman" w:eastAsia="宋体" w:cs="Times New Roman"/>
                <w:bCs/>
                <w:sz w:val="24"/>
                <w:szCs w:val="24"/>
                <w:highlight w:val="none"/>
                <w:lang w:val="zh-CN"/>
              </w:rPr>
              <w:t>3</w:t>
            </w:r>
            <w:r>
              <w:rPr>
                <w:rFonts w:hint="default" w:ascii="Times New Roman" w:hAnsi="Times New Roman" w:eastAsia="宋体" w:cs="Times New Roman"/>
                <w:bCs/>
                <w:sz w:val="24"/>
                <w:szCs w:val="24"/>
                <w:highlight w:val="none"/>
              </w:rPr>
              <w:t>为节约资源，建议纸质版投标文件双面打印。</w:t>
            </w:r>
          </w:p>
        </w:tc>
      </w:tr>
      <w:tr w14:paraId="1B2115A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8" w:hRule="atLeast"/>
        </w:trPr>
        <w:tc>
          <w:tcPr>
            <w:tcW w:w="1134" w:type="dxa"/>
            <w:tcBorders>
              <w:top w:val="single" w:color="auto" w:sz="4" w:space="0"/>
              <w:left w:val="single" w:color="auto" w:sz="4" w:space="0"/>
              <w:bottom w:val="single" w:color="auto" w:sz="4" w:space="0"/>
              <w:right w:val="single" w:color="auto" w:sz="4" w:space="0"/>
            </w:tcBorders>
            <w:vAlign w:val="center"/>
          </w:tcPr>
          <w:p w14:paraId="3C35B4B5">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16</w:t>
            </w:r>
          </w:p>
        </w:tc>
        <w:tc>
          <w:tcPr>
            <w:tcW w:w="7655" w:type="dxa"/>
            <w:tcBorders>
              <w:top w:val="single" w:color="auto" w:sz="4" w:space="0"/>
              <w:left w:val="single" w:color="auto" w:sz="4" w:space="0"/>
              <w:bottom w:val="single" w:color="auto" w:sz="4" w:space="0"/>
              <w:right w:val="single" w:color="auto" w:sz="4" w:space="0"/>
            </w:tcBorders>
            <w:vAlign w:val="center"/>
          </w:tcPr>
          <w:p w14:paraId="0CCF3F3A">
            <w:pPr>
              <w:tabs>
                <w:tab w:val="left" w:pos="735"/>
                <w:tab w:val="left" w:pos="1254"/>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投标文件的密封和标记：</w:t>
            </w:r>
          </w:p>
          <w:p w14:paraId="1023DB8D">
            <w:pPr>
              <w:tabs>
                <w:tab w:val="left" w:pos="735"/>
                <w:tab w:val="left" w:pos="1254"/>
              </w:tabs>
              <w:spacing w:line="360" w:lineRule="auto"/>
              <w:rPr>
                <w:rFonts w:hint="default" w:ascii="Times New Roman" w:hAnsi="Times New Roman" w:eastAsia="宋体" w:cs="Times New Roman"/>
                <w:bCs/>
                <w:sz w:val="24"/>
                <w:szCs w:val="24"/>
                <w:highlight w:val="none"/>
                <w:lang w:val="zh-CN"/>
              </w:rPr>
            </w:pPr>
            <w:r>
              <w:rPr>
                <w:rFonts w:hint="default" w:ascii="Times New Roman" w:hAnsi="Times New Roman" w:eastAsia="宋体" w:cs="Times New Roman"/>
                <w:bCs/>
                <w:sz w:val="24"/>
                <w:szCs w:val="24"/>
                <w:highlight w:val="none"/>
              </w:rPr>
              <w:t>16</w:t>
            </w:r>
            <w:r>
              <w:rPr>
                <w:rFonts w:hint="default" w:ascii="Times New Roman" w:hAnsi="Times New Roman" w:eastAsia="宋体" w:cs="Times New Roman"/>
                <w:bCs/>
                <w:sz w:val="24"/>
                <w:szCs w:val="24"/>
                <w:highlight w:val="none"/>
                <w:lang w:val="zh-CN"/>
              </w:rPr>
              <w:t>.1全部投标文件须1式</w:t>
            </w:r>
            <w:r>
              <w:rPr>
                <w:rFonts w:hint="default" w:ascii="Times New Roman" w:hAnsi="Times New Roman" w:eastAsia="宋体" w:cs="Times New Roman"/>
                <w:bCs/>
                <w:sz w:val="24"/>
                <w:szCs w:val="24"/>
                <w:highlight w:val="none"/>
                <w:lang w:val="en-US" w:eastAsia="zh-CN"/>
              </w:rPr>
              <w:t>8</w:t>
            </w:r>
            <w:r>
              <w:rPr>
                <w:rFonts w:hint="default" w:ascii="Times New Roman" w:hAnsi="Times New Roman" w:eastAsia="宋体" w:cs="Times New Roman"/>
                <w:bCs/>
                <w:sz w:val="24"/>
                <w:szCs w:val="24"/>
                <w:highlight w:val="none"/>
                <w:lang w:val="zh-CN"/>
              </w:rPr>
              <w:t>份，正本</w:t>
            </w:r>
            <w:r>
              <w:rPr>
                <w:rFonts w:hint="default" w:ascii="Times New Roman" w:hAnsi="Times New Roman" w:eastAsia="宋体" w:cs="Times New Roman"/>
                <w:bCs/>
                <w:sz w:val="24"/>
                <w:szCs w:val="24"/>
                <w:highlight w:val="none"/>
              </w:rPr>
              <w:t>1</w:t>
            </w:r>
            <w:r>
              <w:rPr>
                <w:rFonts w:hint="default" w:ascii="Times New Roman" w:hAnsi="Times New Roman" w:eastAsia="宋体" w:cs="Times New Roman"/>
                <w:bCs/>
                <w:sz w:val="24"/>
                <w:szCs w:val="24"/>
                <w:highlight w:val="none"/>
                <w:lang w:val="zh-CN"/>
              </w:rPr>
              <w:t>份，副本</w:t>
            </w:r>
            <w:r>
              <w:rPr>
                <w:rFonts w:hint="default" w:ascii="Times New Roman" w:hAnsi="Times New Roman" w:eastAsia="宋体" w:cs="Times New Roman"/>
                <w:bCs/>
                <w:sz w:val="24"/>
                <w:szCs w:val="24"/>
                <w:highlight w:val="none"/>
                <w:lang w:val="en-US" w:eastAsia="zh-CN"/>
              </w:rPr>
              <w:t>7</w:t>
            </w:r>
            <w:r>
              <w:rPr>
                <w:rFonts w:hint="default" w:ascii="Times New Roman" w:hAnsi="Times New Roman" w:eastAsia="宋体" w:cs="Times New Roman"/>
                <w:bCs/>
                <w:sz w:val="24"/>
                <w:szCs w:val="24"/>
                <w:highlight w:val="none"/>
                <w:lang w:val="zh-CN"/>
              </w:rPr>
              <w:t>份，并注明“正本”和“副本”；投标文件电子版1份（PDF版本，U盘或光盘形式，不留密码，无病毒，内容应与投标人打印产生的纸质正本投标文件内容一致，如有不同，以纸质正本投标文件为准）；唱标信封1份（内含：投标一览表、投标保证金付款凭证截图/投标保证金的银行保函）。如果正本与副本不符，应以正本为准。投标文件应由投标人的合法授权代表正式签署，任何更改（如有）应由原签署人签字。</w:t>
            </w:r>
          </w:p>
          <w:p w14:paraId="374D6619">
            <w:pPr>
              <w:spacing w:line="360" w:lineRule="auto"/>
              <w:rPr>
                <w:rFonts w:hint="default" w:ascii="Times New Roman" w:hAnsi="Times New Roman" w:eastAsia="宋体" w:cs="Times New Roman"/>
                <w:bCs/>
                <w:color w:val="0C0C0C"/>
                <w:sz w:val="24"/>
                <w:szCs w:val="24"/>
                <w:highlight w:val="none"/>
              </w:rPr>
            </w:pPr>
            <w:r>
              <w:rPr>
                <w:rFonts w:hint="default" w:ascii="Times New Roman" w:hAnsi="Times New Roman" w:eastAsia="宋体" w:cs="Times New Roman"/>
                <w:bCs/>
                <w:color w:val="0C0C0C"/>
                <w:sz w:val="24"/>
                <w:szCs w:val="24"/>
                <w:highlight w:val="none"/>
              </w:rPr>
              <w:t>16.2</w:t>
            </w:r>
            <w:r>
              <w:rPr>
                <w:rFonts w:hint="default" w:ascii="Times New Roman" w:hAnsi="Times New Roman" w:eastAsia="宋体" w:cs="Times New Roman"/>
                <w:b/>
                <w:color w:val="0C0C0C"/>
                <w:sz w:val="24"/>
                <w:szCs w:val="24"/>
                <w:highlight w:val="none"/>
              </w:rPr>
              <w:t>所有投标文件必须封入密封的信封或包装，在封口处加盖投标人的公章或由法定代表人（或授权代表）签字或加盖法定代表人人名章。投标文件的①正本（正本里须含投标一览表）、②副本、③唱标信封（内含：投标一览表、投标保证金付款凭证截图/投标保证金的银行保函）、④电子版应分别封装。</w:t>
            </w:r>
            <w:r>
              <w:rPr>
                <w:rFonts w:hint="default" w:ascii="Times New Roman" w:hAnsi="Times New Roman" w:eastAsia="宋体" w:cs="Times New Roman"/>
                <w:bCs/>
                <w:color w:val="0C0C0C"/>
                <w:sz w:val="24"/>
                <w:szCs w:val="24"/>
                <w:highlight w:val="none"/>
              </w:rPr>
              <w:t>采购代理机构对不可抗力事件造成的投标文件的损坏、丢失不承担任何责任。</w:t>
            </w:r>
          </w:p>
          <w:p w14:paraId="62675734">
            <w:pPr>
              <w:spacing w:line="360" w:lineRule="auto"/>
              <w:rPr>
                <w:rFonts w:hint="default" w:ascii="Times New Roman" w:hAnsi="Times New Roman" w:eastAsia="宋体" w:cs="Times New Roman"/>
                <w:b/>
                <w:color w:val="0C0C0C"/>
                <w:sz w:val="24"/>
                <w:szCs w:val="24"/>
                <w:highlight w:val="none"/>
              </w:rPr>
            </w:pPr>
            <w:r>
              <w:rPr>
                <w:rFonts w:hint="default" w:ascii="Times New Roman" w:hAnsi="Times New Roman" w:eastAsia="宋体" w:cs="Times New Roman"/>
                <w:bCs/>
                <w:color w:val="0C0C0C"/>
                <w:sz w:val="24"/>
                <w:szCs w:val="24"/>
                <w:highlight w:val="none"/>
              </w:rPr>
              <w:t>16.3</w:t>
            </w:r>
            <w:r>
              <w:rPr>
                <w:rFonts w:hint="default" w:ascii="Times New Roman" w:hAnsi="Times New Roman" w:eastAsia="宋体" w:cs="Times New Roman"/>
                <w:b/>
                <w:color w:val="0C0C0C"/>
                <w:sz w:val="24"/>
                <w:szCs w:val="24"/>
                <w:highlight w:val="none"/>
              </w:rPr>
              <w:t>密封袋上应当至少载明以下信息：</w:t>
            </w:r>
          </w:p>
          <w:p w14:paraId="1E94958C">
            <w:pPr>
              <w:spacing w:line="360" w:lineRule="auto"/>
              <w:ind w:left="723" w:hanging="723" w:hangingChars="300"/>
              <w:rPr>
                <w:rFonts w:hint="default" w:ascii="Times New Roman" w:hAnsi="Times New Roman" w:eastAsia="宋体" w:cs="Times New Roman"/>
                <w:b/>
                <w:color w:val="0C0C0C"/>
                <w:sz w:val="24"/>
                <w:szCs w:val="24"/>
                <w:highlight w:val="none"/>
              </w:rPr>
            </w:pPr>
            <w:r>
              <w:rPr>
                <w:rFonts w:hint="default" w:ascii="Times New Roman" w:hAnsi="Times New Roman" w:eastAsia="宋体" w:cs="Times New Roman"/>
                <w:b/>
                <w:color w:val="0C0C0C"/>
                <w:sz w:val="24"/>
                <w:szCs w:val="24"/>
                <w:highlight w:val="none"/>
              </w:rPr>
              <w:t>项目名称、招标编号（项目编号）、正本/副本/电子版/投标一</w:t>
            </w:r>
          </w:p>
          <w:p w14:paraId="7A683D9B">
            <w:pPr>
              <w:spacing w:line="360" w:lineRule="auto"/>
              <w:ind w:left="723" w:hanging="723" w:hangingChars="300"/>
              <w:rPr>
                <w:rFonts w:hint="default" w:ascii="Times New Roman" w:hAnsi="Times New Roman" w:eastAsia="宋体" w:cs="Times New Roman"/>
                <w:b/>
                <w:color w:val="0C0C0C"/>
                <w:sz w:val="24"/>
                <w:szCs w:val="24"/>
                <w:highlight w:val="none"/>
              </w:rPr>
            </w:pPr>
            <w:r>
              <w:rPr>
                <w:rFonts w:hint="default" w:ascii="Times New Roman" w:hAnsi="Times New Roman" w:eastAsia="宋体" w:cs="Times New Roman"/>
                <w:b/>
                <w:color w:val="0C0C0C"/>
                <w:sz w:val="24"/>
                <w:szCs w:val="24"/>
                <w:highlight w:val="none"/>
              </w:rPr>
              <w:t>览表、投标人名称、投标人地址、</w:t>
            </w:r>
          </w:p>
          <w:p w14:paraId="3136E88B">
            <w:pPr>
              <w:spacing w:line="360" w:lineRule="auto"/>
              <w:ind w:left="723" w:hanging="723" w:hangingChars="300"/>
              <w:rPr>
                <w:rFonts w:hint="default" w:ascii="Times New Roman" w:hAnsi="Times New Roman" w:eastAsia="宋体" w:cs="Times New Roman"/>
                <w:b/>
                <w:color w:val="0C0C0C"/>
                <w:sz w:val="24"/>
                <w:szCs w:val="24"/>
                <w:highlight w:val="none"/>
              </w:rPr>
            </w:pPr>
            <w:r>
              <w:rPr>
                <w:rFonts w:hint="default" w:ascii="Times New Roman" w:hAnsi="Times New Roman" w:eastAsia="宋体" w:cs="Times New Roman"/>
                <w:b/>
                <w:color w:val="0C0C0C"/>
                <w:sz w:val="24"/>
                <w:szCs w:val="24"/>
                <w:highlight w:val="none"/>
              </w:rPr>
              <w:t>“在  年  月  日  时  分（开标时间）前不得开启”字样。</w:t>
            </w:r>
          </w:p>
          <w:p w14:paraId="28CFF9C5">
            <w:pPr>
              <w:spacing w:line="360" w:lineRule="auto"/>
              <w:rPr>
                <w:rFonts w:hint="default" w:ascii="Times New Roman" w:hAnsi="Times New Roman" w:eastAsia="宋体" w:cs="Times New Roman"/>
                <w:bCs/>
                <w:color w:val="0C0C0C"/>
                <w:sz w:val="24"/>
                <w:szCs w:val="24"/>
                <w:highlight w:val="none"/>
              </w:rPr>
            </w:pPr>
            <w:r>
              <w:rPr>
                <w:rFonts w:hint="default" w:ascii="Times New Roman" w:hAnsi="Times New Roman" w:eastAsia="宋体" w:cs="Times New Roman"/>
                <w:bCs/>
                <w:color w:val="0C0C0C"/>
                <w:sz w:val="24"/>
                <w:szCs w:val="24"/>
                <w:highlight w:val="none"/>
              </w:rPr>
              <w:t>16.4投标文件正本与副本应采用胶装左侧固定方式，分别装订成册并编制目录。不得采用活页夹等随时拆换的方式装订，不得有零散页。应当按照采购文件要求，在投标文件正本的规定位置加盖公章，副本可为正本的复印件。</w:t>
            </w:r>
            <w:r>
              <w:rPr>
                <w:rFonts w:hint="default" w:ascii="Times New Roman" w:hAnsi="Times New Roman" w:eastAsia="宋体" w:cs="Times New Roman"/>
                <w:b/>
                <w:color w:val="0C0C0C"/>
                <w:sz w:val="24"/>
                <w:szCs w:val="24"/>
                <w:highlight w:val="none"/>
              </w:rPr>
              <w:t>正本和副本封面应清晰标记“正本”或“副本”字样。</w:t>
            </w:r>
            <w:r>
              <w:rPr>
                <w:rFonts w:hint="default" w:ascii="Times New Roman" w:hAnsi="Times New Roman" w:eastAsia="宋体" w:cs="Times New Roman"/>
                <w:bCs/>
                <w:color w:val="0C0C0C"/>
                <w:sz w:val="24"/>
                <w:szCs w:val="24"/>
                <w:highlight w:val="none"/>
              </w:rPr>
              <w:t>投标人应当在投标文件加盖与当事人名称全称相一致的标准公章。正本和副本分别封入密封的信封或包装，加贴封条，</w:t>
            </w:r>
            <w:r>
              <w:rPr>
                <w:rFonts w:hint="default" w:ascii="Times New Roman" w:hAnsi="Times New Roman" w:eastAsia="宋体" w:cs="Times New Roman"/>
                <w:sz w:val="24"/>
                <w:szCs w:val="24"/>
                <w:highlight w:val="none"/>
              </w:rPr>
              <w:t>封套封口处加盖投标人单位公章，或由法定代表人（或授权代表）签字，或加盖法定代表人人名章</w:t>
            </w:r>
            <w:r>
              <w:rPr>
                <w:rFonts w:hint="default" w:ascii="Times New Roman" w:hAnsi="Times New Roman" w:eastAsia="宋体" w:cs="Times New Roman"/>
                <w:bCs/>
                <w:color w:val="0C0C0C"/>
                <w:sz w:val="24"/>
                <w:szCs w:val="24"/>
                <w:highlight w:val="none"/>
              </w:rPr>
              <w:t>。</w:t>
            </w:r>
          </w:p>
          <w:p w14:paraId="0CD5C993">
            <w:pPr>
              <w:adjustRightInd w:val="0"/>
              <w:snapToGrid w:val="0"/>
              <w:spacing w:line="360" w:lineRule="auto"/>
              <w:rPr>
                <w:rFonts w:hint="default" w:ascii="Times New Roman" w:hAnsi="Times New Roman" w:eastAsia="宋体" w:cs="Times New Roman"/>
                <w:bCs/>
                <w:color w:val="0C0C0C"/>
                <w:sz w:val="24"/>
                <w:szCs w:val="24"/>
                <w:highlight w:val="none"/>
              </w:rPr>
            </w:pPr>
            <w:r>
              <w:rPr>
                <w:rFonts w:hint="default" w:ascii="Times New Roman" w:hAnsi="Times New Roman" w:eastAsia="宋体" w:cs="Times New Roman"/>
                <w:bCs/>
                <w:color w:val="0C0C0C"/>
                <w:sz w:val="24"/>
                <w:szCs w:val="24"/>
                <w:highlight w:val="none"/>
              </w:rPr>
              <w:t>16.5</w:t>
            </w:r>
            <w:r>
              <w:rPr>
                <w:rFonts w:hint="default" w:ascii="Times New Roman" w:hAnsi="Times New Roman" w:eastAsia="宋体" w:cs="Times New Roman"/>
                <w:b/>
                <w:color w:val="0C0C0C"/>
                <w:sz w:val="24"/>
                <w:szCs w:val="24"/>
                <w:highlight w:val="none"/>
              </w:rPr>
              <w:t>投标文件电子版密封方式：单独放入一个密封袋中，加贴封条，并标记“电子版”字样</w:t>
            </w:r>
            <w:r>
              <w:rPr>
                <w:rFonts w:hint="default" w:ascii="Times New Roman" w:hAnsi="Times New Roman" w:eastAsia="宋体" w:cs="Times New Roman"/>
                <w:bCs/>
                <w:color w:val="0C0C0C"/>
                <w:sz w:val="24"/>
                <w:szCs w:val="24"/>
                <w:highlight w:val="none"/>
              </w:rPr>
              <w:t>。密封袋上还应写明的内容与投标人须知资料表16.3条款所要求一致。</w:t>
            </w:r>
            <w:r>
              <w:rPr>
                <w:rFonts w:hint="default" w:ascii="Times New Roman" w:hAnsi="Times New Roman" w:eastAsia="宋体" w:cs="Times New Roman"/>
                <w:sz w:val="24"/>
                <w:szCs w:val="24"/>
                <w:highlight w:val="none"/>
              </w:rPr>
              <w:t>封套封口处加盖投标人单位公章，或由法定代表人（或授权代表）签字，或加盖法定代表人人名章</w:t>
            </w:r>
            <w:r>
              <w:rPr>
                <w:rFonts w:hint="default" w:ascii="Times New Roman" w:hAnsi="Times New Roman" w:eastAsia="宋体" w:cs="Times New Roman"/>
                <w:bCs/>
                <w:color w:val="0C0C0C"/>
                <w:sz w:val="24"/>
                <w:szCs w:val="24"/>
                <w:highlight w:val="none"/>
              </w:rPr>
              <w:t>。</w:t>
            </w:r>
          </w:p>
          <w:p w14:paraId="728EB195">
            <w:pPr>
              <w:adjustRightInd w:val="0"/>
              <w:snapToGrid w:val="0"/>
              <w:spacing w:line="360" w:lineRule="auto"/>
              <w:rPr>
                <w:rFonts w:hint="default" w:ascii="Times New Roman" w:hAnsi="Times New Roman" w:eastAsia="宋体" w:cs="Times New Roman"/>
                <w:bCs/>
                <w:color w:val="0C0C0C"/>
                <w:sz w:val="24"/>
                <w:szCs w:val="24"/>
                <w:highlight w:val="none"/>
              </w:rPr>
            </w:pPr>
            <w:r>
              <w:rPr>
                <w:rFonts w:hint="default" w:ascii="Times New Roman" w:hAnsi="Times New Roman" w:eastAsia="宋体" w:cs="Times New Roman"/>
                <w:bCs/>
                <w:color w:val="0C0C0C"/>
                <w:sz w:val="24"/>
                <w:szCs w:val="24"/>
                <w:highlight w:val="none"/>
              </w:rPr>
              <w:t>16.6</w:t>
            </w:r>
            <w:r>
              <w:rPr>
                <w:rFonts w:hint="default" w:ascii="Times New Roman" w:hAnsi="Times New Roman" w:eastAsia="宋体" w:cs="Times New Roman"/>
                <w:b/>
                <w:color w:val="0C0C0C"/>
                <w:sz w:val="24"/>
                <w:szCs w:val="24"/>
                <w:highlight w:val="none"/>
              </w:rPr>
              <w:t>唱标信封密封方式：投标一览表、投标保证金付款凭证截图/投标保证金的银行保函一同单独放入一个密封袋中，加贴封条，并标记“投标一览表”字样。</w:t>
            </w:r>
            <w:r>
              <w:rPr>
                <w:rFonts w:hint="default" w:ascii="Times New Roman" w:hAnsi="Times New Roman" w:eastAsia="宋体" w:cs="Times New Roman"/>
                <w:bCs/>
                <w:color w:val="0C0C0C"/>
                <w:sz w:val="24"/>
                <w:szCs w:val="24"/>
                <w:highlight w:val="none"/>
              </w:rPr>
              <w:t>密封袋上还应写明的内容与投标人须知资料表16.3条款所要求一致。</w:t>
            </w:r>
            <w:r>
              <w:rPr>
                <w:rFonts w:hint="default" w:ascii="Times New Roman" w:hAnsi="Times New Roman" w:eastAsia="宋体" w:cs="Times New Roman"/>
                <w:sz w:val="24"/>
                <w:szCs w:val="24"/>
                <w:highlight w:val="none"/>
              </w:rPr>
              <w:t>封套封口处加盖投标人单位公章，或由法定代表人（或授权代表）签字，或加盖法定代表人人名章</w:t>
            </w:r>
            <w:r>
              <w:rPr>
                <w:rFonts w:hint="default" w:ascii="Times New Roman" w:hAnsi="Times New Roman" w:eastAsia="宋体" w:cs="Times New Roman"/>
                <w:bCs/>
                <w:color w:val="0C0C0C"/>
                <w:sz w:val="24"/>
                <w:szCs w:val="24"/>
                <w:highlight w:val="none"/>
              </w:rPr>
              <w:t>。</w:t>
            </w:r>
          </w:p>
          <w:p w14:paraId="4F90B4C6">
            <w:pPr>
              <w:pStyle w:val="27"/>
              <w:ind w:firstLine="0" w:firstLineChars="0"/>
              <w:jc w:val="both"/>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★16.7若投标人使用其它（如带有“**专用章”等字样）的印章，则必须提供关于使用其它印章与公章同等法律效力的授权说明文件并加盖公章，否则将被视为无效响应。</w:t>
            </w:r>
          </w:p>
        </w:tc>
      </w:tr>
      <w:tr w14:paraId="21F88AB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9" w:hRule="atLeast"/>
        </w:trPr>
        <w:tc>
          <w:tcPr>
            <w:tcW w:w="1134" w:type="dxa"/>
            <w:tcBorders>
              <w:top w:val="single" w:color="auto" w:sz="4" w:space="0"/>
              <w:left w:val="single" w:color="auto" w:sz="4" w:space="0"/>
              <w:bottom w:val="single" w:color="auto" w:sz="4" w:space="0"/>
              <w:right w:val="single" w:color="auto" w:sz="4" w:space="0"/>
            </w:tcBorders>
            <w:vAlign w:val="center"/>
          </w:tcPr>
          <w:p w14:paraId="1A42D09B">
            <w:pPr>
              <w:autoSpaceDE w:val="0"/>
              <w:autoSpaceDN w:val="0"/>
              <w:adjustRightInd w:val="0"/>
              <w:spacing w:line="360" w:lineRule="auto"/>
              <w:ind w:firstLine="240" w:firstLineChars="100"/>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17</w:t>
            </w:r>
          </w:p>
        </w:tc>
        <w:tc>
          <w:tcPr>
            <w:tcW w:w="7655" w:type="dxa"/>
            <w:tcBorders>
              <w:top w:val="single" w:color="auto" w:sz="4" w:space="0"/>
              <w:left w:val="single" w:color="auto" w:sz="4" w:space="0"/>
              <w:bottom w:val="single" w:color="auto" w:sz="4" w:space="0"/>
              <w:right w:val="single" w:color="auto" w:sz="4" w:space="0"/>
            </w:tcBorders>
            <w:vAlign w:val="center"/>
          </w:tcPr>
          <w:p w14:paraId="200EECFC">
            <w:pPr>
              <w:autoSpaceDE w:val="0"/>
              <w:autoSpaceDN w:val="0"/>
              <w:adjustRightInd w:val="0"/>
              <w:spacing w:line="360" w:lineRule="auto"/>
              <w:rPr>
                <w:rFonts w:hint="default" w:ascii="Times New Roman" w:hAnsi="Times New Roman" w:eastAsia="宋体" w:cs="Times New Roman"/>
                <w:bCs/>
                <w:kern w:val="0"/>
                <w:sz w:val="24"/>
                <w:szCs w:val="24"/>
                <w:highlight w:val="none"/>
                <w:lang w:val="zh-CN"/>
              </w:rPr>
            </w:pPr>
            <w:r>
              <w:rPr>
                <w:rFonts w:hint="default" w:ascii="Times New Roman" w:hAnsi="Times New Roman" w:eastAsia="宋体" w:cs="Times New Roman"/>
                <w:kern w:val="0"/>
                <w:sz w:val="24"/>
                <w:szCs w:val="24"/>
                <w:highlight w:val="none"/>
              </w:rPr>
              <w:t>现场递交</w:t>
            </w:r>
            <w:r>
              <w:rPr>
                <w:rFonts w:hint="default" w:ascii="Times New Roman" w:hAnsi="Times New Roman" w:eastAsia="宋体" w:cs="Times New Roman"/>
                <w:kern w:val="0"/>
                <w:sz w:val="24"/>
                <w:szCs w:val="24"/>
                <w:highlight w:val="none"/>
                <w:lang w:val="zh-CN"/>
              </w:rPr>
              <w:t>投标</w:t>
            </w:r>
            <w:r>
              <w:rPr>
                <w:rFonts w:hint="default" w:ascii="Times New Roman" w:hAnsi="Times New Roman" w:eastAsia="宋体" w:cs="Times New Roman"/>
                <w:kern w:val="0"/>
                <w:sz w:val="24"/>
                <w:szCs w:val="24"/>
                <w:highlight w:val="none"/>
              </w:rPr>
              <w:t>文件</w:t>
            </w:r>
            <w:r>
              <w:rPr>
                <w:rFonts w:hint="default" w:ascii="Times New Roman" w:hAnsi="Times New Roman" w:eastAsia="宋体" w:cs="Times New Roman"/>
                <w:kern w:val="0"/>
                <w:sz w:val="24"/>
                <w:szCs w:val="24"/>
                <w:highlight w:val="none"/>
                <w:lang w:val="zh-CN"/>
              </w:rPr>
              <w:t>时，</w:t>
            </w:r>
            <w:r>
              <w:rPr>
                <w:rFonts w:hint="default" w:ascii="Times New Roman" w:hAnsi="Times New Roman" w:eastAsia="宋体" w:cs="Times New Roman"/>
                <w:kern w:val="0"/>
                <w:sz w:val="24"/>
                <w:szCs w:val="24"/>
                <w:highlight w:val="none"/>
              </w:rPr>
              <w:t>应</w:t>
            </w:r>
            <w:r>
              <w:rPr>
                <w:rFonts w:hint="default" w:ascii="Times New Roman" w:hAnsi="Times New Roman" w:eastAsia="宋体" w:cs="Times New Roman"/>
                <w:kern w:val="0"/>
                <w:sz w:val="24"/>
                <w:szCs w:val="24"/>
                <w:highlight w:val="none"/>
                <w:lang w:val="zh-CN"/>
              </w:rPr>
              <w:t>于开标</w:t>
            </w:r>
            <w:r>
              <w:rPr>
                <w:rFonts w:hint="default" w:ascii="Times New Roman" w:hAnsi="Times New Roman" w:eastAsia="宋体" w:cs="Times New Roman"/>
                <w:kern w:val="0"/>
                <w:sz w:val="24"/>
                <w:szCs w:val="24"/>
                <w:highlight w:val="none"/>
              </w:rPr>
              <w:t>时间</w:t>
            </w:r>
            <w:r>
              <w:rPr>
                <w:rFonts w:hint="default" w:ascii="Times New Roman" w:hAnsi="Times New Roman" w:eastAsia="宋体" w:cs="Times New Roman"/>
                <w:kern w:val="0"/>
                <w:sz w:val="24"/>
                <w:szCs w:val="24"/>
                <w:highlight w:val="none"/>
                <w:lang w:val="zh-CN"/>
              </w:rPr>
              <w:t>前到达开标现场。</w:t>
            </w:r>
          </w:p>
        </w:tc>
      </w:tr>
      <w:tr w14:paraId="37C3021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8" w:hRule="atLeast"/>
        </w:trPr>
        <w:tc>
          <w:tcPr>
            <w:tcW w:w="1134" w:type="dxa"/>
            <w:tcBorders>
              <w:top w:val="single" w:color="auto" w:sz="4" w:space="0"/>
              <w:left w:val="single" w:color="auto" w:sz="4" w:space="0"/>
              <w:bottom w:val="single" w:color="auto" w:sz="4" w:space="0"/>
              <w:right w:val="single" w:color="auto" w:sz="4" w:space="0"/>
            </w:tcBorders>
            <w:vAlign w:val="center"/>
          </w:tcPr>
          <w:p w14:paraId="6C5E08C3">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18</w:t>
            </w:r>
          </w:p>
        </w:tc>
        <w:tc>
          <w:tcPr>
            <w:tcW w:w="7655" w:type="dxa"/>
            <w:tcBorders>
              <w:top w:val="single" w:color="auto" w:sz="4" w:space="0"/>
              <w:left w:val="single" w:color="auto" w:sz="4" w:space="0"/>
              <w:bottom w:val="single" w:color="auto" w:sz="4" w:space="0"/>
              <w:right w:val="single" w:color="auto" w:sz="4" w:space="0"/>
            </w:tcBorders>
            <w:vAlign w:val="center"/>
          </w:tcPr>
          <w:p w14:paraId="73F5B669">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bCs/>
                <w:kern w:val="0"/>
                <w:sz w:val="24"/>
                <w:szCs w:val="24"/>
                <w:highlight w:val="none"/>
                <w:lang w:val="zh-CN"/>
              </w:rPr>
              <w:t>投标文件递交地点：</w:t>
            </w:r>
            <w:r>
              <w:rPr>
                <w:rFonts w:hint="default" w:ascii="Times New Roman" w:hAnsi="Times New Roman" w:eastAsia="宋体" w:cs="Times New Roman"/>
                <w:kern w:val="0"/>
                <w:sz w:val="24"/>
                <w:szCs w:val="24"/>
                <w:highlight w:val="none"/>
              </w:rPr>
              <w:t>详见“第一章 投标邀请”</w:t>
            </w:r>
          </w:p>
          <w:p w14:paraId="130C5BBA">
            <w:pPr>
              <w:pStyle w:val="27"/>
              <w:ind w:firstLine="0" w:firstLineChars="0"/>
              <w:jc w:val="both"/>
              <w:rPr>
                <w:rFonts w:hint="default" w:ascii="Times New Roman" w:hAnsi="Times New Roman" w:eastAsia="宋体" w:cs="Times New Roman"/>
                <w:sz w:val="24"/>
                <w:szCs w:val="24"/>
                <w:highlight w:val="none"/>
              </w:rPr>
            </w:pPr>
            <w:r>
              <w:rPr>
                <w:rFonts w:hint="default" w:ascii="Times New Roman" w:hAnsi="Times New Roman" w:eastAsia="宋体" w:cs="Times New Roman"/>
                <w:bCs/>
                <w:sz w:val="24"/>
                <w:szCs w:val="24"/>
                <w:highlight w:val="none"/>
                <w:lang w:val="zh-CN"/>
              </w:rPr>
              <w:t>投标文件递交截止时间：</w:t>
            </w:r>
            <w:r>
              <w:rPr>
                <w:rFonts w:hint="default" w:ascii="Times New Roman" w:hAnsi="Times New Roman" w:eastAsia="宋体" w:cs="Times New Roman"/>
                <w:sz w:val="24"/>
                <w:szCs w:val="24"/>
                <w:highlight w:val="none"/>
                <w:lang w:val="zh-CN"/>
              </w:rPr>
              <w:t>详见“第一章 投标邀请”</w:t>
            </w:r>
          </w:p>
        </w:tc>
      </w:tr>
      <w:tr w14:paraId="35E6A83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40" w:hRule="atLeast"/>
        </w:trPr>
        <w:tc>
          <w:tcPr>
            <w:tcW w:w="1134" w:type="dxa"/>
            <w:tcBorders>
              <w:top w:val="single" w:color="auto" w:sz="4" w:space="0"/>
              <w:left w:val="single" w:color="auto" w:sz="4" w:space="0"/>
              <w:bottom w:val="single" w:color="auto" w:sz="4" w:space="0"/>
              <w:right w:val="single" w:color="auto" w:sz="4" w:space="0"/>
            </w:tcBorders>
            <w:vAlign w:val="center"/>
          </w:tcPr>
          <w:p w14:paraId="4E41DA0C">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19</w:t>
            </w:r>
          </w:p>
        </w:tc>
        <w:tc>
          <w:tcPr>
            <w:tcW w:w="7655" w:type="dxa"/>
            <w:tcBorders>
              <w:top w:val="single" w:color="auto" w:sz="4" w:space="0"/>
              <w:left w:val="single" w:color="auto" w:sz="4" w:space="0"/>
              <w:bottom w:val="single" w:color="auto" w:sz="4" w:space="0"/>
              <w:right w:val="single" w:color="auto" w:sz="4" w:space="0"/>
            </w:tcBorders>
            <w:vAlign w:val="center"/>
          </w:tcPr>
          <w:p w14:paraId="7D924BAA">
            <w:pPr>
              <w:autoSpaceDE w:val="0"/>
              <w:autoSpaceDN w:val="0"/>
              <w:adjustRightInd w:val="0"/>
              <w:spacing w:line="360" w:lineRule="auto"/>
              <w:outlineLvl w:val="0"/>
              <w:rPr>
                <w:rFonts w:hint="default" w:ascii="Times New Roman" w:hAnsi="Times New Roman" w:eastAsia="宋体" w:cs="Times New Roman"/>
                <w:bCs/>
                <w:kern w:val="0"/>
                <w:sz w:val="24"/>
                <w:szCs w:val="24"/>
                <w:highlight w:val="none"/>
              </w:rPr>
            </w:pPr>
            <w:r>
              <w:rPr>
                <w:rFonts w:hint="default" w:ascii="Times New Roman" w:hAnsi="Times New Roman" w:eastAsia="宋体" w:cs="Times New Roman"/>
                <w:bCs/>
                <w:kern w:val="0"/>
                <w:sz w:val="24"/>
                <w:szCs w:val="24"/>
                <w:highlight w:val="none"/>
                <w:lang w:val="zh-CN"/>
              </w:rPr>
              <w:t>开标时间：</w:t>
            </w:r>
            <w:r>
              <w:rPr>
                <w:rFonts w:hint="default" w:ascii="Times New Roman" w:hAnsi="Times New Roman" w:eastAsia="宋体" w:cs="Times New Roman"/>
                <w:kern w:val="0"/>
                <w:sz w:val="24"/>
                <w:szCs w:val="24"/>
                <w:highlight w:val="none"/>
                <w:lang w:val="zh-CN"/>
              </w:rPr>
              <w:t>详见“第一章 投标邀请”</w:t>
            </w:r>
          </w:p>
          <w:p w14:paraId="55D2A046">
            <w:pPr>
              <w:autoSpaceDE w:val="0"/>
              <w:autoSpaceDN w:val="0"/>
              <w:adjustRightInd w:val="0"/>
              <w:spacing w:line="360" w:lineRule="auto"/>
              <w:rPr>
                <w:rFonts w:hint="default" w:ascii="Times New Roman" w:hAnsi="Times New Roman" w:eastAsia="宋体" w:cs="Times New Roman"/>
                <w:bCs/>
                <w:kern w:val="0"/>
                <w:sz w:val="24"/>
                <w:szCs w:val="24"/>
                <w:highlight w:val="none"/>
              </w:rPr>
            </w:pPr>
            <w:r>
              <w:rPr>
                <w:rFonts w:hint="default" w:ascii="Times New Roman" w:hAnsi="Times New Roman" w:eastAsia="宋体" w:cs="Times New Roman"/>
                <w:bCs/>
                <w:kern w:val="0"/>
                <w:sz w:val="24"/>
                <w:szCs w:val="24"/>
                <w:highlight w:val="none"/>
                <w:lang w:val="zh-CN"/>
              </w:rPr>
              <w:t>开标地点：</w:t>
            </w:r>
            <w:r>
              <w:rPr>
                <w:rFonts w:hint="default" w:ascii="Times New Roman" w:hAnsi="Times New Roman" w:eastAsia="宋体" w:cs="Times New Roman"/>
                <w:kern w:val="0"/>
                <w:sz w:val="24"/>
                <w:szCs w:val="24"/>
                <w:highlight w:val="none"/>
              </w:rPr>
              <w:t>详见“第一章 投标邀请”</w:t>
            </w:r>
          </w:p>
        </w:tc>
      </w:tr>
      <w:tr w14:paraId="3D811D0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29" w:hRule="atLeast"/>
        </w:trPr>
        <w:tc>
          <w:tcPr>
            <w:tcW w:w="1134" w:type="dxa"/>
            <w:tcBorders>
              <w:top w:val="single" w:color="auto" w:sz="4" w:space="0"/>
              <w:left w:val="single" w:color="auto" w:sz="4" w:space="0"/>
              <w:bottom w:val="single" w:color="auto" w:sz="4" w:space="0"/>
              <w:right w:val="single" w:color="auto" w:sz="4" w:space="0"/>
            </w:tcBorders>
            <w:vAlign w:val="center"/>
          </w:tcPr>
          <w:p w14:paraId="3B8A17C0">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20</w:t>
            </w:r>
          </w:p>
        </w:tc>
        <w:tc>
          <w:tcPr>
            <w:tcW w:w="7655" w:type="dxa"/>
            <w:tcBorders>
              <w:top w:val="single" w:color="auto" w:sz="4" w:space="0"/>
              <w:left w:val="single" w:color="auto" w:sz="4" w:space="0"/>
              <w:bottom w:val="single" w:color="auto" w:sz="4" w:space="0"/>
              <w:right w:val="single" w:color="auto" w:sz="4" w:space="0"/>
            </w:tcBorders>
            <w:vAlign w:val="center"/>
          </w:tcPr>
          <w:p w14:paraId="1CB8BCD4">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评标方法：综合评分法</w:t>
            </w:r>
          </w:p>
          <w:p w14:paraId="18DD09FA">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lang w:val="zh-CN"/>
              </w:rPr>
              <w:t>具体评分标准详见招标文件第七章：评标文件（附：评标标准）。</w:t>
            </w:r>
          </w:p>
        </w:tc>
      </w:tr>
      <w:tr w14:paraId="39E80D6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6" w:hRule="atLeast"/>
        </w:trPr>
        <w:tc>
          <w:tcPr>
            <w:tcW w:w="1134" w:type="dxa"/>
            <w:tcBorders>
              <w:top w:val="single" w:color="auto" w:sz="4" w:space="0"/>
              <w:left w:val="single" w:color="auto" w:sz="4" w:space="0"/>
              <w:bottom w:val="single" w:color="auto" w:sz="4" w:space="0"/>
              <w:right w:val="single" w:color="auto" w:sz="4" w:space="0"/>
            </w:tcBorders>
            <w:vAlign w:val="center"/>
          </w:tcPr>
          <w:p w14:paraId="7BAE88CB">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21</w:t>
            </w:r>
          </w:p>
        </w:tc>
        <w:tc>
          <w:tcPr>
            <w:tcW w:w="7655" w:type="dxa"/>
            <w:tcBorders>
              <w:top w:val="single" w:color="auto" w:sz="4" w:space="0"/>
              <w:left w:val="single" w:color="auto" w:sz="4" w:space="0"/>
              <w:bottom w:val="single" w:color="auto" w:sz="4" w:space="0"/>
              <w:right w:val="single" w:color="auto" w:sz="4" w:space="0"/>
            </w:tcBorders>
            <w:vAlign w:val="center"/>
          </w:tcPr>
          <w:p w14:paraId="1FF73818">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sz w:val="24"/>
                <w:szCs w:val="24"/>
                <w:highlight w:val="none"/>
              </w:rPr>
              <w:t>确定中标候选人的原则：按综合评价得分排名确定</w:t>
            </w:r>
          </w:p>
        </w:tc>
      </w:tr>
      <w:tr w14:paraId="060EDB7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6" w:hRule="atLeast"/>
        </w:trPr>
        <w:tc>
          <w:tcPr>
            <w:tcW w:w="1134" w:type="dxa"/>
            <w:tcBorders>
              <w:top w:val="single" w:color="auto" w:sz="4" w:space="0"/>
              <w:left w:val="single" w:color="auto" w:sz="4" w:space="0"/>
              <w:bottom w:val="single" w:color="auto" w:sz="4" w:space="0"/>
              <w:right w:val="single" w:color="auto" w:sz="4" w:space="0"/>
            </w:tcBorders>
            <w:vAlign w:val="center"/>
          </w:tcPr>
          <w:p w14:paraId="16D1F26A">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22</w:t>
            </w:r>
          </w:p>
        </w:tc>
        <w:tc>
          <w:tcPr>
            <w:tcW w:w="7655" w:type="dxa"/>
            <w:tcBorders>
              <w:top w:val="single" w:color="auto" w:sz="4" w:space="0"/>
              <w:left w:val="single" w:color="auto" w:sz="4" w:space="0"/>
              <w:bottom w:val="single" w:color="auto" w:sz="4" w:space="0"/>
              <w:right w:val="single" w:color="auto" w:sz="4" w:space="0"/>
            </w:tcBorders>
            <w:vAlign w:val="center"/>
          </w:tcPr>
          <w:p w14:paraId="7F7EABC7">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中标人为国内合同卖方</w:t>
            </w:r>
          </w:p>
        </w:tc>
      </w:tr>
      <w:tr w14:paraId="37DC5F4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6" w:hRule="atLeast"/>
        </w:trPr>
        <w:tc>
          <w:tcPr>
            <w:tcW w:w="1134" w:type="dxa"/>
            <w:tcBorders>
              <w:top w:val="single" w:color="auto" w:sz="4" w:space="0"/>
              <w:left w:val="single" w:color="auto" w:sz="4" w:space="0"/>
              <w:bottom w:val="single" w:color="auto" w:sz="4" w:space="0"/>
              <w:right w:val="single" w:color="auto" w:sz="4" w:space="0"/>
            </w:tcBorders>
            <w:vAlign w:val="center"/>
          </w:tcPr>
          <w:p w14:paraId="0E954F72">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23</w:t>
            </w:r>
          </w:p>
        </w:tc>
        <w:tc>
          <w:tcPr>
            <w:tcW w:w="7655" w:type="dxa"/>
            <w:tcBorders>
              <w:top w:val="single" w:color="auto" w:sz="4" w:space="0"/>
              <w:left w:val="single" w:color="auto" w:sz="4" w:space="0"/>
              <w:bottom w:val="single" w:color="auto" w:sz="4" w:space="0"/>
              <w:right w:val="single" w:color="auto" w:sz="4" w:space="0"/>
            </w:tcBorders>
            <w:vAlign w:val="center"/>
          </w:tcPr>
          <w:p w14:paraId="70AD879A">
            <w:pPr>
              <w:autoSpaceDE w:val="0"/>
              <w:autoSpaceDN w:val="0"/>
              <w:adjustRightInd w:val="0"/>
              <w:spacing w:before="156" w:beforeLines="50"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b/>
                <w:bCs/>
                <w:kern w:val="0"/>
                <w:sz w:val="24"/>
                <w:szCs w:val="24"/>
                <w:highlight w:val="none"/>
                <w:lang w:val="zh-CN"/>
              </w:rPr>
              <w:t>履约保证金：</w:t>
            </w:r>
            <w:r>
              <w:rPr>
                <w:rFonts w:hint="default" w:ascii="Times New Roman" w:hAnsi="Times New Roman" w:eastAsia="宋体" w:cs="Times New Roman"/>
                <w:b/>
                <w:bCs/>
                <w:kern w:val="0"/>
                <w:sz w:val="24"/>
                <w:szCs w:val="24"/>
                <w:highlight w:val="none"/>
              </w:rPr>
              <w:t>如有，详见项目需求</w:t>
            </w:r>
          </w:p>
        </w:tc>
      </w:tr>
      <w:tr w14:paraId="359AE3B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117" w:hRule="atLeast"/>
        </w:trPr>
        <w:tc>
          <w:tcPr>
            <w:tcW w:w="1134" w:type="dxa"/>
            <w:tcBorders>
              <w:top w:val="single" w:color="auto" w:sz="4" w:space="0"/>
              <w:left w:val="single" w:color="auto" w:sz="4" w:space="0"/>
              <w:bottom w:val="single" w:color="auto" w:sz="4" w:space="0"/>
              <w:right w:val="single" w:color="auto" w:sz="4" w:space="0"/>
            </w:tcBorders>
            <w:vAlign w:val="center"/>
          </w:tcPr>
          <w:p w14:paraId="58238C30">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24</w:t>
            </w:r>
          </w:p>
        </w:tc>
        <w:tc>
          <w:tcPr>
            <w:tcW w:w="7655" w:type="dxa"/>
            <w:tcBorders>
              <w:top w:val="single" w:color="auto" w:sz="4" w:space="0"/>
              <w:left w:val="single" w:color="auto" w:sz="4" w:space="0"/>
              <w:bottom w:val="single" w:color="auto" w:sz="4" w:space="0"/>
              <w:right w:val="single" w:color="auto" w:sz="4" w:space="0"/>
            </w:tcBorders>
            <w:vAlign w:val="center"/>
          </w:tcPr>
          <w:p w14:paraId="043C648C">
            <w:pPr>
              <w:autoSpaceDE w:val="0"/>
              <w:autoSpaceDN w:val="0"/>
              <w:adjustRightInd w:val="0"/>
              <w:spacing w:before="156" w:beforeLines="50" w:line="360" w:lineRule="auto"/>
              <w:rPr>
                <w:rFonts w:hint="default" w:ascii="Times New Roman" w:hAnsi="Times New Roman" w:eastAsia="宋体" w:cs="Times New Roman"/>
                <w:b/>
                <w:bCs/>
                <w:kern w:val="0"/>
                <w:sz w:val="24"/>
                <w:szCs w:val="24"/>
                <w:highlight w:val="none"/>
                <w:lang w:val="zh-CN"/>
              </w:rPr>
            </w:pPr>
            <w:r>
              <w:rPr>
                <w:rFonts w:hint="default" w:ascii="Times New Roman" w:hAnsi="Times New Roman" w:eastAsia="宋体" w:cs="Times New Roman"/>
                <w:b/>
                <w:bCs/>
                <w:kern w:val="0"/>
                <w:sz w:val="24"/>
                <w:szCs w:val="24"/>
                <w:highlight w:val="none"/>
                <w:lang w:val="zh-CN"/>
              </w:rPr>
              <w:t>中标服务费：</w:t>
            </w:r>
          </w:p>
          <w:p w14:paraId="1FB0FDE3">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lang w:val="zh-CN"/>
              </w:rPr>
              <w:t>中标人在收到中标通知书后5个工作日内，须向</w:t>
            </w:r>
            <w:r>
              <w:rPr>
                <w:rFonts w:hint="default" w:ascii="Times New Roman" w:hAnsi="Times New Roman" w:eastAsia="宋体" w:cs="Times New Roman"/>
                <w:kern w:val="0"/>
                <w:sz w:val="24"/>
                <w:szCs w:val="24"/>
                <w:highlight w:val="none"/>
              </w:rPr>
              <w:t>采购</w:t>
            </w:r>
            <w:r>
              <w:rPr>
                <w:rFonts w:hint="default" w:ascii="Times New Roman" w:hAnsi="Times New Roman" w:eastAsia="宋体" w:cs="Times New Roman"/>
                <w:kern w:val="0"/>
                <w:sz w:val="24"/>
                <w:szCs w:val="24"/>
                <w:highlight w:val="none"/>
                <w:lang w:val="zh-CN"/>
              </w:rPr>
              <w:t>代理机构支付中标服务费：</w:t>
            </w:r>
          </w:p>
          <w:p w14:paraId="5B68F602">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lang w:val="zh-CN"/>
              </w:rPr>
              <w:t>中标服务费支付给采购人的采购代理机构，即东方国际招标有限责任公司，收取标准为国家计委招标代理服务费暂行标准[2002]1980号文件中规定的货物采购收费比率</w:t>
            </w:r>
            <w:r>
              <w:rPr>
                <w:rFonts w:hint="default" w:ascii="Times New Roman" w:hAnsi="Times New Roman" w:eastAsia="宋体" w:cs="Times New Roman"/>
                <w:kern w:val="0"/>
                <w:sz w:val="24"/>
                <w:szCs w:val="24"/>
                <w:highlight w:val="none"/>
              </w:rPr>
              <w:t>收取</w:t>
            </w:r>
            <w:r>
              <w:rPr>
                <w:rFonts w:hint="default" w:ascii="Times New Roman" w:hAnsi="Times New Roman" w:eastAsia="宋体" w:cs="Times New Roman"/>
                <w:kern w:val="0"/>
                <w:sz w:val="24"/>
                <w:szCs w:val="24"/>
                <w:highlight w:val="none"/>
                <w:lang w:val="zh-CN"/>
              </w:rPr>
              <w:t>，具体比率为：</w:t>
            </w:r>
          </w:p>
          <w:tbl>
            <w:tblPr>
              <w:tblStyle w:val="28"/>
              <w:tblW w:w="5475" w:type="dxa"/>
              <w:tblInd w:w="148" w:type="dxa"/>
              <w:tblBorders>
                <w:top w:val="single" w:color="auto" w:sz="4" w:space="0"/>
                <w:left w:val="single" w:color="auto" w:sz="8" w:space="0"/>
                <w:bottom w:val="single" w:color="auto" w:sz="8" w:space="0"/>
                <w:right w:val="single" w:color="auto" w:sz="8" w:space="0"/>
                <w:insideH w:val="none" w:color="auto" w:sz="0" w:space="0"/>
                <w:insideV w:val="none" w:color="auto" w:sz="0" w:space="0"/>
              </w:tblBorders>
              <w:tblLayout w:type="fixed"/>
              <w:tblCellMar>
                <w:top w:w="0" w:type="dxa"/>
                <w:left w:w="10" w:type="dxa"/>
                <w:bottom w:w="0" w:type="dxa"/>
                <w:right w:w="10" w:type="dxa"/>
              </w:tblCellMar>
            </w:tblPr>
            <w:tblGrid>
              <w:gridCol w:w="3085"/>
              <w:gridCol w:w="2390"/>
            </w:tblGrid>
            <w:tr w14:paraId="2BBF953E">
              <w:tblPrEx>
                <w:tblBorders>
                  <w:top w:val="single" w:color="auto" w:sz="4" w:space="0"/>
                  <w:left w:val="single" w:color="auto" w:sz="8" w:space="0"/>
                  <w:bottom w:val="single" w:color="auto" w:sz="8" w:space="0"/>
                  <w:right w:val="single" w:color="auto" w:sz="8" w:space="0"/>
                  <w:insideH w:val="none" w:color="auto" w:sz="0" w:space="0"/>
                  <w:insideV w:val="none" w:color="auto" w:sz="0" w:space="0"/>
                </w:tblBorders>
                <w:tblCellMar>
                  <w:top w:w="0" w:type="dxa"/>
                  <w:left w:w="10" w:type="dxa"/>
                  <w:bottom w:w="0" w:type="dxa"/>
                  <w:right w:w="10" w:type="dxa"/>
                </w:tblCellMar>
              </w:tblPrEx>
              <w:trPr>
                <w:trHeight w:val="295" w:hRule="atLeast"/>
              </w:trPr>
              <w:tc>
                <w:tcPr>
                  <w:tcW w:w="3084" w:type="dxa"/>
                  <w:tcBorders>
                    <w:top w:val="single" w:color="auto" w:sz="4" w:space="0"/>
                    <w:left w:val="single" w:color="auto" w:sz="8" w:space="0"/>
                    <w:bottom w:val="single" w:color="auto" w:sz="8" w:space="0"/>
                    <w:right w:val="single" w:color="auto" w:sz="8" w:space="0"/>
                  </w:tcBorders>
                </w:tcPr>
                <w:p w14:paraId="33A611A5">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lang w:val="zh-CN"/>
                    </w:rPr>
                    <w:t>中标金额（人民币万元）</w:t>
                  </w:r>
                </w:p>
              </w:tc>
              <w:tc>
                <w:tcPr>
                  <w:tcW w:w="2390" w:type="dxa"/>
                  <w:tcBorders>
                    <w:top w:val="single" w:color="auto" w:sz="4" w:space="0"/>
                    <w:left w:val="single" w:color="auto" w:sz="8" w:space="0"/>
                    <w:bottom w:val="single" w:color="auto" w:sz="8" w:space="0"/>
                    <w:right w:val="single" w:color="auto" w:sz="8" w:space="0"/>
                  </w:tcBorders>
                </w:tcPr>
                <w:p w14:paraId="514924C8">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lang w:val="zh-CN"/>
                    </w:rPr>
                    <w:t>比率</w:t>
                  </w:r>
                </w:p>
              </w:tc>
            </w:tr>
            <w:tr w14:paraId="70683118">
              <w:tblPrEx>
                <w:tblBorders>
                  <w:top w:val="single" w:color="auto" w:sz="4" w:space="0"/>
                  <w:left w:val="single" w:color="auto" w:sz="8" w:space="0"/>
                  <w:bottom w:val="single" w:color="auto" w:sz="8" w:space="0"/>
                  <w:right w:val="single" w:color="auto" w:sz="8" w:space="0"/>
                  <w:insideH w:val="none" w:color="auto" w:sz="0" w:space="0"/>
                  <w:insideV w:val="none" w:color="auto" w:sz="0" w:space="0"/>
                </w:tblBorders>
                <w:tblCellMar>
                  <w:top w:w="0" w:type="dxa"/>
                  <w:left w:w="10" w:type="dxa"/>
                  <w:bottom w:w="0" w:type="dxa"/>
                  <w:right w:w="10" w:type="dxa"/>
                </w:tblCellMar>
              </w:tblPrEx>
              <w:trPr>
                <w:trHeight w:val="295" w:hRule="atLeast"/>
              </w:trPr>
              <w:tc>
                <w:tcPr>
                  <w:tcW w:w="3084" w:type="dxa"/>
                  <w:tcBorders>
                    <w:top w:val="single" w:color="auto" w:sz="8" w:space="0"/>
                    <w:left w:val="single" w:color="auto" w:sz="8" w:space="0"/>
                    <w:bottom w:val="single" w:color="auto" w:sz="8" w:space="0"/>
                    <w:right w:val="single" w:color="auto" w:sz="8" w:space="0"/>
                  </w:tcBorders>
                </w:tcPr>
                <w:p w14:paraId="47560E01">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lang w:val="zh-CN"/>
                    </w:rPr>
                    <w:t>100以下</w:t>
                  </w:r>
                </w:p>
              </w:tc>
              <w:tc>
                <w:tcPr>
                  <w:tcW w:w="2390" w:type="dxa"/>
                  <w:tcBorders>
                    <w:top w:val="single" w:color="auto" w:sz="8" w:space="0"/>
                    <w:left w:val="single" w:color="auto" w:sz="8" w:space="0"/>
                    <w:bottom w:val="single" w:color="auto" w:sz="8" w:space="0"/>
                    <w:right w:val="single" w:color="auto" w:sz="8" w:space="0"/>
                  </w:tcBorders>
                </w:tcPr>
                <w:p w14:paraId="441CB7E7">
                  <w:pPr>
                    <w:rPr>
                      <w:rFonts w:hint="default" w:ascii="Times New Roman" w:hAnsi="Times New Roman" w:eastAsia="宋体" w:cs="Times New Roman"/>
                      <w:kern w:val="0"/>
                      <w:sz w:val="32"/>
                      <w:szCs w:val="32"/>
                      <w:highlight w:val="none"/>
                      <w:lang w:val="zh-CN"/>
                    </w:rPr>
                  </w:pPr>
                  <w:r>
                    <w:rPr>
                      <w:rFonts w:hint="default" w:ascii="Times New Roman" w:hAnsi="Times New Roman" w:eastAsia="宋体" w:cs="Times New Roman"/>
                      <w:sz w:val="24"/>
                      <w:szCs w:val="32"/>
                      <w:highlight w:val="none"/>
                    </w:rPr>
                    <w:t>1.5%</w:t>
                  </w:r>
                </w:p>
              </w:tc>
            </w:tr>
            <w:tr w14:paraId="21085EB1">
              <w:tblPrEx>
                <w:tblBorders>
                  <w:top w:val="single" w:color="auto" w:sz="4" w:space="0"/>
                  <w:left w:val="single" w:color="auto" w:sz="8" w:space="0"/>
                  <w:bottom w:val="single" w:color="auto" w:sz="8" w:space="0"/>
                  <w:right w:val="single" w:color="auto" w:sz="8" w:space="0"/>
                  <w:insideH w:val="none" w:color="auto" w:sz="0" w:space="0"/>
                  <w:insideV w:val="none" w:color="auto" w:sz="0" w:space="0"/>
                </w:tblBorders>
                <w:tblCellMar>
                  <w:top w:w="0" w:type="dxa"/>
                  <w:left w:w="10" w:type="dxa"/>
                  <w:bottom w:w="0" w:type="dxa"/>
                  <w:right w:w="10" w:type="dxa"/>
                </w:tblCellMar>
              </w:tblPrEx>
              <w:trPr>
                <w:trHeight w:val="60" w:hRule="atLeast"/>
              </w:trPr>
              <w:tc>
                <w:tcPr>
                  <w:tcW w:w="3084" w:type="dxa"/>
                  <w:tcBorders>
                    <w:top w:val="single" w:color="auto" w:sz="8" w:space="0"/>
                    <w:left w:val="single" w:color="auto" w:sz="8" w:space="0"/>
                    <w:bottom w:val="single" w:color="auto" w:sz="8" w:space="0"/>
                    <w:right w:val="single" w:color="auto" w:sz="8" w:space="0"/>
                  </w:tcBorders>
                </w:tcPr>
                <w:p w14:paraId="27129660">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100-500</w:t>
                  </w:r>
                </w:p>
              </w:tc>
              <w:tc>
                <w:tcPr>
                  <w:tcW w:w="2390" w:type="dxa"/>
                  <w:tcBorders>
                    <w:top w:val="single" w:color="auto" w:sz="8" w:space="0"/>
                    <w:left w:val="single" w:color="auto" w:sz="8" w:space="0"/>
                    <w:bottom w:val="single" w:color="auto" w:sz="8" w:space="0"/>
                    <w:right w:val="single" w:color="auto" w:sz="8" w:space="0"/>
                  </w:tcBorders>
                </w:tcPr>
                <w:p w14:paraId="47F5490D">
                  <w:pPr>
                    <w:rPr>
                      <w:rFonts w:hint="default" w:ascii="Times New Roman" w:hAnsi="Times New Roman" w:eastAsia="宋体" w:cs="Times New Roman"/>
                      <w:kern w:val="0"/>
                      <w:sz w:val="32"/>
                      <w:szCs w:val="32"/>
                      <w:highlight w:val="none"/>
                      <w:lang w:val="zh-CN"/>
                    </w:rPr>
                  </w:pPr>
                  <w:r>
                    <w:rPr>
                      <w:rFonts w:hint="default" w:ascii="Times New Roman" w:hAnsi="Times New Roman" w:eastAsia="宋体" w:cs="Times New Roman"/>
                      <w:sz w:val="24"/>
                      <w:szCs w:val="32"/>
                      <w:highlight w:val="none"/>
                    </w:rPr>
                    <w:t>1.1%</w:t>
                  </w:r>
                </w:p>
              </w:tc>
            </w:tr>
            <w:tr w14:paraId="58E72129">
              <w:tblPrEx>
                <w:tblBorders>
                  <w:top w:val="single" w:color="auto" w:sz="4" w:space="0"/>
                  <w:left w:val="single" w:color="auto" w:sz="8" w:space="0"/>
                  <w:bottom w:val="single" w:color="auto" w:sz="8" w:space="0"/>
                  <w:right w:val="single" w:color="auto" w:sz="8" w:space="0"/>
                  <w:insideH w:val="none" w:color="auto" w:sz="0" w:space="0"/>
                  <w:insideV w:val="none" w:color="auto" w:sz="0" w:space="0"/>
                </w:tblBorders>
                <w:tblCellMar>
                  <w:top w:w="0" w:type="dxa"/>
                  <w:left w:w="10" w:type="dxa"/>
                  <w:bottom w:w="0" w:type="dxa"/>
                  <w:right w:w="10" w:type="dxa"/>
                </w:tblCellMar>
              </w:tblPrEx>
              <w:trPr>
                <w:trHeight w:val="60" w:hRule="atLeast"/>
              </w:trPr>
              <w:tc>
                <w:tcPr>
                  <w:tcW w:w="3084" w:type="dxa"/>
                  <w:tcBorders>
                    <w:top w:val="single" w:color="auto" w:sz="8" w:space="0"/>
                    <w:left w:val="single" w:color="auto" w:sz="8" w:space="0"/>
                    <w:bottom w:val="single" w:color="auto" w:sz="8" w:space="0"/>
                    <w:right w:val="single" w:color="auto" w:sz="8" w:space="0"/>
                  </w:tcBorders>
                </w:tcPr>
                <w:p w14:paraId="1C9BB84D">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500-1000</w:t>
                  </w:r>
                </w:p>
              </w:tc>
              <w:tc>
                <w:tcPr>
                  <w:tcW w:w="2390" w:type="dxa"/>
                  <w:tcBorders>
                    <w:top w:val="single" w:color="auto" w:sz="8" w:space="0"/>
                    <w:left w:val="single" w:color="auto" w:sz="8" w:space="0"/>
                    <w:bottom w:val="single" w:color="auto" w:sz="8" w:space="0"/>
                    <w:right w:val="single" w:color="auto" w:sz="8" w:space="0"/>
                  </w:tcBorders>
                </w:tcPr>
                <w:p w14:paraId="44C72E2A">
                  <w:pPr>
                    <w:rPr>
                      <w:rFonts w:hint="default" w:ascii="Times New Roman" w:hAnsi="Times New Roman" w:eastAsia="宋体" w:cs="Times New Roman"/>
                      <w:kern w:val="0"/>
                      <w:sz w:val="32"/>
                      <w:szCs w:val="32"/>
                      <w:highlight w:val="none"/>
                      <w:lang w:val="zh-CN"/>
                    </w:rPr>
                  </w:pPr>
                  <w:r>
                    <w:rPr>
                      <w:rFonts w:hint="default" w:ascii="Times New Roman" w:hAnsi="Times New Roman" w:eastAsia="宋体" w:cs="Times New Roman"/>
                      <w:sz w:val="24"/>
                      <w:szCs w:val="32"/>
                      <w:highlight w:val="none"/>
                    </w:rPr>
                    <w:t>0.8%</w:t>
                  </w:r>
                </w:p>
              </w:tc>
            </w:tr>
            <w:tr w14:paraId="59ECEB5F">
              <w:tblPrEx>
                <w:tblBorders>
                  <w:top w:val="single" w:color="auto" w:sz="4" w:space="0"/>
                  <w:left w:val="single" w:color="auto" w:sz="8" w:space="0"/>
                  <w:bottom w:val="single" w:color="auto" w:sz="8" w:space="0"/>
                  <w:right w:val="single" w:color="auto" w:sz="8" w:space="0"/>
                  <w:insideH w:val="none" w:color="auto" w:sz="0" w:space="0"/>
                  <w:insideV w:val="none" w:color="auto" w:sz="0" w:space="0"/>
                </w:tblBorders>
                <w:tblCellMar>
                  <w:top w:w="0" w:type="dxa"/>
                  <w:left w:w="10" w:type="dxa"/>
                  <w:bottom w:w="0" w:type="dxa"/>
                  <w:right w:w="10" w:type="dxa"/>
                </w:tblCellMar>
              </w:tblPrEx>
              <w:trPr>
                <w:trHeight w:val="60" w:hRule="atLeast"/>
              </w:trPr>
              <w:tc>
                <w:tcPr>
                  <w:tcW w:w="3084" w:type="dxa"/>
                  <w:tcBorders>
                    <w:top w:val="single" w:color="auto" w:sz="8" w:space="0"/>
                    <w:left w:val="single" w:color="auto" w:sz="8" w:space="0"/>
                    <w:bottom w:val="single" w:color="auto" w:sz="8" w:space="0"/>
                    <w:right w:val="single" w:color="auto" w:sz="8" w:space="0"/>
                  </w:tcBorders>
                </w:tcPr>
                <w:p w14:paraId="5AF35225">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1000-5000</w:t>
                  </w:r>
                </w:p>
              </w:tc>
              <w:tc>
                <w:tcPr>
                  <w:tcW w:w="2390" w:type="dxa"/>
                  <w:tcBorders>
                    <w:top w:val="single" w:color="auto" w:sz="8" w:space="0"/>
                    <w:left w:val="single" w:color="auto" w:sz="8" w:space="0"/>
                    <w:bottom w:val="single" w:color="auto" w:sz="8" w:space="0"/>
                    <w:right w:val="single" w:color="auto" w:sz="8" w:space="0"/>
                  </w:tcBorders>
                </w:tcPr>
                <w:p w14:paraId="1007B8F4">
                  <w:pPr>
                    <w:rPr>
                      <w:rFonts w:hint="default" w:ascii="Times New Roman" w:hAnsi="Times New Roman" w:eastAsia="宋体" w:cs="Times New Roman"/>
                      <w:kern w:val="0"/>
                      <w:sz w:val="32"/>
                      <w:szCs w:val="32"/>
                      <w:highlight w:val="none"/>
                      <w:lang w:val="zh-CN"/>
                    </w:rPr>
                  </w:pPr>
                  <w:r>
                    <w:rPr>
                      <w:rFonts w:hint="default" w:ascii="Times New Roman" w:hAnsi="Times New Roman" w:eastAsia="宋体" w:cs="Times New Roman"/>
                      <w:sz w:val="24"/>
                      <w:szCs w:val="32"/>
                      <w:highlight w:val="none"/>
                    </w:rPr>
                    <w:t>0.5%</w:t>
                  </w:r>
                </w:p>
              </w:tc>
            </w:tr>
            <w:tr w14:paraId="521EBC01">
              <w:tblPrEx>
                <w:tblBorders>
                  <w:top w:val="single" w:color="auto" w:sz="4" w:space="0"/>
                  <w:left w:val="single" w:color="auto" w:sz="8" w:space="0"/>
                  <w:bottom w:val="single" w:color="auto" w:sz="8" w:space="0"/>
                  <w:right w:val="single" w:color="auto" w:sz="8" w:space="0"/>
                  <w:insideH w:val="none" w:color="auto" w:sz="0" w:space="0"/>
                  <w:insideV w:val="none" w:color="auto" w:sz="0" w:space="0"/>
                </w:tblBorders>
                <w:tblCellMar>
                  <w:top w:w="0" w:type="dxa"/>
                  <w:left w:w="10" w:type="dxa"/>
                  <w:bottom w:w="0" w:type="dxa"/>
                  <w:right w:w="10" w:type="dxa"/>
                </w:tblCellMar>
              </w:tblPrEx>
              <w:trPr>
                <w:trHeight w:val="60" w:hRule="atLeast"/>
              </w:trPr>
              <w:tc>
                <w:tcPr>
                  <w:tcW w:w="3084" w:type="dxa"/>
                  <w:tcBorders>
                    <w:top w:val="single" w:color="auto" w:sz="8" w:space="0"/>
                    <w:left w:val="single" w:color="auto" w:sz="8" w:space="0"/>
                    <w:bottom w:val="single" w:color="auto" w:sz="8" w:space="0"/>
                    <w:right w:val="single" w:color="auto" w:sz="8" w:space="0"/>
                  </w:tcBorders>
                </w:tcPr>
                <w:p w14:paraId="49BBA808">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5000-10000</w:t>
                  </w:r>
                </w:p>
              </w:tc>
              <w:tc>
                <w:tcPr>
                  <w:tcW w:w="2390" w:type="dxa"/>
                  <w:tcBorders>
                    <w:top w:val="single" w:color="auto" w:sz="8" w:space="0"/>
                    <w:left w:val="single" w:color="auto" w:sz="8" w:space="0"/>
                    <w:bottom w:val="single" w:color="auto" w:sz="8" w:space="0"/>
                    <w:right w:val="single" w:color="auto" w:sz="8" w:space="0"/>
                  </w:tcBorders>
                </w:tcPr>
                <w:p w14:paraId="074B3342">
                  <w:pPr>
                    <w:rPr>
                      <w:rFonts w:hint="default" w:ascii="Times New Roman" w:hAnsi="Times New Roman" w:eastAsia="宋体" w:cs="Times New Roman"/>
                      <w:kern w:val="0"/>
                      <w:sz w:val="32"/>
                      <w:szCs w:val="32"/>
                      <w:highlight w:val="none"/>
                    </w:rPr>
                  </w:pPr>
                  <w:r>
                    <w:rPr>
                      <w:rFonts w:hint="default" w:ascii="Times New Roman" w:hAnsi="Times New Roman" w:eastAsia="宋体" w:cs="Times New Roman"/>
                      <w:sz w:val="24"/>
                      <w:szCs w:val="32"/>
                      <w:highlight w:val="none"/>
                    </w:rPr>
                    <w:t>0.25%</w:t>
                  </w:r>
                </w:p>
              </w:tc>
            </w:tr>
          </w:tbl>
          <w:p w14:paraId="73910C5A">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lang w:val="zh-CN"/>
              </w:rPr>
              <w:t>注：中标服务费按差额定率累进法计算。</w:t>
            </w:r>
          </w:p>
        </w:tc>
      </w:tr>
      <w:tr w14:paraId="58B9563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1134" w:type="dxa"/>
            <w:tcBorders>
              <w:top w:val="single" w:color="auto" w:sz="4" w:space="0"/>
              <w:left w:val="single" w:color="auto" w:sz="4" w:space="0"/>
              <w:bottom w:val="single" w:color="auto" w:sz="4" w:space="0"/>
              <w:right w:val="single" w:color="auto" w:sz="4" w:space="0"/>
            </w:tcBorders>
            <w:vAlign w:val="center"/>
          </w:tcPr>
          <w:p w14:paraId="228110A6">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25</w:t>
            </w:r>
          </w:p>
        </w:tc>
        <w:tc>
          <w:tcPr>
            <w:tcW w:w="7655" w:type="dxa"/>
            <w:tcBorders>
              <w:top w:val="single" w:color="auto" w:sz="4" w:space="0"/>
              <w:left w:val="single" w:color="auto" w:sz="4" w:space="0"/>
              <w:bottom w:val="single" w:color="auto" w:sz="4" w:space="0"/>
              <w:right w:val="single" w:color="auto" w:sz="4" w:space="0"/>
            </w:tcBorders>
            <w:vAlign w:val="center"/>
          </w:tcPr>
          <w:p w14:paraId="39C7F779">
            <w:pPr>
              <w:adjustRightInd w:val="0"/>
              <w:snapToGrid w:val="0"/>
              <w:spacing w:before="156" w:beforeLines="50" w:line="360" w:lineRule="auto"/>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t>投标无效的情形：</w:t>
            </w:r>
          </w:p>
          <w:p w14:paraId="55262FE9">
            <w:pPr>
              <w:adjustRightInd w:val="0"/>
              <w:snapToGrid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（1）投标人未提交投标保证金或形式不符或金额不足的；</w:t>
            </w:r>
          </w:p>
          <w:p w14:paraId="32BCCD93">
            <w:pPr>
              <w:adjustRightInd w:val="0"/>
              <w:snapToGrid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（2）投标有效期不足的；</w:t>
            </w:r>
          </w:p>
          <w:p w14:paraId="7407C5A4">
            <w:pPr>
              <w:adjustRightInd w:val="0"/>
              <w:snapToGrid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（3）未按照招标文件规定要求密封、签署、盖章的；</w:t>
            </w:r>
          </w:p>
          <w:p w14:paraId="0C16D78E">
            <w:pPr>
              <w:adjustRightInd w:val="0"/>
              <w:snapToGrid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（4）未提供法定代表人授权书的；</w:t>
            </w:r>
          </w:p>
          <w:p w14:paraId="1E262F3F">
            <w:pPr>
              <w:adjustRightInd w:val="0"/>
              <w:snapToGrid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（5）投标人有违法违纪行为，被列入失信被执行人、重大税收违法</w:t>
            </w:r>
            <w:r>
              <w:rPr>
                <w:rFonts w:hint="default" w:ascii="Times New Roman" w:hAnsi="Times New Roman" w:eastAsia="宋体" w:cs="Times New Roman"/>
                <w:sz w:val="24"/>
                <w:szCs w:val="24"/>
                <w:highlight w:val="none"/>
                <w:lang w:eastAsia="zh-CN"/>
              </w:rPr>
              <w:t>失信主体</w:t>
            </w:r>
            <w:r>
              <w:rPr>
                <w:rFonts w:hint="default" w:ascii="Times New Roman" w:hAnsi="Times New Roman" w:eastAsia="宋体" w:cs="Times New Roman"/>
                <w:sz w:val="24"/>
                <w:szCs w:val="24"/>
                <w:highlight w:val="none"/>
              </w:rPr>
              <w:t>名单、政府采购严重违法失信行为记录名单的，或在过去三年中有重大的质量、信誉等问题；</w:t>
            </w:r>
          </w:p>
          <w:p w14:paraId="5BE063DD">
            <w:pPr>
              <w:adjustRightInd w:val="0"/>
              <w:snapToGrid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（6）投标文件中提供虚假或失实资料的；</w:t>
            </w:r>
          </w:p>
          <w:p w14:paraId="7DA8D0AD">
            <w:pPr>
              <w:adjustRightInd w:val="0"/>
              <w:snapToGrid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（7）投标报价超过采购预算（设置最高限价的，以最高限价为准）的；</w:t>
            </w:r>
          </w:p>
          <w:p w14:paraId="6CDAD18D">
            <w:pPr>
              <w:adjustRightInd w:val="0"/>
              <w:snapToGrid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（8）招标文件中明确规定不接受进口产品及服务参加投标的，投标人提供进口产品及服务的；</w:t>
            </w:r>
          </w:p>
          <w:p w14:paraId="5E1E4C19">
            <w:pPr>
              <w:adjustRightInd w:val="0"/>
              <w:snapToGrid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（9）不符合法律、法规和招标文件中★号条款规定的。</w:t>
            </w:r>
          </w:p>
        </w:tc>
      </w:tr>
      <w:tr w14:paraId="2A0621E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1134" w:type="dxa"/>
            <w:tcBorders>
              <w:top w:val="single" w:color="auto" w:sz="4" w:space="0"/>
              <w:left w:val="single" w:color="auto" w:sz="4" w:space="0"/>
              <w:bottom w:val="single" w:color="auto" w:sz="4" w:space="0"/>
              <w:right w:val="single" w:color="auto" w:sz="4" w:space="0"/>
            </w:tcBorders>
            <w:vAlign w:val="center"/>
          </w:tcPr>
          <w:p w14:paraId="019BEA82">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26</w:t>
            </w:r>
          </w:p>
        </w:tc>
        <w:tc>
          <w:tcPr>
            <w:tcW w:w="7655" w:type="dxa"/>
            <w:tcBorders>
              <w:top w:val="single" w:color="auto" w:sz="4" w:space="0"/>
              <w:left w:val="single" w:color="auto" w:sz="4" w:space="0"/>
              <w:bottom w:val="single" w:color="auto" w:sz="4" w:space="0"/>
              <w:right w:val="single" w:color="auto" w:sz="4" w:space="0"/>
            </w:tcBorders>
            <w:vAlign w:val="center"/>
          </w:tcPr>
          <w:p w14:paraId="4592B9C6">
            <w:pPr>
              <w:adjustRightInd w:val="0"/>
              <w:snapToGrid w:val="0"/>
              <w:spacing w:before="156" w:beforeLines="50" w:line="360" w:lineRule="auto"/>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t>询问：</w:t>
            </w:r>
          </w:p>
          <w:p w14:paraId="13532160">
            <w:pPr>
              <w:adjustRightInd w:val="0"/>
              <w:snapToGrid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询问送达形式：询问可以电话口头咨询方式提出，也可以书面方式提出，书面方式包括但不限于电子邮件、传真、信函。</w:t>
            </w:r>
          </w:p>
          <w:p w14:paraId="5DEC2423">
            <w:pPr>
              <w:adjustRightInd w:val="0"/>
              <w:snapToGrid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联系部门：招标部</w:t>
            </w:r>
          </w:p>
          <w:p w14:paraId="045FA6AE">
            <w:pPr>
              <w:adjustRightInd w:val="0"/>
              <w:snapToGri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sz w:val="24"/>
                <w:szCs w:val="24"/>
                <w:highlight w:val="none"/>
              </w:rPr>
              <w:t>联系电话：</w:t>
            </w:r>
            <w:r>
              <w:rPr>
                <w:rFonts w:hint="default" w:ascii="Times New Roman" w:hAnsi="Times New Roman" w:eastAsia="宋体" w:cs="Times New Roman"/>
                <w:kern w:val="0"/>
                <w:sz w:val="24"/>
                <w:szCs w:val="24"/>
                <w:highlight w:val="none"/>
              </w:rPr>
              <w:t>020-87001523、</w:t>
            </w:r>
            <w:r>
              <w:rPr>
                <w:rFonts w:hint="default" w:ascii="Times New Roman" w:hAnsi="Times New Roman" w:eastAsia="宋体" w:cs="Times New Roman"/>
                <w:kern w:val="0"/>
                <w:sz w:val="24"/>
                <w:szCs w:val="24"/>
                <w:highlight w:val="none"/>
                <w:lang w:val="zh-CN"/>
              </w:rPr>
              <w:t>0769-26627023</w:t>
            </w:r>
          </w:p>
          <w:p w14:paraId="2AC0069C">
            <w:pPr>
              <w:adjustRightInd w:val="0"/>
              <w:snapToGri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传真：010-50828550</w:t>
            </w:r>
          </w:p>
          <w:p w14:paraId="707C6233">
            <w:pPr>
              <w:adjustRightInd w:val="0"/>
              <w:snapToGri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电子邮箱：</w:t>
            </w:r>
            <w:r>
              <w:rPr>
                <w:rFonts w:hint="default" w:ascii="Times New Roman" w:hAnsi="Times New Roman" w:eastAsia="宋体" w:cs="Times New Roman"/>
                <w:bCs/>
                <w:kern w:val="0"/>
                <w:sz w:val="24"/>
                <w:szCs w:val="24"/>
                <w:highlight w:val="none"/>
              </w:rPr>
              <w:t>mye@oitc.com.cn、cjwang@oitc.com.cn、sli@oitc.com.cn</w:t>
            </w:r>
          </w:p>
          <w:p w14:paraId="7FAB3EF9">
            <w:pPr>
              <w:pStyle w:val="27"/>
              <w:ind w:firstLine="0" w:firstLineChars="0"/>
              <w:jc w:val="both"/>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通讯地址：北京市海淀区丹棱街1号互联网金融中心20层。</w:t>
            </w:r>
          </w:p>
        </w:tc>
      </w:tr>
      <w:tr w14:paraId="132AFFE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1134" w:type="dxa"/>
            <w:tcBorders>
              <w:top w:val="single" w:color="auto" w:sz="4" w:space="0"/>
              <w:left w:val="single" w:color="auto" w:sz="4" w:space="0"/>
              <w:bottom w:val="single" w:color="auto" w:sz="4" w:space="0"/>
              <w:right w:val="single" w:color="auto" w:sz="4" w:space="0"/>
            </w:tcBorders>
            <w:vAlign w:val="center"/>
          </w:tcPr>
          <w:p w14:paraId="4DB73FE4">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27</w:t>
            </w:r>
          </w:p>
        </w:tc>
        <w:tc>
          <w:tcPr>
            <w:tcW w:w="7655" w:type="dxa"/>
            <w:tcBorders>
              <w:top w:val="single" w:color="auto" w:sz="4" w:space="0"/>
              <w:left w:val="single" w:color="auto" w:sz="4" w:space="0"/>
              <w:bottom w:val="single" w:color="auto" w:sz="4" w:space="0"/>
              <w:right w:val="single" w:color="auto" w:sz="4" w:space="0"/>
            </w:tcBorders>
            <w:vAlign w:val="center"/>
          </w:tcPr>
          <w:p w14:paraId="33BCC89C">
            <w:pPr>
              <w:adjustRightInd w:val="0"/>
              <w:snapToGrid w:val="0"/>
              <w:spacing w:before="156" w:beforeLines="50" w:line="360" w:lineRule="auto"/>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t>招标文件的质疑：</w:t>
            </w:r>
          </w:p>
          <w:p w14:paraId="384882FA">
            <w:pPr>
              <w:adjustRightInd w:val="0"/>
              <w:snapToGrid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接收质疑函的方式、联系部门、联系电话和通讯地址：</w:t>
            </w:r>
          </w:p>
          <w:p w14:paraId="3D5C5175">
            <w:pPr>
              <w:adjustRightInd w:val="0"/>
              <w:snapToGrid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接收方式：电子邮件或邮寄</w:t>
            </w:r>
          </w:p>
          <w:p w14:paraId="6B2F81D3">
            <w:pPr>
              <w:adjustRightInd w:val="0"/>
              <w:snapToGrid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联系部门：招标部</w:t>
            </w:r>
          </w:p>
          <w:p w14:paraId="7E5CC293">
            <w:pPr>
              <w:adjustRightInd w:val="0"/>
              <w:snapToGri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sz w:val="24"/>
                <w:szCs w:val="24"/>
                <w:highlight w:val="none"/>
              </w:rPr>
              <w:t>联系电话：</w:t>
            </w:r>
            <w:r>
              <w:rPr>
                <w:rFonts w:hint="default" w:ascii="Times New Roman" w:hAnsi="Times New Roman" w:eastAsia="宋体" w:cs="Times New Roman"/>
                <w:kern w:val="0"/>
                <w:sz w:val="24"/>
                <w:szCs w:val="24"/>
                <w:highlight w:val="none"/>
              </w:rPr>
              <w:t>020-87001523、</w:t>
            </w:r>
            <w:r>
              <w:rPr>
                <w:rFonts w:hint="default" w:ascii="Times New Roman" w:hAnsi="Times New Roman" w:eastAsia="宋体" w:cs="Times New Roman"/>
                <w:kern w:val="0"/>
                <w:sz w:val="24"/>
                <w:szCs w:val="24"/>
                <w:highlight w:val="none"/>
                <w:lang w:val="zh-CN"/>
              </w:rPr>
              <w:t>0769-26627023</w:t>
            </w:r>
          </w:p>
          <w:p w14:paraId="67B105FF">
            <w:pPr>
              <w:adjustRightInd w:val="0"/>
              <w:snapToGri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电子邮箱：mye@oitc.com.cn、cjwang@oitc.com.cn、sli@oitc.com.cn</w:t>
            </w:r>
          </w:p>
          <w:p w14:paraId="5213617A">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通讯地址：</w:t>
            </w:r>
            <w:r>
              <w:rPr>
                <w:rFonts w:hint="default" w:ascii="Times New Roman" w:hAnsi="Times New Roman" w:eastAsia="宋体" w:cs="Times New Roman"/>
                <w:bCs/>
                <w:kern w:val="0"/>
                <w:sz w:val="24"/>
                <w:szCs w:val="24"/>
                <w:highlight w:val="none"/>
              </w:rPr>
              <w:t>北京市海淀区丹棱街1号互联网金融中心20层</w:t>
            </w:r>
            <w:r>
              <w:rPr>
                <w:rFonts w:hint="default" w:ascii="Times New Roman" w:hAnsi="Times New Roman" w:eastAsia="宋体" w:cs="Times New Roman"/>
                <w:kern w:val="0"/>
                <w:sz w:val="24"/>
                <w:szCs w:val="24"/>
                <w:highlight w:val="none"/>
              </w:rPr>
              <w:t>。</w:t>
            </w:r>
          </w:p>
        </w:tc>
      </w:tr>
      <w:tr w14:paraId="6A8D3B5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97" w:hRule="atLeast"/>
        </w:trPr>
        <w:tc>
          <w:tcPr>
            <w:tcW w:w="1134" w:type="dxa"/>
            <w:tcBorders>
              <w:top w:val="single" w:color="auto" w:sz="4" w:space="0"/>
              <w:left w:val="single" w:color="auto" w:sz="4" w:space="0"/>
              <w:bottom w:val="single" w:color="auto" w:sz="4" w:space="0"/>
              <w:right w:val="single" w:color="auto" w:sz="4" w:space="0"/>
            </w:tcBorders>
            <w:vAlign w:val="center"/>
          </w:tcPr>
          <w:p w14:paraId="67E8B806">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28</w:t>
            </w:r>
          </w:p>
        </w:tc>
        <w:tc>
          <w:tcPr>
            <w:tcW w:w="7655" w:type="dxa"/>
            <w:tcBorders>
              <w:top w:val="single" w:color="auto" w:sz="4" w:space="0"/>
              <w:left w:val="single" w:color="auto" w:sz="4" w:space="0"/>
              <w:bottom w:val="single" w:color="auto" w:sz="4" w:space="0"/>
              <w:right w:val="single" w:color="auto" w:sz="4" w:space="0"/>
            </w:tcBorders>
            <w:vAlign w:val="center"/>
          </w:tcPr>
          <w:p w14:paraId="08C9B0A2">
            <w:pPr>
              <w:autoSpaceDE w:val="0"/>
              <w:autoSpaceDN w:val="0"/>
              <w:adjustRightInd w:val="0"/>
              <w:spacing w:before="156" w:beforeLines="50" w:line="360" w:lineRule="auto"/>
              <w:rPr>
                <w:rFonts w:hint="default" w:ascii="Times New Roman" w:hAnsi="Times New Roman" w:eastAsia="宋体" w:cs="Times New Roman"/>
                <w:b/>
                <w:bCs/>
                <w:kern w:val="0"/>
                <w:sz w:val="24"/>
                <w:szCs w:val="24"/>
                <w:highlight w:val="none"/>
              </w:rPr>
            </w:pPr>
            <w:r>
              <w:rPr>
                <w:rFonts w:hint="default" w:ascii="Times New Roman" w:hAnsi="Times New Roman" w:eastAsia="宋体" w:cs="Times New Roman"/>
                <w:b/>
                <w:bCs/>
                <w:kern w:val="0"/>
                <w:sz w:val="24"/>
                <w:szCs w:val="24"/>
                <w:highlight w:val="none"/>
              </w:rPr>
              <w:t>分公司投标：</w:t>
            </w:r>
          </w:p>
          <w:p w14:paraId="2AD66624">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分公司投标的，需提供具有法人资格的总公司的营业执照副本复印件及授权书。总公司可就本项目或此类项目在一定范围或时间内出具授权书。已由总公司授权的，总公司取得的相关资质证书对分公司有效，法律法规或者行业另有规定的除外。</w:t>
            </w:r>
          </w:p>
        </w:tc>
      </w:tr>
      <w:tr w14:paraId="75D0CE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16" w:hRule="atLeast"/>
        </w:trPr>
        <w:tc>
          <w:tcPr>
            <w:tcW w:w="1134" w:type="dxa"/>
            <w:tcBorders>
              <w:top w:val="single" w:color="auto" w:sz="4" w:space="0"/>
              <w:left w:val="single" w:color="auto" w:sz="4" w:space="0"/>
              <w:bottom w:val="single" w:color="auto" w:sz="4" w:space="0"/>
              <w:right w:val="single" w:color="auto" w:sz="4" w:space="0"/>
            </w:tcBorders>
            <w:vAlign w:val="center"/>
          </w:tcPr>
          <w:p w14:paraId="0B98E5F1">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29</w:t>
            </w:r>
          </w:p>
        </w:tc>
        <w:tc>
          <w:tcPr>
            <w:tcW w:w="7655" w:type="dxa"/>
            <w:tcBorders>
              <w:top w:val="single" w:color="auto" w:sz="4" w:space="0"/>
              <w:left w:val="single" w:color="auto" w:sz="4" w:space="0"/>
              <w:bottom w:val="single" w:color="auto" w:sz="4" w:space="0"/>
              <w:right w:val="single" w:color="auto" w:sz="4" w:space="0"/>
            </w:tcBorders>
            <w:vAlign w:val="center"/>
          </w:tcPr>
          <w:p w14:paraId="7B4C4C60">
            <w:pPr>
              <w:autoSpaceDE w:val="0"/>
              <w:autoSpaceDN w:val="0"/>
              <w:adjustRightInd w:val="0"/>
              <w:spacing w:line="360" w:lineRule="auto"/>
              <w:rPr>
                <w:rFonts w:hint="default" w:ascii="Times New Roman" w:hAnsi="Times New Roman" w:eastAsia="宋体" w:cs="Times New Roman"/>
                <w:b/>
                <w:bCs/>
                <w:kern w:val="0"/>
                <w:sz w:val="24"/>
                <w:szCs w:val="24"/>
                <w:highlight w:val="none"/>
              </w:rPr>
            </w:pPr>
            <w:r>
              <w:rPr>
                <w:rFonts w:hint="default" w:ascii="Times New Roman" w:hAnsi="Times New Roman" w:eastAsia="宋体" w:cs="Times New Roman"/>
                <w:b/>
                <w:bCs/>
                <w:kern w:val="0"/>
                <w:sz w:val="24"/>
                <w:szCs w:val="24"/>
                <w:highlight w:val="none"/>
              </w:rPr>
              <w:t>中小企业划分标准所属行业</w:t>
            </w:r>
          </w:p>
          <w:p w14:paraId="3F00ACA4">
            <w:pPr>
              <w:pStyle w:val="27"/>
              <w:jc w:val="both"/>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根据《关于印发中小企业划型标准规定的通知》（工信部联企业〔2011〕300号）的通知，行业划分具体为：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5F398C1C">
            <w:pPr>
              <w:pStyle w:val="27"/>
              <w:ind w:firstLine="482"/>
              <w:jc w:val="both"/>
              <w:rPr>
                <w:rFonts w:hint="default" w:ascii="Times New Roman" w:hAnsi="Times New Roman" w:eastAsia="宋体" w:cs="Times New Roman"/>
                <w:b/>
                <w:bCs/>
                <w:sz w:val="24"/>
                <w:szCs w:val="24"/>
                <w:highlight w:val="none"/>
                <w:u w:val="single"/>
              </w:rPr>
            </w:pPr>
            <w:r>
              <w:rPr>
                <w:rFonts w:hint="default" w:ascii="Times New Roman" w:hAnsi="Times New Roman" w:eastAsia="宋体" w:cs="Times New Roman"/>
                <w:b/>
                <w:bCs/>
                <w:sz w:val="24"/>
                <w:szCs w:val="24"/>
                <w:highlight w:val="none"/>
                <w:u w:val="single"/>
              </w:rPr>
              <w:t>本项目采购标的对应的中小企业划分标准所属行业：工业。</w:t>
            </w:r>
          </w:p>
          <w:p w14:paraId="0C2D6CAE">
            <w:pPr>
              <w:pStyle w:val="27"/>
              <w:jc w:val="both"/>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即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tc>
      </w:tr>
      <w:tr w14:paraId="2FFCB50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506" w:hRule="atLeast"/>
        </w:trPr>
        <w:tc>
          <w:tcPr>
            <w:tcW w:w="1134" w:type="dxa"/>
            <w:tcBorders>
              <w:top w:val="single" w:color="auto" w:sz="4" w:space="0"/>
              <w:left w:val="single" w:color="auto" w:sz="4" w:space="0"/>
              <w:bottom w:val="single" w:color="auto" w:sz="4" w:space="0"/>
              <w:right w:val="single" w:color="auto" w:sz="4" w:space="0"/>
            </w:tcBorders>
            <w:vAlign w:val="center"/>
          </w:tcPr>
          <w:p w14:paraId="7B01F137">
            <w:pPr>
              <w:autoSpaceDE w:val="0"/>
              <w:autoSpaceDN w:val="0"/>
              <w:adjustRightInd w:val="0"/>
              <w:spacing w:line="360" w:lineRule="auto"/>
              <w:rPr>
                <w:rFonts w:hint="default" w:ascii="Times New Roman" w:hAnsi="Times New Roman" w:eastAsia="宋体" w:cs="Times New Roman"/>
                <w:color w:val="000000" w:themeColor="text1"/>
                <w:kern w:val="0"/>
                <w:sz w:val="24"/>
                <w:szCs w:val="24"/>
                <w:highlight w:val="none"/>
                <w14:textFill>
                  <w14:solidFill>
                    <w14:schemeClr w14:val="tx1"/>
                  </w14:solidFill>
                </w14:textFill>
              </w:rPr>
            </w:pPr>
            <w:r>
              <w:rPr>
                <w:rFonts w:hint="default" w:ascii="Times New Roman" w:hAnsi="Times New Roman" w:eastAsia="宋体" w:cs="Times New Roman"/>
                <w:color w:val="000000" w:themeColor="text1"/>
                <w:kern w:val="0"/>
                <w:sz w:val="24"/>
                <w:szCs w:val="24"/>
                <w:highlight w:val="none"/>
                <w14:textFill>
                  <w14:solidFill>
                    <w14:schemeClr w14:val="tx1"/>
                  </w14:solidFill>
                </w14:textFill>
              </w:rPr>
              <w:t>30</w:t>
            </w:r>
          </w:p>
        </w:tc>
        <w:tc>
          <w:tcPr>
            <w:tcW w:w="7655" w:type="dxa"/>
            <w:tcBorders>
              <w:top w:val="single" w:color="auto" w:sz="4" w:space="0"/>
              <w:left w:val="single" w:color="auto" w:sz="4" w:space="0"/>
              <w:bottom w:val="single" w:color="auto" w:sz="4" w:space="0"/>
              <w:right w:val="single" w:color="auto" w:sz="4" w:space="0"/>
            </w:tcBorders>
            <w:vAlign w:val="center"/>
          </w:tcPr>
          <w:p w14:paraId="3874399A">
            <w:pPr>
              <w:pStyle w:val="27"/>
              <w:ind w:firstLine="0" w:firstLineChars="0"/>
              <w:jc w:val="both"/>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本国产品标准：</w:t>
            </w:r>
          </w:p>
          <w:p w14:paraId="7F2E55AA">
            <w:pPr>
              <w:pStyle w:val="27"/>
              <w:jc w:val="both"/>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投标人提供的本国产品应符合《国务院办公厅关于在政府采购中实施本国产品标准及相关政策的通知》（国办发〔2025〕34号）及相关配套政策规定的“本国产品”标准。</w:t>
            </w:r>
          </w:p>
        </w:tc>
      </w:tr>
      <w:tr w14:paraId="218EF0B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7" w:hRule="atLeast"/>
        </w:trPr>
        <w:tc>
          <w:tcPr>
            <w:tcW w:w="1134" w:type="dxa"/>
            <w:tcBorders>
              <w:top w:val="single" w:color="auto" w:sz="4" w:space="0"/>
              <w:left w:val="single" w:color="auto" w:sz="4" w:space="0"/>
              <w:bottom w:val="single" w:color="auto" w:sz="4" w:space="0"/>
              <w:right w:val="single" w:color="auto" w:sz="4" w:space="0"/>
            </w:tcBorders>
            <w:vAlign w:val="center"/>
          </w:tcPr>
          <w:p w14:paraId="0DD56E16">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31</w:t>
            </w:r>
          </w:p>
        </w:tc>
        <w:tc>
          <w:tcPr>
            <w:tcW w:w="7655" w:type="dxa"/>
            <w:tcBorders>
              <w:top w:val="single" w:color="auto" w:sz="4" w:space="0"/>
              <w:left w:val="single" w:color="auto" w:sz="4" w:space="0"/>
              <w:bottom w:val="single" w:color="auto" w:sz="4" w:space="0"/>
              <w:right w:val="single" w:color="auto" w:sz="4" w:space="0"/>
            </w:tcBorders>
            <w:vAlign w:val="center"/>
          </w:tcPr>
          <w:p w14:paraId="7C357E6D">
            <w:pPr>
              <w:autoSpaceDE w:val="0"/>
              <w:autoSpaceDN w:val="0"/>
              <w:adjustRightInd w:val="0"/>
              <w:spacing w:line="360" w:lineRule="auto"/>
              <w:rPr>
                <w:rFonts w:hint="default" w:ascii="Times New Roman" w:hAnsi="Times New Roman" w:eastAsia="宋体" w:cs="Times New Roman"/>
                <w:b/>
                <w:bCs/>
                <w:kern w:val="0"/>
                <w:sz w:val="24"/>
                <w:szCs w:val="24"/>
                <w:highlight w:val="none"/>
              </w:rPr>
            </w:pPr>
            <w:r>
              <w:rPr>
                <w:rFonts w:hint="default" w:ascii="Times New Roman" w:hAnsi="Times New Roman" w:eastAsia="宋体" w:cs="Times New Roman"/>
                <w:b/>
                <w:bCs/>
                <w:kern w:val="0"/>
                <w:sz w:val="24"/>
                <w:szCs w:val="24"/>
                <w:highlight w:val="none"/>
              </w:rPr>
              <w:t>废标条款：</w:t>
            </w:r>
          </w:p>
          <w:p w14:paraId="04810BCE">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1、符合专业条件的供应商或者对招标文件作出实质性响应的供应商不足三家的；</w:t>
            </w:r>
          </w:p>
          <w:p w14:paraId="798CD3DB">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2、出现影响采购公正的违法、违规行为的；</w:t>
            </w:r>
          </w:p>
          <w:p w14:paraId="606731BA">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3、投标人的报价均超过了采购预算（设置最高限价的，以最高限价为准），采购人不能支付的；</w:t>
            </w:r>
          </w:p>
          <w:p w14:paraId="408C47E1">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4、因重大变故，采购任务取消的。</w:t>
            </w:r>
          </w:p>
        </w:tc>
      </w:tr>
    </w:tbl>
    <w:p w14:paraId="0A62CF4E">
      <w:pPr>
        <w:pStyle w:val="27"/>
        <w:ind w:firstLine="560"/>
        <w:jc w:val="both"/>
        <w:rPr>
          <w:rFonts w:hint="default" w:ascii="Times New Roman" w:hAnsi="Times New Roman" w:eastAsia="宋体" w:cs="Times New Roman"/>
          <w:highlight w:val="none"/>
        </w:rPr>
      </w:pPr>
    </w:p>
    <w:p w14:paraId="014897B2">
      <w:pPr>
        <w:adjustRightInd w:val="0"/>
        <w:snapToGrid w:val="0"/>
        <w:spacing w:before="156" w:beforeLines="50" w:after="156" w:afterLines="50"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注1：</w:t>
      </w:r>
    </w:p>
    <w:p w14:paraId="519E82D8">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1）信用信息查询渠道：“信用中国”网站（www.creditchina.gov.cn）、中国政府采购网（www.ccgp.gov.cn）。</w:t>
      </w:r>
    </w:p>
    <w:p w14:paraId="5F2135BC">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2）信用信息查询截止时点：同投标截止期，即查询投标人截止到投标截止期的信用信息记录。</w:t>
      </w:r>
    </w:p>
    <w:p w14:paraId="5A2584B3">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3）信用信息查询记录和证据留存的具体方式：信用信息查询记录将以网站截图打印稿形式与其他采购文件一并保存。</w:t>
      </w:r>
    </w:p>
    <w:p w14:paraId="1273505B">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4）信用信息的使用规则：如投标人为“信用中国”网站（www.creditchina.gov.cn）中列入失信被执行人或重大税收违法</w:t>
      </w:r>
      <w:r>
        <w:rPr>
          <w:rFonts w:hint="default" w:ascii="Times New Roman" w:hAnsi="Times New Roman" w:eastAsia="宋体" w:cs="Times New Roman"/>
          <w:sz w:val="24"/>
          <w:highlight w:val="none"/>
          <w:lang w:eastAsia="zh-CN"/>
        </w:rPr>
        <w:t>失信主体</w:t>
      </w:r>
      <w:r>
        <w:rPr>
          <w:rFonts w:hint="default" w:ascii="Times New Roman" w:hAnsi="Times New Roman" w:eastAsia="宋体" w:cs="Times New Roman"/>
          <w:sz w:val="24"/>
          <w:highlight w:val="none"/>
        </w:rPr>
        <w:t>名单的供应商，或为中国政府采购网（www.ccgp.gov.cn）政府采购严重违法失信行为记录名单中被财政部门禁止参加政府采购活动的供应商，则其投标将被拒绝。代理机构在评审当天查询结果。</w:t>
      </w:r>
    </w:p>
    <w:p w14:paraId="4777BACA">
      <w:pPr>
        <w:widowControl/>
        <w:spacing w:line="360" w:lineRule="auto"/>
        <w:rPr>
          <w:rFonts w:hint="default" w:ascii="Times New Roman" w:hAnsi="Times New Roman" w:eastAsia="宋体" w:cs="Times New Roman"/>
          <w:sz w:val="28"/>
          <w:highlight w:val="none"/>
        </w:rPr>
      </w:pPr>
      <w:r>
        <w:rPr>
          <w:rFonts w:hint="default" w:ascii="Times New Roman" w:hAnsi="Times New Roman" w:eastAsia="宋体" w:cs="Times New Roman"/>
          <w:highlight w:val="none"/>
        </w:rPr>
        <w:br w:type="page"/>
      </w:r>
    </w:p>
    <w:p w14:paraId="70970063">
      <w:pPr>
        <w:spacing w:line="360" w:lineRule="auto"/>
        <w:rPr>
          <w:rFonts w:hint="default" w:ascii="Times New Roman" w:hAnsi="Times New Roman" w:eastAsia="宋体" w:cs="Times New Roman"/>
          <w:kern w:val="0"/>
          <w:sz w:val="24"/>
          <w:szCs w:val="24"/>
          <w:highlight w:val="none"/>
        </w:rPr>
      </w:pPr>
    </w:p>
    <w:p w14:paraId="0873D5C5">
      <w:pPr>
        <w:spacing w:line="360" w:lineRule="auto"/>
        <w:outlineLvl w:val="0"/>
        <w:rPr>
          <w:rFonts w:hint="default" w:ascii="Times New Roman" w:hAnsi="Times New Roman" w:eastAsia="宋体" w:cs="Times New Roman"/>
          <w:b/>
          <w:bCs/>
          <w:kern w:val="0"/>
          <w:sz w:val="44"/>
          <w:szCs w:val="44"/>
          <w:highlight w:val="none"/>
          <w:lang w:val="zh-CN"/>
        </w:rPr>
      </w:pPr>
      <w:r>
        <w:rPr>
          <w:rFonts w:hint="default" w:ascii="Times New Roman" w:hAnsi="Times New Roman" w:eastAsia="宋体" w:cs="Times New Roman"/>
          <w:b/>
          <w:bCs/>
          <w:kern w:val="0"/>
          <w:sz w:val="44"/>
          <w:szCs w:val="44"/>
          <w:highlight w:val="none"/>
          <w:lang w:val="zh-CN"/>
        </w:rPr>
        <w:t>第三章 投标人须知</w:t>
      </w:r>
    </w:p>
    <w:p w14:paraId="43795DA2">
      <w:pPr>
        <w:pStyle w:val="27"/>
        <w:ind w:firstLine="560"/>
        <w:jc w:val="both"/>
        <w:rPr>
          <w:rFonts w:hint="default" w:ascii="Times New Roman" w:hAnsi="Times New Roman" w:eastAsia="宋体" w:cs="Times New Roman"/>
          <w:highlight w:val="none"/>
          <w:lang w:val="zh-CN"/>
        </w:rPr>
      </w:pPr>
    </w:p>
    <w:p w14:paraId="7C42F441">
      <w:pPr>
        <w:autoSpaceDE w:val="0"/>
        <w:autoSpaceDN w:val="0"/>
        <w:adjustRightInd w:val="0"/>
        <w:spacing w:line="360" w:lineRule="auto"/>
        <w:outlineLvl w:val="1"/>
        <w:rPr>
          <w:rFonts w:hint="default" w:ascii="Times New Roman" w:hAnsi="Times New Roman" w:eastAsia="宋体" w:cs="Times New Roman"/>
          <w:b/>
          <w:bCs/>
          <w:kern w:val="0"/>
          <w:sz w:val="24"/>
          <w:szCs w:val="24"/>
          <w:highlight w:val="none"/>
          <w:lang w:val="zh-CN"/>
        </w:rPr>
      </w:pPr>
      <w:r>
        <w:rPr>
          <w:rFonts w:hint="default" w:ascii="Times New Roman" w:hAnsi="Times New Roman" w:eastAsia="宋体" w:cs="Times New Roman"/>
          <w:b/>
          <w:bCs/>
          <w:kern w:val="0"/>
          <w:sz w:val="24"/>
          <w:szCs w:val="24"/>
          <w:highlight w:val="none"/>
          <w:lang w:val="zh-CN"/>
        </w:rPr>
        <w:t>（一）说明</w:t>
      </w:r>
    </w:p>
    <w:p w14:paraId="11E7CDA9">
      <w:pPr>
        <w:autoSpaceDE w:val="0"/>
        <w:autoSpaceDN w:val="0"/>
        <w:adjustRightInd w:val="0"/>
        <w:spacing w:line="360" w:lineRule="auto"/>
        <w:rPr>
          <w:rFonts w:hint="default" w:ascii="Times New Roman" w:hAnsi="Times New Roman" w:eastAsia="宋体" w:cs="Times New Roman"/>
          <w:b/>
          <w:bCs/>
          <w:kern w:val="0"/>
          <w:sz w:val="24"/>
          <w:szCs w:val="24"/>
          <w:highlight w:val="none"/>
          <w:lang w:val="zh-CN"/>
        </w:rPr>
      </w:pPr>
      <w:r>
        <w:rPr>
          <w:rFonts w:hint="default" w:ascii="Times New Roman" w:hAnsi="Times New Roman" w:eastAsia="宋体" w:cs="Times New Roman"/>
          <w:b/>
          <w:bCs/>
          <w:kern w:val="0"/>
          <w:sz w:val="24"/>
          <w:szCs w:val="24"/>
          <w:highlight w:val="none"/>
          <w:lang w:val="zh-CN"/>
        </w:rPr>
        <w:t>1. 采购人、采购代理机构及合格的投标人</w:t>
      </w:r>
    </w:p>
    <w:p w14:paraId="26F63F42">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1.1 采购人（采购人）：ZYCGR22011901</w:t>
      </w:r>
    </w:p>
    <w:p w14:paraId="2CDA1E40">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1.2 采购代理机构（招标代理机构）：东方国际招标有限责任公司</w:t>
      </w:r>
    </w:p>
    <w:p w14:paraId="67A9304C">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1.3 合格的投标人（供应商）：详见招标文件第二章“投标人须知资料表”（以下简称“资料表”）</w:t>
      </w:r>
    </w:p>
    <w:p w14:paraId="7D996B48">
      <w:pPr>
        <w:tabs>
          <w:tab w:val="left" w:pos="8460"/>
        </w:tabs>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1.4凡受托为本次招标的进行设计、编制规范和其他文件的咨询公司，及相关联的附属机构，不得参与投标，凡未购买招标文件的供应商，不得参与投标。</w:t>
      </w:r>
    </w:p>
    <w:p w14:paraId="006CCB22">
      <w:pPr>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1.5投标人在投标过程中不得向采购人和采购代理机构提供、给予任何有价值的物品，一经发现，其投标人资格将被取消。</w:t>
      </w:r>
    </w:p>
    <w:p w14:paraId="5A870ABA">
      <w:pPr>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1.6采购人和采购代理机构在任何时候发现投标人以他人名义投标、相互串通投标，投标人提交的投标文件中提交虚假资料或失实资料的，或者以其他方式弄虚作假的，其投标将被拒绝并没收其投标保证金，并视情况依法追究责任。</w:t>
      </w:r>
    </w:p>
    <w:p w14:paraId="1B3B252D">
      <w:pPr>
        <w:autoSpaceDE w:val="0"/>
        <w:autoSpaceDN w:val="0"/>
        <w:adjustRightInd w:val="0"/>
        <w:spacing w:before="156" w:beforeLines="50" w:line="360" w:lineRule="auto"/>
        <w:rPr>
          <w:rFonts w:hint="default" w:ascii="Times New Roman" w:hAnsi="Times New Roman" w:eastAsia="宋体" w:cs="Times New Roman"/>
          <w:b/>
          <w:bCs/>
          <w:kern w:val="0"/>
          <w:sz w:val="24"/>
          <w:szCs w:val="24"/>
          <w:highlight w:val="none"/>
          <w:lang w:val="zh-CN"/>
        </w:rPr>
      </w:pPr>
      <w:r>
        <w:rPr>
          <w:rFonts w:hint="default" w:ascii="Times New Roman" w:hAnsi="Times New Roman" w:eastAsia="宋体" w:cs="Times New Roman"/>
          <w:b/>
          <w:bCs/>
          <w:kern w:val="0"/>
          <w:sz w:val="24"/>
          <w:szCs w:val="24"/>
          <w:highlight w:val="none"/>
          <w:lang w:val="zh-CN"/>
        </w:rPr>
        <w:t>2．资金来源</w:t>
      </w:r>
    </w:p>
    <w:p w14:paraId="256DF253">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2.1 财政性拨款经费，已落实。</w:t>
      </w:r>
    </w:p>
    <w:p w14:paraId="0CD5758D">
      <w:pPr>
        <w:autoSpaceDE w:val="0"/>
        <w:autoSpaceDN w:val="0"/>
        <w:adjustRightInd w:val="0"/>
        <w:spacing w:line="360" w:lineRule="auto"/>
        <w:rPr>
          <w:rFonts w:hint="default" w:ascii="Times New Roman" w:hAnsi="Times New Roman" w:eastAsia="宋体" w:cs="Times New Roman"/>
          <w:b/>
          <w:bCs/>
          <w:kern w:val="0"/>
          <w:sz w:val="24"/>
          <w:szCs w:val="24"/>
          <w:highlight w:val="none"/>
          <w:lang w:val="zh-CN"/>
        </w:rPr>
      </w:pPr>
      <w:r>
        <w:rPr>
          <w:rFonts w:hint="default" w:ascii="Times New Roman" w:hAnsi="Times New Roman" w:eastAsia="宋体" w:cs="Times New Roman"/>
          <w:b/>
          <w:bCs/>
          <w:kern w:val="0"/>
          <w:sz w:val="24"/>
          <w:szCs w:val="24"/>
          <w:highlight w:val="none"/>
          <w:lang w:val="zh-CN"/>
        </w:rPr>
        <w:t>3．投标费用</w:t>
      </w:r>
    </w:p>
    <w:p w14:paraId="01472E1E">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3.1 投标人应承担所有与准备和参加投标有关的费用，不论投标的结果如何，采购人和采购代理机构均无义务承担责任。</w:t>
      </w:r>
    </w:p>
    <w:p w14:paraId="1E3A2596">
      <w:pPr>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3.2 中标人应向采购代理机构交纳中标服务费(费用详见“资料表”)。此项费用不应单独开列，但计入投标总价。</w:t>
      </w:r>
    </w:p>
    <w:p w14:paraId="231429FE">
      <w:pPr>
        <w:pStyle w:val="27"/>
        <w:ind w:firstLine="560"/>
        <w:jc w:val="both"/>
        <w:rPr>
          <w:rFonts w:hint="default" w:ascii="Times New Roman" w:hAnsi="Times New Roman" w:eastAsia="宋体" w:cs="Times New Roman"/>
          <w:highlight w:val="none"/>
        </w:rPr>
      </w:pPr>
    </w:p>
    <w:p w14:paraId="649B4B10">
      <w:pPr>
        <w:autoSpaceDE w:val="0"/>
        <w:autoSpaceDN w:val="0"/>
        <w:adjustRightInd w:val="0"/>
        <w:spacing w:line="360" w:lineRule="auto"/>
        <w:outlineLvl w:val="1"/>
        <w:rPr>
          <w:rFonts w:hint="default" w:ascii="Times New Roman" w:hAnsi="Times New Roman" w:eastAsia="宋体" w:cs="Times New Roman"/>
          <w:b/>
          <w:bCs/>
          <w:kern w:val="0"/>
          <w:sz w:val="24"/>
          <w:szCs w:val="24"/>
          <w:highlight w:val="none"/>
          <w:lang w:val="zh-CN"/>
        </w:rPr>
      </w:pPr>
      <w:r>
        <w:rPr>
          <w:rFonts w:hint="default" w:ascii="Times New Roman" w:hAnsi="Times New Roman" w:eastAsia="宋体" w:cs="Times New Roman"/>
          <w:b/>
          <w:bCs/>
          <w:kern w:val="0"/>
          <w:sz w:val="24"/>
          <w:szCs w:val="24"/>
          <w:highlight w:val="none"/>
          <w:lang w:val="zh-CN"/>
        </w:rPr>
        <w:t>（二）招标文件</w:t>
      </w:r>
    </w:p>
    <w:p w14:paraId="68FDF303">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4. 招标文件构成</w:t>
      </w:r>
    </w:p>
    <w:p w14:paraId="6C41538E">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4.1 招标所需的有关服务的内容、详细技术需求、投标须知和合同条件等在招标文件中均有说明。</w:t>
      </w:r>
    </w:p>
    <w:p w14:paraId="6A6AC3C4">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招标文件包括：</w:t>
      </w:r>
    </w:p>
    <w:p w14:paraId="559F189B">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lang w:val="zh-CN"/>
        </w:rPr>
        <w:t xml:space="preserve">第一章 投标邀请 </w:t>
      </w:r>
    </w:p>
    <w:p w14:paraId="23E6E1A6">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 xml:space="preserve">第二章 投标人须知资料表  </w:t>
      </w:r>
    </w:p>
    <w:p w14:paraId="236E2EA1">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第三章 投标人须知</w:t>
      </w:r>
    </w:p>
    <w:p w14:paraId="3C3F1F37">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第四章 项目需求</w:t>
      </w:r>
    </w:p>
    <w:p w14:paraId="6FCB8C2C">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第五章 拟签订的合同文本（范本）</w:t>
      </w:r>
    </w:p>
    <w:p w14:paraId="21C69F83">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 xml:space="preserve">第六章 投标文件格式  </w:t>
      </w:r>
    </w:p>
    <w:p w14:paraId="4E6AC1E6">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第七章 评标文件（附：评标标准）</w:t>
      </w:r>
    </w:p>
    <w:p w14:paraId="760540A3">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根据招标文件规定发出的澄清、修改及补充文件（如有）</w:t>
      </w:r>
    </w:p>
    <w:p w14:paraId="7CAAF11A">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4.2 投标人应认真阅读招标文件所有的事项、格式、条款和技术规范等。如投标人没有按照招标文件要求提交全部资料，或者投标文件没有对招标文件在各方面都做出实质性响应是投标人的风险，并可能导致其投标被拒绝。</w:t>
      </w:r>
    </w:p>
    <w:p w14:paraId="3FDD7C37">
      <w:pPr>
        <w:autoSpaceDE w:val="0"/>
        <w:autoSpaceDN w:val="0"/>
        <w:adjustRightInd w:val="0"/>
        <w:spacing w:line="360" w:lineRule="auto"/>
        <w:rPr>
          <w:rFonts w:hint="default" w:ascii="Times New Roman" w:hAnsi="Times New Roman" w:eastAsia="宋体" w:cs="Times New Roman"/>
          <w:b/>
          <w:bCs/>
          <w:kern w:val="0"/>
          <w:sz w:val="24"/>
          <w:szCs w:val="24"/>
          <w:highlight w:val="none"/>
          <w:lang w:val="zh-CN"/>
        </w:rPr>
      </w:pPr>
      <w:r>
        <w:rPr>
          <w:rFonts w:hint="default" w:ascii="Times New Roman" w:hAnsi="Times New Roman" w:eastAsia="宋体" w:cs="Times New Roman"/>
          <w:b/>
          <w:bCs/>
          <w:kern w:val="0"/>
          <w:sz w:val="24"/>
          <w:szCs w:val="24"/>
          <w:highlight w:val="none"/>
          <w:lang w:val="zh-CN"/>
        </w:rPr>
        <w:t>5. 招标文件的澄清</w:t>
      </w:r>
    </w:p>
    <w:p w14:paraId="2C801FF2">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5.1 任何要求对招标文件进行澄清的投标人，均应以书面形式通知采购代理机构。采购代理机构以书面形式通知所有招标文件收受人。所有接到澄清通知的投标人在收到后应立即向采购代理机构回函确认。</w:t>
      </w:r>
    </w:p>
    <w:p w14:paraId="50232BFB">
      <w:pPr>
        <w:autoSpaceDE w:val="0"/>
        <w:autoSpaceDN w:val="0"/>
        <w:adjustRightInd w:val="0"/>
        <w:spacing w:line="360" w:lineRule="auto"/>
        <w:rPr>
          <w:rFonts w:hint="default" w:ascii="Times New Roman" w:hAnsi="Times New Roman" w:eastAsia="宋体" w:cs="Times New Roman"/>
          <w:b/>
          <w:bCs/>
          <w:kern w:val="0"/>
          <w:sz w:val="24"/>
          <w:szCs w:val="24"/>
          <w:highlight w:val="none"/>
          <w:lang w:val="zh-CN"/>
        </w:rPr>
      </w:pPr>
      <w:r>
        <w:rPr>
          <w:rFonts w:hint="default" w:ascii="Times New Roman" w:hAnsi="Times New Roman" w:eastAsia="宋体" w:cs="Times New Roman"/>
          <w:b/>
          <w:bCs/>
          <w:kern w:val="0"/>
          <w:sz w:val="24"/>
          <w:szCs w:val="24"/>
          <w:highlight w:val="none"/>
          <w:lang w:val="zh-CN"/>
        </w:rPr>
        <w:t>6. 招标文件的修改</w:t>
      </w:r>
    </w:p>
    <w:p w14:paraId="0EA6147E">
      <w:pPr>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6.1采购人和采购代理机构可主动地或在解答投标人提出的澄清问题时对招标文件进行修改。</w:t>
      </w:r>
    </w:p>
    <w:p w14:paraId="1F996429">
      <w:pPr>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6.2招标文件的修改应以书面形式通知所有获取招标文件的潜在投标人，投标人在收到上述通知后，应立即向采购代理机构回函确认。修改的内容是招标文件的组成部分，对招、投标双方具有约束力。</w:t>
      </w:r>
    </w:p>
    <w:p w14:paraId="372397EF">
      <w:pPr>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6.3 招标文件修改的内容可能影响投标文件编制的，采购代理机构将在投标截止时间至少15日前，以书面形式通知所有获取招标文件的潜在投标人；不足15日的，采购代理机构将顺延提交投标文件的截止时间。</w:t>
      </w:r>
    </w:p>
    <w:p w14:paraId="429F7DE4">
      <w:pPr>
        <w:pStyle w:val="27"/>
        <w:ind w:firstLine="560"/>
        <w:jc w:val="both"/>
        <w:rPr>
          <w:rFonts w:hint="default" w:ascii="Times New Roman" w:hAnsi="Times New Roman" w:eastAsia="宋体" w:cs="Times New Roman"/>
          <w:highlight w:val="none"/>
        </w:rPr>
      </w:pPr>
    </w:p>
    <w:p w14:paraId="69B2641D">
      <w:pPr>
        <w:autoSpaceDE w:val="0"/>
        <w:autoSpaceDN w:val="0"/>
        <w:adjustRightInd w:val="0"/>
        <w:spacing w:line="360" w:lineRule="auto"/>
        <w:outlineLvl w:val="1"/>
        <w:rPr>
          <w:rFonts w:hint="default" w:ascii="Times New Roman" w:hAnsi="Times New Roman" w:eastAsia="宋体" w:cs="Times New Roman"/>
          <w:b/>
          <w:bCs/>
          <w:kern w:val="0"/>
          <w:sz w:val="24"/>
          <w:szCs w:val="24"/>
          <w:highlight w:val="none"/>
          <w:lang w:val="zh-CN"/>
        </w:rPr>
      </w:pPr>
      <w:r>
        <w:rPr>
          <w:rFonts w:hint="default" w:ascii="Times New Roman" w:hAnsi="Times New Roman" w:eastAsia="宋体" w:cs="Times New Roman"/>
          <w:b/>
          <w:bCs/>
          <w:kern w:val="0"/>
          <w:sz w:val="24"/>
          <w:szCs w:val="24"/>
          <w:highlight w:val="none"/>
          <w:lang w:val="zh-CN"/>
        </w:rPr>
        <w:t>（三）投标文件的编制</w:t>
      </w:r>
    </w:p>
    <w:p w14:paraId="03D38D04">
      <w:pPr>
        <w:autoSpaceDE w:val="0"/>
        <w:autoSpaceDN w:val="0"/>
        <w:adjustRightInd w:val="0"/>
        <w:spacing w:line="360" w:lineRule="auto"/>
        <w:rPr>
          <w:rFonts w:hint="default" w:ascii="Times New Roman" w:hAnsi="Times New Roman" w:eastAsia="宋体" w:cs="Times New Roman"/>
          <w:b/>
          <w:bCs/>
          <w:kern w:val="0"/>
          <w:sz w:val="24"/>
          <w:szCs w:val="24"/>
          <w:highlight w:val="none"/>
          <w:lang w:val="zh-CN"/>
        </w:rPr>
      </w:pPr>
      <w:r>
        <w:rPr>
          <w:rFonts w:hint="default" w:ascii="Times New Roman" w:hAnsi="Times New Roman" w:eastAsia="宋体" w:cs="Times New Roman"/>
          <w:b/>
          <w:bCs/>
          <w:kern w:val="0"/>
          <w:sz w:val="24"/>
          <w:szCs w:val="24"/>
          <w:highlight w:val="none"/>
          <w:lang w:val="zh-CN"/>
        </w:rPr>
        <w:t>7．投标范围、投标文件中计量单位的使用、投标语言</w:t>
      </w:r>
    </w:p>
    <w:p w14:paraId="4017B49F">
      <w:pPr>
        <w:tabs>
          <w:tab w:val="left" w:pos="900"/>
        </w:tabs>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7.1投标范围详见第二章“资料表”。</w:t>
      </w:r>
    </w:p>
    <w:p w14:paraId="345310FA">
      <w:pPr>
        <w:tabs>
          <w:tab w:val="left" w:pos="900"/>
        </w:tabs>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7.2投标文件中所使用的计量单位，除招标文件中有特殊要求外，应采用中华人民共和国法定计量单位。</w:t>
      </w:r>
    </w:p>
    <w:p w14:paraId="3F070719">
      <w:pPr>
        <w:tabs>
          <w:tab w:val="left" w:pos="900"/>
        </w:tabs>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7.3 投标人提交的投标文件及投标人与采购代理机构或采购人就有关投标的所有来往函电均应使用中文书写。投标人提交的支持文件和印制的文献可以用另一种语言，但相应内容应附有中文的翻译本，在解释投标文件时以中文为准。</w:t>
      </w:r>
    </w:p>
    <w:p w14:paraId="69441F1A">
      <w:pPr>
        <w:autoSpaceDE w:val="0"/>
        <w:autoSpaceDN w:val="0"/>
        <w:adjustRightInd w:val="0"/>
        <w:spacing w:line="360" w:lineRule="auto"/>
        <w:rPr>
          <w:rFonts w:hint="default" w:ascii="Times New Roman" w:hAnsi="Times New Roman" w:eastAsia="宋体" w:cs="Times New Roman"/>
          <w:b/>
          <w:bCs/>
          <w:kern w:val="0"/>
          <w:sz w:val="24"/>
          <w:szCs w:val="24"/>
          <w:highlight w:val="none"/>
          <w:lang w:val="zh-CN"/>
        </w:rPr>
      </w:pPr>
      <w:r>
        <w:rPr>
          <w:rFonts w:hint="default" w:ascii="Times New Roman" w:hAnsi="Times New Roman" w:eastAsia="宋体" w:cs="Times New Roman"/>
          <w:b/>
          <w:bCs/>
          <w:kern w:val="0"/>
          <w:sz w:val="24"/>
          <w:szCs w:val="24"/>
          <w:highlight w:val="none"/>
          <w:lang w:val="zh-CN"/>
        </w:rPr>
        <w:t>8. 投标文件构成</w:t>
      </w:r>
    </w:p>
    <w:p w14:paraId="17CCC270">
      <w:pPr>
        <w:spacing w:before="120" w:line="360" w:lineRule="auto"/>
        <w:rPr>
          <w:rFonts w:hint="default" w:ascii="Times New Roman" w:hAnsi="Times New Roman" w:eastAsia="宋体" w:cs="Times New Roman"/>
          <w:sz w:val="24"/>
          <w:szCs w:val="24"/>
          <w:highlight w:val="none"/>
        </w:rPr>
      </w:pPr>
      <w:bookmarkStart w:id="2" w:name="_Ref467052588"/>
      <w:r>
        <w:rPr>
          <w:rFonts w:hint="default" w:ascii="Times New Roman" w:hAnsi="Times New Roman" w:eastAsia="宋体" w:cs="Times New Roman"/>
          <w:sz w:val="24"/>
          <w:szCs w:val="24"/>
          <w:highlight w:val="none"/>
        </w:rPr>
        <w:t>8.1投标人应完整地按招标文件提供的投标文件格式编写投标文件，投标文件应包括但不仅限于以下内容</w:t>
      </w:r>
      <w:bookmarkEnd w:id="2"/>
      <w:r>
        <w:rPr>
          <w:rFonts w:hint="default" w:ascii="Times New Roman" w:hAnsi="Times New Roman" w:eastAsia="宋体" w:cs="Times New Roman"/>
          <w:sz w:val="24"/>
          <w:szCs w:val="24"/>
          <w:highlight w:val="none"/>
        </w:rPr>
        <w:t>：详见第六章投标文件格式。</w:t>
      </w:r>
    </w:p>
    <w:p w14:paraId="2BB8C033">
      <w:pPr>
        <w:spacing w:before="120" w:line="360" w:lineRule="auto"/>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t>9. 证明服务的合格性和符合招标文件规定的文件</w:t>
      </w:r>
    </w:p>
    <w:p w14:paraId="3161911A">
      <w:pPr>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9.1 投标人应按照第四章项目需求和第六章投标文件格式要求，提供证明所投货物及相关服务符合招标文件规定的技术支持材料。</w:t>
      </w:r>
    </w:p>
    <w:p w14:paraId="0F90E975">
      <w:pPr>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对于成熟通用模块参数，可提供制造商公开技术资料、检测/校准报告、软件截图等证明材料；对于整机集成、定制开发、需在交付后结合采购人场景验证的指标，可提供设计方案、实现路径、关键模块证明材料、测算说明等。</w:t>
      </w:r>
    </w:p>
    <w:p w14:paraId="02F04480">
      <w:pPr>
        <w:autoSpaceDE w:val="0"/>
        <w:autoSpaceDN w:val="0"/>
        <w:adjustRightInd w:val="0"/>
        <w:spacing w:before="100" w:beforeAutospacing="1" w:after="100" w:afterAutospacing="1" w:line="360" w:lineRule="auto"/>
        <w:rPr>
          <w:rFonts w:hint="default" w:ascii="Times New Roman" w:hAnsi="Times New Roman" w:eastAsia="宋体" w:cs="Times New Roman"/>
          <w:b/>
          <w:bCs/>
          <w:kern w:val="0"/>
          <w:sz w:val="24"/>
          <w:szCs w:val="24"/>
          <w:highlight w:val="none"/>
          <w:lang w:val="zh-CN"/>
        </w:rPr>
      </w:pPr>
      <w:r>
        <w:rPr>
          <w:rFonts w:hint="default" w:ascii="Times New Roman" w:hAnsi="Times New Roman" w:eastAsia="宋体" w:cs="Times New Roman"/>
          <w:b/>
          <w:bCs/>
          <w:kern w:val="0"/>
          <w:sz w:val="24"/>
          <w:szCs w:val="24"/>
          <w:highlight w:val="none"/>
          <w:lang w:val="zh-CN"/>
        </w:rPr>
        <w:t>10. 投标报价</w:t>
      </w:r>
    </w:p>
    <w:p w14:paraId="079CAD72">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10.1投标人的投标报价应遵守“中华人民共和国价格法”。</w:t>
      </w:r>
    </w:p>
    <w:p w14:paraId="176CC3AD">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10.2 投标人对每项货物及服务只允许有一个报价，采购代理机构和采购人不接受有任何选择的报价，同时不接受有条件的优惠报价。</w:t>
      </w:r>
    </w:p>
    <w:p w14:paraId="5C88F2E2">
      <w:pPr>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10.3投标人应在投标分项报价表上标明投标货物及服务的单价和总价，并由法定代表人或其授权代表签署。</w:t>
      </w:r>
    </w:p>
    <w:p w14:paraId="7928326C">
      <w:pPr>
        <w:tabs>
          <w:tab w:val="left" w:pos="900"/>
        </w:tabs>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10.4投标人所报的投标分项价格或单次费用明细价格在合同执行过程中是固定不变的，投标人不得以任何理由予以变更。</w:t>
      </w:r>
    </w:p>
    <w:p w14:paraId="645F2D56">
      <w:pPr>
        <w:tabs>
          <w:tab w:val="left" w:pos="900"/>
        </w:tabs>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bCs/>
          <w:sz w:val="24"/>
          <w:szCs w:val="24"/>
          <w:highlight w:val="none"/>
        </w:rPr>
        <w:t>10.5对投标人投标服务报价的其他要求详见</w:t>
      </w:r>
      <w:r>
        <w:rPr>
          <w:rFonts w:hint="default" w:ascii="Times New Roman" w:hAnsi="Times New Roman" w:eastAsia="宋体" w:cs="Times New Roman"/>
          <w:sz w:val="24"/>
          <w:szCs w:val="24"/>
          <w:highlight w:val="none"/>
        </w:rPr>
        <w:t>第二章“资料表”。</w:t>
      </w:r>
    </w:p>
    <w:p w14:paraId="374EA90C">
      <w:pPr>
        <w:pStyle w:val="27"/>
        <w:ind w:firstLine="560"/>
        <w:jc w:val="both"/>
        <w:rPr>
          <w:rFonts w:hint="default" w:ascii="Times New Roman" w:hAnsi="Times New Roman" w:eastAsia="宋体" w:cs="Times New Roman"/>
          <w:highlight w:val="none"/>
        </w:rPr>
      </w:pPr>
    </w:p>
    <w:p w14:paraId="22700A4F">
      <w:pPr>
        <w:autoSpaceDE w:val="0"/>
        <w:autoSpaceDN w:val="0"/>
        <w:adjustRightInd w:val="0"/>
        <w:spacing w:line="360" w:lineRule="auto"/>
        <w:rPr>
          <w:rFonts w:hint="default" w:ascii="Times New Roman" w:hAnsi="Times New Roman" w:eastAsia="宋体" w:cs="Times New Roman"/>
          <w:b/>
          <w:bCs/>
          <w:kern w:val="0"/>
          <w:sz w:val="24"/>
          <w:szCs w:val="24"/>
          <w:highlight w:val="none"/>
          <w:lang w:val="zh-CN"/>
        </w:rPr>
      </w:pPr>
      <w:r>
        <w:rPr>
          <w:rFonts w:hint="default" w:ascii="Times New Roman" w:hAnsi="Times New Roman" w:eastAsia="宋体" w:cs="Times New Roman"/>
          <w:b/>
          <w:bCs/>
          <w:kern w:val="0"/>
          <w:sz w:val="24"/>
          <w:szCs w:val="24"/>
          <w:highlight w:val="none"/>
          <w:lang w:val="zh-CN"/>
        </w:rPr>
        <w:t>11. 投标保证金</w:t>
      </w:r>
    </w:p>
    <w:p w14:paraId="32B1811C">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11.1 投标人应提供投标保证金，并作为其有效投标的一部分（具体金额、形式详见第二章“资料表”）。</w:t>
      </w:r>
    </w:p>
    <w:p w14:paraId="60B4B4D9">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11.2 投标保证金是为了保护采购人和采购代理机构免遭因投标人的行为蒙受损失而要求的。</w:t>
      </w:r>
    </w:p>
    <w:p w14:paraId="1CC4A075">
      <w:pPr>
        <w:spacing w:before="120"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下列任何情况发生，投标保证金将不予返还：</w:t>
      </w:r>
    </w:p>
    <w:p w14:paraId="6406BD1F">
      <w:pPr>
        <w:pStyle w:val="13"/>
        <w:tabs>
          <w:tab w:val="left" w:pos="2240"/>
        </w:tabs>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(1)在开标之日后到投标有效期满前，投标人撤回投标的；</w:t>
      </w:r>
    </w:p>
    <w:p w14:paraId="3718DDA0">
      <w:pPr>
        <w:pStyle w:val="13"/>
        <w:tabs>
          <w:tab w:val="left" w:pos="2240"/>
        </w:tabs>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(2)投标人以他人名义投标、相互串通投标或者以其他方式弄虚作假的，投标人提交的投标文件中提交虚假资料或失实资料的；</w:t>
      </w:r>
    </w:p>
    <w:p w14:paraId="7E06F71F">
      <w:pPr>
        <w:pStyle w:val="13"/>
        <w:tabs>
          <w:tab w:val="left" w:pos="2240"/>
        </w:tabs>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(3)中标人不按本招标文件规定与采购人签订合同的；</w:t>
      </w:r>
    </w:p>
    <w:p w14:paraId="1107FF53">
      <w:pPr>
        <w:pStyle w:val="13"/>
        <w:tabs>
          <w:tab w:val="left" w:pos="2240"/>
        </w:tabs>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(4)中标人不按本招标文件的规定提交履约保证金的；</w:t>
      </w:r>
    </w:p>
    <w:p w14:paraId="3925ACCE">
      <w:pPr>
        <w:pStyle w:val="13"/>
        <w:tabs>
          <w:tab w:val="left" w:pos="2240"/>
        </w:tabs>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(5)中标人不按本招标文件的规定缴纳中标服务费的。</w:t>
      </w:r>
    </w:p>
    <w:p w14:paraId="7540A37C">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11.3 投标人应提交投标保证金，并作为其有效投标的一部分（具体金额、形式详见第二章“资料表”）。</w:t>
      </w:r>
    </w:p>
    <w:p w14:paraId="5515929F">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11.4 凡没有根据本招标文件规定缴纳投标保证金的投标，将被视为非实质响应性投标而予以拒绝。</w:t>
      </w:r>
    </w:p>
    <w:p w14:paraId="05A1CE94">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11.5 如果投标人中标，投标保证金将保持全部的约束力，直至与采购人签订合同并向采购代理机构缴交了足额中标服务费后的5个工作日内无息退还。未中标的投标人的投标保证金将于中标通知书发出之日起5个工作日内办理无息退还手续。</w:t>
      </w:r>
    </w:p>
    <w:p w14:paraId="008DA96B">
      <w:pPr>
        <w:autoSpaceDE w:val="0"/>
        <w:autoSpaceDN w:val="0"/>
        <w:adjustRightInd w:val="0"/>
        <w:spacing w:line="360" w:lineRule="auto"/>
        <w:rPr>
          <w:rFonts w:hint="default" w:ascii="Times New Roman" w:hAnsi="Times New Roman" w:eastAsia="宋体" w:cs="Times New Roman"/>
          <w:b/>
          <w:bCs/>
          <w:kern w:val="0"/>
          <w:sz w:val="24"/>
          <w:szCs w:val="24"/>
          <w:highlight w:val="none"/>
          <w:lang w:val="zh-CN"/>
        </w:rPr>
      </w:pPr>
      <w:r>
        <w:rPr>
          <w:rFonts w:hint="default" w:ascii="Times New Roman" w:hAnsi="Times New Roman" w:eastAsia="宋体" w:cs="Times New Roman"/>
          <w:b/>
          <w:bCs/>
          <w:kern w:val="0"/>
          <w:sz w:val="24"/>
          <w:szCs w:val="24"/>
          <w:highlight w:val="none"/>
          <w:lang w:val="zh-CN"/>
        </w:rPr>
        <w:t>12. 投标有效期</w:t>
      </w:r>
    </w:p>
    <w:p w14:paraId="79A4435F">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12.1投标应在规定的开标日后的（见第二章“资料表”）天内保持有效，投标有效期不满足要求的投标，将被视为非实质响应性投标而予以拒绝。</w:t>
      </w:r>
    </w:p>
    <w:p w14:paraId="5AA499DC">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12.2 采购代理机构可根据实际情况，在原投标有效期截止之前，要求投标人同意延长投标文件的有效期。接受该要求的投标人将不会被要求或允许修正其标书内容，且本须知中有关投标保证金的返还的规定将在延长了的有效期内继续有效。投标人也可以拒绝采购代理机构的这种要求，其投标保证金将不会被没收。上述要求和答复都应以书面形式提交。</w:t>
      </w:r>
    </w:p>
    <w:p w14:paraId="26584FEA">
      <w:pPr>
        <w:autoSpaceDE w:val="0"/>
        <w:autoSpaceDN w:val="0"/>
        <w:adjustRightInd w:val="0"/>
        <w:spacing w:line="360" w:lineRule="auto"/>
        <w:rPr>
          <w:rFonts w:hint="default" w:ascii="Times New Roman" w:hAnsi="Times New Roman" w:eastAsia="宋体" w:cs="Times New Roman"/>
          <w:b/>
          <w:bCs/>
          <w:kern w:val="0"/>
          <w:sz w:val="24"/>
          <w:szCs w:val="24"/>
          <w:highlight w:val="none"/>
          <w:lang w:val="zh-CN"/>
        </w:rPr>
      </w:pPr>
      <w:r>
        <w:rPr>
          <w:rFonts w:hint="default" w:ascii="Times New Roman" w:hAnsi="Times New Roman" w:eastAsia="宋体" w:cs="Times New Roman"/>
          <w:b/>
          <w:bCs/>
          <w:kern w:val="0"/>
          <w:sz w:val="24"/>
          <w:szCs w:val="24"/>
          <w:highlight w:val="none"/>
          <w:lang w:val="zh-CN"/>
        </w:rPr>
        <w:t>13. 投标文件的签署及规定</w:t>
      </w:r>
    </w:p>
    <w:p w14:paraId="7A17B3B5">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13.1 投标人应按“第二章投标人须知资料表”的要求准备投标文件正本、副本、电子版(U盘或光盘形式，pdf格式，不留密码，无病毒，内容应与投标人打印产生的签字盖章版纸质投标文件正本内容一致，如有不同，以纸质投标文件为准）、唱标信封1份。每份投标文件须清楚地标明“正本”或“副本”“投标一览表”或“电子版”。若正本和副本不符，以正本为准。</w:t>
      </w:r>
    </w:p>
    <w:p w14:paraId="69F1093F">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13.2 投标文件需打印后胶装成不可拆解的文本。投标文件的正本需打印或用不退色墨水书写，并由投标人的法定代表人或经其正式授权的代表在投标文件上签字并加盖单位印章。授权代表须持有书面的“法定代表人授权委托书”（格式见第六章附件），并将其附在投标文件中。投标文件的副本可采用正本的复印件。</w:t>
      </w:r>
    </w:p>
    <w:p w14:paraId="33ECBD0D">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13.3 如对投标文件进行了修改，包括任何行间插字、涂改和增删，均应由投标人的法定代表人或经其正式授权的代表在修改的每一页上签字。</w:t>
      </w:r>
    </w:p>
    <w:p w14:paraId="582BB457">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13.4 投标文件因字迹潦草或表达不清所引起的后果由投标人自负。</w:t>
      </w:r>
    </w:p>
    <w:p w14:paraId="327DFF65">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13.5 除招标文件有特殊说明,投标文件的正本须为原件。</w:t>
      </w:r>
    </w:p>
    <w:p w14:paraId="7B5BFDC6">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13.6 投标文件的签署及规定的其他要求详见第二章“资料表”，如有要求不一致的以第二章“资料表”要求内容为准。</w:t>
      </w:r>
    </w:p>
    <w:p w14:paraId="5765F3BA">
      <w:pPr>
        <w:pStyle w:val="27"/>
        <w:ind w:firstLine="560"/>
        <w:jc w:val="both"/>
        <w:rPr>
          <w:rFonts w:hint="default" w:ascii="Times New Roman" w:hAnsi="Times New Roman" w:eastAsia="宋体" w:cs="Times New Roman"/>
          <w:highlight w:val="none"/>
          <w:lang w:val="zh-CN"/>
        </w:rPr>
      </w:pPr>
    </w:p>
    <w:p w14:paraId="5CB5C7FC">
      <w:pPr>
        <w:autoSpaceDE w:val="0"/>
        <w:autoSpaceDN w:val="0"/>
        <w:adjustRightInd w:val="0"/>
        <w:spacing w:line="360" w:lineRule="auto"/>
        <w:outlineLvl w:val="1"/>
        <w:rPr>
          <w:rFonts w:hint="default" w:ascii="Times New Roman" w:hAnsi="Times New Roman" w:eastAsia="宋体" w:cs="Times New Roman"/>
          <w:b/>
          <w:bCs/>
          <w:kern w:val="0"/>
          <w:sz w:val="24"/>
          <w:szCs w:val="24"/>
          <w:highlight w:val="none"/>
          <w:lang w:val="zh-CN"/>
        </w:rPr>
      </w:pPr>
      <w:r>
        <w:rPr>
          <w:rFonts w:hint="default" w:ascii="Times New Roman" w:hAnsi="Times New Roman" w:eastAsia="宋体" w:cs="Times New Roman"/>
          <w:b/>
          <w:bCs/>
          <w:kern w:val="0"/>
          <w:sz w:val="24"/>
          <w:szCs w:val="24"/>
          <w:highlight w:val="none"/>
          <w:lang w:val="zh-CN"/>
        </w:rPr>
        <w:t>（四）投标文件的递交</w:t>
      </w:r>
    </w:p>
    <w:p w14:paraId="54F5811A">
      <w:pPr>
        <w:autoSpaceDE w:val="0"/>
        <w:autoSpaceDN w:val="0"/>
        <w:adjustRightInd w:val="0"/>
        <w:spacing w:line="360" w:lineRule="auto"/>
        <w:rPr>
          <w:rFonts w:hint="default" w:ascii="Times New Roman" w:hAnsi="Times New Roman" w:eastAsia="宋体" w:cs="Times New Roman"/>
          <w:b/>
          <w:bCs/>
          <w:kern w:val="0"/>
          <w:sz w:val="24"/>
          <w:szCs w:val="24"/>
          <w:highlight w:val="none"/>
          <w:lang w:val="zh-CN"/>
        </w:rPr>
      </w:pPr>
      <w:r>
        <w:rPr>
          <w:rFonts w:hint="default" w:ascii="Times New Roman" w:hAnsi="Times New Roman" w:eastAsia="宋体" w:cs="Times New Roman"/>
          <w:b/>
          <w:bCs/>
          <w:kern w:val="0"/>
          <w:sz w:val="24"/>
          <w:szCs w:val="24"/>
          <w:highlight w:val="none"/>
          <w:lang w:val="zh-CN"/>
        </w:rPr>
        <w:t>14. 投标文件的密封和标记</w:t>
      </w:r>
    </w:p>
    <w:p w14:paraId="6809D81C">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14.1投标时，所有投标文件必须封入密封的信封或包装，投标文件的①正本（须内含投标一览表）、②副本、③电子版、④唱标信封（内含：投标一览表、投标保证金付款凭证截图/投标保证金的银行保函）应分别封装，且在封袋正面标明“正本”“副本”“电子版”“投标一览表”字样。</w:t>
      </w:r>
    </w:p>
    <w:p w14:paraId="5260D3DC">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rPr>
        <w:t>14</w:t>
      </w:r>
      <w:r>
        <w:rPr>
          <w:rFonts w:hint="default" w:ascii="Times New Roman" w:hAnsi="Times New Roman" w:eastAsia="宋体" w:cs="Times New Roman"/>
          <w:kern w:val="0"/>
          <w:sz w:val="24"/>
          <w:szCs w:val="24"/>
          <w:highlight w:val="none"/>
          <w:lang w:val="zh-CN"/>
        </w:rPr>
        <w:t>.2 所有信封上均应：</w:t>
      </w:r>
    </w:p>
    <w:p w14:paraId="348D247D">
      <w:pPr>
        <w:autoSpaceDE w:val="0"/>
        <w:autoSpaceDN w:val="0"/>
        <w:adjustRightInd w:val="0"/>
        <w:spacing w:line="360" w:lineRule="auto"/>
        <w:ind w:firstLine="480" w:firstLineChars="200"/>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(1) 清楚标明递交至招标公告或投标邀请书中指明的地址；</w:t>
      </w:r>
    </w:p>
    <w:p w14:paraId="7CEC65C9">
      <w:pPr>
        <w:autoSpaceDE w:val="0"/>
        <w:autoSpaceDN w:val="0"/>
        <w:adjustRightInd w:val="0"/>
        <w:spacing w:line="360" w:lineRule="auto"/>
        <w:ind w:firstLine="480" w:firstLineChars="200"/>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(2) 注明招标公告或投标邀请书中指明的项目名称、招标编号（项目编号）、正本/副本/电子版/投标一览表、投标人名称、投标人地址、和</w:t>
      </w:r>
      <w:r>
        <w:rPr>
          <w:rFonts w:hint="default" w:ascii="Times New Roman" w:hAnsi="Times New Roman" w:eastAsia="宋体" w:cs="Times New Roman"/>
          <w:kern w:val="0"/>
          <w:sz w:val="24"/>
          <w:szCs w:val="24"/>
          <w:highlight w:val="none"/>
        </w:rPr>
        <w:t>“</w:t>
      </w:r>
      <w:r>
        <w:rPr>
          <w:rFonts w:hint="default" w:ascii="Times New Roman" w:hAnsi="Times New Roman" w:eastAsia="宋体" w:cs="Times New Roman"/>
          <w:kern w:val="0"/>
          <w:sz w:val="24"/>
          <w:szCs w:val="24"/>
          <w:highlight w:val="none"/>
          <w:lang w:val="zh-CN"/>
        </w:rPr>
        <w:t>在    年    月   日    时   分（开标时间）之前不得启封</w:t>
      </w:r>
      <w:r>
        <w:rPr>
          <w:rFonts w:hint="default" w:ascii="Times New Roman" w:hAnsi="Times New Roman" w:eastAsia="宋体" w:cs="Times New Roman"/>
          <w:kern w:val="0"/>
          <w:sz w:val="24"/>
          <w:szCs w:val="24"/>
          <w:highlight w:val="none"/>
        </w:rPr>
        <w:t>”</w:t>
      </w:r>
      <w:r>
        <w:rPr>
          <w:rFonts w:hint="default" w:ascii="Times New Roman" w:hAnsi="Times New Roman" w:eastAsia="宋体" w:cs="Times New Roman"/>
          <w:kern w:val="0"/>
          <w:sz w:val="24"/>
          <w:szCs w:val="24"/>
          <w:highlight w:val="none"/>
          <w:lang w:val="zh-CN"/>
        </w:rPr>
        <w:t xml:space="preserve">的字样； </w:t>
      </w:r>
    </w:p>
    <w:p w14:paraId="13142C7B">
      <w:pPr>
        <w:autoSpaceDE w:val="0"/>
        <w:autoSpaceDN w:val="0"/>
        <w:adjustRightInd w:val="0"/>
        <w:spacing w:line="360" w:lineRule="auto"/>
        <w:ind w:firstLine="480" w:firstLineChars="200"/>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(3) 在信封的封装处加盖投标人的公章或由法定代表人（或授权代表）签字或加盖法定代表人人名章。</w:t>
      </w:r>
    </w:p>
    <w:p w14:paraId="48736E05">
      <w:pPr>
        <w:pStyle w:val="27"/>
        <w:ind w:firstLine="0" w:firstLineChars="0"/>
        <w:jc w:val="both"/>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14.3所有信封上均应写明投标人名称和地址，以便采购代理机构在投标截止时间以后收到的投标文件，能原封退回。</w:t>
      </w:r>
    </w:p>
    <w:p w14:paraId="526F6FF4">
      <w:pPr>
        <w:pStyle w:val="27"/>
        <w:ind w:firstLine="0" w:firstLineChars="0"/>
        <w:jc w:val="both"/>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14.4投标文件的密封和标记的其他要求详见第二章“资料表”。</w:t>
      </w:r>
    </w:p>
    <w:p w14:paraId="59682BC5">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sz w:val="24"/>
          <w:highlight w:val="none"/>
          <w:lang w:val="zh-CN"/>
        </w:rPr>
        <w:t>14.5 如果投标人未按招标文件要求密封及加写标记，采购代理</w:t>
      </w:r>
      <w:r>
        <w:rPr>
          <w:rFonts w:hint="default" w:ascii="Times New Roman" w:hAnsi="Times New Roman" w:eastAsia="宋体" w:cs="Times New Roman"/>
          <w:kern w:val="0"/>
          <w:sz w:val="24"/>
          <w:szCs w:val="24"/>
          <w:highlight w:val="none"/>
          <w:lang w:val="zh-CN"/>
        </w:rPr>
        <w:t>机构对投标文件的误投或过早启封概不负责。</w:t>
      </w:r>
    </w:p>
    <w:p w14:paraId="4A6A861F">
      <w:pPr>
        <w:tabs>
          <w:tab w:val="left" w:pos="735"/>
          <w:tab w:val="left" w:pos="1254"/>
        </w:tabs>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kern w:val="0"/>
          <w:sz w:val="24"/>
          <w:szCs w:val="24"/>
          <w:highlight w:val="none"/>
        </w:rPr>
        <w:t>14</w:t>
      </w:r>
      <w:r>
        <w:rPr>
          <w:rFonts w:hint="default" w:ascii="Times New Roman" w:hAnsi="Times New Roman" w:eastAsia="宋体" w:cs="Times New Roman"/>
          <w:kern w:val="0"/>
          <w:sz w:val="24"/>
          <w:szCs w:val="24"/>
          <w:highlight w:val="none"/>
          <w:lang w:val="zh-CN"/>
        </w:rPr>
        <w:t>.6</w:t>
      </w:r>
      <w:r>
        <w:rPr>
          <w:rFonts w:hint="default" w:ascii="Times New Roman" w:hAnsi="Times New Roman" w:eastAsia="宋体" w:cs="Times New Roman"/>
          <w:sz w:val="24"/>
          <w:highlight w:val="none"/>
        </w:rPr>
        <w:t>所有投标文件应在投标截止时间前送达投标文件递交地点，交予采购代理机构专职负责人，任何迟于这个时间的投标将被拒绝。</w:t>
      </w:r>
    </w:p>
    <w:p w14:paraId="1F20713E">
      <w:pPr>
        <w:tabs>
          <w:tab w:val="left" w:pos="735"/>
          <w:tab w:val="left" w:pos="1254"/>
        </w:tabs>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14.7 采购代理机构不接受电话、传真投标。</w:t>
      </w:r>
    </w:p>
    <w:p w14:paraId="00330052">
      <w:pPr>
        <w:autoSpaceDE w:val="0"/>
        <w:autoSpaceDN w:val="0"/>
        <w:adjustRightInd w:val="0"/>
        <w:spacing w:line="360" w:lineRule="auto"/>
        <w:rPr>
          <w:rFonts w:hint="default" w:ascii="Times New Roman" w:hAnsi="Times New Roman" w:eastAsia="宋体" w:cs="Times New Roman"/>
          <w:b/>
          <w:bCs/>
          <w:kern w:val="0"/>
          <w:sz w:val="24"/>
          <w:szCs w:val="24"/>
          <w:highlight w:val="none"/>
          <w:lang w:val="zh-CN"/>
        </w:rPr>
      </w:pPr>
      <w:r>
        <w:rPr>
          <w:rFonts w:hint="default" w:ascii="Times New Roman" w:hAnsi="Times New Roman" w:eastAsia="宋体" w:cs="Times New Roman"/>
          <w:b/>
          <w:bCs/>
          <w:kern w:val="0"/>
          <w:sz w:val="24"/>
          <w:szCs w:val="24"/>
          <w:highlight w:val="none"/>
          <w:lang w:val="zh-CN"/>
        </w:rPr>
        <w:t>15. 投标截止日期</w:t>
      </w:r>
    </w:p>
    <w:p w14:paraId="665CF70D">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15.1 投标人应在招标公告或投标邀请书中规定的截止日期和时间内，将投标文件递交采购代理机构，递交地点应是招标公告或投标邀请书中规定的地址。</w:t>
      </w:r>
    </w:p>
    <w:p w14:paraId="0143E88E">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15.2 采购代理机构有权按本须知的规定，通过修改招标文件延长投标截止期。在此情况下，采购代理机构和投标人受投标截止期制约的所有权利和义务均应延长至新的截止期。</w:t>
      </w:r>
    </w:p>
    <w:p w14:paraId="15F38976">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15.3 采购代理机构将拒绝并原封退回在本须知规定的投标截止期后收到的任何投标文件。</w:t>
      </w:r>
    </w:p>
    <w:p w14:paraId="3689F7FA">
      <w:pPr>
        <w:autoSpaceDE w:val="0"/>
        <w:autoSpaceDN w:val="0"/>
        <w:adjustRightInd w:val="0"/>
        <w:spacing w:line="360" w:lineRule="auto"/>
        <w:rPr>
          <w:rFonts w:hint="default" w:ascii="Times New Roman" w:hAnsi="Times New Roman" w:eastAsia="宋体" w:cs="Times New Roman"/>
          <w:b/>
          <w:bCs/>
          <w:kern w:val="0"/>
          <w:sz w:val="24"/>
          <w:szCs w:val="24"/>
          <w:highlight w:val="none"/>
          <w:lang w:val="zh-CN"/>
        </w:rPr>
      </w:pPr>
      <w:r>
        <w:rPr>
          <w:rFonts w:hint="default" w:ascii="Times New Roman" w:hAnsi="Times New Roman" w:eastAsia="宋体" w:cs="Times New Roman"/>
          <w:b/>
          <w:bCs/>
          <w:kern w:val="0"/>
          <w:sz w:val="24"/>
          <w:szCs w:val="24"/>
          <w:highlight w:val="none"/>
          <w:lang w:val="zh-CN"/>
        </w:rPr>
        <w:t>16. 投标文件的修改与撤回</w:t>
      </w:r>
    </w:p>
    <w:p w14:paraId="797ED280">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16.1 投标以后，如果投标人提出书面修改或撤标要求，在投标截止时间之前送达采购代理机构者，采购代理机构将予以接受。</w:t>
      </w:r>
    </w:p>
    <w:p w14:paraId="5AC2B69E">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16.2 投标人对投标文件的修改或撤回通知应按本须知规定编制、密封、标记和发送。</w:t>
      </w:r>
    </w:p>
    <w:p w14:paraId="758E31AF">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16.3 在投标截止期之后，投标人不得对其投标文件做任何修改。</w:t>
      </w:r>
    </w:p>
    <w:p w14:paraId="1DDC3036">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16.4 从投标截止期至投标有效期之间，投标人不得撤回其投标，否则其投标保证金将按照本须知的第11条规定不予退回。</w:t>
      </w:r>
    </w:p>
    <w:p w14:paraId="3577D363">
      <w:pPr>
        <w:pStyle w:val="27"/>
        <w:ind w:firstLine="0" w:firstLineChars="0"/>
        <w:jc w:val="both"/>
        <w:rPr>
          <w:rFonts w:hint="default" w:ascii="Times New Roman" w:hAnsi="Times New Roman" w:eastAsia="宋体" w:cs="Times New Roman"/>
          <w:highlight w:val="none"/>
          <w:lang w:val="zh-CN"/>
        </w:rPr>
      </w:pPr>
    </w:p>
    <w:p w14:paraId="537170C6">
      <w:pPr>
        <w:autoSpaceDE w:val="0"/>
        <w:autoSpaceDN w:val="0"/>
        <w:adjustRightInd w:val="0"/>
        <w:spacing w:line="360" w:lineRule="auto"/>
        <w:outlineLvl w:val="1"/>
        <w:rPr>
          <w:rFonts w:hint="default" w:ascii="Times New Roman" w:hAnsi="Times New Roman" w:eastAsia="宋体" w:cs="Times New Roman"/>
          <w:b/>
          <w:bCs/>
          <w:kern w:val="0"/>
          <w:sz w:val="24"/>
          <w:szCs w:val="24"/>
          <w:highlight w:val="none"/>
          <w:lang w:val="zh-CN"/>
        </w:rPr>
      </w:pPr>
      <w:r>
        <w:rPr>
          <w:rFonts w:hint="default" w:ascii="Times New Roman" w:hAnsi="Times New Roman" w:eastAsia="宋体" w:cs="Times New Roman"/>
          <w:b/>
          <w:bCs/>
          <w:kern w:val="0"/>
          <w:sz w:val="24"/>
          <w:szCs w:val="24"/>
          <w:highlight w:val="none"/>
          <w:lang w:val="zh-CN"/>
        </w:rPr>
        <w:t>（五）开标及评标</w:t>
      </w:r>
    </w:p>
    <w:p w14:paraId="3928A7DC">
      <w:pPr>
        <w:autoSpaceDE w:val="0"/>
        <w:autoSpaceDN w:val="0"/>
        <w:adjustRightInd w:val="0"/>
        <w:spacing w:line="360" w:lineRule="auto"/>
        <w:rPr>
          <w:rFonts w:hint="default" w:ascii="Times New Roman" w:hAnsi="Times New Roman" w:eastAsia="宋体" w:cs="Times New Roman"/>
          <w:b/>
          <w:bCs/>
          <w:kern w:val="0"/>
          <w:sz w:val="24"/>
          <w:szCs w:val="24"/>
          <w:highlight w:val="none"/>
          <w:lang w:val="zh-CN"/>
        </w:rPr>
      </w:pPr>
      <w:r>
        <w:rPr>
          <w:rFonts w:hint="default" w:ascii="Times New Roman" w:hAnsi="Times New Roman" w:eastAsia="宋体" w:cs="Times New Roman"/>
          <w:b/>
          <w:bCs/>
          <w:kern w:val="0"/>
          <w:sz w:val="24"/>
          <w:szCs w:val="24"/>
          <w:highlight w:val="none"/>
          <w:lang w:val="zh-CN"/>
        </w:rPr>
        <w:t>17. 开标</w:t>
      </w:r>
    </w:p>
    <w:p w14:paraId="79087195">
      <w:pPr>
        <w:spacing w:before="120"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sz w:val="24"/>
          <w:szCs w:val="24"/>
          <w:highlight w:val="none"/>
        </w:rPr>
        <w:t>17.1采购代理机构应当按招标公告或投标邀请书的规定，在投标截止时间的同一时间和预先确定的地点组织公开开标。投标人代表应签名报到以证明其出席。投标文件递交后，</w:t>
      </w:r>
      <w:r>
        <w:rPr>
          <w:rFonts w:hint="default" w:ascii="Times New Roman" w:hAnsi="Times New Roman" w:eastAsia="宋体" w:cs="Times New Roman"/>
          <w:kern w:val="0"/>
          <w:sz w:val="24"/>
          <w:szCs w:val="24"/>
          <w:highlight w:val="none"/>
        </w:rPr>
        <w:t>投标人未参加开标的，视同认可开标结果。</w:t>
      </w:r>
    </w:p>
    <w:p w14:paraId="1D1AC849">
      <w:pPr>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17.2 投标人不足3家的，不得开标。</w:t>
      </w:r>
    </w:p>
    <w:p w14:paraId="00288A6C">
      <w:pPr>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17.3 开标时，由投标人代表或公证人检查投标文件的密封情况。</w:t>
      </w:r>
    </w:p>
    <w:p w14:paraId="4A65F8D1">
      <w:pPr>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17.4密封情况经确认无误后，由招标工作人员当众拆封，宣读投标人名称、投标价格以及投标文件的其他主要内容。对于投标人在投标截止期前递交的投标声明，在开标时当众宣读，评标时有效。但投标声明不得为选择性报价或多个方案说明或附加条件的报价。</w:t>
      </w:r>
    </w:p>
    <w:p w14:paraId="5B0F6083">
      <w:pPr>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17.5未宣读的投标价格评标时一律不予承认。</w:t>
      </w:r>
    </w:p>
    <w:p w14:paraId="5ED816A3">
      <w:pPr>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17.6采购代理机构将对唱标内容做开标记录，由投标人代表签字确认。</w:t>
      </w:r>
    </w:p>
    <w:p w14:paraId="24C728B0">
      <w:pPr>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kern w:val="0"/>
          <w:sz w:val="24"/>
          <w:szCs w:val="24"/>
          <w:highlight w:val="none"/>
          <w:lang w:val="zh-CN"/>
        </w:rPr>
        <w:t>17.7投标人代表对开标过程和开标记录有疑义，以及认为采购人、采购代理机构相关工作人员有需要回避的情形的，应当场提出询问或者回避申请。采购人、采购代理机构对投标人代表提出的询问或</w:t>
      </w:r>
      <w:r>
        <w:rPr>
          <w:rFonts w:hint="default" w:ascii="Times New Roman" w:hAnsi="Times New Roman" w:eastAsia="宋体" w:cs="Times New Roman"/>
          <w:kern w:val="0"/>
          <w:sz w:val="24"/>
          <w:szCs w:val="24"/>
          <w:highlight w:val="none"/>
        </w:rPr>
        <w:t>者回避申请将及时处理。</w:t>
      </w:r>
    </w:p>
    <w:p w14:paraId="08C384C6">
      <w:pPr>
        <w:autoSpaceDE w:val="0"/>
        <w:autoSpaceDN w:val="0"/>
        <w:adjustRightInd w:val="0"/>
        <w:spacing w:line="360" w:lineRule="auto"/>
        <w:rPr>
          <w:rFonts w:hint="default" w:ascii="Times New Roman" w:hAnsi="Times New Roman" w:eastAsia="宋体" w:cs="Times New Roman"/>
          <w:b/>
          <w:bCs/>
          <w:kern w:val="0"/>
          <w:sz w:val="24"/>
          <w:szCs w:val="24"/>
          <w:highlight w:val="none"/>
          <w:lang w:val="zh-CN"/>
        </w:rPr>
      </w:pPr>
      <w:r>
        <w:rPr>
          <w:rFonts w:hint="default" w:ascii="Times New Roman" w:hAnsi="Times New Roman" w:eastAsia="宋体" w:cs="Times New Roman"/>
          <w:b/>
          <w:bCs/>
          <w:kern w:val="0"/>
          <w:sz w:val="24"/>
          <w:szCs w:val="24"/>
          <w:highlight w:val="none"/>
          <w:lang w:val="zh-CN"/>
        </w:rPr>
        <w:t>18. 组建评标委员会</w:t>
      </w:r>
    </w:p>
    <w:p w14:paraId="39E97FF1">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评标委员会根据项目采购实际情况进行组建，并负责评标工作。采购代理机构将按照《中华人民共和国政府采购法》及有关规定组建评标委员会。</w:t>
      </w:r>
    </w:p>
    <w:p w14:paraId="13346DD8">
      <w:pPr>
        <w:autoSpaceDE w:val="0"/>
        <w:autoSpaceDN w:val="0"/>
        <w:adjustRightInd w:val="0"/>
        <w:spacing w:line="360" w:lineRule="auto"/>
        <w:rPr>
          <w:rFonts w:hint="default" w:ascii="Times New Roman" w:hAnsi="Times New Roman" w:eastAsia="宋体" w:cs="Times New Roman"/>
          <w:b/>
          <w:bCs/>
          <w:kern w:val="0"/>
          <w:sz w:val="24"/>
          <w:szCs w:val="24"/>
          <w:highlight w:val="none"/>
          <w:lang w:val="zh-CN"/>
        </w:rPr>
      </w:pPr>
      <w:r>
        <w:rPr>
          <w:rFonts w:hint="default" w:ascii="Times New Roman" w:hAnsi="Times New Roman" w:eastAsia="宋体" w:cs="Times New Roman"/>
          <w:b/>
          <w:bCs/>
          <w:kern w:val="0"/>
          <w:sz w:val="24"/>
          <w:szCs w:val="24"/>
          <w:highlight w:val="none"/>
          <w:lang w:val="zh-CN"/>
        </w:rPr>
        <w:t>19. 投标文件的初审</w:t>
      </w:r>
    </w:p>
    <w:p w14:paraId="72CECE9C">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19.1 投标文件的初审分为资格检查和符合性检查：</w:t>
      </w:r>
    </w:p>
    <w:p w14:paraId="7AA95C4E">
      <w:pPr>
        <w:autoSpaceDE w:val="0"/>
        <w:autoSpaceDN w:val="0"/>
        <w:adjustRightInd w:val="0"/>
        <w:spacing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lang w:val="zh-CN"/>
        </w:rPr>
        <w:t>（1）开标结束后，采购人或采购代理机构依据法律法规和招标文件的规定，对投标文件中的资格证明文件等进行审查，以确定投标人是否具备投标资格。</w:t>
      </w:r>
    </w:p>
    <w:p w14:paraId="0F699938">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（2）符合性检查：评标委员会依据招标文件的规定，从投标文件的有效性、完整性和对招标文件的响应程度进行审查，以确定其是否满足招标文件的实质性要求。</w:t>
      </w:r>
    </w:p>
    <w:p w14:paraId="4F86624D">
      <w:pPr>
        <w:autoSpaceDE w:val="0"/>
        <w:autoSpaceDN w:val="0"/>
        <w:adjustRightInd w:val="0"/>
        <w:spacing w:line="360" w:lineRule="auto"/>
        <w:rPr>
          <w:rFonts w:hint="default" w:ascii="Times New Roman" w:hAnsi="Times New Roman" w:eastAsia="宋体" w:cs="Times New Roman"/>
          <w:b/>
          <w:bCs/>
          <w:kern w:val="0"/>
          <w:sz w:val="24"/>
          <w:szCs w:val="24"/>
          <w:highlight w:val="none"/>
          <w:lang w:val="zh-CN"/>
        </w:rPr>
      </w:pPr>
      <w:bookmarkStart w:id="3" w:name="_Toc89569862"/>
      <w:bookmarkStart w:id="4" w:name="_Toc520356167"/>
      <w:r>
        <w:rPr>
          <w:rFonts w:hint="default" w:ascii="Times New Roman" w:hAnsi="Times New Roman" w:eastAsia="宋体" w:cs="Times New Roman"/>
          <w:b/>
          <w:bCs/>
          <w:kern w:val="0"/>
          <w:sz w:val="24"/>
          <w:szCs w:val="24"/>
          <w:highlight w:val="none"/>
          <w:lang w:val="zh-CN"/>
        </w:rPr>
        <w:t>20. 投标文件的澄清</w:t>
      </w:r>
      <w:bookmarkEnd w:id="3"/>
    </w:p>
    <w:p w14:paraId="29CEA3BF">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 xml:space="preserve">20.1 </w:t>
      </w:r>
      <w:r>
        <w:rPr>
          <w:rFonts w:hint="default" w:ascii="Times New Roman" w:hAnsi="Times New Roman" w:eastAsia="宋体" w:cs="Times New Roman"/>
          <w:kern w:val="0"/>
          <w:sz w:val="24"/>
          <w:szCs w:val="24"/>
          <w:highlight w:val="none"/>
        </w:rPr>
        <w:t>详见第七章评标文件。</w:t>
      </w:r>
      <w:bookmarkEnd w:id="4"/>
    </w:p>
    <w:p w14:paraId="44BBA9E2">
      <w:pPr>
        <w:autoSpaceDE w:val="0"/>
        <w:autoSpaceDN w:val="0"/>
        <w:adjustRightInd w:val="0"/>
        <w:spacing w:line="360" w:lineRule="auto"/>
        <w:rPr>
          <w:rFonts w:hint="default" w:ascii="Times New Roman" w:hAnsi="Times New Roman" w:eastAsia="宋体" w:cs="Times New Roman"/>
          <w:b/>
          <w:bCs/>
          <w:kern w:val="0"/>
          <w:sz w:val="24"/>
          <w:szCs w:val="24"/>
          <w:highlight w:val="none"/>
          <w:lang w:val="zh-CN"/>
        </w:rPr>
      </w:pPr>
      <w:r>
        <w:rPr>
          <w:rFonts w:hint="default" w:ascii="Times New Roman" w:hAnsi="Times New Roman" w:eastAsia="宋体" w:cs="Times New Roman"/>
          <w:b/>
          <w:bCs/>
          <w:kern w:val="0"/>
          <w:sz w:val="24"/>
          <w:szCs w:val="24"/>
          <w:highlight w:val="none"/>
          <w:lang w:val="zh-CN"/>
        </w:rPr>
        <w:t>21. 投标偏离与非实质性响应</w:t>
      </w:r>
    </w:p>
    <w:p w14:paraId="1C59B45B">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21.1 对于投标文件中不构成实质性偏差的不正规、不一致或不规则的描述，评标委员会可以接受，但这种接受不能妨碍或影响任何投标人的相对排序。</w:t>
      </w:r>
    </w:p>
    <w:p w14:paraId="077F5428">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21.2 在比较与评价之前，根据本须知的规定，评标委员会要审查每份投标文件是否实质上响应了招标文件的要求。在实质上响应的投标应该是与招标文件要求的全部条款、条件和规格相符，没有重大偏离的投标。对关键条款，例如关于投标保证金、适用法律、缴税等内容的偏离、保留和反对，将被认为是实质上的偏离。评标委员会决定投标的响应性只根据投标文件本身的内容，而不寻求外部的证据。</w:t>
      </w:r>
    </w:p>
    <w:p w14:paraId="38F05EC2">
      <w:pPr>
        <w:autoSpaceDE w:val="0"/>
        <w:autoSpaceDN w:val="0"/>
        <w:adjustRightInd w:val="0"/>
        <w:spacing w:line="360" w:lineRule="auto"/>
        <w:rPr>
          <w:rFonts w:hint="default" w:ascii="Times New Roman" w:hAnsi="Times New Roman" w:eastAsia="宋体" w:cs="Times New Roman"/>
          <w:b/>
          <w:bCs/>
          <w:kern w:val="0"/>
          <w:sz w:val="24"/>
          <w:szCs w:val="24"/>
          <w:highlight w:val="none"/>
          <w:lang w:val="zh-CN"/>
        </w:rPr>
      </w:pPr>
      <w:r>
        <w:rPr>
          <w:rFonts w:hint="default" w:ascii="Times New Roman" w:hAnsi="Times New Roman" w:eastAsia="宋体" w:cs="Times New Roman"/>
          <w:b/>
          <w:bCs/>
          <w:kern w:val="0"/>
          <w:sz w:val="24"/>
          <w:szCs w:val="24"/>
          <w:highlight w:val="none"/>
          <w:lang w:val="zh-CN"/>
        </w:rPr>
        <w:t>22.评标</w:t>
      </w:r>
    </w:p>
    <w:p w14:paraId="02E8338A">
      <w:pPr>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本项目采用综合评分法即在最大限度地满足招标文件实质性要求前提下，根据招标文件中规定的各项因素及权重，评标委员会每位成员分别对每个通过初审的投标人进行评价、打分，具体内容详见第七章。</w:t>
      </w:r>
    </w:p>
    <w:p w14:paraId="58257F94">
      <w:pPr>
        <w:autoSpaceDE w:val="0"/>
        <w:autoSpaceDN w:val="0"/>
        <w:adjustRightInd w:val="0"/>
        <w:spacing w:line="360" w:lineRule="auto"/>
        <w:rPr>
          <w:rFonts w:hint="default" w:ascii="Times New Roman" w:hAnsi="Times New Roman" w:eastAsia="宋体" w:cs="Times New Roman"/>
          <w:b/>
          <w:bCs/>
          <w:kern w:val="0"/>
          <w:sz w:val="24"/>
          <w:szCs w:val="24"/>
          <w:highlight w:val="none"/>
          <w:lang w:val="zh-CN"/>
        </w:rPr>
      </w:pPr>
      <w:r>
        <w:rPr>
          <w:rFonts w:hint="default" w:ascii="Times New Roman" w:hAnsi="Times New Roman" w:eastAsia="宋体" w:cs="Times New Roman"/>
          <w:b/>
          <w:bCs/>
          <w:kern w:val="0"/>
          <w:sz w:val="24"/>
          <w:szCs w:val="24"/>
          <w:highlight w:val="none"/>
          <w:lang w:val="zh-CN"/>
        </w:rPr>
        <w:t>23．评标过程及保密原则</w:t>
      </w:r>
    </w:p>
    <w:p w14:paraId="20463851">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23.1 开标之后，直到采购人与中标人签署合同为止，本次招标各方有关人员对属于审查、澄清、评价和比较投标的有关资料以及授标意向等，均不得向投标人或其他无关的人员透露。</w:t>
      </w:r>
    </w:p>
    <w:p w14:paraId="7D5D029F">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23.2 评标委员会在评审过程中发现供应商有行贿、提供虚假材料或者串通等违法行为的，将及时向财政部门报告。</w:t>
      </w:r>
    </w:p>
    <w:p w14:paraId="25E64AA5">
      <w:pPr>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23.2 政府采购评审专家在评审过程中受到非法干预的，将及时向财政、监察等部门举报。</w:t>
      </w:r>
    </w:p>
    <w:p w14:paraId="490C2028">
      <w:pPr>
        <w:spacing w:before="120" w:line="360" w:lineRule="auto"/>
        <w:rPr>
          <w:rFonts w:hint="default" w:ascii="Times New Roman" w:hAnsi="Times New Roman" w:eastAsia="宋体" w:cs="Times New Roman"/>
          <w:sz w:val="24"/>
          <w:szCs w:val="24"/>
          <w:highlight w:val="none"/>
        </w:rPr>
      </w:pPr>
    </w:p>
    <w:p w14:paraId="11740197">
      <w:pPr>
        <w:autoSpaceDE w:val="0"/>
        <w:autoSpaceDN w:val="0"/>
        <w:adjustRightInd w:val="0"/>
        <w:spacing w:line="360" w:lineRule="auto"/>
        <w:outlineLvl w:val="1"/>
        <w:rPr>
          <w:rFonts w:hint="default" w:ascii="Times New Roman" w:hAnsi="Times New Roman" w:eastAsia="宋体" w:cs="Times New Roman"/>
          <w:b/>
          <w:bCs/>
          <w:kern w:val="0"/>
          <w:sz w:val="24"/>
          <w:szCs w:val="24"/>
          <w:highlight w:val="none"/>
          <w:lang w:val="zh-CN"/>
        </w:rPr>
      </w:pPr>
      <w:bookmarkStart w:id="5" w:name="_Ref467306463"/>
      <w:bookmarkStart w:id="6" w:name="_Toc89569874"/>
      <w:bookmarkStart w:id="7" w:name="_Toc520424503"/>
      <w:bookmarkStart w:id="8" w:name="_Toc518803444"/>
      <w:bookmarkStart w:id="9" w:name="_Toc520647612"/>
      <w:r>
        <w:rPr>
          <w:rFonts w:hint="default" w:ascii="Times New Roman" w:hAnsi="Times New Roman" w:eastAsia="宋体" w:cs="Times New Roman"/>
          <w:b/>
          <w:bCs/>
          <w:kern w:val="0"/>
          <w:sz w:val="24"/>
          <w:szCs w:val="24"/>
          <w:highlight w:val="none"/>
          <w:lang w:val="zh-CN"/>
        </w:rPr>
        <w:t>（六）中标服务费</w:t>
      </w:r>
      <w:bookmarkEnd w:id="5"/>
      <w:bookmarkEnd w:id="6"/>
      <w:bookmarkEnd w:id="7"/>
      <w:bookmarkEnd w:id="8"/>
      <w:bookmarkEnd w:id="9"/>
    </w:p>
    <w:p w14:paraId="62DF2110">
      <w:pPr>
        <w:spacing w:before="120" w:line="360" w:lineRule="auto"/>
        <w:rPr>
          <w:rFonts w:hint="default" w:ascii="Times New Roman" w:hAnsi="Times New Roman" w:eastAsia="宋体" w:cs="Times New Roman"/>
          <w:sz w:val="24"/>
          <w:szCs w:val="24"/>
          <w:highlight w:val="none"/>
        </w:rPr>
      </w:pPr>
      <w:bookmarkStart w:id="10" w:name="_Ref467307288"/>
      <w:r>
        <w:rPr>
          <w:rFonts w:hint="default" w:ascii="Times New Roman" w:hAnsi="Times New Roman" w:eastAsia="宋体" w:cs="Times New Roman"/>
          <w:sz w:val="24"/>
          <w:szCs w:val="24"/>
          <w:highlight w:val="none"/>
        </w:rPr>
        <w:t>24.1</w:t>
      </w:r>
      <w:bookmarkEnd w:id="10"/>
      <w:r>
        <w:rPr>
          <w:rFonts w:hint="default" w:ascii="Times New Roman" w:hAnsi="Times New Roman" w:eastAsia="宋体" w:cs="Times New Roman"/>
          <w:sz w:val="24"/>
          <w:szCs w:val="24"/>
          <w:highlight w:val="none"/>
        </w:rPr>
        <w:t>中标人须在收到中标通知书后5个工作日内，向采购代理机构缴纳中标服务费，具体标准和计算办法见第二章“资料表”。此项费用无须单列，但计入投标总价。</w:t>
      </w:r>
    </w:p>
    <w:p w14:paraId="01345785">
      <w:pPr>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24.2 中标服务费将以采购代理机构可接受的方式进行收取。中标人如未按上述规定交纳，采购代理机构将没收其投标保证金。</w:t>
      </w:r>
    </w:p>
    <w:p w14:paraId="3FBE42F2">
      <w:pPr>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24.3 在投标时，投标人需提供中标服务费承诺书（承诺书格式见第六章附件）。</w:t>
      </w:r>
    </w:p>
    <w:p w14:paraId="449F917E">
      <w:pPr>
        <w:spacing w:before="120" w:line="360" w:lineRule="auto"/>
        <w:rPr>
          <w:rFonts w:hint="default" w:ascii="Times New Roman" w:hAnsi="Times New Roman" w:eastAsia="宋体" w:cs="Times New Roman"/>
          <w:sz w:val="24"/>
          <w:szCs w:val="24"/>
          <w:highlight w:val="none"/>
        </w:rPr>
      </w:pPr>
    </w:p>
    <w:p w14:paraId="6359ABE6">
      <w:pPr>
        <w:autoSpaceDE w:val="0"/>
        <w:autoSpaceDN w:val="0"/>
        <w:adjustRightInd w:val="0"/>
        <w:spacing w:line="360" w:lineRule="auto"/>
        <w:rPr>
          <w:rFonts w:hint="default" w:ascii="Times New Roman" w:hAnsi="Times New Roman" w:eastAsia="宋体" w:cs="Times New Roman"/>
          <w:b/>
          <w:bCs/>
          <w:kern w:val="0"/>
          <w:sz w:val="24"/>
          <w:szCs w:val="24"/>
          <w:highlight w:val="none"/>
          <w:lang w:val="zh-CN"/>
        </w:rPr>
      </w:pPr>
    </w:p>
    <w:p w14:paraId="1B11C69E">
      <w:pPr>
        <w:autoSpaceDE w:val="0"/>
        <w:autoSpaceDN w:val="0"/>
        <w:adjustRightInd w:val="0"/>
        <w:spacing w:line="360" w:lineRule="auto"/>
        <w:outlineLvl w:val="1"/>
        <w:rPr>
          <w:rFonts w:hint="default" w:ascii="Times New Roman" w:hAnsi="Times New Roman" w:eastAsia="宋体" w:cs="Times New Roman"/>
          <w:b/>
          <w:bCs/>
          <w:kern w:val="0"/>
          <w:sz w:val="24"/>
          <w:szCs w:val="24"/>
          <w:highlight w:val="none"/>
          <w:lang w:val="zh-CN"/>
        </w:rPr>
      </w:pPr>
      <w:r>
        <w:rPr>
          <w:rFonts w:hint="default" w:ascii="Times New Roman" w:hAnsi="Times New Roman" w:eastAsia="宋体" w:cs="Times New Roman"/>
          <w:b/>
          <w:bCs/>
          <w:kern w:val="0"/>
          <w:sz w:val="24"/>
          <w:szCs w:val="24"/>
          <w:highlight w:val="none"/>
          <w:lang w:val="zh-CN"/>
        </w:rPr>
        <w:t>（</w:t>
      </w:r>
      <w:r>
        <w:rPr>
          <w:rFonts w:hint="default" w:ascii="Times New Roman" w:hAnsi="Times New Roman" w:eastAsia="宋体" w:cs="Times New Roman"/>
          <w:b/>
          <w:bCs/>
          <w:kern w:val="0"/>
          <w:sz w:val="24"/>
          <w:szCs w:val="24"/>
          <w:highlight w:val="none"/>
        </w:rPr>
        <w:t>七</w:t>
      </w:r>
      <w:r>
        <w:rPr>
          <w:rFonts w:hint="default" w:ascii="Times New Roman" w:hAnsi="Times New Roman" w:eastAsia="宋体" w:cs="Times New Roman"/>
          <w:b/>
          <w:bCs/>
          <w:kern w:val="0"/>
          <w:sz w:val="24"/>
          <w:szCs w:val="24"/>
          <w:highlight w:val="none"/>
          <w:lang w:val="zh-CN"/>
        </w:rPr>
        <w:t>） 询问和质疑</w:t>
      </w:r>
    </w:p>
    <w:p w14:paraId="451FC78D">
      <w:pPr>
        <w:spacing w:before="120" w:line="360" w:lineRule="auto"/>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t>25. 询问</w:t>
      </w:r>
    </w:p>
    <w:p w14:paraId="262CBF9F">
      <w:pPr>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供应商对政府采购活动事项（招标文件、招标过程和中标结果）有疑问的，可以向采购人或采购代理机构提出询问，采购人或采购代理机构将在3个工作日内作出答复，但答复的内容不得涉及商业秘密。询问可以口头方式提出，也可以书面方式提出，书面方式包括但不限于传真、信函、电子邮件。</w:t>
      </w:r>
    </w:p>
    <w:p w14:paraId="482260B8">
      <w:pPr>
        <w:spacing w:before="120" w:line="360" w:lineRule="auto"/>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t>26. 质疑</w:t>
      </w:r>
    </w:p>
    <w:p w14:paraId="2E2E1B3A">
      <w:pPr>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26.1供应商认为招标文件、招标过程、中标结果使自己的权益受到损害的，可以在知道或者应知其权益受到损害之日起7个工作日内，以书面形式向采购人、采购代理机构提出质疑。</w:t>
      </w:r>
    </w:p>
    <w:p w14:paraId="095D1812">
      <w:pPr>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26.2供应商应知其权益受到损害之日，是指：</w:t>
      </w:r>
    </w:p>
    <w:p w14:paraId="7D5CCF9B">
      <w:pPr>
        <w:spacing w:before="120"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（一）对本项目招标文件提出质疑的，为按要求购买获取招标文件之日；</w:t>
      </w:r>
    </w:p>
    <w:p w14:paraId="117E73B7">
      <w:pPr>
        <w:spacing w:before="120"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（二）对招标过程提出质疑的，为各采购程序环节结束之日；</w:t>
      </w:r>
    </w:p>
    <w:p w14:paraId="1FB41FAD">
      <w:pPr>
        <w:spacing w:before="120"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（三）对中标结果提出质疑的，为中标结果公告期限届满之日。</w:t>
      </w:r>
    </w:p>
    <w:p w14:paraId="20C5C76E">
      <w:pPr>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26.3 提出质疑的供应商（简称质疑供应商）应当是参与所质疑项目采购活动的供应商。潜在供应商已按要求购买招标文件的，可以按规定对招标文件提出质疑。供应商应在法定质疑期内一次性提出针对同一采购程序环节的质疑。质疑期外提出的质疑及针对同一采购程序环节非“一次性提出”的质疑，采购代理机构将不予受理。</w:t>
      </w:r>
    </w:p>
    <w:p w14:paraId="1BA49AA3">
      <w:pPr>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26.4供应商提出质疑应当提交质疑函和必要的证明材料。质疑函的必备内容：</w:t>
      </w:r>
    </w:p>
    <w:p w14:paraId="1089634C">
      <w:pPr>
        <w:spacing w:before="120"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（一）供应商的姓名或者名称、地址、邮编、联系人及联系电话；</w:t>
      </w:r>
    </w:p>
    <w:p w14:paraId="7309C196">
      <w:pPr>
        <w:spacing w:before="120"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（二）质疑项目的名称、编号；</w:t>
      </w:r>
    </w:p>
    <w:p w14:paraId="6E458F97">
      <w:pPr>
        <w:spacing w:before="120"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（三）具体、明确的质疑事项和与质疑事项相关的请求；</w:t>
      </w:r>
    </w:p>
    <w:p w14:paraId="3023B2D5">
      <w:pPr>
        <w:spacing w:before="120"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（四）事实依据；</w:t>
      </w:r>
    </w:p>
    <w:p w14:paraId="3BBECB84">
      <w:pPr>
        <w:spacing w:before="120"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（五）必要的法律依据；</w:t>
      </w:r>
    </w:p>
    <w:p w14:paraId="14F8506A">
      <w:pPr>
        <w:spacing w:before="120"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（六）提出质疑的日期。</w:t>
      </w:r>
    </w:p>
    <w:p w14:paraId="7BAB77D0">
      <w:pPr>
        <w:spacing w:before="120"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供应商为自然人的，应当由本人签字；供应商为法人或者其他组织的，应当由法定代表人、主要负责人，或者其授权代表签字或者盖章，并加盖公章。</w:t>
      </w:r>
    </w:p>
    <w:p w14:paraId="273DCDA8">
      <w:pPr>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26.5 采购人、采购代理机构收到的质疑函不符合本须知26.4条规定的，将一次性书面告知质疑供应商进行补正。质疑供应商应当在法定质疑期限内进行补正并重新提交质疑函。未按照法定质疑期限内进行补正或者补正后仍不符合规定的，质疑不予受理。</w:t>
      </w:r>
    </w:p>
    <w:p w14:paraId="50104FCA">
      <w:pPr>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26.6 接收质疑函的方式、联系部门、联系电话和通讯地址详见第二章“资料表”。</w:t>
      </w:r>
    </w:p>
    <w:p w14:paraId="6200C746">
      <w:pPr>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26.7采购人、采购代理机构在收到质疑函后7个工作日内作出答复，并以书面形式通知质疑供应商和其他有关供应商，但质疑答复的内容不涉及商业秘密。</w:t>
      </w:r>
    </w:p>
    <w:p w14:paraId="573439AD">
      <w:pPr>
        <w:pStyle w:val="27"/>
        <w:ind w:firstLine="560"/>
        <w:jc w:val="both"/>
        <w:rPr>
          <w:rFonts w:hint="default" w:ascii="Times New Roman" w:hAnsi="Times New Roman" w:eastAsia="宋体" w:cs="Times New Roman"/>
          <w:highlight w:val="none"/>
        </w:rPr>
      </w:pPr>
    </w:p>
    <w:p w14:paraId="18AD86CF">
      <w:pPr>
        <w:autoSpaceDE w:val="0"/>
        <w:autoSpaceDN w:val="0"/>
        <w:adjustRightInd w:val="0"/>
        <w:spacing w:line="360" w:lineRule="auto"/>
        <w:outlineLvl w:val="1"/>
        <w:rPr>
          <w:rFonts w:hint="default" w:ascii="Times New Roman" w:hAnsi="Times New Roman" w:eastAsia="宋体" w:cs="Times New Roman"/>
          <w:b/>
          <w:bCs/>
          <w:kern w:val="0"/>
          <w:sz w:val="24"/>
          <w:szCs w:val="24"/>
          <w:highlight w:val="none"/>
          <w:lang w:val="zh-CN"/>
        </w:rPr>
      </w:pPr>
      <w:r>
        <w:rPr>
          <w:rFonts w:hint="default" w:ascii="Times New Roman" w:hAnsi="Times New Roman" w:eastAsia="宋体" w:cs="Times New Roman"/>
          <w:b/>
          <w:bCs/>
          <w:kern w:val="0"/>
          <w:sz w:val="24"/>
          <w:szCs w:val="24"/>
          <w:highlight w:val="none"/>
          <w:lang w:val="zh-CN"/>
        </w:rPr>
        <w:t>（</w:t>
      </w:r>
      <w:r>
        <w:rPr>
          <w:rFonts w:hint="default" w:ascii="Times New Roman" w:hAnsi="Times New Roman" w:eastAsia="宋体" w:cs="Times New Roman"/>
          <w:b/>
          <w:bCs/>
          <w:kern w:val="0"/>
          <w:sz w:val="24"/>
          <w:szCs w:val="24"/>
          <w:highlight w:val="none"/>
        </w:rPr>
        <w:t>八</w:t>
      </w:r>
      <w:r>
        <w:rPr>
          <w:rFonts w:hint="default" w:ascii="Times New Roman" w:hAnsi="Times New Roman" w:eastAsia="宋体" w:cs="Times New Roman"/>
          <w:b/>
          <w:bCs/>
          <w:kern w:val="0"/>
          <w:sz w:val="24"/>
          <w:szCs w:val="24"/>
          <w:highlight w:val="none"/>
          <w:lang w:val="zh-CN"/>
        </w:rPr>
        <w:t>）其他需注意事项</w:t>
      </w:r>
    </w:p>
    <w:p w14:paraId="37C56D1A">
      <w:pPr>
        <w:widowControl/>
        <w:numPr>
          <w:ilvl w:val="-1"/>
          <w:numId w:val="0"/>
        </w:numPr>
        <w:autoSpaceDE w:val="0"/>
        <w:autoSpaceDN w:val="0"/>
        <w:adjustRightInd w:val="0"/>
        <w:spacing w:line="360" w:lineRule="auto"/>
        <w:ind w:left="0"/>
        <w:jc w:val="left"/>
        <w:rPr>
          <w:rFonts w:hint="default" w:ascii="Times New Roman" w:hAnsi="Times New Roman" w:eastAsia="宋体" w:cs="Times New Roman"/>
          <w:bCs w:val="0"/>
          <w:kern w:val="0"/>
          <w:sz w:val="24"/>
          <w:szCs w:val="24"/>
          <w:highlight w:val="none"/>
          <w:lang w:val="zh-CN"/>
        </w:rPr>
      </w:pPr>
      <w:r>
        <w:rPr>
          <w:rFonts w:hint="default" w:ascii="Times New Roman" w:hAnsi="Times New Roman" w:eastAsia="宋体" w:cs="Times New Roman"/>
          <w:bCs w:val="0"/>
          <w:kern w:val="0"/>
          <w:sz w:val="24"/>
          <w:szCs w:val="24"/>
          <w:highlight w:val="none"/>
          <w:lang w:val="zh-CN" w:eastAsia="zh-CN"/>
        </w:rPr>
        <w:t>投标</w:t>
      </w:r>
      <w:r>
        <w:rPr>
          <w:rFonts w:hint="default" w:ascii="Times New Roman" w:hAnsi="Times New Roman" w:eastAsia="宋体" w:cs="Times New Roman"/>
          <w:bCs w:val="0"/>
          <w:kern w:val="0"/>
          <w:sz w:val="24"/>
          <w:szCs w:val="24"/>
          <w:highlight w:val="none"/>
          <w:lang w:val="zh-CN"/>
        </w:rPr>
        <w:t>文件是双方最终签订合同的组成部分，是合同履行的依据之一。</w:t>
      </w:r>
      <w:r>
        <w:rPr>
          <w:rFonts w:hint="default" w:ascii="Times New Roman" w:hAnsi="Times New Roman" w:eastAsia="宋体" w:cs="Times New Roman"/>
          <w:bCs w:val="0"/>
          <w:kern w:val="0"/>
          <w:sz w:val="24"/>
          <w:szCs w:val="24"/>
          <w:highlight w:val="none"/>
          <w:lang w:val="zh-CN" w:eastAsia="zh-CN"/>
        </w:rPr>
        <w:t>投标</w:t>
      </w:r>
      <w:r>
        <w:rPr>
          <w:rFonts w:hint="default" w:ascii="Times New Roman" w:hAnsi="Times New Roman" w:eastAsia="宋体" w:cs="Times New Roman"/>
          <w:bCs w:val="0"/>
          <w:kern w:val="0"/>
          <w:sz w:val="24"/>
          <w:szCs w:val="24"/>
          <w:highlight w:val="none"/>
          <w:lang w:val="zh-CN"/>
        </w:rPr>
        <w:t>人应认真、严谨地编写</w:t>
      </w:r>
      <w:r>
        <w:rPr>
          <w:rFonts w:hint="default" w:ascii="Times New Roman" w:hAnsi="Times New Roman" w:eastAsia="宋体" w:cs="Times New Roman"/>
          <w:bCs w:val="0"/>
          <w:kern w:val="0"/>
          <w:sz w:val="24"/>
          <w:szCs w:val="24"/>
          <w:highlight w:val="none"/>
          <w:lang w:val="zh-CN" w:eastAsia="zh-CN"/>
        </w:rPr>
        <w:t>投标</w:t>
      </w:r>
      <w:r>
        <w:rPr>
          <w:rFonts w:hint="default" w:ascii="Times New Roman" w:hAnsi="Times New Roman" w:eastAsia="宋体" w:cs="Times New Roman"/>
          <w:bCs w:val="0"/>
          <w:kern w:val="0"/>
          <w:sz w:val="24"/>
          <w:szCs w:val="24"/>
          <w:highlight w:val="none"/>
          <w:lang w:val="zh-CN"/>
        </w:rPr>
        <w:t>文件保证</w:t>
      </w:r>
      <w:r>
        <w:rPr>
          <w:rFonts w:hint="default" w:ascii="Times New Roman" w:hAnsi="Times New Roman" w:eastAsia="宋体" w:cs="Times New Roman"/>
          <w:bCs w:val="0"/>
          <w:kern w:val="0"/>
          <w:sz w:val="24"/>
          <w:szCs w:val="24"/>
          <w:highlight w:val="none"/>
          <w:lang w:val="zh-CN" w:eastAsia="zh-CN"/>
        </w:rPr>
        <w:t>投标</w:t>
      </w:r>
      <w:r>
        <w:rPr>
          <w:rFonts w:hint="default" w:ascii="Times New Roman" w:hAnsi="Times New Roman" w:eastAsia="宋体" w:cs="Times New Roman"/>
          <w:bCs w:val="0"/>
          <w:kern w:val="0"/>
          <w:sz w:val="24"/>
          <w:szCs w:val="24"/>
          <w:highlight w:val="none"/>
          <w:lang w:val="zh-CN"/>
        </w:rPr>
        <w:t>资料的真实性。</w:t>
      </w:r>
      <w:r>
        <w:rPr>
          <w:rFonts w:hint="default" w:ascii="Times New Roman" w:hAnsi="Times New Roman" w:eastAsia="宋体" w:cs="Times New Roman"/>
          <w:bCs w:val="0"/>
          <w:kern w:val="0"/>
          <w:sz w:val="24"/>
          <w:szCs w:val="24"/>
          <w:highlight w:val="none"/>
          <w:lang w:val="zh-CN" w:eastAsia="zh-CN"/>
        </w:rPr>
        <w:t>投标</w:t>
      </w:r>
      <w:r>
        <w:rPr>
          <w:rFonts w:hint="default" w:ascii="Times New Roman" w:hAnsi="Times New Roman" w:eastAsia="宋体" w:cs="Times New Roman"/>
          <w:bCs w:val="0"/>
          <w:kern w:val="0"/>
          <w:sz w:val="24"/>
          <w:szCs w:val="24"/>
          <w:highlight w:val="none"/>
          <w:lang w:val="zh-CN"/>
        </w:rPr>
        <w:t>人提供的所有数据和内容应当保证是真实有效的，不得为增加评分、谋取中标机会而故意夸大、虚假杜撰投标文件的内容，提出无法履行的响应内容。</w:t>
      </w:r>
      <w:r>
        <w:rPr>
          <w:rFonts w:hint="default" w:ascii="Times New Roman" w:hAnsi="Times New Roman" w:eastAsia="宋体" w:cs="Times New Roman"/>
          <w:bCs w:val="0"/>
          <w:kern w:val="0"/>
          <w:sz w:val="24"/>
          <w:szCs w:val="24"/>
          <w:highlight w:val="none"/>
          <w:lang w:val="zh-CN" w:eastAsia="zh-CN"/>
        </w:rPr>
        <w:t>投标</w:t>
      </w:r>
      <w:r>
        <w:rPr>
          <w:rFonts w:hint="default" w:ascii="Times New Roman" w:hAnsi="Times New Roman" w:eastAsia="宋体" w:cs="Times New Roman"/>
          <w:bCs w:val="0"/>
          <w:kern w:val="0"/>
          <w:sz w:val="24"/>
          <w:szCs w:val="24"/>
          <w:highlight w:val="none"/>
          <w:lang w:val="zh-CN"/>
        </w:rPr>
        <w:t>人中</w:t>
      </w:r>
      <w:r>
        <w:rPr>
          <w:rFonts w:hint="default" w:ascii="Times New Roman" w:hAnsi="Times New Roman" w:eastAsia="宋体" w:cs="Times New Roman"/>
          <w:bCs w:val="0"/>
          <w:kern w:val="0"/>
          <w:sz w:val="24"/>
          <w:szCs w:val="24"/>
          <w:highlight w:val="none"/>
          <w:lang w:val="zh-CN" w:eastAsia="zh-CN"/>
        </w:rPr>
        <w:t>选</w:t>
      </w:r>
      <w:r>
        <w:rPr>
          <w:rFonts w:hint="default" w:ascii="Times New Roman" w:hAnsi="Times New Roman" w:eastAsia="宋体" w:cs="Times New Roman"/>
          <w:bCs w:val="0"/>
          <w:kern w:val="0"/>
          <w:sz w:val="24"/>
          <w:szCs w:val="24"/>
          <w:highlight w:val="none"/>
          <w:lang w:val="zh-CN"/>
        </w:rPr>
        <w:t>后，采购人有权对此进行核实，如有虚假情况</w:t>
      </w:r>
      <w:r>
        <w:rPr>
          <w:rFonts w:hint="default" w:ascii="Times New Roman" w:hAnsi="Times New Roman" w:eastAsia="宋体" w:cs="Times New Roman"/>
          <w:kern w:val="0"/>
          <w:sz w:val="24"/>
          <w:szCs w:val="24"/>
          <w:highlight w:val="none"/>
          <w:lang w:val="zh-CN"/>
        </w:rPr>
        <w:t>或履约能力达不到采购人要求</w:t>
      </w:r>
      <w:r>
        <w:rPr>
          <w:rFonts w:hint="default" w:ascii="Times New Roman" w:hAnsi="Times New Roman" w:eastAsia="宋体" w:cs="Times New Roman"/>
          <w:bCs w:val="0"/>
          <w:kern w:val="0"/>
          <w:sz w:val="24"/>
          <w:szCs w:val="24"/>
          <w:highlight w:val="none"/>
          <w:lang w:val="zh-CN"/>
        </w:rPr>
        <w:t>，采购人有权取消其</w:t>
      </w:r>
      <w:r>
        <w:rPr>
          <w:rFonts w:hint="default" w:ascii="Times New Roman" w:hAnsi="Times New Roman" w:eastAsia="宋体" w:cs="Times New Roman"/>
          <w:bCs w:val="0"/>
          <w:kern w:val="0"/>
          <w:sz w:val="24"/>
          <w:szCs w:val="24"/>
          <w:highlight w:val="none"/>
          <w:lang w:val="zh-CN" w:eastAsia="zh-CN"/>
        </w:rPr>
        <w:t>中选</w:t>
      </w:r>
      <w:r>
        <w:rPr>
          <w:rFonts w:hint="default" w:ascii="Times New Roman" w:hAnsi="Times New Roman" w:eastAsia="宋体" w:cs="Times New Roman"/>
          <w:bCs w:val="0"/>
          <w:kern w:val="0"/>
          <w:sz w:val="24"/>
          <w:szCs w:val="24"/>
          <w:highlight w:val="none"/>
          <w:lang w:val="zh-CN"/>
        </w:rPr>
        <w:t>资格或单方解除合同，并扣除</w:t>
      </w:r>
      <w:r>
        <w:rPr>
          <w:rFonts w:hint="default" w:ascii="Times New Roman" w:hAnsi="Times New Roman" w:eastAsia="宋体" w:cs="Times New Roman"/>
          <w:bCs w:val="0"/>
          <w:kern w:val="0"/>
          <w:sz w:val="24"/>
          <w:szCs w:val="24"/>
          <w:highlight w:val="none"/>
          <w:lang w:val="zh-CN" w:eastAsia="zh-CN"/>
        </w:rPr>
        <w:t>参选</w:t>
      </w:r>
      <w:r>
        <w:rPr>
          <w:rFonts w:hint="default" w:ascii="Times New Roman" w:hAnsi="Times New Roman" w:eastAsia="宋体" w:cs="Times New Roman"/>
          <w:bCs w:val="0"/>
          <w:kern w:val="0"/>
          <w:sz w:val="24"/>
          <w:szCs w:val="24"/>
          <w:highlight w:val="none"/>
          <w:lang w:val="zh-CN"/>
        </w:rPr>
        <w:t>保证金，上报监督管理部门。</w:t>
      </w:r>
      <w:r>
        <w:rPr>
          <w:rFonts w:hint="default" w:ascii="Times New Roman" w:hAnsi="Times New Roman" w:eastAsia="宋体" w:cs="Times New Roman"/>
          <w:bCs w:val="0"/>
          <w:kern w:val="0"/>
          <w:sz w:val="24"/>
          <w:szCs w:val="24"/>
          <w:highlight w:val="none"/>
          <w:lang w:val="zh-CN" w:eastAsia="zh-CN"/>
        </w:rPr>
        <w:t>投标</w:t>
      </w:r>
      <w:r>
        <w:rPr>
          <w:rFonts w:hint="default" w:ascii="Times New Roman" w:hAnsi="Times New Roman" w:eastAsia="宋体" w:cs="Times New Roman"/>
          <w:bCs w:val="0"/>
          <w:kern w:val="0"/>
          <w:sz w:val="24"/>
          <w:szCs w:val="24"/>
          <w:highlight w:val="none"/>
          <w:lang w:val="zh-CN"/>
        </w:rPr>
        <w:t>文件的内容还应清晰、准确，不得有歧义。合同履行过程中，如因</w:t>
      </w:r>
      <w:r>
        <w:rPr>
          <w:rFonts w:hint="default" w:ascii="Times New Roman" w:hAnsi="Times New Roman" w:eastAsia="宋体" w:cs="Times New Roman"/>
          <w:bCs w:val="0"/>
          <w:kern w:val="0"/>
          <w:sz w:val="24"/>
          <w:szCs w:val="24"/>
          <w:highlight w:val="none"/>
          <w:lang w:val="zh-CN" w:eastAsia="zh-CN"/>
        </w:rPr>
        <w:t>投标</w:t>
      </w:r>
      <w:r>
        <w:rPr>
          <w:rFonts w:hint="default" w:ascii="Times New Roman" w:hAnsi="Times New Roman" w:eastAsia="宋体" w:cs="Times New Roman"/>
          <w:bCs w:val="0"/>
          <w:kern w:val="0"/>
          <w:sz w:val="24"/>
          <w:szCs w:val="24"/>
          <w:highlight w:val="none"/>
          <w:lang w:val="zh-CN"/>
        </w:rPr>
        <w:t>文件的内容存在歧义导致双方发生争议的，应按有利于采购人的理解执行。</w:t>
      </w:r>
    </w:p>
    <w:p w14:paraId="5BE569BA">
      <w:pPr>
        <w:pStyle w:val="4"/>
        <w:rPr>
          <w:rFonts w:hint="default" w:ascii="Times New Roman" w:hAnsi="Times New Roman" w:eastAsia="宋体" w:cs="Times New Roman"/>
          <w:highlight w:val="none"/>
          <w:lang w:val="zh-CN"/>
        </w:rPr>
      </w:pPr>
    </w:p>
    <w:p w14:paraId="0DC74A64">
      <w:pPr>
        <w:widowControl/>
        <w:spacing w:line="360" w:lineRule="auto"/>
        <w:rPr>
          <w:rFonts w:hint="default" w:ascii="Times New Roman" w:hAnsi="Times New Roman" w:eastAsia="宋体" w:cs="Times New Roman"/>
          <w:kern w:val="0"/>
          <w:sz w:val="32"/>
          <w:szCs w:val="32"/>
          <w:highlight w:val="none"/>
        </w:rPr>
      </w:pPr>
      <w:r>
        <w:rPr>
          <w:rFonts w:hint="default" w:ascii="Times New Roman" w:hAnsi="Times New Roman" w:eastAsia="宋体" w:cs="Times New Roman"/>
          <w:kern w:val="0"/>
          <w:sz w:val="32"/>
          <w:szCs w:val="32"/>
          <w:highlight w:val="none"/>
        </w:rPr>
        <w:br w:type="page"/>
      </w:r>
    </w:p>
    <w:p w14:paraId="31923206">
      <w:pPr>
        <w:autoSpaceDE w:val="0"/>
        <w:autoSpaceDN w:val="0"/>
        <w:adjustRightInd w:val="0"/>
        <w:spacing w:line="360" w:lineRule="auto"/>
        <w:ind w:firstLine="2650" w:firstLineChars="600"/>
        <w:outlineLvl w:val="0"/>
        <w:rPr>
          <w:rFonts w:hint="default" w:ascii="Times New Roman" w:hAnsi="Times New Roman" w:eastAsia="宋体" w:cs="Times New Roman"/>
          <w:b/>
          <w:bCs/>
          <w:kern w:val="0"/>
          <w:sz w:val="44"/>
          <w:szCs w:val="44"/>
          <w:highlight w:val="none"/>
          <w:lang w:val="zh-CN"/>
        </w:rPr>
      </w:pPr>
      <w:r>
        <w:rPr>
          <w:rFonts w:hint="default" w:ascii="Times New Roman" w:hAnsi="Times New Roman" w:eastAsia="宋体" w:cs="Times New Roman"/>
          <w:b/>
          <w:bCs/>
          <w:kern w:val="0"/>
          <w:sz w:val="44"/>
          <w:szCs w:val="44"/>
          <w:highlight w:val="none"/>
          <w:lang w:val="zh-CN"/>
        </w:rPr>
        <w:t>第四章 项目需求</w:t>
      </w:r>
      <w:bookmarkStart w:id="11" w:name="OLE_LINK1"/>
    </w:p>
    <w:bookmarkEnd w:id="11"/>
    <w:p w14:paraId="208A7ABC">
      <w:pPr>
        <w:pStyle w:val="6"/>
        <w:spacing w:line="360" w:lineRule="auto"/>
        <w:ind w:left="1047" w:right="708" w:rightChars="337" w:hanging="905"/>
        <w:jc w:val="both"/>
        <w:outlineLvl w:val="9"/>
        <w:rPr>
          <w:rFonts w:hint="default" w:ascii="Times New Roman" w:hAnsi="Times New Roman" w:eastAsia="宋体" w:cs="Times New Roman"/>
          <w:color w:val="000000" w:themeColor="text1"/>
          <w:sz w:val="24"/>
          <w:szCs w:val="24"/>
          <w:highlight w:val="none"/>
          <w14:textFill>
            <w14:solidFill>
              <w14:schemeClr w14:val="tx1"/>
            </w14:solidFill>
          </w14:textFill>
        </w:rPr>
      </w:pPr>
    </w:p>
    <w:p w14:paraId="63383C38">
      <w:pPr>
        <w:adjustRightInd w:val="0"/>
        <w:snapToGrid w:val="0"/>
        <w:outlineLvl w:val="1"/>
        <w:rPr>
          <w:rFonts w:hint="default" w:ascii="Times New Roman" w:hAnsi="Times New Roman" w:eastAsia="宋体" w:cs="Times New Roman"/>
          <w:b/>
          <w:color w:val="000000"/>
          <w:sz w:val="30"/>
          <w:szCs w:val="30"/>
          <w:highlight w:val="none"/>
        </w:rPr>
      </w:pPr>
      <w:r>
        <w:rPr>
          <w:rFonts w:hint="default" w:ascii="Times New Roman" w:hAnsi="Times New Roman" w:eastAsia="宋体" w:cs="Times New Roman"/>
          <w:b/>
          <w:color w:val="000000"/>
          <w:sz w:val="30"/>
          <w:szCs w:val="30"/>
          <w:highlight w:val="none"/>
        </w:rPr>
        <w:t>一、货物需求一览表</w:t>
      </w:r>
    </w:p>
    <w:p w14:paraId="1804FC26">
      <w:pPr>
        <w:adjustRightInd w:val="0"/>
        <w:snapToGrid w:val="0"/>
        <w:rPr>
          <w:rFonts w:hint="default" w:ascii="Times New Roman" w:hAnsi="Times New Roman" w:eastAsia="宋体" w:cs="Times New Roman"/>
          <w:b/>
          <w:color w:val="000000"/>
          <w:sz w:val="30"/>
          <w:szCs w:val="30"/>
          <w:highlight w:val="none"/>
        </w:rPr>
      </w:pPr>
    </w:p>
    <w:tbl>
      <w:tblPr>
        <w:tblStyle w:val="28"/>
        <w:tblW w:w="65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6"/>
        <w:gridCol w:w="4211"/>
        <w:gridCol w:w="1660"/>
      </w:tblGrid>
      <w:tr w14:paraId="2F2F8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4" w:hRule="atLeast"/>
          <w:jc w:val="center"/>
        </w:trPr>
        <w:tc>
          <w:tcPr>
            <w:tcW w:w="656" w:type="dxa"/>
            <w:tcBorders>
              <w:top w:val="single" w:color="auto" w:sz="4" w:space="0"/>
              <w:left w:val="single" w:color="auto" w:sz="4" w:space="0"/>
              <w:bottom w:val="single" w:color="auto" w:sz="4" w:space="0"/>
              <w:right w:val="single" w:color="auto" w:sz="4" w:space="0"/>
            </w:tcBorders>
            <w:shd w:val="clear" w:color="auto" w:fill="EEECE1"/>
            <w:vAlign w:val="center"/>
          </w:tcPr>
          <w:p w14:paraId="5B9C3356">
            <w:pPr>
              <w:jc w:val="center"/>
              <w:rPr>
                <w:rFonts w:hint="default" w:ascii="Times New Roman" w:hAnsi="Times New Roman" w:eastAsia="宋体" w:cs="Times New Roman"/>
                <w:bCs/>
                <w:color w:val="000000"/>
                <w:sz w:val="24"/>
                <w:szCs w:val="24"/>
                <w:highlight w:val="none"/>
              </w:rPr>
            </w:pPr>
            <w:r>
              <w:rPr>
                <w:rFonts w:hint="default" w:ascii="Times New Roman" w:hAnsi="Times New Roman" w:eastAsia="宋体" w:cs="Times New Roman"/>
                <w:bCs/>
                <w:color w:val="000000"/>
                <w:sz w:val="24"/>
                <w:szCs w:val="24"/>
                <w:highlight w:val="none"/>
              </w:rPr>
              <w:t>包号</w:t>
            </w:r>
          </w:p>
        </w:tc>
        <w:tc>
          <w:tcPr>
            <w:tcW w:w="4211" w:type="dxa"/>
            <w:tcBorders>
              <w:top w:val="single" w:color="auto" w:sz="4" w:space="0"/>
              <w:left w:val="single" w:color="auto" w:sz="4" w:space="0"/>
              <w:bottom w:val="single" w:color="auto" w:sz="4" w:space="0"/>
              <w:right w:val="single" w:color="auto" w:sz="4" w:space="0"/>
            </w:tcBorders>
            <w:shd w:val="clear" w:color="auto" w:fill="EEECE1"/>
            <w:vAlign w:val="center"/>
          </w:tcPr>
          <w:p w14:paraId="2C895F80">
            <w:pPr>
              <w:jc w:val="center"/>
              <w:rPr>
                <w:rFonts w:hint="default" w:ascii="Times New Roman" w:hAnsi="Times New Roman" w:eastAsia="宋体" w:cs="Times New Roman"/>
                <w:bCs/>
                <w:color w:val="000000"/>
                <w:sz w:val="24"/>
                <w:szCs w:val="24"/>
                <w:highlight w:val="none"/>
              </w:rPr>
            </w:pPr>
            <w:r>
              <w:rPr>
                <w:rFonts w:hint="default" w:ascii="Times New Roman" w:hAnsi="Times New Roman" w:eastAsia="宋体" w:cs="Times New Roman"/>
                <w:bCs/>
                <w:color w:val="000000"/>
                <w:sz w:val="24"/>
                <w:szCs w:val="24"/>
                <w:highlight w:val="none"/>
              </w:rPr>
              <w:t>货物名称</w:t>
            </w:r>
          </w:p>
        </w:tc>
        <w:tc>
          <w:tcPr>
            <w:tcW w:w="1660" w:type="dxa"/>
            <w:tcBorders>
              <w:top w:val="single" w:color="auto" w:sz="4" w:space="0"/>
              <w:left w:val="single" w:color="auto" w:sz="4" w:space="0"/>
              <w:bottom w:val="single" w:color="auto" w:sz="4" w:space="0"/>
              <w:right w:val="single" w:color="auto" w:sz="4" w:space="0"/>
            </w:tcBorders>
            <w:shd w:val="clear" w:color="auto" w:fill="EEECE1"/>
            <w:vAlign w:val="center"/>
          </w:tcPr>
          <w:p w14:paraId="06DEEBA5">
            <w:pPr>
              <w:jc w:val="center"/>
              <w:rPr>
                <w:rFonts w:hint="default" w:ascii="Times New Roman" w:hAnsi="Times New Roman" w:eastAsia="宋体" w:cs="Times New Roman"/>
                <w:bCs/>
                <w:color w:val="000000"/>
                <w:sz w:val="24"/>
                <w:szCs w:val="24"/>
                <w:highlight w:val="none"/>
              </w:rPr>
            </w:pPr>
            <w:r>
              <w:rPr>
                <w:rFonts w:hint="default" w:ascii="Times New Roman" w:hAnsi="Times New Roman" w:eastAsia="宋体" w:cs="Times New Roman"/>
                <w:bCs/>
                <w:color w:val="000000"/>
                <w:sz w:val="24"/>
                <w:szCs w:val="24"/>
                <w:highlight w:val="none"/>
              </w:rPr>
              <w:t>数量</w:t>
            </w:r>
          </w:p>
        </w:tc>
      </w:tr>
      <w:tr w14:paraId="14527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7" w:hRule="atLeast"/>
          <w:jc w:val="center"/>
        </w:trPr>
        <w:tc>
          <w:tcPr>
            <w:tcW w:w="656" w:type="dxa"/>
            <w:vMerge w:val="restart"/>
            <w:tcBorders>
              <w:top w:val="single" w:color="auto" w:sz="4" w:space="0"/>
              <w:left w:val="single" w:color="auto" w:sz="4" w:space="0"/>
              <w:right w:val="single" w:color="auto" w:sz="4" w:space="0"/>
            </w:tcBorders>
            <w:vAlign w:val="center"/>
          </w:tcPr>
          <w:p w14:paraId="38909DDF">
            <w:pPr>
              <w:jc w:val="center"/>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1</w:t>
            </w:r>
          </w:p>
        </w:tc>
        <w:tc>
          <w:tcPr>
            <w:tcW w:w="4211" w:type="dxa"/>
            <w:tcBorders>
              <w:top w:val="single" w:color="auto" w:sz="4" w:space="0"/>
              <w:left w:val="single" w:color="auto" w:sz="4" w:space="0"/>
              <w:bottom w:val="single" w:color="auto" w:sz="4" w:space="0"/>
              <w:right w:val="single" w:color="auto" w:sz="4" w:space="0"/>
            </w:tcBorders>
            <w:vAlign w:val="center"/>
          </w:tcPr>
          <w:p w14:paraId="01BA5AB2">
            <w:pPr>
              <w:spacing w:line="360" w:lineRule="auto"/>
              <w:jc w:val="center"/>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sz w:val="24"/>
                <w:highlight w:val="none"/>
                <w:lang w:val="en-US" w:eastAsia="zh-CN"/>
              </w:rPr>
              <w:t>样本预处理工作站</w:t>
            </w:r>
          </w:p>
        </w:tc>
        <w:tc>
          <w:tcPr>
            <w:tcW w:w="1660" w:type="dxa"/>
            <w:tcBorders>
              <w:top w:val="single" w:color="auto" w:sz="4" w:space="0"/>
              <w:left w:val="single" w:color="auto" w:sz="4" w:space="0"/>
              <w:bottom w:val="single" w:color="auto" w:sz="4" w:space="0"/>
              <w:right w:val="single" w:color="auto" w:sz="4" w:space="0"/>
            </w:tcBorders>
            <w:vAlign w:val="center"/>
          </w:tcPr>
          <w:p w14:paraId="7DF58CF7">
            <w:pPr>
              <w:spacing w:line="360" w:lineRule="auto"/>
              <w:jc w:val="center"/>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sz w:val="24"/>
                <w:highlight w:val="none"/>
                <w:lang w:val="en-US" w:eastAsia="zh-CN"/>
              </w:rPr>
              <w:t>1</w:t>
            </w:r>
          </w:p>
        </w:tc>
      </w:tr>
      <w:tr w14:paraId="762E3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6" w:hRule="atLeast"/>
          <w:jc w:val="center"/>
        </w:trPr>
        <w:tc>
          <w:tcPr>
            <w:tcW w:w="656" w:type="dxa"/>
            <w:vMerge w:val="continue"/>
            <w:tcBorders>
              <w:left w:val="single" w:color="auto" w:sz="4" w:space="0"/>
              <w:right w:val="single" w:color="auto" w:sz="4" w:space="0"/>
            </w:tcBorders>
            <w:vAlign w:val="center"/>
          </w:tcPr>
          <w:p w14:paraId="5EA10AE0">
            <w:pPr>
              <w:jc w:val="center"/>
              <w:rPr>
                <w:rFonts w:hint="default" w:ascii="Times New Roman" w:hAnsi="Times New Roman" w:eastAsia="宋体" w:cs="Times New Roman"/>
                <w:color w:val="000000"/>
                <w:sz w:val="24"/>
                <w:szCs w:val="24"/>
                <w:highlight w:val="none"/>
              </w:rPr>
            </w:pPr>
          </w:p>
        </w:tc>
        <w:tc>
          <w:tcPr>
            <w:tcW w:w="4211" w:type="dxa"/>
            <w:tcBorders>
              <w:top w:val="single" w:color="auto" w:sz="4" w:space="0"/>
              <w:left w:val="single" w:color="auto" w:sz="4" w:space="0"/>
              <w:bottom w:val="single" w:color="auto" w:sz="4" w:space="0"/>
              <w:right w:val="single" w:color="auto" w:sz="4" w:space="0"/>
            </w:tcBorders>
            <w:vAlign w:val="center"/>
          </w:tcPr>
          <w:p w14:paraId="6326BA35">
            <w:pPr>
              <w:spacing w:line="360" w:lineRule="auto"/>
              <w:jc w:val="center"/>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sz w:val="24"/>
                <w:highlight w:val="none"/>
                <w:lang w:val="en-US" w:eastAsia="zh-CN"/>
              </w:rPr>
              <w:t>全自动提取模块</w:t>
            </w:r>
          </w:p>
        </w:tc>
        <w:tc>
          <w:tcPr>
            <w:tcW w:w="1660" w:type="dxa"/>
            <w:tcBorders>
              <w:top w:val="single" w:color="auto" w:sz="4" w:space="0"/>
              <w:left w:val="single" w:color="auto" w:sz="4" w:space="0"/>
              <w:bottom w:val="single" w:color="auto" w:sz="4" w:space="0"/>
              <w:right w:val="single" w:color="auto" w:sz="4" w:space="0"/>
            </w:tcBorders>
            <w:vAlign w:val="center"/>
          </w:tcPr>
          <w:p w14:paraId="640B61AE">
            <w:pPr>
              <w:spacing w:line="360" w:lineRule="auto"/>
              <w:jc w:val="center"/>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sz w:val="24"/>
                <w:highlight w:val="none"/>
                <w:lang w:val="en-US" w:eastAsia="zh-CN"/>
              </w:rPr>
              <w:t>1</w:t>
            </w:r>
          </w:p>
        </w:tc>
      </w:tr>
      <w:tr w14:paraId="21BC1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6" w:hRule="atLeast"/>
          <w:jc w:val="center"/>
        </w:trPr>
        <w:tc>
          <w:tcPr>
            <w:tcW w:w="656" w:type="dxa"/>
            <w:vMerge w:val="continue"/>
            <w:tcBorders>
              <w:left w:val="single" w:color="auto" w:sz="4" w:space="0"/>
              <w:right w:val="single" w:color="auto" w:sz="4" w:space="0"/>
            </w:tcBorders>
            <w:vAlign w:val="center"/>
          </w:tcPr>
          <w:p w14:paraId="2C1E22F5">
            <w:pPr>
              <w:jc w:val="center"/>
              <w:rPr>
                <w:rFonts w:hint="default" w:ascii="Times New Roman" w:hAnsi="Times New Roman" w:eastAsia="宋体" w:cs="Times New Roman"/>
                <w:color w:val="000000"/>
                <w:sz w:val="24"/>
                <w:szCs w:val="24"/>
                <w:highlight w:val="none"/>
              </w:rPr>
            </w:pPr>
          </w:p>
        </w:tc>
        <w:tc>
          <w:tcPr>
            <w:tcW w:w="4211" w:type="dxa"/>
            <w:tcBorders>
              <w:top w:val="single" w:color="auto" w:sz="4" w:space="0"/>
              <w:left w:val="single" w:color="auto" w:sz="4" w:space="0"/>
              <w:bottom w:val="single" w:color="auto" w:sz="4" w:space="0"/>
              <w:right w:val="single" w:color="auto" w:sz="4" w:space="0"/>
            </w:tcBorders>
            <w:vAlign w:val="center"/>
          </w:tcPr>
          <w:p w14:paraId="5A994695">
            <w:pPr>
              <w:spacing w:line="360" w:lineRule="auto"/>
              <w:jc w:val="center"/>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sz w:val="24"/>
                <w:highlight w:val="none"/>
                <w:lang w:val="en-US" w:eastAsia="zh-CN"/>
              </w:rPr>
              <w:t>全自动建库模块</w:t>
            </w:r>
          </w:p>
        </w:tc>
        <w:tc>
          <w:tcPr>
            <w:tcW w:w="1660" w:type="dxa"/>
            <w:tcBorders>
              <w:top w:val="single" w:color="auto" w:sz="4" w:space="0"/>
              <w:left w:val="single" w:color="auto" w:sz="4" w:space="0"/>
              <w:bottom w:val="single" w:color="auto" w:sz="4" w:space="0"/>
              <w:right w:val="single" w:color="auto" w:sz="4" w:space="0"/>
            </w:tcBorders>
            <w:vAlign w:val="center"/>
          </w:tcPr>
          <w:p w14:paraId="6B53FED8">
            <w:pPr>
              <w:spacing w:line="360" w:lineRule="auto"/>
              <w:jc w:val="center"/>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sz w:val="24"/>
                <w:highlight w:val="none"/>
                <w:lang w:val="en-US" w:eastAsia="zh-CN"/>
              </w:rPr>
              <w:t>1</w:t>
            </w:r>
          </w:p>
        </w:tc>
      </w:tr>
      <w:tr w14:paraId="47758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6" w:hRule="atLeast"/>
          <w:jc w:val="center"/>
        </w:trPr>
        <w:tc>
          <w:tcPr>
            <w:tcW w:w="656" w:type="dxa"/>
            <w:vMerge w:val="continue"/>
            <w:tcBorders>
              <w:left w:val="single" w:color="auto" w:sz="4" w:space="0"/>
              <w:right w:val="single" w:color="auto" w:sz="4" w:space="0"/>
            </w:tcBorders>
            <w:vAlign w:val="center"/>
          </w:tcPr>
          <w:p w14:paraId="0AE43A55">
            <w:pPr>
              <w:jc w:val="center"/>
              <w:rPr>
                <w:rFonts w:hint="default" w:ascii="Times New Roman" w:hAnsi="Times New Roman" w:eastAsia="宋体" w:cs="Times New Roman"/>
                <w:color w:val="000000"/>
                <w:sz w:val="24"/>
                <w:szCs w:val="24"/>
                <w:highlight w:val="none"/>
              </w:rPr>
            </w:pPr>
          </w:p>
        </w:tc>
        <w:tc>
          <w:tcPr>
            <w:tcW w:w="4211" w:type="dxa"/>
            <w:tcBorders>
              <w:top w:val="single" w:color="auto" w:sz="4" w:space="0"/>
              <w:left w:val="single" w:color="auto" w:sz="4" w:space="0"/>
              <w:bottom w:val="single" w:color="auto" w:sz="4" w:space="0"/>
              <w:right w:val="single" w:color="auto" w:sz="4" w:space="0"/>
            </w:tcBorders>
            <w:vAlign w:val="center"/>
          </w:tcPr>
          <w:p w14:paraId="6270EB75">
            <w:pPr>
              <w:spacing w:line="360" w:lineRule="auto"/>
              <w:jc w:val="center"/>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sz w:val="24"/>
                <w:highlight w:val="none"/>
                <w:lang w:val="en-US" w:eastAsia="zh-CN"/>
              </w:rPr>
              <w:t>智能交付系统</w:t>
            </w:r>
          </w:p>
        </w:tc>
        <w:tc>
          <w:tcPr>
            <w:tcW w:w="1660" w:type="dxa"/>
            <w:tcBorders>
              <w:top w:val="single" w:color="auto" w:sz="4" w:space="0"/>
              <w:left w:val="single" w:color="auto" w:sz="4" w:space="0"/>
              <w:bottom w:val="single" w:color="auto" w:sz="4" w:space="0"/>
              <w:right w:val="single" w:color="auto" w:sz="4" w:space="0"/>
            </w:tcBorders>
            <w:vAlign w:val="center"/>
          </w:tcPr>
          <w:p w14:paraId="22EEE0BF">
            <w:pPr>
              <w:spacing w:line="360" w:lineRule="auto"/>
              <w:jc w:val="center"/>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sz w:val="24"/>
                <w:highlight w:val="none"/>
                <w:lang w:val="en-US" w:eastAsia="zh-CN"/>
              </w:rPr>
              <w:t>1</w:t>
            </w:r>
          </w:p>
        </w:tc>
      </w:tr>
    </w:tbl>
    <w:p w14:paraId="466F2B41">
      <w:pPr>
        <w:adjustRightInd w:val="0"/>
        <w:snapToGrid w:val="0"/>
        <w:rPr>
          <w:rFonts w:hint="default" w:ascii="Times New Roman" w:hAnsi="Times New Roman" w:eastAsia="宋体" w:cs="Times New Roman"/>
          <w:b/>
          <w:color w:val="000000"/>
          <w:sz w:val="30"/>
          <w:szCs w:val="30"/>
          <w:highlight w:val="none"/>
        </w:rPr>
      </w:pPr>
    </w:p>
    <w:p w14:paraId="77081A37">
      <w:pPr>
        <w:adjustRightInd w:val="0"/>
        <w:snapToGrid w:val="0"/>
        <w:rPr>
          <w:rFonts w:hint="default" w:ascii="Times New Roman" w:hAnsi="Times New Roman" w:eastAsia="宋体" w:cs="Times New Roman"/>
          <w:b/>
          <w:color w:val="000000"/>
          <w:sz w:val="30"/>
          <w:szCs w:val="30"/>
          <w:highlight w:val="none"/>
        </w:rPr>
      </w:pPr>
    </w:p>
    <w:p w14:paraId="0148A9D4">
      <w:pPr>
        <w:spacing w:line="360" w:lineRule="auto"/>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注：</w:t>
      </w:r>
    </w:p>
    <w:p w14:paraId="40031BDE">
      <w:pPr>
        <w:numPr>
          <w:ilvl w:val="0"/>
          <w:numId w:val="0"/>
        </w:numPr>
        <w:spacing w:line="360" w:lineRule="auto"/>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kern w:val="2"/>
          <w:sz w:val="24"/>
          <w:szCs w:val="24"/>
          <w:highlight w:val="none"/>
          <w:lang w:val="en-US" w:eastAsia="zh-CN" w:bidi="ar-SA"/>
        </w:rPr>
        <w:t>1、</w:t>
      </w:r>
      <w:r>
        <w:rPr>
          <w:rFonts w:hint="default" w:ascii="Times New Roman" w:hAnsi="Times New Roman" w:eastAsia="宋体" w:cs="Times New Roman"/>
          <w:color w:val="000000"/>
          <w:sz w:val="24"/>
          <w:szCs w:val="24"/>
          <w:highlight w:val="none"/>
        </w:rPr>
        <w:t>投标人须对上述投标内容中完整的一包或几包进行投标，不完整的投标将视为非响应性投标予以拒绝。</w:t>
      </w:r>
    </w:p>
    <w:p w14:paraId="03943B57">
      <w:pPr>
        <w:pStyle w:val="4"/>
        <w:numPr>
          <w:ilvl w:val="0"/>
          <w:numId w:val="0"/>
        </w:numPr>
        <w:rPr>
          <w:rFonts w:hint="default" w:ascii="Times New Roman" w:hAnsi="Times New Roman" w:eastAsia="宋体" w:cs="Times New Roman"/>
          <w:b/>
          <w:bCs/>
          <w:color w:val="FF0000"/>
          <w:highlight w:val="none"/>
          <w:lang w:val="en-US" w:eastAsia="zh-CN"/>
        </w:rPr>
      </w:pPr>
      <w:r>
        <w:rPr>
          <w:rFonts w:hint="default" w:ascii="Times New Roman" w:hAnsi="Times New Roman" w:eastAsia="宋体" w:cs="Times New Roman"/>
          <w:b/>
          <w:bCs/>
          <w:color w:val="FF0000"/>
          <w:highlight w:val="none"/>
          <w:lang w:val="en-US" w:eastAsia="zh-CN"/>
        </w:rPr>
        <w:t>2、核心产品：</w:t>
      </w:r>
      <w:r>
        <w:rPr>
          <w:rFonts w:hint="default" w:ascii="Times New Roman" w:hAnsi="Times New Roman" w:eastAsia="宋体" w:cs="Times New Roman"/>
          <w:b/>
          <w:bCs/>
          <w:color w:val="FF0000"/>
          <w:highlight w:val="none"/>
          <w:u w:val="single"/>
          <w:lang w:val="en-US" w:eastAsia="zh-CN"/>
        </w:rPr>
        <w:t>智能交付系统</w:t>
      </w:r>
    </w:p>
    <w:p w14:paraId="1C409A2C">
      <w:pPr>
        <w:spacing w:line="360" w:lineRule="auto"/>
        <w:ind w:left="600" w:hanging="600"/>
        <w:outlineLvl w:val="1"/>
        <w:rPr>
          <w:rFonts w:hint="default" w:ascii="Times New Roman" w:hAnsi="Times New Roman" w:eastAsia="宋体" w:cs="Times New Roman"/>
          <w:b/>
          <w:color w:val="000000"/>
          <w:sz w:val="30"/>
          <w:szCs w:val="30"/>
          <w:highlight w:val="none"/>
        </w:rPr>
      </w:pPr>
      <w:r>
        <w:rPr>
          <w:rFonts w:hint="default" w:ascii="Times New Roman" w:hAnsi="Times New Roman" w:eastAsia="宋体" w:cs="Times New Roman"/>
          <w:b/>
          <w:color w:val="000000"/>
          <w:sz w:val="30"/>
          <w:szCs w:val="30"/>
          <w:highlight w:val="none"/>
        </w:rPr>
        <w:t>二、总  则</w:t>
      </w:r>
    </w:p>
    <w:p w14:paraId="3303DEEE">
      <w:pPr>
        <w:adjustRightInd w:val="0"/>
        <w:snapToGrid w:val="0"/>
        <w:spacing w:line="360" w:lineRule="auto"/>
        <w:rPr>
          <w:rFonts w:hint="default" w:ascii="Times New Roman" w:hAnsi="Times New Roman" w:eastAsia="宋体" w:cs="Times New Roman"/>
          <w:b/>
          <w:sz w:val="28"/>
          <w:szCs w:val="28"/>
          <w:highlight w:val="none"/>
        </w:rPr>
      </w:pPr>
      <w:r>
        <w:rPr>
          <w:rFonts w:hint="default" w:ascii="Times New Roman" w:hAnsi="Times New Roman" w:eastAsia="宋体" w:cs="Times New Roman"/>
          <w:b/>
          <w:sz w:val="28"/>
          <w:szCs w:val="28"/>
          <w:highlight w:val="none"/>
        </w:rPr>
        <w:t>1、投标要求</w:t>
      </w:r>
    </w:p>
    <w:p w14:paraId="12483B77">
      <w:pPr>
        <w:spacing w:line="360" w:lineRule="auto"/>
        <w:ind w:left="554" w:hanging="554" w:hangingChars="231"/>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1.1  投标人在准备投标书时，务必在所提供的商品的技术规格文件中，标明型号、商标名称、目录号。</w:t>
      </w:r>
    </w:p>
    <w:p w14:paraId="37A1C33F">
      <w:pPr>
        <w:spacing w:line="360" w:lineRule="auto"/>
        <w:ind w:left="554" w:hanging="554" w:hangingChars="231"/>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1.2  </w:t>
      </w:r>
      <w:r>
        <w:rPr>
          <w:rFonts w:hint="default" w:ascii="Times New Roman" w:hAnsi="Times New Roman" w:eastAsia="宋体" w:cs="Times New Roman"/>
          <w:sz w:val="24"/>
          <w:highlight w:val="none"/>
        </w:rPr>
        <w:t>投标人提供的货物须是全新、未经使用、配件齐全、功能与性能满足招标文件要求</w:t>
      </w:r>
      <w:r>
        <w:rPr>
          <w:rFonts w:hint="default" w:ascii="Times New Roman" w:hAnsi="Times New Roman" w:eastAsia="宋体" w:cs="Times New Roman"/>
          <w:sz w:val="24"/>
          <w:highlight w:val="none"/>
          <w:lang w:val="en-US" w:eastAsia="zh-CN"/>
        </w:rPr>
        <w:t>的产品</w:t>
      </w:r>
      <w:r>
        <w:rPr>
          <w:rFonts w:hint="default" w:ascii="Times New Roman" w:hAnsi="Times New Roman" w:eastAsia="宋体" w:cs="Times New Roman"/>
          <w:sz w:val="24"/>
          <w:highlight w:val="none"/>
        </w:rPr>
        <w:t>。</w:t>
      </w:r>
      <w:r>
        <w:rPr>
          <w:rFonts w:hint="default" w:ascii="Times New Roman" w:hAnsi="Times New Roman" w:eastAsia="宋体" w:cs="Times New Roman"/>
          <w:sz w:val="24"/>
          <w:szCs w:val="24"/>
          <w:highlight w:val="none"/>
        </w:rPr>
        <w:t>如与招标文件的技术规格有偏差，应提供技术规格偏差的量值或说明（偏离表）。如投标人</w:t>
      </w:r>
      <w:r>
        <w:rPr>
          <w:rFonts w:hint="default" w:ascii="Times New Roman" w:hAnsi="Times New Roman" w:eastAsia="宋体" w:cs="Times New Roman"/>
          <w:sz w:val="24"/>
          <w:highlight w:val="none"/>
        </w:rPr>
        <w:t>存在伪造、变造、篡改相关材料</w:t>
      </w:r>
      <w:r>
        <w:rPr>
          <w:rFonts w:hint="default" w:ascii="Times New Roman" w:hAnsi="Times New Roman" w:eastAsia="宋体" w:cs="Times New Roman"/>
          <w:sz w:val="24"/>
          <w:highlight w:val="none"/>
          <w:lang w:eastAsia="zh-CN"/>
        </w:rPr>
        <w:t>，</w:t>
      </w:r>
      <w:r>
        <w:rPr>
          <w:rFonts w:hint="default" w:ascii="Times New Roman" w:hAnsi="Times New Roman" w:eastAsia="宋体" w:cs="Times New Roman"/>
          <w:sz w:val="24"/>
          <w:szCs w:val="24"/>
          <w:highlight w:val="none"/>
        </w:rPr>
        <w:t>隐瞒</w:t>
      </w:r>
      <w:r>
        <w:rPr>
          <w:rFonts w:hint="default" w:ascii="Times New Roman" w:hAnsi="Times New Roman" w:eastAsia="宋体" w:cs="Times New Roman"/>
          <w:sz w:val="24"/>
          <w:highlight w:val="none"/>
        </w:rPr>
        <w:t>技术规格真实偏差情形</w:t>
      </w:r>
      <w:r>
        <w:rPr>
          <w:rFonts w:hint="default" w:ascii="Times New Roman" w:hAnsi="Times New Roman" w:eastAsia="宋体" w:cs="Times New Roman"/>
          <w:sz w:val="24"/>
          <w:szCs w:val="24"/>
          <w:highlight w:val="none"/>
        </w:rPr>
        <w:t>或在开标后提出新的偏差，</w:t>
      </w:r>
      <w:r>
        <w:rPr>
          <w:rFonts w:hint="default" w:ascii="Times New Roman" w:hAnsi="Times New Roman" w:eastAsia="宋体" w:cs="Times New Roman"/>
          <w:sz w:val="24"/>
          <w:highlight w:val="none"/>
        </w:rPr>
        <w:t>将被视为虚假响应</w:t>
      </w:r>
      <w:r>
        <w:rPr>
          <w:rFonts w:hint="default" w:ascii="Times New Roman" w:hAnsi="Times New Roman" w:eastAsia="宋体" w:cs="Times New Roman"/>
          <w:sz w:val="24"/>
          <w:highlight w:val="none"/>
          <w:lang w:eastAsia="zh-CN"/>
        </w:rPr>
        <w:t>。</w:t>
      </w:r>
      <w:r>
        <w:rPr>
          <w:rFonts w:hint="default" w:ascii="Times New Roman" w:hAnsi="Times New Roman" w:eastAsia="宋体" w:cs="Times New Roman"/>
          <w:sz w:val="24"/>
          <w:szCs w:val="24"/>
          <w:highlight w:val="none"/>
        </w:rPr>
        <w:t>买方有权扣留其投标保证金或/并拒绝其投标。</w:t>
      </w:r>
    </w:p>
    <w:p w14:paraId="2856B4E5">
      <w:pPr>
        <w:spacing w:line="360" w:lineRule="auto"/>
        <w:ind w:left="554" w:hanging="554" w:hangingChars="231"/>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1.3  投标人的投标产品应符合国家有关部门规定的相应技术、计量、节能、安全和环保法规及标准；如国家有关部门对投标人的投标产品有强制性规定或要求的，则投标人的投标产品必须符合相应规定或要求，</w:t>
      </w:r>
      <w:r>
        <w:rPr>
          <w:rFonts w:hint="default" w:ascii="Times New Roman" w:hAnsi="Times New Roman" w:eastAsia="宋体" w:cs="Times New Roman"/>
          <w:sz w:val="24"/>
          <w:szCs w:val="24"/>
          <w:highlight w:val="none"/>
          <w:lang w:val="en-US" w:eastAsia="zh-CN"/>
        </w:rPr>
        <w:t>供货时</w:t>
      </w:r>
      <w:r>
        <w:rPr>
          <w:rFonts w:hint="default" w:ascii="Times New Roman" w:hAnsi="Times New Roman" w:eastAsia="宋体" w:cs="Times New Roman"/>
          <w:sz w:val="24"/>
          <w:szCs w:val="24"/>
          <w:highlight w:val="none"/>
        </w:rPr>
        <w:t>投标人须提供相关证明文件的复印件。</w:t>
      </w:r>
    </w:p>
    <w:p w14:paraId="726CC0EC">
      <w:pPr>
        <w:adjustRightInd w:val="0"/>
        <w:snapToGrid w:val="0"/>
        <w:spacing w:line="360" w:lineRule="auto"/>
        <w:rPr>
          <w:rFonts w:hint="default" w:ascii="Times New Roman" w:hAnsi="Times New Roman" w:eastAsia="宋体" w:cs="Times New Roman"/>
          <w:b/>
          <w:sz w:val="28"/>
          <w:szCs w:val="28"/>
          <w:highlight w:val="none"/>
        </w:rPr>
      </w:pPr>
      <w:r>
        <w:rPr>
          <w:rFonts w:hint="default" w:ascii="Times New Roman" w:hAnsi="Times New Roman" w:eastAsia="宋体" w:cs="Times New Roman"/>
          <w:b/>
          <w:sz w:val="28"/>
          <w:szCs w:val="28"/>
          <w:highlight w:val="none"/>
        </w:rPr>
        <w:t>2、评标标准</w:t>
      </w:r>
    </w:p>
    <w:p w14:paraId="09F69E3D">
      <w:pPr>
        <w:spacing w:line="360" w:lineRule="auto"/>
        <w:ind w:left="554" w:hanging="554" w:hangingChars="231"/>
        <w:rPr>
          <w:rFonts w:hint="default" w:ascii="Times New Roman" w:hAnsi="Times New Roman" w:eastAsia="宋体" w:cs="Times New Roman"/>
          <w:sz w:val="24"/>
          <w:szCs w:val="24"/>
          <w:highlight w:val="none"/>
          <w:lang w:eastAsia="zh-CN"/>
        </w:rPr>
      </w:pPr>
      <w:r>
        <w:rPr>
          <w:rFonts w:hint="default" w:ascii="Times New Roman" w:hAnsi="Times New Roman" w:eastAsia="宋体" w:cs="Times New Roman"/>
          <w:sz w:val="24"/>
          <w:szCs w:val="24"/>
          <w:highlight w:val="none"/>
        </w:rPr>
        <w:t>2.1  除招标文件中指定的附件和专用工具外，投标人应提供仪器设备的正常运行和常规保养所需的全套标准附件、专用工具和消耗品。投标人在投标书中需列出这些附件和工具的数量和单价的清单，这些附件和工具的报价的总值需计入投标价中。</w:t>
      </w:r>
      <w:r>
        <w:rPr>
          <w:rStyle w:val="36"/>
          <w:rFonts w:hint="default" w:ascii="Times New Roman" w:hAnsi="Times New Roman" w:eastAsia="宋体" w:cs="Times New Roman"/>
          <w:sz w:val="24"/>
          <w:szCs w:val="24"/>
          <w:highlight w:val="none"/>
        </w:rPr>
        <w:t>采购人不再另行支付相关费用。中标人不得因为投标文件未列出相关附件和工具，而拒绝向采购人提供或者向采购人收费</w:t>
      </w:r>
      <w:r>
        <w:rPr>
          <w:rStyle w:val="36"/>
          <w:rFonts w:hint="default" w:ascii="Times New Roman" w:hAnsi="Times New Roman" w:eastAsia="宋体" w:cs="Times New Roman"/>
          <w:sz w:val="24"/>
          <w:szCs w:val="24"/>
          <w:highlight w:val="none"/>
          <w:lang w:eastAsia="zh-CN"/>
        </w:rPr>
        <w:t>。</w:t>
      </w:r>
    </w:p>
    <w:p w14:paraId="2FABF213">
      <w:pPr>
        <w:spacing w:line="360" w:lineRule="auto"/>
        <w:ind w:left="554" w:hanging="554" w:hangingChars="231"/>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2.2  对于标书技术规范中已列出的作为查询选件的附件、零配件、专用工具和消耗品，投标书中应列明其数量、单价、总价供买方参考。投标人也可推荐买方没有要求的附件或专用工具作为选件，并列明其数量、单价、总价供买方参考。选件价格不计入评标价中。</w:t>
      </w:r>
    </w:p>
    <w:p w14:paraId="343422AC">
      <w:pPr>
        <w:spacing w:line="360" w:lineRule="auto"/>
        <w:ind w:left="554" w:hanging="554" w:hangingChars="231"/>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2.3  为便于</w:t>
      </w:r>
      <w:r>
        <w:rPr>
          <w:rFonts w:hint="default" w:ascii="Times New Roman" w:hAnsi="Times New Roman" w:eastAsia="宋体" w:cs="Times New Roman"/>
          <w:sz w:val="24"/>
          <w:szCs w:val="24"/>
          <w:highlight w:val="none"/>
          <w:lang w:val="en-US" w:eastAsia="zh-CN"/>
        </w:rPr>
        <w:t>采购人</w:t>
      </w:r>
      <w:r>
        <w:rPr>
          <w:rFonts w:hint="default" w:ascii="Times New Roman" w:hAnsi="Times New Roman" w:eastAsia="宋体" w:cs="Times New Roman"/>
          <w:sz w:val="24"/>
          <w:szCs w:val="24"/>
          <w:highlight w:val="none"/>
        </w:rPr>
        <w:t>进行接收仪器的准备工作，</w:t>
      </w:r>
      <w:r>
        <w:rPr>
          <w:rFonts w:hint="default" w:ascii="Times New Roman" w:hAnsi="Times New Roman" w:eastAsia="宋体" w:cs="Times New Roman"/>
          <w:sz w:val="24"/>
          <w:szCs w:val="24"/>
          <w:highlight w:val="none"/>
          <w:lang w:val="en-US" w:eastAsia="zh-CN"/>
        </w:rPr>
        <w:t>中标人</w:t>
      </w:r>
      <w:r>
        <w:rPr>
          <w:rFonts w:hint="default" w:ascii="Times New Roman" w:hAnsi="Times New Roman" w:eastAsia="宋体" w:cs="Times New Roman"/>
          <w:sz w:val="24"/>
          <w:szCs w:val="24"/>
          <w:highlight w:val="none"/>
        </w:rPr>
        <w:t>应在合同生效后</w:t>
      </w:r>
      <w:r>
        <w:rPr>
          <w:rFonts w:hint="default" w:ascii="Times New Roman" w:hAnsi="Times New Roman" w:eastAsia="宋体" w:cs="Times New Roman"/>
          <w:b/>
          <w:sz w:val="24"/>
          <w:szCs w:val="24"/>
          <w:highlight w:val="none"/>
        </w:rPr>
        <w:t>60</w:t>
      </w:r>
      <w:r>
        <w:rPr>
          <w:rFonts w:hint="default" w:ascii="Times New Roman" w:hAnsi="Times New Roman" w:eastAsia="宋体" w:cs="Times New Roman"/>
          <w:sz w:val="24"/>
          <w:szCs w:val="24"/>
          <w:highlight w:val="none"/>
        </w:rPr>
        <w:t>天内向</w:t>
      </w:r>
      <w:r>
        <w:rPr>
          <w:rFonts w:hint="default" w:ascii="Times New Roman" w:hAnsi="Times New Roman" w:eastAsia="宋体" w:cs="Times New Roman"/>
          <w:sz w:val="24"/>
          <w:szCs w:val="24"/>
          <w:highlight w:val="none"/>
          <w:lang w:val="en-US" w:eastAsia="zh-CN"/>
        </w:rPr>
        <w:t>采购人</w:t>
      </w:r>
      <w:r>
        <w:rPr>
          <w:rFonts w:hint="default" w:ascii="Times New Roman" w:hAnsi="Times New Roman" w:eastAsia="宋体" w:cs="Times New Roman"/>
          <w:sz w:val="24"/>
          <w:szCs w:val="24"/>
          <w:highlight w:val="none"/>
        </w:rPr>
        <w:t>提供</w:t>
      </w:r>
      <w:r>
        <w:rPr>
          <w:rFonts w:hint="default" w:ascii="Times New Roman" w:hAnsi="Times New Roman" w:eastAsia="宋体" w:cs="Times New Roman"/>
          <w:sz w:val="24"/>
          <w:highlight w:val="none"/>
          <w:lang w:val="en-US" w:eastAsia="zh-CN"/>
        </w:rPr>
        <w:t>所投标产品</w:t>
      </w:r>
      <w:r>
        <w:rPr>
          <w:rFonts w:hint="default" w:ascii="Times New Roman" w:hAnsi="Times New Roman" w:eastAsia="宋体" w:cs="Times New Roman"/>
          <w:sz w:val="24"/>
          <w:szCs w:val="24"/>
          <w:highlight w:val="none"/>
        </w:rPr>
        <w:t>的使用说明书、操作手册、维修及安装说明等文件。另一套完整上述资料应在交货时随货包装提供给</w:t>
      </w:r>
      <w:r>
        <w:rPr>
          <w:rFonts w:hint="default" w:ascii="Times New Roman" w:hAnsi="Times New Roman" w:eastAsia="宋体" w:cs="Times New Roman"/>
          <w:sz w:val="24"/>
          <w:szCs w:val="24"/>
          <w:highlight w:val="none"/>
          <w:lang w:val="en-US" w:eastAsia="zh-CN"/>
        </w:rPr>
        <w:t>采购人</w:t>
      </w:r>
      <w:r>
        <w:rPr>
          <w:rFonts w:hint="default" w:ascii="Times New Roman" w:hAnsi="Times New Roman" w:eastAsia="宋体" w:cs="Times New Roman"/>
          <w:sz w:val="24"/>
          <w:szCs w:val="24"/>
          <w:highlight w:val="none"/>
        </w:rPr>
        <w:t>，这些费用应计入投标价中。</w:t>
      </w:r>
    </w:p>
    <w:p w14:paraId="45292F1A">
      <w:pPr>
        <w:spacing w:line="360" w:lineRule="auto"/>
        <w:ind w:left="554" w:hanging="554" w:hangingChars="231"/>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2.4  关于设备的安装调试，如果有必要的安装准备条件，</w:t>
      </w:r>
      <w:r>
        <w:rPr>
          <w:rFonts w:hint="default" w:ascii="Times New Roman" w:hAnsi="Times New Roman" w:eastAsia="宋体" w:cs="Times New Roman"/>
          <w:sz w:val="24"/>
          <w:szCs w:val="24"/>
          <w:highlight w:val="none"/>
          <w:lang w:val="en-US" w:eastAsia="zh-CN"/>
        </w:rPr>
        <w:t>中标人</w:t>
      </w:r>
      <w:r>
        <w:rPr>
          <w:rFonts w:hint="default" w:ascii="Times New Roman" w:hAnsi="Times New Roman" w:eastAsia="宋体" w:cs="Times New Roman"/>
          <w:sz w:val="24"/>
          <w:szCs w:val="24"/>
          <w:highlight w:val="none"/>
        </w:rPr>
        <w:t>应在合同生效后一个月内向</w:t>
      </w:r>
      <w:r>
        <w:rPr>
          <w:rFonts w:hint="default" w:ascii="Times New Roman" w:hAnsi="Times New Roman" w:eastAsia="宋体" w:cs="Times New Roman"/>
          <w:sz w:val="24"/>
          <w:szCs w:val="24"/>
          <w:highlight w:val="none"/>
          <w:lang w:val="en-US" w:eastAsia="zh-CN"/>
        </w:rPr>
        <w:t>采购人</w:t>
      </w:r>
      <w:r>
        <w:rPr>
          <w:rFonts w:hint="default" w:ascii="Times New Roman" w:hAnsi="Times New Roman" w:eastAsia="宋体" w:cs="Times New Roman"/>
          <w:sz w:val="24"/>
          <w:szCs w:val="24"/>
          <w:highlight w:val="none"/>
        </w:rPr>
        <w:t>提出详细的要求或计划。安装调试的费用应计入投标价中，并应单独列出，供评标使用。</w:t>
      </w:r>
    </w:p>
    <w:p w14:paraId="16BCE3BC">
      <w:pPr>
        <w:spacing w:line="360" w:lineRule="auto"/>
        <w:ind w:left="554" w:hanging="554" w:hangingChars="231"/>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2.5  制造厂家提供的培训指的是涉及货物的基本原理、操作使用和保养维修等有关内容的培训。培训教员的培训费、旅费、食宿费等费用和培训场地费及培训资料费均应由</w:t>
      </w:r>
      <w:r>
        <w:rPr>
          <w:rFonts w:hint="default" w:ascii="Times New Roman" w:hAnsi="Times New Roman" w:eastAsia="宋体" w:cs="Times New Roman"/>
          <w:sz w:val="24"/>
          <w:szCs w:val="24"/>
          <w:highlight w:val="none"/>
          <w:lang w:val="en-US" w:eastAsia="zh-CN"/>
        </w:rPr>
        <w:t>中标人</w:t>
      </w:r>
      <w:r>
        <w:rPr>
          <w:rFonts w:hint="default" w:ascii="Times New Roman" w:hAnsi="Times New Roman" w:eastAsia="宋体" w:cs="Times New Roman"/>
          <w:sz w:val="24"/>
          <w:szCs w:val="24"/>
          <w:highlight w:val="none"/>
        </w:rPr>
        <w:t>支付</w:t>
      </w:r>
      <w:r>
        <w:rPr>
          <w:rFonts w:hint="default" w:ascii="Times New Roman" w:hAnsi="Times New Roman" w:eastAsia="宋体" w:cs="Times New Roman"/>
          <w:sz w:val="24"/>
          <w:szCs w:val="24"/>
          <w:highlight w:val="none"/>
          <w:lang w:eastAsia="zh-CN"/>
        </w:rPr>
        <w:t>，</w:t>
      </w:r>
      <w:r>
        <w:rPr>
          <w:rFonts w:hint="default" w:ascii="Times New Roman" w:hAnsi="Times New Roman" w:eastAsia="宋体" w:cs="Times New Roman"/>
          <w:sz w:val="24"/>
          <w:highlight w:val="none"/>
        </w:rPr>
        <w:t>包含在投标报价中</w:t>
      </w:r>
      <w:r>
        <w:rPr>
          <w:rFonts w:hint="default" w:ascii="Times New Roman" w:hAnsi="Times New Roman" w:eastAsia="宋体" w:cs="Times New Roman"/>
          <w:sz w:val="24"/>
          <w:szCs w:val="24"/>
          <w:highlight w:val="none"/>
        </w:rPr>
        <w:t>。</w:t>
      </w:r>
    </w:p>
    <w:p w14:paraId="22342FA9">
      <w:pPr>
        <w:adjustRightInd w:val="0"/>
        <w:snapToGrid w:val="0"/>
        <w:spacing w:line="360" w:lineRule="auto"/>
        <w:rPr>
          <w:rFonts w:hint="default" w:ascii="Times New Roman" w:hAnsi="Times New Roman" w:eastAsia="宋体" w:cs="Times New Roman"/>
          <w:b/>
          <w:sz w:val="28"/>
          <w:szCs w:val="28"/>
          <w:highlight w:val="none"/>
        </w:rPr>
      </w:pPr>
      <w:r>
        <w:rPr>
          <w:rFonts w:hint="default" w:ascii="Times New Roman" w:hAnsi="Times New Roman" w:eastAsia="宋体" w:cs="Times New Roman"/>
          <w:b/>
          <w:sz w:val="28"/>
          <w:szCs w:val="28"/>
          <w:highlight w:val="none"/>
        </w:rPr>
        <w:t>3、工作条件</w:t>
      </w:r>
    </w:p>
    <w:p w14:paraId="43252176">
      <w:pPr>
        <w:spacing w:after="312" w:afterLines="10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除非在技术规格中另有说明，所有仪器、设备和系统都应符合下列要求： </w:t>
      </w:r>
    </w:p>
    <w:p w14:paraId="51F824CA">
      <w:pPr>
        <w:spacing w:line="360" w:lineRule="auto"/>
        <w:ind w:left="554" w:hanging="554" w:hangingChars="231"/>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3.1  适于在气温为摄氏</w:t>
      </w:r>
      <w:r>
        <w:rPr>
          <w:rFonts w:hint="default" w:ascii="Times New Roman" w:hAnsi="Times New Roman" w:eastAsia="宋体" w:cs="Times New Roman"/>
          <w:b/>
          <w:sz w:val="24"/>
          <w:highlight w:val="none"/>
        </w:rPr>
        <w:t>-</w:t>
      </w:r>
      <w:r>
        <w:rPr>
          <w:rFonts w:hint="default" w:ascii="Times New Roman" w:hAnsi="Times New Roman" w:eastAsia="宋体" w:cs="Times New Roman"/>
          <w:b/>
          <w:sz w:val="24"/>
          <w:highlight w:val="none"/>
          <w:lang w:val="en-US" w:eastAsia="zh-CN"/>
        </w:rPr>
        <w:t>2</w:t>
      </w:r>
      <w:r>
        <w:rPr>
          <w:rFonts w:hint="default" w:ascii="Times New Roman" w:hAnsi="Times New Roman" w:eastAsia="宋体" w:cs="Times New Roman"/>
          <w:b/>
          <w:sz w:val="24"/>
          <w:highlight w:val="none"/>
        </w:rPr>
        <w:t>0℃～＋50℃</w:t>
      </w:r>
      <w:r>
        <w:rPr>
          <w:rFonts w:hint="default" w:ascii="Times New Roman" w:hAnsi="Times New Roman" w:eastAsia="宋体" w:cs="Times New Roman"/>
          <w:sz w:val="24"/>
          <w:highlight w:val="none"/>
        </w:rPr>
        <w:t>和相对湿度为</w:t>
      </w:r>
      <w:r>
        <w:rPr>
          <w:rFonts w:hint="default" w:ascii="Times New Roman" w:hAnsi="Times New Roman" w:eastAsia="宋体" w:cs="Times New Roman"/>
          <w:b/>
          <w:sz w:val="24"/>
          <w:highlight w:val="none"/>
        </w:rPr>
        <w:t>90％</w:t>
      </w:r>
      <w:r>
        <w:rPr>
          <w:rFonts w:hint="default" w:ascii="Times New Roman" w:hAnsi="Times New Roman" w:eastAsia="宋体" w:cs="Times New Roman"/>
          <w:sz w:val="24"/>
          <w:highlight w:val="none"/>
        </w:rPr>
        <w:t>的环境条件下运输和贮存。</w:t>
      </w:r>
    </w:p>
    <w:p w14:paraId="713F6B3A">
      <w:pPr>
        <w:spacing w:line="360" w:lineRule="auto"/>
        <w:ind w:left="554" w:hanging="554" w:hangingChars="231"/>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3.2  适于在电源</w:t>
      </w:r>
      <w:r>
        <w:rPr>
          <w:rFonts w:hint="default" w:ascii="Times New Roman" w:hAnsi="Times New Roman" w:eastAsia="宋体" w:cs="Times New Roman"/>
          <w:sz w:val="24"/>
          <w:highlight w:val="none"/>
          <w:lang w:val="en-US" w:eastAsia="zh-CN"/>
        </w:rPr>
        <w:t>380V/</w:t>
      </w:r>
      <w:r>
        <w:rPr>
          <w:rFonts w:hint="default" w:ascii="Times New Roman" w:hAnsi="Times New Roman" w:eastAsia="宋体" w:cs="Times New Roman"/>
          <w:b/>
          <w:sz w:val="24"/>
          <w:highlight w:val="none"/>
        </w:rPr>
        <w:t>220V（</w:t>
      </w:r>
      <w:r>
        <w:rPr>
          <w:rFonts w:hint="default" w:ascii="Times New Roman" w:hAnsi="Times New Roman" w:eastAsia="宋体" w:cs="Times New Roman"/>
          <w:b/>
          <w:sz w:val="24"/>
          <w:highlight w:val="none"/>
        </w:rPr>
        <w:sym w:font="Symbol" w:char="F0B1"/>
      </w:r>
      <w:r>
        <w:rPr>
          <w:rFonts w:hint="default" w:ascii="Times New Roman" w:hAnsi="Times New Roman" w:eastAsia="宋体" w:cs="Times New Roman"/>
          <w:b/>
          <w:sz w:val="24"/>
          <w:highlight w:val="none"/>
        </w:rPr>
        <w:t>10％）/50Hz</w:t>
      </w:r>
      <w:r>
        <w:rPr>
          <w:rFonts w:hint="default" w:ascii="Times New Roman" w:hAnsi="Times New Roman" w:eastAsia="宋体" w:cs="Times New Roman"/>
          <w:sz w:val="24"/>
          <w:highlight w:val="none"/>
        </w:rPr>
        <w:t>、气温摄氏</w:t>
      </w:r>
      <w:r>
        <w:rPr>
          <w:rFonts w:hint="default" w:ascii="Times New Roman" w:hAnsi="Times New Roman" w:eastAsia="宋体" w:cs="Times New Roman"/>
          <w:b/>
          <w:sz w:val="24"/>
          <w:highlight w:val="none"/>
        </w:rPr>
        <w:t>+15℃～＋30℃</w:t>
      </w:r>
      <w:r>
        <w:rPr>
          <w:rFonts w:hint="default" w:ascii="Times New Roman" w:hAnsi="Times New Roman" w:eastAsia="宋体" w:cs="Times New Roman"/>
          <w:sz w:val="24"/>
          <w:highlight w:val="none"/>
        </w:rPr>
        <w:t>和相对湿度小于</w:t>
      </w:r>
      <w:r>
        <w:rPr>
          <w:rFonts w:hint="default" w:ascii="Times New Roman" w:hAnsi="Times New Roman" w:eastAsia="宋体" w:cs="Times New Roman"/>
          <w:b/>
          <w:sz w:val="24"/>
          <w:highlight w:val="none"/>
        </w:rPr>
        <w:t>80％</w:t>
      </w:r>
      <w:r>
        <w:rPr>
          <w:rFonts w:hint="default" w:ascii="Times New Roman" w:hAnsi="Times New Roman" w:eastAsia="宋体" w:cs="Times New Roman"/>
          <w:sz w:val="24"/>
          <w:highlight w:val="none"/>
        </w:rPr>
        <w:t>的环境条件下运行。</w:t>
      </w:r>
      <w:r>
        <w:rPr>
          <w:rFonts w:hint="default" w:ascii="Times New Roman" w:hAnsi="Times New Roman" w:eastAsia="宋体" w:cs="Times New Roman"/>
          <w:b/>
          <w:sz w:val="24"/>
          <w:highlight w:val="none"/>
        </w:rPr>
        <w:t>能够连续正常工作。</w:t>
      </w:r>
    </w:p>
    <w:p w14:paraId="7E11124A">
      <w:pPr>
        <w:spacing w:line="360" w:lineRule="auto"/>
        <w:ind w:left="554" w:hanging="554" w:hangingChars="231"/>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3.3  配置符合中国有关标准要求的插头，如果没有这样的插头，则需提供适当的转换插座。</w:t>
      </w:r>
    </w:p>
    <w:p w14:paraId="3795E6B6">
      <w:pPr>
        <w:spacing w:line="360" w:lineRule="auto"/>
        <w:ind w:left="554" w:hanging="554" w:hangingChars="231"/>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3.4  如产品达不到上述要求，投标人应注明其偏差。如仪器设备需要特殊工作条件（如水、电源、磁场强度、温度、湿度、动强度等）投标人应在投标书中加以说明。</w:t>
      </w:r>
    </w:p>
    <w:p w14:paraId="3373052A">
      <w:pPr>
        <w:rPr>
          <w:rFonts w:hint="default" w:ascii="Times New Roman" w:hAnsi="Times New Roman" w:eastAsia="宋体" w:cs="Times New Roman"/>
          <w:b/>
          <w:bCs/>
          <w:kern w:val="44"/>
          <w:sz w:val="24"/>
          <w:szCs w:val="24"/>
          <w:highlight w:val="none"/>
        </w:rPr>
      </w:pPr>
    </w:p>
    <w:p w14:paraId="4FBF0602">
      <w:pPr>
        <w:adjustRightInd w:val="0"/>
        <w:snapToGrid w:val="0"/>
        <w:spacing w:line="360" w:lineRule="auto"/>
        <w:rPr>
          <w:rFonts w:hint="default" w:ascii="Times New Roman" w:hAnsi="Times New Roman" w:eastAsia="宋体" w:cs="Times New Roman"/>
          <w:b/>
          <w:sz w:val="28"/>
          <w:szCs w:val="28"/>
          <w:highlight w:val="none"/>
        </w:rPr>
      </w:pPr>
      <w:r>
        <w:rPr>
          <w:rFonts w:hint="default" w:ascii="Times New Roman" w:hAnsi="Times New Roman" w:eastAsia="宋体" w:cs="Times New Roman"/>
          <w:b/>
          <w:sz w:val="28"/>
          <w:szCs w:val="28"/>
          <w:highlight w:val="none"/>
        </w:rPr>
        <w:t>4、验收标准</w:t>
      </w:r>
    </w:p>
    <w:p w14:paraId="0BD38180">
      <w:pPr>
        <w:spacing w:after="312" w:afterLines="10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除非在技术规格中另有说明，所有仪器、设备和系统按下列要求进行验收： </w:t>
      </w:r>
    </w:p>
    <w:p w14:paraId="2E1E3BF3">
      <w:pPr>
        <w:spacing w:line="360" w:lineRule="auto"/>
        <w:ind w:left="554" w:hanging="554" w:hangingChars="231"/>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4.1  仪器设备运抵安装现场后，</w:t>
      </w:r>
      <w:r>
        <w:rPr>
          <w:rFonts w:hint="default" w:ascii="Times New Roman" w:hAnsi="Times New Roman" w:eastAsia="宋体" w:cs="Times New Roman"/>
          <w:sz w:val="24"/>
          <w:szCs w:val="24"/>
          <w:highlight w:val="none"/>
          <w:lang w:val="en-US" w:eastAsia="zh-CN"/>
        </w:rPr>
        <w:t>采购人</w:t>
      </w:r>
      <w:r>
        <w:rPr>
          <w:rFonts w:hint="default" w:ascii="Times New Roman" w:hAnsi="Times New Roman" w:eastAsia="宋体" w:cs="Times New Roman"/>
          <w:sz w:val="24"/>
          <w:szCs w:val="24"/>
          <w:highlight w:val="none"/>
        </w:rPr>
        <w:t>将与</w:t>
      </w:r>
      <w:r>
        <w:rPr>
          <w:rFonts w:hint="default" w:ascii="Times New Roman" w:hAnsi="Times New Roman" w:eastAsia="宋体" w:cs="Times New Roman"/>
          <w:sz w:val="24"/>
          <w:szCs w:val="24"/>
          <w:highlight w:val="none"/>
          <w:lang w:val="en-US" w:eastAsia="zh-CN"/>
        </w:rPr>
        <w:t>中标人</w:t>
      </w:r>
      <w:r>
        <w:rPr>
          <w:rFonts w:hint="default" w:ascii="Times New Roman" w:hAnsi="Times New Roman" w:eastAsia="宋体" w:cs="Times New Roman"/>
          <w:sz w:val="24"/>
          <w:szCs w:val="24"/>
          <w:highlight w:val="none"/>
        </w:rPr>
        <w:t>共同开箱验收, 如</w:t>
      </w:r>
      <w:r>
        <w:rPr>
          <w:rFonts w:hint="default" w:ascii="Times New Roman" w:hAnsi="Times New Roman" w:eastAsia="宋体" w:cs="Times New Roman"/>
          <w:sz w:val="24"/>
          <w:szCs w:val="24"/>
          <w:highlight w:val="none"/>
          <w:lang w:val="en-US" w:eastAsia="zh-CN"/>
        </w:rPr>
        <w:t>中标人</w:t>
      </w:r>
      <w:r>
        <w:rPr>
          <w:rFonts w:hint="default" w:ascii="Times New Roman" w:hAnsi="Times New Roman" w:eastAsia="宋体" w:cs="Times New Roman"/>
          <w:sz w:val="24"/>
          <w:szCs w:val="24"/>
          <w:highlight w:val="none"/>
        </w:rPr>
        <w:t>届时不派人来, 则验收结果应以</w:t>
      </w:r>
      <w:r>
        <w:rPr>
          <w:rFonts w:hint="default" w:ascii="Times New Roman" w:hAnsi="Times New Roman" w:eastAsia="宋体" w:cs="Times New Roman"/>
          <w:sz w:val="24"/>
          <w:szCs w:val="24"/>
          <w:highlight w:val="none"/>
          <w:lang w:val="en-US" w:eastAsia="zh-CN"/>
        </w:rPr>
        <w:t>采购人单方出具</w:t>
      </w:r>
      <w:r>
        <w:rPr>
          <w:rFonts w:hint="default" w:ascii="Times New Roman" w:hAnsi="Times New Roman" w:eastAsia="宋体" w:cs="Times New Roman"/>
          <w:sz w:val="24"/>
          <w:szCs w:val="24"/>
          <w:highlight w:val="none"/>
        </w:rPr>
        <w:t xml:space="preserve">的验收报告为最终验收结果。验收时发现短缺、破损, </w:t>
      </w:r>
      <w:r>
        <w:rPr>
          <w:rFonts w:hint="default" w:ascii="Times New Roman" w:hAnsi="Times New Roman" w:eastAsia="宋体" w:cs="Times New Roman"/>
          <w:sz w:val="24"/>
          <w:szCs w:val="24"/>
          <w:highlight w:val="none"/>
          <w:lang w:val="en-US" w:eastAsia="zh-CN"/>
        </w:rPr>
        <w:t>采购人</w:t>
      </w:r>
      <w:r>
        <w:rPr>
          <w:rFonts w:hint="default" w:ascii="Times New Roman" w:hAnsi="Times New Roman" w:eastAsia="宋体" w:cs="Times New Roman"/>
          <w:sz w:val="24"/>
          <w:szCs w:val="24"/>
          <w:highlight w:val="none"/>
        </w:rPr>
        <w:t>有权要求</w:t>
      </w:r>
      <w:r>
        <w:rPr>
          <w:rFonts w:hint="default" w:ascii="Times New Roman" w:hAnsi="Times New Roman" w:eastAsia="宋体" w:cs="Times New Roman"/>
          <w:sz w:val="24"/>
          <w:szCs w:val="24"/>
          <w:highlight w:val="none"/>
          <w:lang w:val="en-US" w:eastAsia="zh-CN"/>
        </w:rPr>
        <w:t>中标人</w:t>
      </w:r>
      <w:r>
        <w:rPr>
          <w:rFonts w:hint="default" w:ascii="Times New Roman" w:hAnsi="Times New Roman" w:eastAsia="宋体" w:cs="Times New Roman"/>
          <w:sz w:val="24"/>
          <w:szCs w:val="24"/>
          <w:highlight w:val="none"/>
        </w:rPr>
        <w:t>负责更换。</w:t>
      </w:r>
    </w:p>
    <w:p w14:paraId="580B8A11">
      <w:pPr>
        <w:spacing w:line="360" w:lineRule="auto"/>
        <w:ind w:left="554" w:hanging="554" w:hangingChars="231"/>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4.2  验收标准以中标人提供的投标文件中所列的指标为准（该指标应不低于招标文件所要求的指标）。任何虚假指标响应一经发现</w:t>
      </w:r>
      <w:r>
        <w:rPr>
          <w:rFonts w:hint="default" w:ascii="Times New Roman" w:hAnsi="Times New Roman" w:eastAsia="宋体" w:cs="Times New Roman"/>
          <w:sz w:val="24"/>
          <w:szCs w:val="24"/>
          <w:highlight w:val="none"/>
          <w:lang w:eastAsia="zh-CN"/>
        </w:rPr>
        <w:t>，</w:t>
      </w:r>
      <w:r>
        <w:rPr>
          <w:rFonts w:hint="default" w:ascii="Times New Roman" w:hAnsi="Times New Roman" w:eastAsia="宋体" w:cs="Times New Roman"/>
          <w:sz w:val="24"/>
          <w:szCs w:val="24"/>
          <w:highlight w:val="none"/>
          <w:lang w:val="en-US" w:eastAsia="zh-CN"/>
        </w:rPr>
        <w:t>采购人有权终止合同</w:t>
      </w:r>
      <w:r>
        <w:rPr>
          <w:rFonts w:hint="default" w:ascii="Times New Roman" w:hAnsi="Times New Roman" w:eastAsia="宋体" w:cs="Times New Roman"/>
          <w:sz w:val="24"/>
          <w:szCs w:val="24"/>
          <w:highlight w:val="none"/>
        </w:rPr>
        <w:t>，</w:t>
      </w:r>
      <w:r>
        <w:rPr>
          <w:rFonts w:hint="default" w:ascii="Times New Roman" w:hAnsi="Times New Roman" w:eastAsia="宋体" w:cs="Times New Roman"/>
          <w:sz w:val="24"/>
          <w:szCs w:val="24"/>
          <w:highlight w:val="none"/>
          <w:lang w:val="en-US" w:eastAsia="zh-CN"/>
        </w:rPr>
        <w:t>中标人</w:t>
      </w:r>
      <w:r>
        <w:rPr>
          <w:rFonts w:hint="default" w:ascii="Times New Roman" w:hAnsi="Times New Roman" w:eastAsia="宋体" w:cs="Times New Roman"/>
          <w:sz w:val="24"/>
          <w:szCs w:val="24"/>
          <w:highlight w:val="none"/>
        </w:rPr>
        <w:t>必须承担由此给</w:t>
      </w:r>
      <w:r>
        <w:rPr>
          <w:rFonts w:hint="default" w:ascii="Times New Roman" w:hAnsi="Times New Roman" w:eastAsia="宋体" w:cs="Times New Roman"/>
          <w:sz w:val="24"/>
          <w:szCs w:val="24"/>
          <w:highlight w:val="none"/>
          <w:lang w:val="en-US" w:eastAsia="zh-CN"/>
        </w:rPr>
        <w:t>采购人</w:t>
      </w:r>
      <w:r>
        <w:rPr>
          <w:rFonts w:hint="default" w:ascii="Times New Roman" w:hAnsi="Times New Roman" w:eastAsia="宋体" w:cs="Times New Roman"/>
          <w:sz w:val="24"/>
          <w:szCs w:val="24"/>
          <w:highlight w:val="none"/>
        </w:rPr>
        <w:t>带来的一切经济损失和其它相关责任。</w:t>
      </w:r>
    </w:p>
    <w:p w14:paraId="57A1E72F">
      <w:pPr>
        <w:spacing w:line="360" w:lineRule="auto"/>
        <w:ind w:left="554" w:hanging="554" w:hangingChars="231"/>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4.3  验收由采购人、中标人及相关人员依国家有关标准、合同及有关附件要求进行，验收完毕由采购人及中标人在验收报告上签名。</w:t>
      </w:r>
    </w:p>
    <w:p w14:paraId="54653C13">
      <w:pPr>
        <w:spacing w:line="360" w:lineRule="auto"/>
        <w:rPr>
          <w:rFonts w:hint="default" w:ascii="Times New Roman" w:hAnsi="Times New Roman" w:eastAsia="宋体" w:cs="Times New Roman"/>
          <w:b/>
          <w:sz w:val="24"/>
          <w:szCs w:val="24"/>
          <w:highlight w:val="none"/>
        </w:rPr>
      </w:pPr>
    </w:p>
    <w:p w14:paraId="15DF5695">
      <w:pPr>
        <w:spacing w:before="156" w:beforeLines="50" w:after="156" w:afterLines="50" w:line="360" w:lineRule="auto"/>
        <w:ind w:left="601" w:hanging="601"/>
        <w:rPr>
          <w:rFonts w:hint="default" w:ascii="Times New Roman" w:hAnsi="Times New Roman" w:eastAsia="宋体" w:cs="Times New Roman"/>
          <w:b/>
          <w:sz w:val="28"/>
          <w:szCs w:val="20"/>
          <w:highlight w:val="none"/>
        </w:rPr>
      </w:pPr>
      <w:r>
        <w:rPr>
          <w:rFonts w:hint="default" w:ascii="Times New Roman" w:hAnsi="Times New Roman" w:eastAsia="宋体" w:cs="Times New Roman"/>
          <w:b/>
          <w:sz w:val="28"/>
          <w:szCs w:val="20"/>
          <w:highlight w:val="none"/>
        </w:rPr>
        <w:t>4、本需求书中标注“★”号的为关键参数，对这些关键参数的任何负偏离将导致废标，“▲”号条款是重要条款，负偏离将严重扣分。</w:t>
      </w:r>
    </w:p>
    <w:p w14:paraId="5295C394">
      <w:pPr>
        <w:spacing w:before="156" w:beforeLines="50" w:after="156" w:afterLines="50" w:line="360" w:lineRule="auto"/>
        <w:ind w:left="601" w:hanging="601"/>
        <w:rPr>
          <w:rFonts w:hint="default" w:ascii="Times New Roman" w:hAnsi="Times New Roman" w:eastAsia="宋体" w:cs="Times New Roman"/>
          <w:b/>
          <w:sz w:val="28"/>
          <w:szCs w:val="20"/>
          <w:highlight w:val="none"/>
        </w:rPr>
      </w:pPr>
      <w:r>
        <w:rPr>
          <w:rFonts w:hint="default" w:ascii="Times New Roman" w:hAnsi="Times New Roman" w:eastAsia="宋体" w:cs="Times New Roman"/>
          <w:b/>
          <w:sz w:val="28"/>
          <w:szCs w:val="20"/>
          <w:highlight w:val="none"/>
        </w:rPr>
        <w:t>5、</w:t>
      </w:r>
      <w:r>
        <w:rPr>
          <w:rFonts w:hint="default" w:ascii="Times New Roman" w:hAnsi="Times New Roman" w:eastAsia="宋体" w:cs="Times New Roman"/>
          <w:b/>
          <w:sz w:val="24"/>
          <w:highlight w:val="none"/>
        </w:rPr>
        <w:t>如在“三、具体要求”中与上述“二、总则”中有不一致之处，以“三、具体要求”中的具体技术、商务要求为准</w:t>
      </w:r>
      <w:r>
        <w:rPr>
          <w:rFonts w:hint="default" w:ascii="Times New Roman" w:hAnsi="Times New Roman" w:eastAsia="宋体" w:cs="Times New Roman"/>
          <w:b/>
          <w:sz w:val="28"/>
          <w:szCs w:val="20"/>
          <w:highlight w:val="none"/>
        </w:rPr>
        <w:t>。</w:t>
      </w:r>
    </w:p>
    <w:p w14:paraId="38336F61">
      <w:pPr>
        <w:spacing w:line="360" w:lineRule="auto"/>
        <w:ind w:left="554" w:hanging="554" w:hangingChars="231"/>
        <w:rPr>
          <w:rFonts w:hint="default" w:ascii="Times New Roman" w:hAnsi="Times New Roman" w:eastAsia="宋体" w:cs="Times New Roman"/>
          <w:sz w:val="24"/>
          <w:szCs w:val="24"/>
          <w:highlight w:val="none"/>
        </w:rPr>
      </w:pPr>
    </w:p>
    <w:p w14:paraId="1576C1B6">
      <w:pPr>
        <w:widowControl/>
        <w:snapToGrid w:val="0"/>
        <w:spacing w:line="360" w:lineRule="auto"/>
        <w:rPr>
          <w:rFonts w:hint="default" w:ascii="Times New Roman" w:hAnsi="Times New Roman" w:eastAsia="宋体" w:cs="Times New Roman"/>
          <w:b/>
          <w:sz w:val="32"/>
          <w:szCs w:val="32"/>
          <w:highlight w:val="none"/>
        </w:rPr>
      </w:pPr>
      <w:r>
        <w:rPr>
          <w:rFonts w:hint="default" w:ascii="Times New Roman" w:hAnsi="Times New Roman" w:eastAsia="宋体" w:cs="Times New Roman"/>
          <w:b/>
          <w:sz w:val="32"/>
          <w:szCs w:val="32"/>
          <w:highlight w:val="none"/>
        </w:rPr>
        <w:br w:type="page"/>
      </w:r>
    </w:p>
    <w:p w14:paraId="22D076FC">
      <w:pPr>
        <w:widowControl/>
        <w:numPr>
          <w:ilvl w:val="0"/>
          <w:numId w:val="4"/>
        </w:numPr>
        <w:snapToGrid w:val="0"/>
        <w:spacing w:line="360" w:lineRule="auto"/>
        <w:outlineLvl w:val="1"/>
        <w:rPr>
          <w:rFonts w:hint="default" w:ascii="Times New Roman" w:hAnsi="Times New Roman" w:eastAsia="宋体" w:cs="Times New Roman"/>
          <w:b/>
          <w:color w:val="FF0000"/>
          <w:sz w:val="32"/>
          <w:szCs w:val="32"/>
          <w:highlight w:val="none"/>
        </w:rPr>
      </w:pPr>
      <w:bookmarkStart w:id="12" w:name="OLE_LINK3"/>
      <w:r>
        <w:rPr>
          <w:rFonts w:hint="default" w:ascii="Times New Roman" w:hAnsi="Times New Roman" w:eastAsia="宋体" w:cs="Times New Roman"/>
          <w:b/>
          <w:color w:val="FF0000"/>
          <w:sz w:val="32"/>
          <w:szCs w:val="32"/>
          <w:highlight w:val="none"/>
        </w:rPr>
        <w:t>具体要求：</w:t>
      </w:r>
    </w:p>
    <w:p w14:paraId="48C3B79D">
      <w:pPr>
        <w:pStyle w:val="6"/>
        <w:spacing w:line="360" w:lineRule="auto"/>
        <w:ind w:right="708" w:rightChars="337"/>
        <w:jc w:val="both"/>
        <w:outlineLvl w:val="1"/>
        <w:rPr>
          <w:rFonts w:hint="default" w:ascii="Times New Roman" w:hAnsi="Times New Roman" w:eastAsia="宋体" w:cs="Times New Roman"/>
          <w:highlight w:val="none"/>
        </w:rPr>
      </w:pPr>
      <w:r>
        <w:rPr>
          <w:rFonts w:hint="default" w:ascii="Times New Roman" w:hAnsi="Times New Roman" w:eastAsia="宋体" w:cs="Times New Roman"/>
          <w:color w:val="000000" w:themeColor="text1"/>
          <w:sz w:val="28"/>
          <w:szCs w:val="28"/>
          <w:highlight w:val="none"/>
          <w14:textFill>
            <w14:solidFill>
              <w14:schemeClr w14:val="tx1"/>
            </w14:solidFill>
          </w14:textFill>
        </w:rPr>
        <w:t>《一》技术要求</w:t>
      </w:r>
      <w:bookmarkEnd w:id="12"/>
    </w:p>
    <w:tbl>
      <w:tblPr>
        <w:tblStyle w:val="28"/>
        <w:tblW w:w="8970" w:type="dxa"/>
        <w:tblInd w:w="8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75"/>
        <w:gridCol w:w="750"/>
        <w:gridCol w:w="7545"/>
      </w:tblGrid>
      <w:tr w14:paraId="2A4670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AA079">
            <w:pPr>
              <w:keepNext w:val="0"/>
              <w:keepLines w:val="0"/>
              <w:widowControl/>
              <w:suppressLineNumbers w:val="0"/>
              <w:spacing w:line="360" w:lineRule="auto"/>
              <w:jc w:val="center"/>
              <w:textAlignment w:val="center"/>
              <w:rPr>
                <w:rFonts w:hint="default" w:ascii="Times New Roman" w:hAnsi="Times New Roman" w:eastAsia="宋体" w:cs="Times New Roman"/>
                <w:b/>
                <w:bCs/>
                <w:i w:val="0"/>
                <w:iCs w:val="0"/>
                <w:color w:val="000000"/>
                <w:sz w:val="24"/>
                <w:szCs w:val="24"/>
                <w:highlight w:val="none"/>
                <w:u w:val="none"/>
              </w:rPr>
            </w:pPr>
            <w:r>
              <w:rPr>
                <w:rFonts w:hint="default" w:ascii="Times New Roman" w:hAnsi="Times New Roman" w:eastAsia="宋体" w:cs="Times New Roman"/>
                <w:b/>
                <w:bCs/>
                <w:i w:val="0"/>
                <w:iCs w:val="0"/>
                <w:color w:val="000000"/>
                <w:kern w:val="0"/>
                <w:sz w:val="24"/>
                <w:szCs w:val="24"/>
                <w:highlight w:val="none"/>
                <w:u w:val="none"/>
                <w:lang w:val="en-US" w:eastAsia="zh-CN" w:bidi="ar"/>
              </w:rPr>
              <w:t>编号</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281B9">
            <w:pPr>
              <w:keepNext w:val="0"/>
              <w:keepLines w:val="0"/>
              <w:widowControl/>
              <w:suppressLineNumbers w:val="0"/>
              <w:spacing w:line="360" w:lineRule="auto"/>
              <w:jc w:val="center"/>
              <w:textAlignment w:val="center"/>
              <w:rPr>
                <w:rFonts w:hint="default" w:ascii="Times New Roman" w:hAnsi="Times New Roman" w:eastAsia="宋体" w:cs="Times New Roman"/>
                <w:b/>
                <w:bCs/>
                <w:i w:val="0"/>
                <w:iCs w:val="0"/>
                <w:color w:val="000000"/>
                <w:sz w:val="24"/>
                <w:szCs w:val="24"/>
                <w:highlight w:val="none"/>
                <w:u w:val="none"/>
              </w:rPr>
            </w:pPr>
            <w:r>
              <w:rPr>
                <w:rFonts w:hint="default" w:ascii="Times New Roman" w:hAnsi="Times New Roman" w:eastAsia="宋体" w:cs="Times New Roman"/>
                <w:b/>
                <w:bCs/>
                <w:i w:val="0"/>
                <w:iCs w:val="0"/>
                <w:color w:val="000000"/>
                <w:kern w:val="0"/>
                <w:sz w:val="24"/>
                <w:szCs w:val="24"/>
                <w:highlight w:val="none"/>
                <w:u w:val="none"/>
                <w:lang w:val="en-US" w:eastAsia="zh-CN" w:bidi="ar"/>
              </w:rPr>
              <w:t>招标技术指标名称</w:t>
            </w: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B3B4C">
            <w:pPr>
              <w:keepNext w:val="0"/>
              <w:keepLines w:val="0"/>
              <w:widowControl/>
              <w:suppressLineNumbers w:val="0"/>
              <w:spacing w:line="360" w:lineRule="auto"/>
              <w:jc w:val="center"/>
              <w:textAlignment w:val="center"/>
              <w:rPr>
                <w:rFonts w:hint="default" w:ascii="Times New Roman" w:hAnsi="Times New Roman" w:eastAsia="宋体" w:cs="Times New Roman"/>
                <w:b/>
                <w:bCs/>
                <w:i w:val="0"/>
                <w:iCs w:val="0"/>
                <w:color w:val="000000"/>
                <w:sz w:val="24"/>
                <w:szCs w:val="24"/>
                <w:highlight w:val="none"/>
                <w:u w:val="none"/>
              </w:rPr>
            </w:pPr>
            <w:r>
              <w:rPr>
                <w:rFonts w:hint="default" w:ascii="Times New Roman" w:hAnsi="Times New Roman" w:eastAsia="宋体" w:cs="Times New Roman"/>
                <w:b/>
                <w:bCs/>
                <w:i w:val="0"/>
                <w:iCs w:val="0"/>
                <w:color w:val="000000"/>
                <w:kern w:val="0"/>
                <w:sz w:val="24"/>
                <w:szCs w:val="24"/>
                <w:highlight w:val="none"/>
                <w:u w:val="none"/>
                <w:lang w:val="en-US" w:eastAsia="zh-CN" w:bidi="ar"/>
              </w:rPr>
              <w:t>招标技术指标值</w:t>
            </w:r>
          </w:p>
        </w:tc>
      </w:tr>
      <w:tr w14:paraId="3DBC92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9B3D9">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D6DF7">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应用范围和要求</w:t>
            </w: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507DC">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本项目所采购设备及软件系统为采购人葛洪系统的核心模块，适用于病原检测及公共卫生应急等领域。通过智能交付系统实现模块内及模块间自动化交互，将整个实验流程的软硬件资源整合成一个有机整体。实现从原始样本接收到标准化文库产物输出的全流程自动化运行。</w:t>
            </w:r>
          </w:p>
        </w:tc>
      </w:tr>
      <w:tr w14:paraId="0DC36F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75" w:type="dxa"/>
            <w:vMerge w:val="restart"/>
            <w:tcBorders>
              <w:top w:val="single" w:color="000000" w:sz="4" w:space="0"/>
              <w:left w:val="single" w:color="000000" w:sz="4" w:space="0"/>
              <w:right w:val="single" w:color="000000" w:sz="4" w:space="0"/>
            </w:tcBorders>
            <w:shd w:val="clear" w:color="auto" w:fill="auto"/>
            <w:vAlign w:val="center"/>
          </w:tcPr>
          <w:p w14:paraId="53DAE56A">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w:t>
            </w:r>
          </w:p>
        </w:tc>
        <w:tc>
          <w:tcPr>
            <w:tcW w:w="750" w:type="dxa"/>
            <w:vMerge w:val="restart"/>
            <w:tcBorders>
              <w:top w:val="single" w:color="000000" w:sz="4" w:space="0"/>
              <w:left w:val="single" w:color="000000" w:sz="4" w:space="0"/>
              <w:right w:val="single" w:color="000000" w:sz="4" w:space="0"/>
            </w:tcBorders>
            <w:shd w:val="clear" w:color="auto" w:fill="auto"/>
            <w:vAlign w:val="center"/>
          </w:tcPr>
          <w:p w14:paraId="249F4860">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性能指标</w:t>
            </w: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D9A50">
            <w:pPr>
              <w:keepNext w:val="0"/>
              <w:keepLines w:val="0"/>
              <w:widowControl/>
              <w:suppressLineNumbers w:val="0"/>
              <w:spacing w:line="360" w:lineRule="auto"/>
              <w:jc w:val="both"/>
              <w:textAlignment w:val="center"/>
              <w:rPr>
                <w:rFonts w:hint="default" w:ascii="Times New Roman" w:hAnsi="Times New Roman" w:eastAsia="宋体" w:cs="Times New Roman"/>
                <w:b/>
                <w:bCs/>
                <w:i w:val="0"/>
                <w:iCs w:val="0"/>
                <w:color w:val="000000"/>
                <w:sz w:val="24"/>
                <w:szCs w:val="24"/>
                <w:highlight w:val="none"/>
                <w:u w:val="none"/>
              </w:rPr>
            </w:pPr>
            <w:r>
              <w:rPr>
                <w:rFonts w:hint="default" w:ascii="Times New Roman" w:hAnsi="Times New Roman" w:eastAsia="宋体" w:cs="Times New Roman"/>
                <w:b/>
                <w:bCs/>
                <w:i w:val="0"/>
                <w:iCs w:val="0"/>
                <w:color w:val="000000"/>
                <w:kern w:val="0"/>
                <w:sz w:val="24"/>
                <w:szCs w:val="24"/>
                <w:highlight w:val="none"/>
                <w:u w:val="none"/>
                <w:lang w:val="en-US" w:eastAsia="zh-CN" w:bidi="ar"/>
              </w:rPr>
              <w:t>1. 样本预处理工作站</w:t>
            </w:r>
          </w:p>
        </w:tc>
      </w:tr>
      <w:tr w14:paraId="588B9B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trPr>
        <w:tc>
          <w:tcPr>
            <w:tcW w:w="675" w:type="dxa"/>
            <w:vMerge w:val="continue"/>
            <w:tcBorders>
              <w:left w:val="single" w:color="000000" w:sz="4" w:space="0"/>
              <w:right w:val="single" w:color="000000" w:sz="4" w:space="0"/>
            </w:tcBorders>
            <w:shd w:val="clear" w:color="auto" w:fill="auto"/>
            <w:vAlign w:val="center"/>
          </w:tcPr>
          <w:p w14:paraId="7547E4D4">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409D709C">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top"/>
          </w:tcPr>
          <w:p w14:paraId="58771F76">
            <w:pPr>
              <w:keepNext w:val="0"/>
              <w:keepLines w:val="0"/>
              <w:widowControl/>
              <w:suppressLineNumbers w:val="0"/>
              <w:spacing w:line="360" w:lineRule="auto"/>
              <w:jc w:val="left"/>
              <w:textAlignment w:val="top"/>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采用双功能岛并行，拭子/血液预处理工作站与组织/粪便预处理工作站独立运行，可自动化完成液体与固体类原始样本的预处理操作，实现从48孔冻存管至96孔板的样本转移。各功能岛均配备负压层流罩组件，确保平台内部环境洁净。同时配置6D柔性传输组件，可实现预处理工作站与全自动提取模块之间的物料快速转运</w:t>
            </w:r>
          </w:p>
        </w:tc>
      </w:tr>
      <w:tr w14:paraId="61A60A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3EF3B58B">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6C65D813">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3D999">
            <w:pPr>
              <w:keepNext w:val="0"/>
              <w:keepLines w:val="0"/>
              <w:widowControl/>
              <w:suppressLineNumbers w:val="0"/>
              <w:spacing w:line="360" w:lineRule="auto"/>
              <w:jc w:val="left"/>
              <w:textAlignment w:val="center"/>
              <w:rPr>
                <w:rFonts w:hint="default" w:ascii="Times New Roman" w:hAnsi="Times New Roman" w:eastAsia="宋体" w:cs="Times New Roman"/>
                <w:b/>
                <w:bCs/>
                <w:i w:val="0"/>
                <w:iCs w:val="0"/>
                <w:color w:val="000000"/>
                <w:sz w:val="24"/>
                <w:szCs w:val="24"/>
                <w:highlight w:val="none"/>
                <w:u w:val="none"/>
              </w:rPr>
            </w:pPr>
            <w:r>
              <w:rPr>
                <w:rFonts w:hint="default" w:ascii="Times New Roman" w:hAnsi="Times New Roman" w:eastAsia="宋体" w:cs="Times New Roman"/>
                <w:b/>
                <w:bCs/>
                <w:i w:val="0"/>
                <w:iCs w:val="0"/>
                <w:color w:val="000000"/>
                <w:kern w:val="0"/>
                <w:sz w:val="24"/>
                <w:szCs w:val="24"/>
                <w:highlight w:val="none"/>
                <w:u w:val="none"/>
                <w:lang w:val="en-US" w:eastAsia="zh-CN" w:bidi="ar"/>
              </w:rPr>
              <w:t>1.1. 拭子/血液样本预处理工作站</w:t>
            </w:r>
          </w:p>
        </w:tc>
      </w:tr>
      <w:tr w14:paraId="160444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675" w:type="dxa"/>
            <w:vMerge w:val="continue"/>
            <w:tcBorders>
              <w:left w:val="single" w:color="000000" w:sz="4" w:space="0"/>
              <w:right w:val="single" w:color="000000" w:sz="4" w:space="0"/>
            </w:tcBorders>
            <w:shd w:val="clear" w:color="auto" w:fill="auto"/>
            <w:vAlign w:val="center"/>
          </w:tcPr>
          <w:p w14:paraId="051F4800">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3277FE4A">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top"/>
          </w:tcPr>
          <w:p w14:paraId="0AC5F7BE">
            <w:pPr>
              <w:keepNext w:val="0"/>
              <w:keepLines w:val="0"/>
              <w:widowControl/>
              <w:suppressLineNumbers w:val="0"/>
              <w:spacing w:line="360" w:lineRule="auto"/>
              <w:jc w:val="both"/>
              <w:textAlignment w:val="top"/>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拭子/血液样本预处理工作站需配置负压层流罩组件，保证平台内部环境洁净。拭子/血液样本预处理工作站通过整合自动化液体工作站组件、自动化耗材供给组件、自动化冰箱组件、自动化扫码组件、自动化冻存管开关盖组件、自动化撕膜组件、自动化封膜组件、自动化液面探测组件、自动化高速制冷离心组件、自动化混匀组件、自动化微孔板离心组件等设备，实现液体类样本从48孔冻存管到96孔板的转移</w:t>
            </w:r>
          </w:p>
        </w:tc>
      </w:tr>
      <w:tr w14:paraId="27B434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01AAFDD0">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54EE18E6">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58CD6">
            <w:pPr>
              <w:keepNext w:val="0"/>
              <w:keepLines w:val="0"/>
              <w:widowControl/>
              <w:suppressLineNumbers w:val="0"/>
              <w:spacing w:line="360" w:lineRule="auto"/>
              <w:jc w:val="both"/>
              <w:textAlignment w:val="center"/>
              <w:rPr>
                <w:rFonts w:hint="default" w:ascii="Times New Roman" w:hAnsi="Times New Roman" w:eastAsia="宋体" w:cs="Times New Roman"/>
                <w:b/>
                <w:bCs/>
                <w:i w:val="0"/>
                <w:iCs w:val="0"/>
                <w:color w:val="000000"/>
                <w:sz w:val="24"/>
                <w:szCs w:val="24"/>
                <w:highlight w:val="none"/>
                <w:u w:val="none"/>
              </w:rPr>
            </w:pPr>
            <w:r>
              <w:rPr>
                <w:rFonts w:hint="default" w:ascii="Times New Roman" w:hAnsi="Times New Roman" w:eastAsia="宋体" w:cs="Times New Roman"/>
                <w:b/>
                <w:bCs/>
                <w:i w:val="0"/>
                <w:iCs w:val="0"/>
                <w:color w:val="000000"/>
                <w:kern w:val="0"/>
                <w:sz w:val="24"/>
                <w:szCs w:val="24"/>
                <w:highlight w:val="none"/>
                <w:u w:val="none"/>
                <w:lang w:val="en-US" w:eastAsia="zh-CN" w:bidi="ar"/>
              </w:rPr>
              <w:t>1.1.1. 自动化物料转运组件</w:t>
            </w:r>
          </w:p>
        </w:tc>
      </w:tr>
      <w:tr w14:paraId="35475E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5980CA24">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5AA8489B">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7237E">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1.1.1.1. 轨道式协作机器人集成组件与设备，包含导轨、夹爪等设备</w:t>
            </w:r>
          </w:p>
        </w:tc>
      </w:tr>
      <w:tr w14:paraId="374C24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14F568DE">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416EAA85">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CAEC0">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▲1.1.1.2. 机器人符合ISO/TS 15066标准，</w:t>
            </w:r>
            <w:r>
              <w:rPr>
                <w:rFonts w:hint="default" w:ascii="Times New Roman" w:hAnsi="Times New Roman" w:eastAsia="宋体" w:cs="Times New Roman"/>
                <w:b/>
                <w:bCs/>
                <w:i w:val="0"/>
                <w:iCs w:val="0"/>
                <w:color w:val="000000"/>
                <w:kern w:val="0"/>
                <w:sz w:val="24"/>
                <w:szCs w:val="24"/>
                <w:highlight w:val="none"/>
                <w:u w:val="none"/>
                <w:lang w:val="en-US" w:eastAsia="zh-CN" w:bidi="ar"/>
              </w:rPr>
              <w:t>【提供符合声明承诺函并加盖投标人公章】</w:t>
            </w:r>
          </w:p>
        </w:tc>
      </w:tr>
      <w:tr w14:paraId="0897E3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675" w:type="dxa"/>
            <w:vMerge w:val="continue"/>
            <w:tcBorders>
              <w:left w:val="single" w:color="000000" w:sz="4" w:space="0"/>
              <w:right w:val="single" w:color="000000" w:sz="4" w:space="0"/>
            </w:tcBorders>
            <w:shd w:val="clear" w:color="auto" w:fill="auto"/>
            <w:vAlign w:val="center"/>
          </w:tcPr>
          <w:p w14:paraId="1D689314">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44FE8E7D">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5F529">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1.1.1.3. 机器人轴数≤4，机器人Z向行程≥800mm，臂展≥630mm，重复定位精度≤±0.03mm，抓取有效负载≥ 1.5kg，最大末端速度≥1400mm/s</w:t>
            </w:r>
          </w:p>
        </w:tc>
      </w:tr>
      <w:tr w14:paraId="1FF5B5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675" w:type="dxa"/>
            <w:vMerge w:val="continue"/>
            <w:tcBorders>
              <w:left w:val="single" w:color="000000" w:sz="4" w:space="0"/>
              <w:right w:val="single" w:color="000000" w:sz="4" w:space="0"/>
            </w:tcBorders>
            <w:shd w:val="clear" w:color="auto" w:fill="auto"/>
            <w:vAlign w:val="center"/>
          </w:tcPr>
          <w:p w14:paraId="4C1394E4">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52E50C9F">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7B25D">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1.1.1.4. 机器人夹爪兼容孔板类型：符合SBS标准的微孔板、深孔板等，具备夹空检测和掉落检测功能，具备碰撞检测功能和拖动示教功能，具备断电保持功能，防止突然断电造成孔板掉落</w:t>
            </w:r>
          </w:p>
        </w:tc>
      </w:tr>
      <w:tr w14:paraId="01CA28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0183A6D4">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28EB2BFA">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E423D">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1.1.1.5.支持自动化整合</w:t>
            </w:r>
          </w:p>
        </w:tc>
      </w:tr>
      <w:tr w14:paraId="241E8F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3BD5FDB9">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6BEB12B6">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4102E">
            <w:pPr>
              <w:keepNext w:val="0"/>
              <w:keepLines w:val="0"/>
              <w:widowControl/>
              <w:suppressLineNumbers w:val="0"/>
              <w:spacing w:line="360" w:lineRule="auto"/>
              <w:jc w:val="both"/>
              <w:textAlignment w:val="center"/>
              <w:rPr>
                <w:rFonts w:hint="default" w:ascii="Times New Roman" w:hAnsi="Times New Roman" w:eastAsia="宋体" w:cs="Times New Roman"/>
                <w:b/>
                <w:bCs/>
                <w:i w:val="0"/>
                <w:iCs w:val="0"/>
                <w:color w:val="000000"/>
                <w:sz w:val="24"/>
                <w:szCs w:val="24"/>
                <w:highlight w:val="none"/>
                <w:u w:val="none"/>
              </w:rPr>
            </w:pPr>
            <w:r>
              <w:rPr>
                <w:rFonts w:hint="default" w:ascii="Times New Roman" w:hAnsi="Times New Roman" w:eastAsia="宋体" w:cs="Times New Roman"/>
                <w:b/>
                <w:bCs/>
                <w:i w:val="0"/>
                <w:iCs w:val="0"/>
                <w:color w:val="000000"/>
                <w:kern w:val="0"/>
                <w:sz w:val="24"/>
                <w:szCs w:val="24"/>
                <w:highlight w:val="none"/>
                <w:u w:val="none"/>
                <w:lang w:val="en-US" w:eastAsia="zh-CN" w:bidi="ar"/>
              </w:rPr>
              <w:t>1.1.2. 自动化液体工作站组件</w:t>
            </w:r>
          </w:p>
        </w:tc>
      </w:tr>
      <w:tr w14:paraId="2D6CB6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7BD2C099">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2AACCB91">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DDA50">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1.1.2.1. 移液器配置：配置灵活8 通道移液器和孔板夹爪，移液器间距9-21mm可调，每个通道可执行不同的移液任务，移液体积：0.5-1000μL</w:t>
            </w:r>
          </w:p>
        </w:tc>
      </w:tr>
      <w:tr w14:paraId="165301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75" w:type="dxa"/>
            <w:vMerge w:val="continue"/>
            <w:tcBorders>
              <w:left w:val="single" w:color="000000" w:sz="4" w:space="0"/>
              <w:right w:val="single" w:color="000000" w:sz="4" w:space="0"/>
            </w:tcBorders>
            <w:shd w:val="clear" w:color="auto" w:fill="auto"/>
            <w:vAlign w:val="center"/>
          </w:tcPr>
          <w:p w14:paraId="295F3EE1">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79E5051B">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FF8C4">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★1.1.2.2. 液体工作站SBS板位数量：≥30个，可适配温控模块、倾斜模块、振荡模块，</w:t>
            </w:r>
            <w:r>
              <w:rPr>
                <w:rFonts w:hint="default" w:ascii="Times New Roman" w:hAnsi="Times New Roman" w:eastAsia="宋体" w:cs="Times New Roman"/>
                <w:b/>
                <w:bCs/>
                <w:i w:val="0"/>
                <w:iCs w:val="0"/>
                <w:color w:val="000000"/>
                <w:kern w:val="0"/>
                <w:sz w:val="24"/>
                <w:szCs w:val="24"/>
                <w:highlight w:val="none"/>
                <w:u w:val="none"/>
                <w:lang w:val="en-US" w:eastAsia="zh-CN" w:bidi="ar"/>
              </w:rPr>
              <w:t>【须提供制造商公开发布的产品白皮书或产品彩页或官网截图证明或第三方机构出具的检测报告或实物图片】</w:t>
            </w:r>
          </w:p>
        </w:tc>
      </w:tr>
      <w:tr w14:paraId="0853A3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2C5FFB48">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4D3043CC">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29A0C">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1.1.2.3. XY轴移动速度：≥800mm/s，Z轴≥250mm/s，重复定位精度≤±0.03mm</w:t>
            </w:r>
          </w:p>
        </w:tc>
      </w:tr>
      <w:tr w14:paraId="184DF1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076E9F28">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5A58701E">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2D599">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1.1.2.4. 具备气压（PLLD）和电容（CLLD）液面探测，集成AI视觉感知系统，可自动识别台面布局与障碍物位置，实现板位快速标定</w:t>
            </w:r>
          </w:p>
        </w:tc>
      </w:tr>
      <w:tr w14:paraId="0A1CB1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7F4F8D98">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6CB177D2">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9B484">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1.1.2.5. 支持自动化整合</w:t>
            </w:r>
          </w:p>
        </w:tc>
      </w:tr>
      <w:tr w14:paraId="617761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2F681189">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16280424">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FE031">
            <w:pPr>
              <w:keepNext w:val="0"/>
              <w:keepLines w:val="0"/>
              <w:widowControl/>
              <w:suppressLineNumbers w:val="0"/>
              <w:spacing w:line="360" w:lineRule="auto"/>
              <w:jc w:val="both"/>
              <w:textAlignment w:val="center"/>
              <w:rPr>
                <w:rFonts w:hint="default" w:ascii="Times New Roman" w:hAnsi="Times New Roman" w:eastAsia="宋体" w:cs="Times New Roman"/>
                <w:b/>
                <w:bCs/>
                <w:i w:val="0"/>
                <w:iCs w:val="0"/>
                <w:color w:val="000000"/>
                <w:sz w:val="24"/>
                <w:szCs w:val="24"/>
                <w:highlight w:val="none"/>
                <w:u w:val="none"/>
              </w:rPr>
            </w:pPr>
            <w:r>
              <w:rPr>
                <w:rFonts w:hint="default" w:ascii="Times New Roman" w:hAnsi="Times New Roman" w:eastAsia="宋体" w:cs="Times New Roman"/>
                <w:b/>
                <w:bCs/>
                <w:i w:val="0"/>
                <w:iCs w:val="0"/>
                <w:color w:val="000000"/>
                <w:kern w:val="0"/>
                <w:sz w:val="24"/>
                <w:szCs w:val="24"/>
                <w:highlight w:val="none"/>
                <w:u w:val="none"/>
                <w:lang w:val="en-US" w:eastAsia="zh-CN" w:bidi="ar"/>
              </w:rPr>
              <w:t>1.1.3. 自动化耗材供给组件</w:t>
            </w:r>
          </w:p>
        </w:tc>
      </w:tr>
      <w:tr w14:paraId="7F30B8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7FE1210F">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1DF71D14">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B1680">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1.1.3.1. 具备1套旋转式存储板架和1套孔板等耗材抓放机械臂，存取效率：完成1块孔板的存入或取出平均时间≤12s</w:t>
            </w:r>
          </w:p>
        </w:tc>
      </w:tr>
      <w:tr w14:paraId="1C1974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664C5DD5">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48FD69D4">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DAB22">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1.1.3.2. 兼容耗材类型：符合SBS标准的微孔板、深孔板、细胞培养板以及枪头盒等，存储容量：≥200块符合SBS标准的微孔板（高度h≤18mm）</w:t>
            </w:r>
          </w:p>
        </w:tc>
      </w:tr>
      <w:tr w14:paraId="40E9BE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4C0A3304">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65B7C67E">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EBB4C">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1.1.3.3. 每个储板架均自带条码，可自动扫描确认每个储板架的类型，自带扫码器可实现自动扫码盘库功能</w:t>
            </w:r>
          </w:p>
        </w:tc>
      </w:tr>
      <w:tr w14:paraId="52F916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1AAAEB8C">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1BAC58E2">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05CEC">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1.1.3.4. 支持自动化整合</w:t>
            </w:r>
          </w:p>
        </w:tc>
      </w:tr>
      <w:tr w14:paraId="00F721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75907134">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6819BC23">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C2578">
            <w:pPr>
              <w:keepNext w:val="0"/>
              <w:keepLines w:val="0"/>
              <w:widowControl/>
              <w:suppressLineNumbers w:val="0"/>
              <w:spacing w:line="360" w:lineRule="auto"/>
              <w:jc w:val="both"/>
              <w:textAlignment w:val="center"/>
              <w:rPr>
                <w:rFonts w:hint="default" w:ascii="Times New Roman" w:hAnsi="Times New Roman" w:eastAsia="宋体" w:cs="Times New Roman"/>
                <w:b/>
                <w:bCs/>
                <w:i w:val="0"/>
                <w:iCs w:val="0"/>
                <w:color w:val="000000"/>
                <w:sz w:val="24"/>
                <w:szCs w:val="24"/>
                <w:highlight w:val="none"/>
                <w:u w:val="none"/>
              </w:rPr>
            </w:pPr>
            <w:r>
              <w:rPr>
                <w:rFonts w:hint="default" w:ascii="Times New Roman" w:hAnsi="Times New Roman" w:eastAsia="宋体" w:cs="Times New Roman"/>
                <w:b/>
                <w:bCs/>
                <w:i w:val="0"/>
                <w:iCs w:val="0"/>
                <w:color w:val="000000"/>
                <w:kern w:val="0"/>
                <w:sz w:val="24"/>
                <w:szCs w:val="24"/>
                <w:highlight w:val="none"/>
                <w:u w:val="none"/>
                <w:lang w:val="en-US" w:eastAsia="zh-CN" w:bidi="ar"/>
              </w:rPr>
              <w:t>1.1.4. 自动化冰箱组件</w:t>
            </w:r>
          </w:p>
        </w:tc>
      </w:tr>
      <w:tr w14:paraId="06CA94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75" w:type="dxa"/>
            <w:vMerge w:val="continue"/>
            <w:tcBorders>
              <w:left w:val="single" w:color="000000" w:sz="4" w:space="0"/>
              <w:right w:val="single" w:color="000000" w:sz="4" w:space="0"/>
            </w:tcBorders>
            <w:shd w:val="clear" w:color="auto" w:fill="auto"/>
            <w:vAlign w:val="center"/>
          </w:tcPr>
          <w:p w14:paraId="53A5EEAF">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63E6B03F">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E856B">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1.1.4.1. 冷藏箱配置2列容量总计≥40块微孔板（h≤18mm）的存储板栈和1套取放机械臂，兼容如试剂槽等其他符合SBS规格的物料，自带扫码器可进行自动扫码盘库</w:t>
            </w:r>
          </w:p>
        </w:tc>
      </w:tr>
      <w:tr w14:paraId="683C79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21BF716D">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21FE40AC">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94D99">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1.1.4.2. 制冷均匀迅速温度控制范围：2℃至8℃，背面配备自动化交互的迷你窗口，降低孔板进出对箱体内温度的影响</w:t>
            </w:r>
          </w:p>
        </w:tc>
      </w:tr>
      <w:tr w14:paraId="494531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63CF695A">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5096120F">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72D10">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1.1.4.3. 存取效率：完成1块孔板的存入或取出平均时间≤15s</w:t>
            </w:r>
          </w:p>
        </w:tc>
      </w:tr>
      <w:tr w14:paraId="186048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45FD2905">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070F33D6">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E57F5">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1.1.4.4. 支持自动化整合</w:t>
            </w:r>
          </w:p>
        </w:tc>
      </w:tr>
      <w:tr w14:paraId="0AF487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4395A7E0">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540B51FA">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B159B">
            <w:pPr>
              <w:keepNext w:val="0"/>
              <w:keepLines w:val="0"/>
              <w:widowControl/>
              <w:suppressLineNumbers w:val="0"/>
              <w:spacing w:line="360" w:lineRule="auto"/>
              <w:jc w:val="both"/>
              <w:textAlignment w:val="center"/>
              <w:rPr>
                <w:rFonts w:hint="default" w:ascii="Times New Roman" w:hAnsi="Times New Roman" w:eastAsia="宋体" w:cs="Times New Roman"/>
                <w:b/>
                <w:bCs/>
                <w:i w:val="0"/>
                <w:iCs w:val="0"/>
                <w:color w:val="000000"/>
                <w:sz w:val="24"/>
                <w:szCs w:val="24"/>
                <w:highlight w:val="none"/>
                <w:u w:val="none"/>
              </w:rPr>
            </w:pPr>
            <w:r>
              <w:rPr>
                <w:rFonts w:hint="default" w:ascii="Times New Roman" w:hAnsi="Times New Roman" w:eastAsia="宋体" w:cs="Times New Roman"/>
                <w:b/>
                <w:bCs/>
                <w:i w:val="0"/>
                <w:iCs w:val="0"/>
                <w:color w:val="000000"/>
                <w:kern w:val="0"/>
                <w:sz w:val="24"/>
                <w:szCs w:val="24"/>
                <w:highlight w:val="none"/>
                <w:u w:val="none"/>
                <w:lang w:val="en-US" w:eastAsia="zh-CN" w:bidi="ar"/>
              </w:rPr>
              <w:t>1.1.5. 自动化扫码组件</w:t>
            </w:r>
          </w:p>
        </w:tc>
      </w:tr>
      <w:tr w14:paraId="5E179C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0871C537">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03E85C53">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AAD9E">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1.1.5.1. 支持多种SBS冻存盒，包括24、48、96孔等多种规格</w:t>
            </w:r>
          </w:p>
        </w:tc>
      </w:tr>
      <w:tr w14:paraId="32544D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1264CDDD">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7A3747EC">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5C1F7">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1.1.5.2. 可以识别冻存管底码和冻存盒侧码</w:t>
            </w:r>
          </w:p>
        </w:tc>
      </w:tr>
      <w:tr w14:paraId="02A7A0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52A3C49C">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583A1308">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AA9CC">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1.1.5.3. 支持自动化整合</w:t>
            </w:r>
          </w:p>
        </w:tc>
      </w:tr>
      <w:tr w14:paraId="709739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2C9D29B3">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7DC1DE94">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3AF4E">
            <w:pPr>
              <w:keepNext w:val="0"/>
              <w:keepLines w:val="0"/>
              <w:widowControl/>
              <w:suppressLineNumbers w:val="0"/>
              <w:spacing w:line="360" w:lineRule="auto"/>
              <w:jc w:val="both"/>
              <w:textAlignment w:val="center"/>
              <w:rPr>
                <w:rFonts w:hint="default" w:ascii="Times New Roman" w:hAnsi="Times New Roman" w:eastAsia="宋体" w:cs="Times New Roman"/>
                <w:b/>
                <w:bCs/>
                <w:i w:val="0"/>
                <w:iCs w:val="0"/>
                <w:color w:val="000000"/>
                <w:sz w:val="24"/>
                <w:szCs w:val="24"/>
                <w:highlight w:val="none"/>
                <w:u w:val="none"/>
              </w:rPr>
            </w:pPr>
            <w:r>
              <w:rPr>
                <w:rFonts w:hint="default" w:ascii="Times New Roman" w:hAnsi="Times New Roman" w:eastAsia="宋体" w:cs="Times New Roman"/>
                <w:b/>
                <w:bCs/>
                <w:i w:val="0"/>
                <w:iCs w:val="0"/>
                <w:color w:val="000000"/>
                <w:kern w:val="0"/>
                <w:sz w:val="24"/>
                <w:szCs w:val="24"/>
                <w:highlight w:val="none"/>
                <w:u w:val="none"/>
                <w:lang w:val="en-US" w:eastAsia="zh-CN" w:bidi="ar"/>
              </w:rPr>
              <w:t>1.1.6. 自动化冻存管开关盖组件</w:t>
            </w:r>
          </w:p>
        </w:tc>
      </w:tr>
      <w:tr w14:paraId="16382C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49F2AF67">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4996F575">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57239">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1.1.6.1. 自动对整板SBS规格的48孔2ml冻存管进行开/关盖处理，单次开/关该处理时间≤26s</w:t>
            </w:r>
          </w:p>
        </w:tc>
      </w:tr>
      <w:tr w14:paraId="2E26C0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670C3EDA">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7C38477A">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98A1F">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1.1.6.2. 支持自动化整合</w:t>
            </w:r>
          </w:p>
        </w:tc>
      </w:tr>
      <w:tr w14:paraId="0340CE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618EC9CC">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2E8C1DE8">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BA15F">
            <w:pPr>
              <w:keepNext w:val="0"/>
              <w:keepLines w:val="0"/>
              <w:widowControl/>
              <w:suppressLineNumbers w:val="0"/>
              <w:spacing w:line="360" w:lineRule="auto"/>
              <w:jc w:val="both"/>
              <w:textAlignment w:val="center"/>
              <w:rPr>
                <w:rFonts w:hint="default" w:ascii="Times New Roman" w:hAnsi="Times New Roman" w:eastAsia="宋体" w:cs="Times New Roman"/>
                <w:b/>
                <w:bCs/>
                <w:i w:val="0"/>
                <w:iCs w:val="0"/>
                <w:color w:val="000000"/>
                <w:sz w:val="24"/>
                <w:szCs w:val="24"/>
                <w:highlight w:val="none"/>
                <w:u w:val="none"/>
              </w:rPr>
            </w:pPr>
            <w:r>
              <w:rPr>
                <w:rFonts w:hint="default" w:ascii="Times New Roman" w:hAnsi="Times New Roman" w:eastAsia="宋体" w:cs="Times New Roman"/>
                <w:b/>
                <w:bCs/>
                <w:i w:val="0"/>
                <w:iCs w:val="0"/>
                <w:color w:val="000000"/>
                <w:kern w:val="0"/>
                <w:sz w:val="24"/>
                <w:szCs w:val="24"/>
                <w:highlight w:val="none"/>
                <w:u w:val="none"/>
                <w:lang w:val="en-US" w:eastAsia="zh-CN" w:bidi="ar"/>
              </w:rPr>
              <w:t>1.1.7. 自动化撕膜组件</w:t>
            </w:r>
          </w:p>
        </w:tc>
      </w:tr>
      <w:tr w14:paraId="200E5A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210897C0">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0099F8D3">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D9995">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1.1.7.1. 撕膜方法和技术：采用粘贴式撕膜技术，非传统机械式撕膜方法，保证每次撕膜的可靠性</w:t>
            </w:r>
          </w:p>
        </w:tc>
      </w:tr>
      <w:tr w14:paraId="7FCB10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39E250C0">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27090C02">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9B3C5">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1.1.7.2. 撕膜速度可调节，最高可达250次撕膜/小时</w:t>
            </w:r>
          </w:p>
        </w:tc>
      </w:tr>
      <w:tr w14:paraId="30C79C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6BCA0456">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26539D88">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A5F38">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1.1.7.3. 撕膜高度自动适应，可兼容8-70mm各符合SBS规格的孔板</w:t>
            </w:r>
          </w:p>
        </w:tc>
      </w:tr>
      <w:tr w14:paraId="550577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485517B9">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228D6946">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9E6CD">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1.1.7.4. 支持自动化整合</w:t>
            </w:r>
          </w:p>
        </w:tc>
      </w:tr>
      <w:tr w14:paraId="0F6DE7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5B3D88FD">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3D191BB7">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BB656">
            <w:pPr>
              <w:keepNext w:val="0"/>
              <w:keepLines w:val="0"/>
              <w:widowControl/>
              <w:suppressLineNumbers w:val="0"/>
              <w:spacing w:line="360" w:lineRule="auto"/>
              <w:jc w:val="both"/>
              <w:textAlignment w:val="center"/>
              <w:rPr>
                <w:rFonts w:hint="default" w:ascii="Times New Roman" w:hAnsi="Times New Roman" w:eastAsia="宋体" w:cs="Times New Roman"/>
                <w:b/>
                <w:bCs/>
                <w:i w:val="0"/>
                <w:iCs w:val="0"/>
                <w:color w:val="000000"/>
                <w:sz w:val="24"/>
                <w:szCs w:val="24"/>
                <w:highlight w:val="none"/>
                <w:u w:val="none"/>
              </w:rPr>
            </w:pPr>
            <w:r>
              <w:rPr>
                <w:rFonts w:hint="default" w:ascii="Times New Roman" w:hAnsi="Times New Roman" w:eastAsia="宋体" w:cs="Times New Roman"/>
                <w:b/>
                <w:bCs/>
                <w:i w:val="0"/>
                <w:iCs w:val="0"/>
                <w:color w:val="000000"/>
                <w:kern w:val="0"/>
                <w:sz w:val="24"/>
                <w:szCs w:val="24"/>
                <w:highlight w:val="none"/>
                <w:u w:val="none"/>
                <w:lang w:val="en-US" w:eastAsia="zh-CN" w:bidi="ar"/>
              </w:rPr>
              <w:t>1.1.8. 自动化封膜组件</w:t>
            </w:r>
          </w:p>
        </w:tc>
      </w:tr>
      <w:tr w14:paraId="493E83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24AB8964">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3F277EB7">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8FD5E">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1.1.8.1. 全自动封膜，适用可撕膜、可穿刺膜、永久性膜，适用铝膜、透明膜、可透气膜等多种膜</w:t>
            </w:r>
          </w:p>
        </w:tc>
      </w:tr>
      <w:tr w14:paraId="4B3A52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15FF4E62">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5A29299E">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54DE3">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1.1.8.2. 可兼容所有SBS、ANSI标准孔板，孔板高度范围：3mm-55mm</w:t>
            </w:r>
          </w:p>
        </w:tc>
      </w:tr>
      <w:tr w14:paraId="315CC2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75" w:type="dxa"/>
            <w:vMerge w:val="continue"/>
            <w:tcBorders>
              <w:left w:val="single" w:color="000000" w:sz="4" w:space="0"/>
              <w:right w:val="single" w:color="000000" w:sz="4" w:space="0"/>
            </w:tcBorders>
            <w:shd w:val="clear" w:color="auto" w:fill="auto"/>
            <w:vAlign w:val="center"/>
          </w:tcPr>
          <w:p w14:paraId="1984998C">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4A94CF82">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54B98">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1.1.8.3. 热封温度范围 ：100℃ 至200℃，封膜循环时间最快20秒</w:t>
            </w:r>
          </w:p>
        </w:tc>
      </w:tr>
      <w:tr w14:paraId="2E7510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5DFC7E18">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5AA5BB16">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C2D39">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1.1.8.4. 支持自动化整合</w:t>
            </w:r>
          </w:p>
        </w:tc>
      </w:tr>
      <w:tr w14:paraId="40B811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722B9CA8">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34151234">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EC008">
            <w:pPr>
              <w:keepNext w:val="0"/>
              <w:keepLines w:val="0"/>
              <w:widowControl/>
              <w:suppressLineNumbers w:val="0"/>
              <w:spacing w:line="360" w:lineRule="auto"/>
              <w:jc w:val="both"/>
              <w:textAlignment w:val="center"/>
              <w:rPr>
                <w:rFonts w:hint="default" w:ascii="Times New Roman" w:hAnsi="Times New Roman" w:eastAsia="宋体" w:cs="Times New Roman"/>
                <w:b/>
                <w:bCs/>
                <w:i w:val="0"/>
                <w:iCs w:val="0"/>
                <w:color w:val="000000"/>
                <w:sz w:val="24"/>
                <w:szCs w:val="24"/>
                <w:highlight w:val="none"/>
                <w:u w:val="none"/>
              </w:rPr>
            </w:pPr>
            <w:r>
              <w:rPr>
                <w:rFonts w:hint="default" w:ascii="Times New Roman" w:hAnsi="Times New Roman" w:eastAsia="宋体" w:cs="Times New Roman"/>
                <w:b/>
                <w:bCs/>
                <w:i w:val="0"/>
                <w:iCs w:val="0"/>
                <w:color w:val="000000"/>
                <w:kern w:val="0"/>
                <w:sz w:val="24"/>
                <w:szCs w:val="24"/>
                <w:highlight w:val="none"/>
                <w:u w:val="none"/>
                <w:lang w:val="en-US" w:eastAsia="zh-CN" w:bidi="ar"/>
              </w:rPr>
              <w:t>1.1.9. 自动化液面探测组件</w:t>
            </w:r>
          </w:p>
        </w:tc>
      </w:tr>
      <w:tr w14:paraId="1A48D2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675" w:type="dxa"/>
            <w:vMerge w:val="continue"/>
            <w:tcBorders>
              <w:left w:val="single" w:color="000000" w:sz="4" w:space="0"/>
              <w:right w:val="single" w:color="000000" w:sz="4" w:space="0"/>
            </w:tcBorders>
            <w:shd w:val="clear" w:color="auto" w:fill="auto"/>
            <w:vAlign w:val="center"/>
          </w:tcPr>
          <w:p w14:paraId="0BC4A79E">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5FB90526">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41285">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▲1.1.9.1. 可实现样品体积的非接触式测量，</w:t>
            </w:r>
            <w:r>
              <w:rPr>
                <w:rFonts w:hint="default" w:ascii="Times New Roman" w:hAnsi="Times New Roman" w:eastAsia="宋体" w:cs="Times New Roman"/>
                <w:b/>
                <w:bCs/>
                <w:i w:val="0"/>
                <w:iCs w:val="0"/>
                <w:color w:val="000000"/>
                <w:kern w:val="0"/>
                <w:sz w:val="24"/>
                <w:szCs w:val="24"/>
                <w:highlight w:val="none"/>
                <w:u w:val="none"/>
                <w:lang w:val="en-US" w:eastAsia="zh-CN" w:bidi="ar"/>
              </w:rPr>
              <w:t>【须提供制造商公开发布的产品白皮书或产品彩页或官网截图证明或第三方机构出具的检测报告或实物图片】</w:t>
            </w:r>
          </w:p>
        </w:tc>
      </w:tr>
      <w:tr w14:paraId="2E12EB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3E3F192B">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23559585">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AC01A">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1.1.9.2. 适用的样品类型广，可以检测实验室常规试剂，如水，酒精，DMSO，蛋白溶液，培养基、核酸等各种溶液试剂等</w:t>
            </w:r>
          </w:p>
        </w:tc>
      </w:tr>
      <w:tr w14:paraId="144E33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248B3150">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1A88A66B">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E72CD">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1.1.9.3. 测量速度：最快1分钟完成一块96孔管架样品的体积测量，测量范围：25-1000μL，测量精度CV≤5%，@50μL，96孔板</w:t>
            </w:r>
          </w:p>
        </w:tc>
      </w:tr>
      <w:tr w14:paraId="3A3C9F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548BA4E7">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76D626C6">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BB6BB">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1.1.9.4. 耗材兼容性：兼容SBS规格的24, 48, 96 孔板及盒装冻存管等，测试样品的耗材高度可达≥52 mm</w:t>
            </w:r>
          </w:p>
        </w:tc>
      </w:tr>
      <w:tr w14:paraId="07A14D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51AC05E5">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78D39C80">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26979">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1.1.9.5. 数据输出格式包括CSV. txt. 格式</w:t>
            </w:r>
          </w:p>
        </w:tc>
      </w:tr>
      <w:tr w14:paraId="3EA285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445852FA">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5F11FCB6">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94E07">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1.1.9.6. 支持自动化整合</w:t>
            </w:r>
          </w:p>
        </w:tc>
      </w:tr>
      <w:tr w14:paraId="7EE827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05D0B763">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613FE42F">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65331">
            <w:pPr>
              <w:keepNext w:val="0"/>
              <w:keepLines w:val="0"/>
              <w:widowControl/>
              <w:suppressLineNumbers w:val="0"/>
              <w:spacing w:line="360" w:lineRule="auto"/>
              <w:jc w:val="both"/>
              <w:textAlignment w:val="center"/>
              <w:rPr>
                <w:rFonts w:hint="default" w:ascii="Times New Roman" w:hAnsi="Times New Roman" w:eastAsia="宋体" w:cs="Times New Roman"/>
                <w:b/>
                <w:bCs/>
                <w:i w:val="0"/>
                <w:iCs w:val="0"/>
                <w:color w:val="000000"/>
                <w:sz w:val="24"/>
                <w:szCs w:val="24"/>
                <w:highlight w:val="none"/>
                <w:u w:val="none"/>
              </w:rPr>
            </w:pPr>
            <w:r>
              <w:rPr>
                <w:rFonts w:hint="default" w:ascii="Times New Roman" w:hAnsi="Times New Roman" w:eastAsia="宋体" w:cs="Times New Roman"/>
                <w:b/>
                <w:bCs/>
                <w:i w:val="0"/>
                <w:iCs w:val="0"/>
                <w:color w:val="000000"/>
                <w:kern w:val="0"/>
                <w:sz w:val="24"/>
                <w:szCs w:val="24"/>
                <w:highlight w:val="none"/>
                <w:u w:val="none"/>
                <w:lang w:val="en-US" w:eastAsia="zh-CN" w:bidi="ar"/>
              </w:rPr>
              <w:t>1.1.10. 自动化离心组件</w:t>
            </w:r>
          </w:p>
        </w:tc>
      </w:tr>
      <w:tr w14:paraId="01D658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675" w:type="dxa"/>
            <w:vMerge w:val="continue"/>
            <w:tcBorders>
              <w:left w:val="single" w:color="000000" w:sz="4" w:space="0"/>
              <w:right w:val="single" w:color="000000" w:sz="4" w:space="0"/>
            </w:tcBorders>
            <w:shd w:val="clear" w:color="auto" w:fill="auto"/>
            <w:vAlign w:val="center"/>
          </w:tcPr>
          <w:p w14:paraId="7CAA3B02">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4308172F">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79AF3">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★1.1.10.1. 最大相对离心力：≥8000g，</w:t>
            </w:r>
            <w:r>
              <w:rPr>
                <w:rFonts w:hint="default" w:ascii="Times New Roman" w:hAnsi="Times New Roman" w:eastAsia="宋体" w:cs="Times New Roman"/>
                <w:b/>
                <w:bCs/>
                <w:i w:val="0"/>
                <w:iCs w:val="0"/>
                <w:color w:val="000000"/>
                <w:kern w:val="0"/>
                <w:sz w:val="24"/>
                <w:szCs w:val="24"/>
                <w:highlight w:val="none"/>
                <w:u w:val="none"/>
                <w:lang w:val="en-US" w:eastAsia="zh-CN" w:bidi="ar"/>
              </w:rPr>
              <w:t>【须提供制造商公开发布的产品白皮书或产品彩页或官网截图证明或第三方机构出具的检测报告或实物图片】</w:t>
            </w:r>
          </w:p>
        </w:tc>
      </w:tr>
      <w:tr w14:paraId="3D001B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2C2FDDE3">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416F2AA5">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A1E3E">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1.1.10.2. 离心方式：2位水平转子离心，可适配板型：酶标板、PCR板、深孔板及其他符合SBS规格的孔板载架等</w:t>
            </w:r>
          </w:p>
        </w:tc>
      </w:tr>
      <w:tr w14:paraId="762F5C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147C57E8">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3080B916">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66B40">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1.1.10.3. 具备压缩机制冷功能，温度设置范围-10℃—室温可调</w:t>
            </w:r>
          </w:p>
        </w:tc>
      </w:tr>
      <w:tr w14:paraId="6BCFD7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66B6B0A5">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792AF559">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EBE43">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1.1.10.4.  定位精度：±1度</w:t>
            </w:r>
          </w:p>
        </w:tc>
      </w:tr>
      <w:tr w14:paraId="672F5C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12F8F9D1">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18A94903">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2BE14">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1.1.10.5. 支持自动化整合</w:t>
            </w:r>
          </w:p>
        </w:tc>
      </w:tr>
      <w:tr w14:paraId="130DC2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28650BA9">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6B60750D">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55652">
            <w:pPr>
              <w:keepNext w:val="0"/>
              <w:keepLines w:val="0"/>
              <w:widowControl/>
              <w:suppressLineNumbers w:val="0"/>
              <w:spacing w:line="360" w:lineRule="auto"/>
              <w:jc w:val="both"/>
              <w:textAlignment w:val="center"/>
              <w:rPr>
                <w:rFonts w:hint="default" w:ascii="Times New Roman" w:hAnsi="Times New Roman" w:eastAsia="宋体" w:cs="Times New Roman"/>
                <w:b/>
                <w:bCs/>
                <w:i w:val="0"/>
                <w:iCs w:val="0"/>
                <w:color w:val="000000"/>
                <w:sz w:val="24"/>
                <w:szCs w:val="24"/>
                <w:highlight w:val="none"/>
                <w:u w:val="none"/>
              </w:rPr>
            </w:pPr>
            <w:r>
              <w:rPr>
                <w:rFonts w:hint="default" w:ascii="Times New Roman" w:hAnsi="Times New Roman" w:eastAsia="宋体" w:cs="Times New Roman"/>
                <w:b/>
                <w:bCs/>
                <w:i w:val="0"/>
                <w:iCs w:val="0"/>
                <w:color w:val="000000"/>
                <w:kern w:val="0"/>
                <w:sz w:val="24"/>
                <w:szCs w:val="24"/>
                <w:highlight w:val="none"/>
                <w:u w:val="none"/>
                <w:lang w:val="en-US" w:eastAsia="zh-CN" w:bidi="ar"/>
              </w:rPr>
              <w:t>1.1.11. 自动化混匀组件</w:t>
            </w:r>
          </w:p>
        </w:tc>
      </w:tr>
      <w:tr w14:paraId="3C9F50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2AC2A531">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07D9FE2A">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B84BD">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1.1.11.1. 自动化兼容，可用于48 孔2ml冻存管整盒样品混匀，配置自动开关门功能</w:t>
            </w:r>
          </w:p>
        </w:tc>
      </w:tr>
      <w:tr w14:paraId="0BF32A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522C362A">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31B1CAB4">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92A4F">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1.1.11.2. 运动方式：圆周，振荡频率：200-2000RPM可调，温度控制范围：4℃~室温，实现冻存管混匀要求的冷藏环境</w:t>
            </w:r>
          </w:p>
        </w:tc>
      </w:tr>
      <w:tr w14:paraId="31A610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0B738AB2">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05406795">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EA3D0">
            <w:pPr>
              <w:keepNext w:val="0"/>
              <w:keepLines w:val="0"/>
              <w:widowControl/>
              <w:suppressLineNumbers w:val="0"/>
              <w:spacing w:line="360" w:lineRule="auto"/>
              <w:jc w:val="both"/>
              <w:textAlignment w:val="center"/>
              <w:rPr>
                <w:rFonts w:hint="default" w:ascii="Times New Roman" w:hAnsi="Times New Roman" w:eastAsia="宋体" w:cs="Times New Roman"/>
                <w:b/>
                <w:bCs/>
                <w:i w:val="0"/>
                <w:iCs w:val="0"/>
                <w:color w:val="000000"/>
                <w:sz w:val="24"/>
                <w:szCs w:val="24"/>
                <w:highlight w:val="none"/>
                <w:u w:val="none"/>
              </w:rPr>
            </w:pPr>
            <w:r>
              <w:rPr>
                <w:rFonts w:hint="default" w:ascii="Times New Roman" w:hAnsi="Times New Roman" w:eastAsia="宋体" w:cs="Times New Roman"/>
                <w:b/>
                <w:bCs/>
                <w:i w:val="0"/>
                <w:iCs w:val="0"/>
                <w:color w:val="000000"/>
                <w:kern w:val="0"/>
                <w:sz w:val="24"/>
                <w:szCs w:val="24"/>
                <w:highlight w:val="none"/>
                <w:u w:val="none"/>
                <w:lang w:val="en-US" w:eastAsia="zh-CN" w:bidi="ar"/>
              </w:rPr>
              <w:t>1.1.12. 自动化微孔板离心组件</w:t>
            </w:r>
          </w:p>
        </w:tc>
      </w:tr>
      <w:tr w14:paraId="380C0F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675" w:type="dxa"/>
            <w:vMerge w:val="continue"/>
            <w:tcBorders>
              <w:left w:val="single" w:color="000000" w:sz="4" w:space="0"/>
              <w:right w:val="single" w:color="000000" w:sz="4" w:space="0"/>
            </w:tcBorders>
            <w:shd w:val="clear" w:color="auto" w:fill="auto"/>
            <w:vAlign w:val="center"/>
          </w:tcPr>
          <w:p w14:paraId="6320FFF6">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3F92FD16">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69A7A">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1.1.12.1. 具有SBS规格的离心板位≥2个，可适用于SBS规格的微孔板、深孔板、全裙边PCR板等，可适应总高≤50mm的不同高度的耗材，配备不小于5英寸的触控屏</w:t>
            </w:r>
          </w:p>
        </w:tc>
      </w:tr>
      <w:tr w14:paraId="200FC4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701316F0">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67364C9C">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23EFA">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1.1.12.2. 最大转速：≥4000rpm，最大相对离心力：≥2050g</w:t>
            </w:r>
          </w:p>
        </w:tc>
      </w:tr>
      <w:tr w14:paraId="0BCE32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1F2AF028">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6476B9F2">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71DE2">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1.1.12.3. 机器人可从离心机正面、顶面与离心机吊篮直接交互</w:t>
            </w:r>
          </w:p>
        </w:tc>
      </w:tr>
      <w:tr w14:paraId="0E2B0F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62334B7F">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77A3DB94">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45D9A">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1.1.12.4. 支持自动化整合</w:t>
            </w:r>
          </w:p>
        </w:tc>
      </w:tr>
      <w:tr w14:paraId="7A2C0C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2FF087D6">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06188532">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85ED8">
            <w:pPr>
              <w:keepNext w:val="0"/>
              <w:keepLines w:val="0"/>
              <w:widowControl/>
              <w:suppressLineNumbers w:val="0"/>
              <w:spacing w:line="360" w:lineRule="auto"/>
              <w:jc w:val="both"/>
              <w:textAlignment w:val="center"/>
              <w:rPr>
                <w:rFonts w:hint="default" w:ascii="Times New Roman" w:hAnsi="Times New Roman" w:eastAsia="宋体" w:cs="Times New Roman"/>
                <w:b/>
                <w:bCs/>
                <w:i w:val="0"/>
                <w:iCs w:val="0"/>
                <w:color w:val="000000"/>
                <w:sz w:val="24"/>
                <w:szCs w:val="24"/>
                <w:highlight w:val="none"/>
                <w:u w:val="none"/>
              </w:rPr>
            </w:pPr>
            <w:r>
              <w:rPr>
                <w:rFonts w:hint="default" w:ascii="Times New Roman" w:hAnsi="Times New Roman" w:eastAsia="宋体" w:cs="Times New Roman"/>
                <w:b/>
                <w:bCs/>
                <w:i w:val="0"/>
                <w:iCs w:val="0"/>
                <w:color w:val="000000"/>
                <w:kern w:val="0"/>
                <w:sz w:val="24"/>
                <w:szCs w:val="24"/>
                <w:highlight w:val="none"/>
                <w:u w:val="none"/>
                <w:lang w:val="en-US" w:eastAsia="zh-CN" w:bidi="ar"/>
              </w:rPr>
              <w:t>1.1.13. 自动化HEPA组件</w:t>
            </w:r>
          </w:p>
        </w:tc>
      </w:tr>
      <w:tr w14:paraId="7ED6B1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39AC6B13">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5BE7E108">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80EAC">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1.1.13.1. 组件配置负压HEPA，过滤效率H14，防止气溶胶外泄，保护操作人员安全，工作站相对房间的压差≤-10Pa</w:t>
            </w:r>
          </w:p>
        </w:tc>
      </w:tr>
      <w:tr w14:paraId="3874DA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41681B5C">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4B796918">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3A8BD">
            <w:pPr>
              <w:keepNext w:val="0"/>
              <w:keepLines w:val="0"/>
              <w:widowControl/>
              <w:suppressLineNumbers w:val="0"/>
              <w:spacing w:line="360" w:lineRule="auto"/>
              <w:jc w:val="both"/>
              <w:textAlignment w:val="center"/>
              <w:rPr>
                <w:rFonts w:hint="default" w:ascii="Times New Roman" w:hAnsi="Times New Roman" w:eastAsia="宋体" w:cs="Times New Roman"/>
                <w:b/>
                <w:bCs/>
                <w:i w:val="0"/>
                <w:iCs w:val="0"/>
                <w:color w:val="000000"/>
                <w:sz w:val="24"/>
                <w:szCs w:val="24"/>
                <w:highlight w:val="none"/>
                <w:u w:val="none"/>
              </w:rPr>
            </w:pPr>
            <w:r>
              <w:rPr>
                <w:rFonts w:hint="default" w:ascii="Times New Roman" w:hAnsi="Times New Roman" w:eastAsia="宋体" w:cs="Times New Roman"/>
                <w:b/>
                <w:bCs/>
                <w:i w:val="0"/>
                <w:iCs w:val="0"/>
                <w:color w:val="000000"/>
                <w:kern w:val="0"/>
                <w:sz w:val="24"/>
                <w:szCs w:val="24"/>
                <w:highlight w:val="none"/>
                <w:u w:val="none"/>
                <w:lang w:val="en-US" w:eastAsia="zh-CN" w:bidi="ar"/>
              </w:rPr>
              <w:t>1.1.14. 自动化工作台及电控组件</w:t>
            </w:r>
          </w:p>
        </w:tc>
      </w:tr>
      <w:tr w14:paraId="76A006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15F78CA0">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4E1FD391">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75F52">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1.1.14.1. 工作台主体框架耐受酒精擦拭消毒，台面耐受酸碱</w:t>
            </w:r>
          </w:p>
        </w:tc>
      </w:tr>
      <w:tr w14:paraId="7FA852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675" w:type="dxa"/>
            <w:vMerge w:val="continue"/>
            <w:tcBorders>
              <w:left w:val="single" w:color="000000" w:sz="4" w:space="0"/>
              <w:right w:val="single" w:color="000000" w:sz="4" w:space="0"/>
            </w:tcBorders>
            <w:shd w:val="clear" w:color="auto" w:fill="auto"/>
            <w:vAlign w:val="center"/>
          </w:tcPr>
          <w:p w14:paraId="12A07E37">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173B2292">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8E73A">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1.1.14.2. 工作台具备水平调节功能，对存在振动的中大型自动化设备配有相应的减震装置，保证设备长期稳定高效运行，对存在耗材补充的中小型自动化设备配有相应的水平拉动式底座，便于耗材补给及维护</w:t>
            </w:r>
          </w:p>
        </w:tc>
      </w:tr>
      <w:tr w14:paraId="26B675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3A6A6379">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0B9E8952">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EEF98">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1.1.14.3. 电控组件需包含：工控机x1、千兆交换机x1</w:t>
            </w:r>
          </w:p>
        </w:tc>
      </w:tr>
      <w:tr w14:paraId="4F711C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13D68FD1">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6C78AE67">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E620A">
            <w:pPr>
              <w:keepNext w:val="0"/>
              <w:keepLines w:val="0"/>
              <w:widowControl/>
              <w:suppressLineNumbers w:val="0"/>
              <w:spacing w:line="360" w:lineRule="auto"/>
              <w:jc w:val="both"/>
              <w:textAlignment w:val="center"/>
              <w:rPr>
                <w:rFonts w:hint="default" w:ascii="Times New Roman" w:hAnsi="Times New Roman" w:eastAsia="宋体" w:cs="Times New Roman"/>
                <w:b/>
                <w:bCs/>
                <w:i w:val="0"/>
                <w:iCs w:val="0"/>
                <w:color w:val="000000"/>
                <w:sz w:val="24"/>
                <w:szCs w:val="24"/>
                <w:highlight w:val="none"/>
                <w:u w:val="none"/>
              </w:rPr>
            </w:pPr>
            <w:r>
              <w:rPr>
                <w:rFonts w:hint="default" w:ascii="Times New Roman" w:hAnsi="Times New Roman" w:eastAsia="宋体" w:cs="Times New Roman"/>
                <w:b/>
                <w:bCs/>
                <w:i w:val="0"/>
                <w:iCs w:val="0"/>
                <w:color w:val="000000"/>
                <w:kern w:val="0"/>
                <w:sz w:val="24"/>
                <w:szCs w:val="24"/>
                <w:highlight w:val="none"/>
                <w:u w:val="none"/>
                <w:lang w:val="en-US" w:eastAsia="zh-CN" w:bidi="ar"/>
              </w:rPr>
              <w:t>1.1.15. 中央控制软件</w:t>
            </w:r>
          </w:p>
        </w:tc>
      </w:tr>
      <w:tr w14:paraId="743BAA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596FED9E">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155E0081">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5ADBA">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1.1.15.1. 支持设备驱动的自动化集成功能</w:t>
            </w:r>
          </w:p>
        </w:tc>
      </w:tr>
      <w:tr w14:paraId="7F5BA6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143944DC">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15509823">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BE5D8">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1.1.15.2. 支持拖拽编程，图形化流程编辑</w:t>
            </w:r>
          </w:p>
        </w:tc>
      </w:tr>
      <w:tr w14:paraId="6AA8B3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12FEA170">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443885BA">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CEC3F">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1.1.15.3. 具备智能动态排程及时序管理功能，支持岛内独立启停与节拍调节</w:t>
            </w:r>
          </w:p>
        </w:tc>
      </w:tr>
      <w:tr w14:paraId="7D1C4C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7C5F3351">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1B9E6A4A">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FA0CD">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1.1.15.4. 具备动态调度能力，程序运行后仍可添加并运行新的程序，支持任务优先级调整</w:t>
            </w:r>
          </w:p>
        </w:tc>
      </w:tr>
      <w:tr w14:paraId="033B72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286A8883">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172A4613">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E1000">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1.1.15.5. 具备多任务并行处理能力</w:t>
            </w:r>
          </w:p>
        </w:tc>
      </w:tr>
      <w:tr w14:paraId="2A664C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0FE6D873">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0944922F">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8B87A">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1.1.15.6. 可实现"断点精准定位到步,而非定位到流程"，定位信息包含：时间戳、故障步骤、故障内容等</w:t>
            </w:r>
          </w:p>
        </w:tc>
      </w:tr>
      <w:tr w14:paraId="3D9A0D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602D9270">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6FB5B3BE">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C9F82">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1.1.15.7. 实时监控各模块运行状态、样本位置及设备参数，记录全流程过程数据（含时间戳、操作日志、异常事件）</w:t>
            </w:r>
          </w:p>
        </w:tc>
      </w:tr>
      <w:tr w14:paraId="4240FB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66F19D47">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706768D8">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72D23">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1.1.15.8. 软件采用B/S架构，支持跨平台使用，包括电脑、平板等</w:t>
            </w:r>
          </w:p>
        </w:tc>
      </w:tr>
      <w:tr w14:paraId="13FA38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4A96E46D">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30CCE146">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C465F">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1.1.15.9. 支持针对不同物料类型设置取放策略，如：FIFO、LIFO、原拿原放等策略</w:t>
            </w:r>
          </w:p>
        </w:tc>
      </w:tr>
      <w:tr w14:paraId="47F289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75" w:type="dxa"/>
            <w:vMerge w:val="continue"/>
            <w:tcBorders>
              <w:left w:val="single" w:color="000000" w:sz="4" w:space="0"/>
              <w:right w:val="single" w:color="000000" w:sz="4" w:space="0"/>
            </w:tcBorders>
            <w:shd w:val="clear" w:color="auto" w:fill="auto"/>
            <w:vAlign w:val="center"/>
          </w:tcPr>
          <w:p w14:paraId="297D4049">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65C02A53">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C8DD6">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1.1.15.10. 支持流程模拟，提供甘特图、列表等多种方式的状态展示功能；甘特图和其对应的资源投影图在同一界面展示，直观查看每个时段的资源占用情况</w:t>
            </w:r>
          </w:p>
        </w:tc>
      </w:tr>
      <w:tr w14:paraId="0ABA98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7231B250">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0BC6543F">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D1457">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1.1.15.11. 支持日历预定功能，可以提前预约实验</w:t>
            </w:r>
          </w:p>
        </w:tc>
      </w:tr>
      <w:tr w14:paraId="40D2A1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1C7E1630">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40CFC48E">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056BE">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1.1.15.12. 支持点位示教功能，方便用户对机器人点位进行校正</w:t>
            </w:r>
          </w:p>
        </w:tc>
      </w:tr>
      <w:tr w14:paraId="35D65C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32B204EA">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76D77D27">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63458">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1.1.15.13. 支持下载实验报告为PDF，包含实验概览、实验参数、样品信息、试剂耗材、实验结果等</w:t>
            </w:r>
          </w:p>
        </w:tc>
      </w:tr>
      <w:tr w14:paraId="2C196C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6AEB0503">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1F4F7B17">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2A52C">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1.1.15.14. 软件界面支持中英文切换</w:t>
            </w:r>
          </w:p>
        </w:tc>
      </w:tr>
      <w:tr w14:paraId="3D64D4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69F09D67">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4AD58E51">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B0604">
            <w:pPr>
              <w:keepNext w:val="0"/>
              <w:keepLines w:val="0"/>
              <w:widowControl/>
              <w:suppressLineNumbers w:val="0"/>
              <w:spacing w:line="360" w:lineRule="auto"/>
              <w:jc w:val="both"/>
              <w:textAlignment w:val="center"/>
              <w:rPr>
                <w:rFonts w:hint="default" w:ascii="Times New Roman" w:hAnsi="Times New Roman" w:eastAsia="宋体" w:cs="Times New Roman"/>
                <w:b/>
                <w:bCs/>
                <w:i w:val="0"/>
                <w:iCs w:val="0"/>
                <w:color w:val="000000"/>
                <w:sz w:val="24"/>
                <w:szCs w:val="24"/>
                <w:highlight w:val="none"/>
                <w:u w:val="none"/>
              </w:rPr>
            </w:pPr>
            <w:r>
              <w:rPr>
                <w:rFonts w:hint="default" w:ascii="Times New Roman" w:hAnsi="Times New Roman" w:eastAsia="宋体" w:cs="Times New Roman"/>
                <w:b/>
                <w:bCs/>
                <w:i w:val="0"/>
                <w:iCs w:val="0"/>
                <w:color w:val="000000"/>
                <w:kern w:val="0"/>
                <w:sz w:val="24"/>
                <w:szCs w:val="24"/>
                <w:highlight w:val="none"/>
                <w:u w:val="none"/>
                <w:lang w:val="en-US" w:eastAsia="zh-CN" w:bidi="ar"/>
              </w:rPr>
              <w:t>1.2. 组织/粪便样本预处理工作站</w:t>
            </w:r>
          </w:p>
        </w:tc>
      </w:tr>
      <w:tr w14:paraId="291D54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0" w:hRule="atLeast"/>
        </w:trPr>
        <w:tc>
          <w:tcPr>
            <w:tcW w:w="675" w:type="dxa"/>
            <w:vMerge w:val="continue"/>
            <w:tcBorders>
              <w:left w:val="single" w:color="000000" w:sz="4" w:space="0"/>
              <w:right w:val="single" w:color="000000" w:sz="4" w:space="0"/>
            </w:tcBorders>
            <w:shd w:val="clear" w:color="auto" w:fill="auto"/>
            <w:vAlign w:val="center"/>
          </w:tcPr>
          <w:p w14:paraId="23A8BD6B">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7CF34105">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1AEA3">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组织/粪便样本预处理工作站需配置负压层流罩组件，保证平台内部环境洁净。组织/粪便样本预处理工作站通过整合自动化物料转运组件、自动化冻存管转运组件、自动化液体工作站组件、自动化耗材供给组件、自动化冰箱组件、自动化扫码组件、自动化冻存管开关盖组件、自动化撕膜组件、自动化封膜组件、自动化液面探测组件、自动化高通量研磨组件、自动化高速制冷离心组件、自动化混匀组件、自动化微孔板离心组件等设备，实现固体类样本从48孔冻存管到96孔板的转移，同时搭配6D柔性传输组件可实现样本预处理工作站同全自动提取模块之间的物料快速转运</w:t>
            </w:r>
          </w:p>
        </w:tc>
      </w:tr>
      <w:tr w14:paraId="3AB111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73B7995C">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21C3D808">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CFB2C">
            <w:pPr>
              <w:keepNext w:val="0"/>
              <w:keepLines w:val="0"/>
              <w:widowControl/>
              <w:suppressLineNumbers w:val="0"/>
              <w:spacing w:line="360" w:lineRule="auto"/>
              <w:jc w:val="both"/>
              <w:textAlignment w:val="center"/>
              <w:rPr>
                <w:rFonts w:hint="default" w:ascii="Times New Roman" w:hAnsi="Times New Roman" w:eastAsia="宋体" w:cs="Times New Roman"/>
                <w:b/>
                <w:bCs/>
                <w:i w:val="0"/>
                <w:iCs w:val="0"/>
                <w:color w:val="000000"/>
                <w:sz w:val="24"/>
                <w:szCs w:val="24"/>
                <w:highlight w:val="none"/>
                <w:u w:val="none"/>
              </w:rPr>
            </w:pPr>
            <w:r>
              <w:rPr>
                <w:rFonts w:hint="default" w:ascii="Times New Roman" w:hAnsi="Times New Roman" w:eastAsia="宋体" w:cs="Times New Roman"/>
                <w:b/>
                <w:bCs/>
                <w:i w:val="0"/>
                <w:iCs w:val="0"/>
                <w:color w:val="000000"/>
                <w:kern w:val="0"/>
                <w:sz w:val="24"/>
                <w:szCs w:val="24"/>
                <w:highlight w:val="none"/>
                <w:u w:val="none"/>
                <w:lang w:val="en-US" w:eastAsia="zh-CN" w:bidi="ar"/>
              </w:rPr>
              <w:t>1.2.1. 自动化物料转运组件</w:t>
            </w:r>
          </w:p>
        </w:tc>
      </w:tr>
      <w:tr w14:paraId="3BFE34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50B65A32">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0ACE3B3F">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2929B">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1.2.1.1. 轨道式协作机器人集成组件与设备，包含导轨、夹爪等设备</w:t>
            </w:r>
          </w:p>
        </w:tc>
      </w:tr>
      <w:tr w14:paraId="3C8248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1C353B0E">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5546C420">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22281">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▲1.2.1.2. 机器人符合ISO/TS 15066标准，【</w:t>
            </w:r>
            <w:r>
              <w:rPr>
                <w:rFonts w:hint="default" w:ascii="Times New Roman" w:hAnsi="Times New Roman" w:eastAsia="宋体" w:cs="Times New Roman"/>
                <w:b/>
                <w:bCs/>
                <w:i w:val="0"/>
                <w:iCs w:val="0"/>
                <w:color w:val="000000"/>
                <w:kern w:val="0"/>
                <w:sz w:val="24"/>
                <w:szCs w:val="24"/>
                <w:highlight w:val="none"/>
                <w:u w:val="none"/>
                <w:lang w:val="en-US" w:eastAsia="zh-CN" w:bidi="ar"/>
              </w:rPr>
              <w:t>提供符合声明承诺函并加盖投标人公章</w:t>
            </w:r>
            <w:r>
              <w:rPr>
                <w:rFonts w:hint="default" w:ascii="Times New Roman" w:hAnsi="Times New Roman" w:eastAsia="宋体" w:cs="Times New Roman"/>
                <w:i w:val="0"/>
                <w:iCs w:val="0"/>
                <w:color w:val="000000"/>
                <w:kern w:val="0"/>
                <w:sz w:val="24"/>
                <w:szCs w:val="24"/>
                <w:highlight w:val="none"/>
                <w:u w:val="none"/>
                <w:lang w:val="en-US" w:eastAsia="zh-CN" w:bidi="ar"/>
              </w:rPr>
              <w:t>】</w:t>
            </w:r>
          </w:p>
        </w:tc>
      </w:tr>
      <w:tr w14:paraId="7F4153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675" w:type="dxa"/>
            <w:vMerge w:val="continue"/>
            <w:tcBorders>
              <w:left w:val="single" w:color="000000" w:sz="4" w:space="0"/>
              <w:right w:val="single" w:color="000000" w:sz="4" w:space="0"/>
            </w:tcBorders>
            <w:shd w:val="clear" w:color="auto" w:fill="auto"/>
            <w:vAlign w:val="center"/>
          </w:tcPr>
          <w:p w14:paraId="5AE0FA18">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36AC1B01">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9E499">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1.2.1.3. 机器人轴数≤4，机器人Z向行程≥800mm，臂展≥630mm，重复定位精度≤±0.03mm，抓取有效负载≥ 1.5kg，最大末端速度≥1400mm/s</w:t>
            </w:r>
          </w:p>
        </w:tc>
      </w:tr>
      <w:tr w14:paraId="252459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675" w:type="dxa"/>
            <w:vMerge w:val="continue"/>
            <w:tcBorders>
              <w:left w:val="single" w:color="000000" w:sz="4" w:space="0"/>
              <w:right w:val="single" w:color="000000" w:sz="4" w:space="0"/>
            </w:tcBorders>
            <w:shd w:val="clear" w:color="auto" w:fill="auto"/>
            <w:vAlign w:val="center"/>
          </w:tcPr>
          <w:p w14:paraId="26D1F4C7">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6ACC9F23">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62D43">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1.2.1.4. 机器人夹爪兼容孔板类型：符合SBS标准的微孔板、深孔板等，具备夹空检测和掉落检测功能，具备碰撞检测功能和拖动示教功能，具备断电保持功能，防止突然断电造成孔板掉落</w:t>
            </w:r>
          </w:p>
        </w:tc>
      </w:tr>
      <w:tr w14:paraId="0E53BC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246BBA4B">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71BFEE4A">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40261">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1.2.1.5. 支持自动化整合</w:t>
            </w:r>
          </w:p>
        </w:tc>
      </w:tr>
      <w:tr w14:paraId="0DFEE1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7C18D8DB">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12BE58ED">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CE590">
            <w:pPr>
              <w:keepNext w:val="0"/>
              <w:keepLines w:val="0"/>
              <w:widowControl/>
              <w:suppressLineNumbers w:val="0"/>
              <w:spacing w:line="360" w:lineRule="auto"/>
              <w:jc w:val="both"/>
              <w:textAlignment w:val="center"/>
              <w:rPr>
                <w:rFonts w:hint="default" w:ascii="Times New Roman" w:hAnsi="Times New Roman" w:eastAsia="宋体" w:cs="Times New Roman"/>
                <w:b/>
                <w:bCs/>
                <w:i w:val="0"/>
                <w:iCs w:val="0"/>
                <w:color w:val="000000"/>
                <w:sz w:val="24"/>
                <w:szCs w:val="24"/>
                <w:highlight w:val="none"/>
                <w:u w:val="none"/>
              </w:rPr>
            </w:pPr>
            <w:r>
              <w:rPr>
                <w:rFonts w:hint="default" w:ascii="Times New Roman" w:hAnsi="Times New Roman" w:eastAsia="宋体" w:cs="Times New Roman"/>
                <w:b/>
                <w:bCs/>
                <w:i w:val="0"/>
                <w:iCs w:val="0"/>
                <w:color w:val="000000"/>
                <w:kern w:val="0"/>
                <w:sz w:val="24"/>
                <w:szCs w:val="24"/>
                <w:highlight w:val="none"/>
                <w:u w:val="none"/>
                <w:lang w:val="en-US" w:eastAsia="zh-CN" w:bidi="ar"/>
              </w:rPr>
              <w:t>1.2.2. 6D柔性传输组件</w:t>
            </w:r>
          </w:p>
        </w:tc>
      </w:tr>
      <w:tr w14:paraId="5438DA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675" w:type="dxa"/>
            <w:vMerge w:val="continue"/>
            <w:tcBorders>
              <w:left w:val="single" w:color="000000" w:sz="4" w:space="0"/>
              <w:right w:val="single" w:color="000000" w:sz="4" w:space="0"/>
            </w:tcBorders>
            <w:shd w:val="clear" w:color="auto" w:fill="auto"/>
            <w:vAlign w:val="center"/>
          </w:tcPr>
          <w:p w14:paraId="172D56B7">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1A3EEA1A">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F6AB8">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1.2.2.1. 6D柔性传输组件用于2个预处理工作站和核酸提取工作站之间的物料和样本的高效传递，动子是组件内全程悬浮、自由移动、无机械部件约束</w:t>
            </w:r>
          </w:p>
        </w:tc>
      </w:tr>
      <w:tr w14:paraId="78EC8D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675" w:type="dxa"/>
            <w:vMerge w:val="continue"/>
            <w:tcBorders>
              <w:left w:val="single" w:color="000000" w:sz="4" w:space="0"/>
              <w:right w:val="single" w:color="000000" w:sz="4" w:space="0"/>
            </w:tcBorders>
            <w:shd w:val="clear" w:color="auto" w:fill="auto"/>
            <w:vAlign w:val="center"/>
          </w:tcPr>
          <w:p w14:paraId="1842722F">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00CE1A4D">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C5606">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▲1.2.2.2. 动子可在组件内任意布局并悬浮，可实现最高 6 自由度的无接触 2D 运动，可叠加倾转、俯仰、升降，实现自由 6D 定位</w:t>
            </w:r>
            <w:r>
              <w:rPr>
                <w:rFonts w:hint="default" w:ascii="Times New Roman" w:hAnsi="Times New Roman" w:eastAsia="宋体" w:cs="Times New Roman"/>
                <w:b/>
                <w:bCs/>
                <w:i w:val="0"/>
                <w:iCs w:val="0"/>
                <w:color w:val="000000"/>
                <w:kern w:val="0"/>
                <w:sz w:val="24"/>
                <w:szCs w:val="24"/>
                <w:highlight w:val="none"/>
                <w:u w:val="none"/>
                <w:lang w:val="en-US" w:eastAsia="zh-CN" w:bidi="ar"/>
              </w:rPr>
              <w:t>【须提供制造商公开发布的产品白皮书或产品彩页或官网截图证明或第三方机构出具的检测报告】</w:t>
            </w:r>
          </w:p>
        </w:tc>
      </w:tr>
      <w:tr w14:paraId="050B6E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675" w:type="dxa"/>
            <w:vMerge w:val="continue"/>
            <w:tcBorders>
              <w:left w:val="single" w:color="000000" w:sz="4" w:space="0"/>
              <w:right w:val="single" w:color="000000" w:sz="4" w:space="0"/>
            </w:tcBorders>
            <w:shd w:val="clear" w:color="auto" w:fill="auto"/>
            <w:vAlign w:val="center"/>
          </w:tcPr>
          <w:p w14:paraId="64585072">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311ADD0A">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EF965">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1.2.2.3. 动子可做x、y、z三方向直线运动，x、y轴方向，空载最高速度可达 3 m/s，x、y轴方向倾斜，动子最大升降 6 mm，动子可z轴360°旋转，重复定位精度最高 10 μm</w:t>
            </w:r>
          </w:p>
        </w:tc>
      </w:tr>
      <w:tr w14:paraId="121FAD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675" w:type="dxa"/>
            <w:vMerge w:val="continue"/>
            <w:tcBorders>
              <w:left w:val="single" w:color="000000" w:sz="4" w:space="0"/>
              <w:right w:val="single" w:color="000000" w:sz="4" w:space="0"/>
            </w:tcBorders>
            <w:shd w:val="clear" w:color="auto" w:fill="auto"/>
            <w:vAlign w:val="center"/>
          </w:tcPr>
          <w:p w14:paraId="6230B32F">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00FAF7B8">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691C1">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▲1.2.2.4. 动子表面不锈钢全覆盖，</w:t>
            </w:r>
            <w:r>
              <w:rPr>
                <w:rFonts w:hint="default" w:ascii="Times New Roman" w:hAnsi="Times New Roman" w:eastAsia="宋体" w:cs="Times New Roman"/>
                <w:b/>
                <w:bCs/>
                <w:i w:val="0"/>
                <w:iCs w:val="0"/>
                <w:color w:val="000000"/>
                <w:kern w:val="0"/>
                <w:sz w:val="24"/>
                <w:szCs w:val="24"/>
                <w:highlight w:val="none"/>
                <w:u w:val="none"/>
                <w:lang w:val="en-US" w:eastAsia="zh-CN" w:bidi="ar"/>
              </w:rPr>
              <w:t>【须提供制造商公开发布的产品白皮书或产品彩页或官网截图证明或第三方机构出具的检测报告或实物照片】</w:t>
            </w:r>
          </w:p>
        </w:tc>
      </w:tr>
      <w:tr w14:paraId="79CFC9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3B3D1184">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428CB999">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5A288">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1.2.2.5. 支持自动化整合</w:t>
            </w:r>
          </w:p>
        </w:tc>
      </w:tr>
      <w:tr w14:paraId="22BE3A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30A60168">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49BECA99">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3874D">
            <w:pPr>
              <w:keepNext w:val="0"/>
              <w:keepLines w:val="0"/>
              <w:widowControl/>
              <w:suppressLineNumbers w:val="0"/>
              <w:spacing w:line="360" w:lineRule="auto"/>
              <w:jc w:val="both"/>
              <w:textAlignment w:val="center"/>
              <w:rPr>
                <w:rFonts w:hint="default" w:ascii="Times New Roman" w:hAnsi="Times New Roman" w:eastAsia="宋体" w:cs="Times New Roman"/>
                <w:b/>
                <w:bCs/>
                <w:i w:val="0"/>
                <w:iCs w:val="0"/>
                <w:color w:val="000000"/>
                <w:sz w:val="24"/>
                <w:szCs w:val="24"/>
                <w:highlight w:val="none"/>
                <w:u w:val="none"/>
              </w:rPr>
            </w:pPr>
            <w:r>
              <w:rPr>
                <w:rFonts w:hint="default" w:ascii="Times New Roman" w:hAnsi="Times New Roman" w:eastAsia="宋体" w:cs="Times New Roman"/>
                <w:b/>
                <w:bCs/>
                <w:i w:val="0"/>
                <w:iCs w:val="0"/>
                <w:color w:val="000000"/>
                <w:kern w:val="0"/>
                <w:sz w:val="24"/>
                <w:szCs w:val="24"/>
                <w:highlight w:val="none"/>
                <w:u w:val="none"/>
                <w:lang w:val="en-US" w:eastAsia="zh-CN" w:bidi="ar"/>
              </w:rPr>
              <w:t>1.2.3. 自动化冻存管转运组件</w:t>
            </w:r>
          </w:p>
        </w:tc>
      </w:tr>
      <w:tr w14:paraId="5C0F7A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5AE6BD80">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4190E984">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A408C">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1.2.3.1. 离心机挑管机器人</w:t>
            </w:r>
          </w:p>
        </w:tc>
      </w:tr>
      <w:tr w14:paraId="711E4D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2CA01371">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54D0A596">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A6154">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1.2.3.1.1.应用于高速离心组件与冻存盒之间冻存管样本的转移</w:t>
            </w:r>
          </w:p>
        </w:tc>
      </w:tr>
      <w:tr w14:paraId="7A8E6E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144CECB0">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3375C43F">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AA2BF">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1.2.3.1.2.最大负载≥1.5kg， 臂展≥600mm，重复定位精度≤±0.03mm</w:t>
            </w:r>
          </w:p>
        </w:tc>
      </w:tr>
      <w:tr w14:paraId="1E4188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5D4C7894">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24ABFB34">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E1E7B">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1.2.3.2. 冻存管挑管机器人</w:t>
            </w:r>
          </w:p>
        </w:tc>
      </w:tr>
      <w:tr w14:paraId="729358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32F576C1">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527D2FDF">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7BFAA">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1.2.3.2.1.应用于冻存盒之间冻存管样本的转移</w:t>
            </w:r>
          </w:p>
        </w:tc>
      </w:tr>
      <w:tr w14:paraId="7DBAF7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5B01121B">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0D9120D6">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91619">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1.2.3.2.2.夹爪可X\Y\Z方向移动，支持掉落检测功能，支持断电自锁功能度</w:t>
            </w:r>
          </w:p>
        </w:tc>
      </w:tr>
      <w:tr w14:paraId="17C5D3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1C672103">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3D582458">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E3A4D">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1.2.3.3. 支持自动化整合</w:t>
            </w:r>
          </w:p>
        </w:tc>
      </w:tr>
      <w:tr w14:paraId="18E67E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5EF92D64">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6EA668CF">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80933">
            <w:pPr>
              <w:keepNext w:val="0"/>
              <w:keepLines w:val="0"/>
              <w:widowControl/>
              <w:suppressLineNumbers w:val="0"/>
              <w:spacing w:line="360" w:lineRule="auto"/>
              <w:jc w:val="both"/>
              <w:textAlignment w:val="center"/>
              <w:rPr>
                <w:rFonts w:hint="default" w:ascii="Times New Roman" w:hAnsi="Times New Roman" w:eastAsia="宋体" w:cs="Times New Roman"/>
                <w:b/>
                <w:bCs/>
                <w:i w:val="0"/>
                <w:iCs w:val="0"/>
                <w:color w:val="000000"/>
                <w:sz w:val="24"/>
                <w:szCs w:val="24"/>
                <w:highlight w:val="none"/>
                <w:u w:val="none"/>
              </w:rPr>
            </w:pPr>
            <w:r>
              <w:rPr>
                <w:rFonts w:hint="default" w:ascii="Times New Roman" w:hAnsi="Times New Roman" w:eastAsia="宋体" w:cs="Times New Roman"/>
                <w:b/>
                <w:bCs/>
                <w:i w:val="0"/>
                <w:iCs w:val="0"/>
                <w:color w:val="000000"/>
                <w:kern w:val="0"/>
                <w:sz w:val="24"/>
                <w:szCs w:val="24"/>
                <w:highlight w:val="none"/>
                <w:u w:val="none"/>
                <w:lang w:val="en-US" w:eastAsia="zh-CN" w:bidi="ar"/>
              </w:rPr>
              <w:t>1.2.4. 自动化液体工作站组件</w:t>
            </w:r>
          </w:p>
        </w:tc>
      </w:tr>
      <w:tr w14:paraId="7E1004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2E1E80A2">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0AE23463">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98F1E">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1.2.4.1. 移液器配置：配置灵活8 通道移液器和孔板夹爪，移液器间距9-21mm可调，每个通道可执行不同的移液任务，移液体积：0.5-1000μL</w:t>
            </w:r>
          </w:p>
        </w:tc>
      </w:tr>
      <w:tr w14:paraId="4BC238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75" w:type="dxa"/>
            <w:vMerge w:val="continue"/>
            <w:tcBorders>
              <w:left w:val="single" w:color="000000" w:sz="4" w:space="0"/>
              <w:right w:val="single" w:color="000000" w:sz="4" w:space="0"/>
            </w:tcBorders>
            <w:shd w:val="clear" w:color="auto" w:fill="auto"/>
            <w:vAlign w:val="center"/>
          </w:tcPr>
          <w:p w14:paraId="670A49E4">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430276FC">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5900E">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★1.2.4.2. 液体工作站SBS板位数量：≥30个，可适配温控模块、倾斜模块、振荡模块，</w:t>
            </w:r>
            <w:r>
              <w:rPr>
                <w:rFonts w:hint="default" w:ascii="Times New Roman" w:hAnsi="Times New Roman" w:eastAsia="宋体" w:cs="Times New Roman"/>
                <w:b/>
                <w:bCs/>
                <w:i w:val="0"/>
                <w:iCs w:val="0"/>
                <w:color w:val="000000"/>
                <w:kern w:val="0"/>
                <w:sz w:val="24"/>
                <w:szCs w:val="24"/>
                <w:highlight w:val="none"/>
                <w:u w:val="none"/>
                <w:lang w:val="en-US" w:eastAsia="zh-CN" w:bidi="ar"/>
              </w:rPr>
              <w:t>【须提供制造商公开发布的产品白皮书或产品彩页或官网截图证明或第三方机构出具的检测报告或实物照片】</w:t>
            </w:r>
          </w:p>
        </w:tc>
      </w:tr>
      <w:tr w14:paraId="3D648F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18665A32">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578A4646">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129A6">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1.2.4.3. XY轴移动速度：≥800mm/s，Z轴≥250mm/s，重复定位精度≤±0.03mm</w:t>
            </w:r>
          </w:p>
        </w:tc>
      </w:tr>
      <w:tr w14:paraId="419C02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5FF24933">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10E9D5BE">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C0924">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1.2.4.4. 具备气压（PLLD）和电容（CLLD）液面探测，集成AI视觉感知系统，可自动识别台面布局与障碍物位置，实现板位快速标定</w:t>
            </w:r>
          </w:p>
        </w:tc>
      </w:tr>
      <w:tr w14:paraId="49EFB3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08D24936">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1A358300">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69803">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1.2.4.5. 支持自动化整合</w:t>
            </w:r>
          </w:p>
        </w:tc>
      </w:tr>
      <w:tr w14:paraId="04991A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023785D9">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08D2CBC6">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4CBFE">
            <w:pPr>
              <w:keepNext w:val="0"/>
              <w:keepLines w:val="0"/>
              <w:widowControl/>
              <w:suppressLineNumbers w:val="0"/>
              <w:spacing w:line="360" w:lineRule="auto"/>
              <w:jc w:val="both"/>
              <w:textAlignment w:val="center"/>
              <w:rPr>
                <w:rFonts w:hint="default" w:ascii="Times New Roman" w:hAnsi="Times New Roman" w:eastAsia="宋体" w:cs="Times New Roman"/>
                <w:b/>
                <w:bCs/>
                <w:i w:val="0"/>
                <w:iCs w:val="0"/>
                <w:color w:val="000000"/>
                <w:sz w:val="24"/>
                <w:szCs w:val="24"/>
                <w:highlight w:val="none"/>
                <w:u w:val="none"/>
              </w:rPr>
            </w:pPr>
            <w:r>
              <w:rPr>
                <w:rFonts w:hint="default" w:ascii="Times New Roman" w:hAnsi="Times New Roman" w:eastAsia="宋体" w:cs="Times New Roman"/>
                <w:b/>
                <w:bCs/>
                <w:i w:val="0"/>
                <w:iCs w:val="0"/>
                <w:color w:val="000000"/>
                <w:kern w:val="0"/>
                <w:sz w:val="24"/>
                <w:szCs w:val="24"/>
                <w:highlight w:val="none"/>
                <w:u w:val="none"/>
                <w:lang w:val="en-US" w:eastAsia="zh-CN" w:bidi="ar"/>
              </w:rPr>
              <w:t>1.2.5. 自动化耗材供给组件</w:t>
            </w:r>
          </w:p>
        </w:tc>
      </w:tr>
      <w:tr w14:paraId="3A0438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1464FC07">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79253CF6">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67D4F">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1.2.5.1. 具备1套旋转式存储板架和1套孔板等耗材抓放机械臂，存取效率：完成1块孔板的存入或取出平均时间≤12s</w:t>
            </w:r>
          </w:p>
        </w:tc>
      </w:tr>
      <w:tr w14:paraId="7967CD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4679A841">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6BFFE070">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8C3B7">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1.2.5.2. 兼容耗材类型：符合SBS标准的微孔板、深孔板、细胞培养板以及枪头盒等，存储容量：≥200块符合SBS标准的微孔板（高度h≤18mm）</w:t>
            </w:r>
          </w:p>
        </w:tc>
      </w:tr>
      <w:tr w14:paraId="438B28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024DFBE4">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13D123D1">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D8AA3">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1.2.5.3. 每个储板架均自带条码，可自动扫描确认每个储板架的类型，自带扫码器可实现自动扫码盘库功能</w:t>
            </w:r>
          </w:p>
        </w:tc>
      </w:tr>
      <w:tr w14:paraId="222C5E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6A84E18C">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5370E7DF">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F2515">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1.2.5.4. 支持自动化整合</w:t>
            </w:r>
          </w:p>
        </w:tc>
      </w:tr>
      <w:tr w14:paraId="6CC08E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295D0251">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243941DB">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1BAD2">
            <w:pPr>
              <w:keepNext w:val="0"/>
              <w:keepLines w:val="0"/>
              <w:widowControl/>
              <w:suppressLineNumbers w:val="0"/>
              <w:spacing w:line="360" w:lineRule="auto"/>
              <w:jc w:val="both"/>
              <w:textAlignment w:val="center"/>
              <w:rPr>
                <w:rFonts w:hint="default" w:ascii="Times New Roman" w:hAnsi="Times New Roman" w:eastAsia="宋体" w:cs="Times New Roman"/>
                <w:b/>
                <w:bCs/>
                <w:i w:val="0"/>
                <w:iCs w:val="0"/>
                <w:color w:val="000000"/>
                <w:sz w:val="24"/>
                <w:szCs w:val="24"/>
                <w:highlight w:val="none"/>
                <w:u w:val="none"/>
              </w:rPr>
            </w:pPr>
            <w:r>
              <w:rPr>
                <w:rFonts w:hint="default" w:ascii="Times New Roman" w:hAnsi="Times New Roman" w:eastAsia="宋体" w:cs="Times New Roman"/>
                <w:b/>
                <w:bCs/>
                <w:i w:val="0"/>
                <w:iCs w:val="0"/>
                <w:color w:val="000000"/>
                <w:kern w:val="0"/>
                <w:sz w:val="24"/>
                <w:szCs w:val="24"/>
                <w:highlight w:val="none"/>
                <w:u w:val="none"/>
                <w:lang w:val="en-US" w:eastAsia="zh-CN" w:bidi="ar"/>
              </w:rPr>
              <w:t>1.2.6. 自动化冰箱组件</w:t>
            </w:r>
          </w:p>
        </w:tc>
      </w:tr>
      <w:tr w14:paraId="6E1292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75" w:type="dxa"/>
            <w:vMerge w:val="continue"/>
            <w:tcBorders>
              <w:left w:val="single" w:color="000000" w:sz="4" w:space="0"/>
              <w:right w:val="single" w:color="000000" w:sz="4" w:space="0"/>
            </w:tcBorders>
            <w:shd w:val="clear" w:color="auto" w:fill="auto"/>
            <w:vAlign w:val="center"/>
          </w:tcPr>
          <w:p w14:paraId="5A3EF7A1">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539AB4B0">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87C39">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1.2.6.1. 冷藏箱配置2列容量总计≥40块微孔板（h≤18mm）的存储板栈和1套取放机械臂，兼容如试剂槽等其他符合SBS规格的物料，自带扫码器可进行自动扫码盘库</w:t>
            </w:r>
          </w:p>
        </w:tc>
      </w:tr>
      <w:tr w14:paraId="263155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3FD7B09C">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7A7C5A9F">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B9BD2">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1.2.6.2. 制冷均匀迅速温度控制范围：2℃至8℃，背面配备自动化交互的迷你窗口，降低孔板进出对箱体内温度的影响</w:t>
            </w:r>
          </w:p>
        </w:tc>
      </w:tr>
      <w:tr w14:paraId="19FE97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6B7D9DD8">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3D436C72">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6C1C2">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1.2.6.3. 存取效率：完成1块孔板的存入或取出平均时间≤15s</w:t>
            </w:r>
          </w:p>
        </w:tc>
      </w:tr>
      <w:tr w14:paraId="02DCA7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1270E0B7">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44D16F75">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B6A3E">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1.2.6.4. 支持自动化整合</w:t>
            </w:r>
          </w:p>
        </w:tc>
      </w:tr>
      <w:tr w14:paraId="42F392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6A35C6F1">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7ECA445A">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AB665">
            <w:pPr>
              <w:keepNext w:val="0"/>
              <w:keepLines w:val="0"/>
              <w:widowControl/>
              <w:suppressLineNumbers w:val="0"/>
              <w:spacing w:line="360" w:lineRule="auto"/>
              <w:jc w:val="both"/>
              <w:textAlignment w:val="center"/>
              <w:rPr>
                <w:rFonts w:hint="default" w:ascii="Times New Roman" w:hAnsi="Times New Roman" w:eastAsia="宋体" w:cs="Times New Roman"/>
                <w:b/>
                <w:bCs/>
                <w:i w:val="0"/>
                <w:iCs w:val="0"/>
                <w:color w:val="000000"/>
                <w:sz w:val="24"/>
                <w:szCs w:val="24"/>
                <w:highlight w:val="none"/>
                <w:u w:val="none"/>
              </w:rPr>
            </w:pPr>
            <w:r>
              <w:rPr>
                <w:rFonts w:hint="default" w:ascii="Times New Roman" w:hAnsi="Times New Roman" w:eastAsia="宋体" w:cs="Times New Roman"/>
                <w:b/>
                <w:bCs/>
                <w:i w:val="0"/>
                <w:iCs w:val="0"/>
                <w:color w:val="000000"/>
                <w:kern w:val="0"/>
                <w:sz w:val="24"/>
                <w:szCs w:val="24"/>
                <w:highlight w:val="none"/>
                <w:u w:val="none"/>
                <w:lang w:val="en-US" w:eastAsia="zh-CN" w:bidi="ar"/>
              </w:rPr>
              <w:t>1.2.7. 自动化扫码组件</w:t>
            </w:r>
          </w:p>
        </w:tc>
      </w:tr>
      <w:tr w14:paraId="605D7C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31A1306A">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47060A18">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C8B1F">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1.2.7.1. 支持多种SBS冻存盒，包括24、48、96孔等多种规格</w:t>
            </w:r>
          </w:p>
        </w:tc>
      </w:tr>
      <w:tr w14:paraId="1AAC6E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7A124172">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056F4C36">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DF2AD">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1.2.7.2. 可以识别冻存管底码和冻存盒侧码</w:t>
            </w:r>
          </w:p>
        </w:tc>
      </w:tr>
      <w:tr w14:paraId="43ADCF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5D45FE2D">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2B7081B4">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3E1E2">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1.2.7.3. 支持自动化整合</w:t>
            </w:r>
          </w:p>
        </w:tc>
      </w:tr>
      <w:tr w14:paraId="776C69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324DF291">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4EB1DF82">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96192">
            <w:pPr>
              <w:keepNext w:val="0"/>
              <w:keepLines w:val="0"/>
              <w:widowControl/>
              <w:suppressLineNumbers w:val="0"/>
              <w:spacing w:line="360" w:lineRule="auto"/>
              <w:jc w:val="both"/>
              <w:textAlignment w:val="center"/>
              <w:rPr>
                <w:rFonts w:hint="default" w:ascii="Times New Roman" w:hAnsi="Times New Roman" w:eastAsia="宋体" w:cs="Times New Roman"/>
                <w:b/>
                <w:bCs/>
                <w:i w:val="0"/>
                <w:iCs w:val="0"/>
                <w:color w:val="000000"/>
                <w:sz w:val="24"/>
                <w:szCs w:val="24"/>
                <w:highlight w:val="none"/>
                <w:u w:val="none"/>
              </w:rPr>
            </w:pPr>
            <w:r>
              <w:rPr>
                <w:rFonts w:hint="default" w:ascii="Times New Roman" w:hAnsi="Times New Roman" w:eastAsia="宋体" w:cs="Times New Roman"/>
                <w:b/>
                <w:bCs/>
                <w:i w:val="0"/>
                <w:iCs w:val="0"/>
                <w:color w:val="000000"/>
                <w:kern w:val="0"/>
                <w:sz w:val="24"/>
                <w:szCs w:val="24"/>
                <w:highlight w:val="none"/>
                <w:u w:val="none"/>
                <w:lang w:val="en-US" w:eastAsia="zh-CN" w:bidi="ar"/>
              </w:rPr>
              <w:t>1.2.8. 自动化冻存管开关盖组件</w:t>
            </w:r>
          </w:p>
        </w:tc>
      </w:tr>
      <w:tr w14:paraId="323215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295004B3">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0B193D68">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66F12">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1.2.8.1. 自动对整板SBS规格的48孔2ml冻存管进行开/关盖处理，单次开/关该处理时间≤26s</w:t>
            </w:r>
          </w:p>
        </w:tc>
      </w:tr>
      <w:tr w14:paraId="7B0A9C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5113AB77">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52832121">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15F64">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1.2.8.2.支持自动化整合</w:t>
            </w:r>
          </w:p>
        </w:tc>
      </w:tr>
      <w:tr w14:paraId="2E0B4D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752EFA26">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125BB744">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4FD62">
            <w:pPr>
              <w:keepNext w:val="0"/>
              <w:keepLines w:val="0"/>
              <w:widowControl/>
              <w:suppressLineNumbers w:val="0"/>
              <w:spacing w:line="360" w:lineRule="auto"/>
              <w:jc w:val="both"/>
              <w:textAlignment w:val="center"/>
              <w:rPr>
                <w:rFonts w:hint="default" w:ascii="Times New Roman" w:hAnsi="Times New Roman" w:eastAsia="宋体" w:cs="Times New Roman"/>
                <w:b/>
                <w:bCs/>
                <w:i w:val="0"/>
                <w:iCs w:val="0"/>
                <w:color w:val="000000"/>
                <w:sz w:val="24"/>
                <w:szCs w:val="24"/>
                <w:highlight w:val="none"/>
                <w:u w:val="none"/>
              </w:rPr>
            </w:pPr>
            <w:r>
              <w:rPr>
                <w:rFonts w:hint="default" w:ascii="Times New Roman" w:hAnsi="Times New Roman" w:eastAsia="宋体" w:cs="Times New Roman"/>
                <w:b/>
                <w:bCs/>
                <w:i w:val="0"/>
                <w:iCs w:val="0"/>
                <w:color w:val="000000"/>
                <w:kern w:val="0"/>
                <w:sz w:val="24"/>
                <w:szCs w:val="24"/>
                <w:highlight w:val="none"/>
                <w:u w:val="none"/>
                <w:lang w:val="en-US" w:eastAsia="zh-CN" w:bidi="ar"/>
              </w:rPr>
              <w:t>1.2.9. 自动化撕膜组件</w:t>
            </w:r>
          </w:p>
        </w:tc>
      </w:tr>
      <w:tr w14:paraId="370CBE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37476879">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284A2104">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E26E1">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1.2.9.1. 撕膜方法和技术：采用粘贴式撕膜技术，非传统机械式撕膜方法，保证每次撕膜的可靠性</w:t>
            </w:r>
          </w:p>
        </w:tc>
      </w:tr>
      <w:tr w14:paraId="3F41AE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0429317E">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2AADD0A3">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D3236">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1.2.9.2. 撕膜速度可调节，最高可达250次撕膜/小时</w:t>
            </w:r>
          </w:p>
        </w:tc>
      </w:tr>
      <w:tr w14:paraId="04754E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6F651E22">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72AE86C3">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79235">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1.2.9.3. 撕膜高度自动适应，可兼容8-70mm各符合SBS规格的孔板</w:t>
            </w:r>
          </w:p>
        </w:tc>
      </w:tr>
      <w:tr w14:paraId="305647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0BD69EB8">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00F533CA">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E20A5">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1.2.9.4. 支持自动化整合</w:t>
            </w:r>
          </w:p>
        </w:tc>
      </w:tr>
      <w:tr w14:paraId="08105B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5461EEDD">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40CBB492">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D37F9">
            <w:pPr>
              <w:keepNext w:val="0"/>
              <w:keepLines w:val="0"/>
              <w:widowControl/>
              <w:suppressLineNumbers w:val="0"/>
              <w:spacing w:line="360" w:lineRule="auto"/>
              <w:jc w:val="both"/>
              <w:textAlignment w:val="center"/>
              <w:rPr>
                <w:rFonts w:hint="default" w:ascii="Times New Roman" w:hAnsi="Times New Roman" w:eastAsia="宋体" w:cs="Times New Roman"/>
                <w:b/>
                <w:bCs/>
                <w:i w:val="0"/>
                <w:iCs w:val="0"/>
                <w:color w:val="000000"/>
                <w:sz w:val="24"/>
                <w:szCs w:val="24"/>
                <w:highlight w:val="none"/>
                <w:u w:val="none"/>
              </w:rPr>
            </w:pPr>
            <w:r>
              <w:rPr>
                <w:rFonts w:hint="default" w:ascii="Times New Roman" w:hAnsi="Times New Roman" w:eastAsia="宋体" w:cs="Times New Roman"/>
                <w:b/>
                <w:bCs/>
                <w:i w:val="0"/>
                <w:iCs w:val="0"/>
                <w:color w:val="000000"/>
                <w:kern w:val="0"/>
                <w:sz w:val="24"/>
                <w:szCs w:val="24"/>
                <w:highlight w:val="none"/>
                <w:u w:val="none"/>
                <w:lang w:val="en-US" w:eastAsia="zh-CN" w:bidi="ar"/>
              </w:rPr>
              <w:t>1.2.10. 自动化封膜组件</w:t>
            </w:r>
          </w:p>
        </w:tc>
      </w:tr>
      <w:tr w14:paraId="37AC99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20B016A0">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2D5358C1">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6EB84">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1.2.10.1. 全自动封膜，适用可撕膜、可穿刺膜、永久性膜，适用铝膜、透明膜、可透气膜等多种膜</w:t>
            </w:r>
          </w:p>
        </w:tc>
      </w:tr>
      <w:tr w14:paraId="5AEBE0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59C4B1FC">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76C35DA2">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87BB6">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1.2.10.2. 可兼容所有SBS、ANSI标准孔板，孔板高度范围：3mm-55mm</w:t>
            </w:r>
          </w:p>
        </w:tc>
      </w:tr>
      <w:tr w14:paraId="728283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4A4D555F">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5FA332C9">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C3896">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1.2.10.3. 热封温度范围 ：100℃ 至200℃，封膜循环时间最快20秒</w:t>
            </w:r>
          </w:p>
        </w:tc>
      </w:tr>
      <w:tr w14:paraId="060EDF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42FF6F5C">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5F0F78B3">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7A603">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1.2.10.4. 支持自动化整合</w:t>
            </w:r>
          </w:p>
        </w:tc>
      </w:tr>
      <w:tr w14:paraId="206B72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1AA112AC">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3F768121">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322DA">
            <w:pPr>
              <w:keepNext w:val="0"/>
              <w:keepLines w:val="0"/>
              <w:widowControl/>
              <w:suppressLineNumbers w:val="0"/>
              <w:spacing w:line="360" w:lineRule="auto"/>
              <w:jc w:val="both"/>
              <w:textAlignment w:val="center"/>
              <w:rPr>
                <w:rFonts w:hint="default" w:ascii="Times New Roman" w:hAnsi="Times New Roman" w:eastAsia="宋体" w:cs="Times New Roman"/>
                <w:b/>
                <w:bCs/>
                <w:i w:val="0"/>
                <w:iCs w:val="0"/>
                <w:color w:val="000000"/>
                <w:sz w:val="24"/>
                <w:szCs w:val="24"/>
                <w:highlight w:val="none"/>
                <w:u w:val="none"/>
              </w:rPr>
            </w:pPr>
            <w:r>
              <w:rPr>
                <w:rFonts w:hint="default" w:ascii="Times New Roman" w:hAnsi="Times New Roman" w:eastAsia="宋体" w:cs="Times New Roman"/>
                <w:b/>
                <w:bCs/>
                <w:i w:val="0"/>
                <w:iCs w:val="0"/>
                <w:color w:val="000000"/>
                <w:kern w:val="0"/>
                <w:sz w:val="24"/>
                <w:szCs w:val="24"/>
                <w:highlight w:val="none"/>
                <w:u w:val="none"/>
                <w:lang w:val="en-US" w:eastAsia="zh-CN" w:bidi="ar"/>
              </w:rPr>
              <w:t>1.2.11. 自动化液面探测组件</w:t>
            </w:r>
          </w:p>
        </w:tc>
      </w:tr>
      <w:tr w14:paraId="503346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75" w:type="dxa"/>
            <w:vMerge w:val="continue"/>
            <w:tcBorders>
              <w:left w:val="single" w:color="000000" w:sz="4" w:space="0"/>
              <w:right w:val="single" w:color="000000" w:sz="4" w:space="0"/>
            </w:tcBorders>
            <w:shd w:val="clear" w:color="auto" w:fill="auto"/>
            <w:vAlign w:val="center"/>
          </w:tcPr>
          <w:p w14:paraId="65C62047">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027DAE0B">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5C65A">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▲1.2.11.1. 可实现样品体积的非接触式测量，</w:t>
            </w:r>
            <w:r>
              <w:rPr>
                <w:rFonts w:hint="default" w:ascii="Times New Roman" w:hAnsi="Times New Roman" w:eastAsia="宋体" w:cs="Times New Roman"/>
                <w:b/>
                <w:bCs/>
                <w:i w:val="0"/>
                <w:iCs w:val="0"/>
                <w:color w:val="000000"/>
                <w:kern w:val="0"/>
                <w:sz w:val="24"/>
                <w:szCs w:val="24"/>
                <w:highlight w:val="none"/>
                <w:u w:val="none"/>
                <w:lang w:val="en-US" w:eastAsia="zh-CN" w:bidi="ar"/>
              </w:rPr>
              <w:t>【须提供制造商公开发布的产品白皮书或产品彩页或官网截图证明或第三方机构出具的检测报告或实物照片】</w:t>
            </w:r>
          </w:p>
        </w:tc>
      </w:tr>
      <w:tr w14:paraId="574DCA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6FDCB697">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28A15B99">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E87D0">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1.2.11.2. 适用的样品类型广，可以检测实验室常规试剂，如水，酒精，DMSO，蛋白溶液，培养基、核酸等各种溶液试剂等</w:t>
            </w:r>
          </w:p>
        </w:tc>
      </w:tr>
      <w:tr w14:paraId="321495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6A8E71B0">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2CCA0A78">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7C7F7">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1.2.11.3. 测量速度：最快1分钟完成一块96孔管架样品的体积测量，测量范围：25-1000μL，测量精度CV≤5%，@50μL，96孔板</w:t>
            </w:r>
          </w:p>
        </w:tc>
      </w:tr>
      <w:tr w14:paraId="38E04E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7E1D36B4">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3581D48E">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A89AD">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1.2.11.4. 耗材兼容性：兼容SBS规格的24, 48, 96 孔板及盒装冻存管等，测试样品的耗材高度可达≥52 mm</w:t>
            </w:r>
          </w:p>
        </w:tc>
      </w:tr>
      <w:tr w14:paraId="5C0F61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791C5D1B">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01D6B70B">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53BC0">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1.2.11.5. 数据输出格式包括CSV. txt. 格式</w:t>
            </w:r>
          </w:p>
        </w:tc>
      </w:tr>
      <w:tr w14:paraId="6C9CAB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32BF3936">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1E531907">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89737">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1.2.11.6. 支持自动化整合</w:t>
            </w:r>
          </w:p>
        </w:tc>
      </w:tr>
      <w:tr w14:paraId="791315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5ACAC98F">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37A9C1F6">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C8B57">
            <w:pPr>
              <w:keepNext w:val="0"/>
              <w:keepLines w:val="0"/>
              <w:widowControl/>
              <w:suppressLineNumbers w:val="0"/>
              <w:spacing w:line="360" w:lineRule="auto"/>
              <w:jc w:val="both"/>
              <w:textAlignment w:val="center"/>
              <w:rPr>
                <w:rFonts w:hint="default" w:ascii="Times New Roman" w:hAnsi="Times New Roman" w:eastAsia="宋体" w:cs="Times New Roman"/>
                <w:b/>
                <w:bCs/>
                <w:i w:val="0"/>
                <w:iCs w:val="0"/>
                <w:color w:val="000000"/>
                <w:sz w:val="24"/>
                <w:szCs w:val="24"/>
                <w:highlight w:val="none"/>
                <w:u w:val="none"/>
              </w:rPr>
            </w:pPr>
            <w:r>
              <w:rPr>
                <w:rFonts w:hint="default" w:ascii="Times New Roman" w:hAnsi="Times New Roman" w:eastAsia="宋体" w:cs="Times New Roman"/>
                <w:b/>
                <w:bCs/>
                <w:i w:val="0"/>
                <w:iCs w:val="0"/>
                <w:color w:val="000000"/>
                <w:kern w:val="0"/>
                <w:sz w:val="24"/>
                <w:szCs w:val="24"/>
                <w:highlight w:val="none"/>
                <w:u w:val="none"/>
                <w:lang w:val="en-US" w:eastAsia="zh-CN" w:bidi="ar"/>
              </w:rPr>
              <w:t>1.2.12. 自动化高通量研磨组件</w:t>
            </w:r>
          </w:p>
        </w:tc>
      </w:tr>
      <w:tr w14:paraId="582ED9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709715EC">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64A4CAF8">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06787">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1.2.12.1. 最大处理样本量：≥2个SBS规格板位</w:t>
            </w:r>
          </w:p>
        </w:tc>
      </w:tr>
      <w:tr w14:paraId="1B5563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675" w:type="dxa"/>
            <w:vMerge w:val="continue"/>
            <w:tcBorders>
              <w:left w:val="single" w:color="000000" w:sz="4" w:space="0"/>
              <w:right w:val="single" w:color="000000" w:sz="4" w:space="0"/>
            </w:tcBorders>
            <w:shd w:val="clear" w:color="auto" w:fill="auto"/>
            <w:vAlign w:val="center"/>
          </w:tcPr>
          <w:p w14:paraId="199502BD">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1F7AB360">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BDEDC">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1.2.12.2. 研磨原理：垂直往复撞击模式，研磨速度：0-2000次/分钟，研磨方式：湿磨，干磨，低温研磨都可，研磨仪具备制冷功能，-20~室温℃可调</w:t>
            </w:r>
          </w:p>
        </w:tc>
      </w:tr>
      <w:tr w14:paraId="3AC251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00D4B2D1">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2F2CC486">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9D231">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1.2.12.3. 研磨仪可自动定位锁紧，能与自动化整合</w:t>
            </w:r>
          </w:p>
        </w:tc>
      </w:tr>
      <w:tr w14:paraId="575CE5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68396FA0">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723D7FDC">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FDAB7">
            <w:pPr>
              <w:keepNext w:val="0"/>
              <w:keepLines w:val="0"/>
              <w:widowControl/>
              <w:suppressLineNumbers w:val="0"/>
              <w:spacing w:line="360" w:lineRule="auto"/>
              <w:jc w:val="both"/>
              <w:textAlignment w:val="center"/>
              <w:rPr>
                <w:rFonts w:hint="default" w:ascii="Times New Roman" w:hAnsi="Times New Roman" w:eastAsia="宋体" w:cs="Times New Roman"/>
                <w:b/>
                <w:bCs/>
                <w:i w:val="0"/>
                <w:iCs w:val="0"/>
                <w:color w:val="000000"/>
                <w:sz w:val="24"/>
                <w:szCs w:val="24"/>
                <w:highlight w:val="none"/>
                <w:u w:val="none"/>
              </w:rPr>
            </w:pPr>
            <w:r>
              <w:rPr>
                <w:rFonts w:hint="default" w:ascii="Times New Roman" w:hAnsi="Times New Roman" w:eastAsia="宋体" w:cs="Times New Roman"/>
                <w:b/>
                <w:bCs/>
                <w:i w:val="0"/>
                <w:iCs w:val="0"/>
                <w:color w:val="000000"/>
                <w:kern w:val="0"/>
                <w:sz w:val="24"/>
                <w:szCs w:val="24"/>
                <w:highlight w:val="none"/>
                <w:u w:val="none"/>
                <w:lang w:val="en-US" w:eastAsia="zh-CN" w:bidi="ar"/>
              </w:rPr>
              <w:t>1.2.13. 自动化离心组件</w:t>
            </w:r>
          </w:p>
        </w:tc>
      </w:tr>
      <w:tr w14:paraId="5F10BC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675" w:type="dxa"/>
            <w:vMerge w:val="continue"/>
            <w:tcBorders>
              <w:left w:val="single" w:color="000000" w:sz="4" w:space="0"/>
              <w:right w:val="single" w:color="000000" w:sz="4" w:space="0"/>
            </w:tcBorders>
            <w:shd w:val="clear" w:color="auto" w:fill="auto"/>
            <w:vAlign w:val="center"/>
          </w:tcPr>
          <w:p w14:paraId="2B362C67">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18ADE5F1">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A745D">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★1.2.13.1. 最大相对离心力：≥20000g，</w:t>
            </w:r>
            <w:r>
              <w:rPr>
                <w:rFonts w:hint="default" w:ascii="Times New Roman" w:hAnsi="Times New Roman" w:eastAsia="宋体" w:cs="Times New Roman"/>
                <w:b/>
                <w:bCs/>
                <w:i w:val="0"/>
                <w:iCs w:val="0"/>
                <w:color w:val="000000"/>
                <w:kern w:val="0"/>
                <w:sz w:val="24"/>
                <w:szCs w:val="24"/>
                <w:highlight w:val="none"/>
                <w:u w:val="none"/>
                <w:lang w:val="en-US" w:eastAsia="zh-CN" w:bidi="ar"/>
              </w:rPr>
              <w:t>【须提供制造商公开发布的产品白皮书或产品彩页或官网截图证明或第三方机构出具的检测报告或实物照片】</w:t>
            </w:r>
          </w:p>
        </w:tc>
      </w:tr>
      <w:tr w14:paraId="2A170C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24B51CA2">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58AEE170">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A2E69">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1.2.13.2. 离心容量：可同时离心16个2ml冻存管</w:t>
            </w:r>
          </w:p>
        </w:tc>
      </w:tr>
      <w:tr w14:paraId="10C111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4B264916">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3A8D01C6">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BBA5C">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1.2.13.3. 具备压缩机制冷功能，温度设置范围-10℃—室温可调</w:t>
            </w:r>
          </w:p>
        </w:tc>
      </w:tr>
      <w:tr w14:paraId="018091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3AD7EE50">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69A8CE27">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BDC60">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1.2.13.4. 定位精度：±1度</w:t>
            </w:r>
          </w:p>
        </w:tc>
      </w:tr>
      <w:tr w14:paraId="001521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7F968290">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7FF03F41">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07DF6">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1.2.13.5.支持自动化整合</w:t>
            </w:r>
          </w:p>
        </w:tc>
      </w:tr>
      <w:tr w14:paraId="597103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69B8CDD4">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600FB499">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933BB">
            <w:pPr>
              <w:keepNext w:val="0"/>
              <w:keepLines w:val="0"/>
              <w:widowControl/>
              <w:suppressLineNumbers w:val="0"/>
              <w:spacing w:line="360" w:lineRule="auto"/>
              <w:jc w:val="both"/>
              <w:textAlignment w:val="center"/>
              <w:rPr>
                <w:rFonts w:hint="default" w:ascii="Times New Roman" w:hAnsi="Times New Roman" w:eastAsia="宋体" w:cs="Times New Roman"/>
                <w:b/>
                <w:bCs/>
                <w:i w:val="0"/>
                <w:iCs w:val="0"/>
                <w:color w:val="000000"/>
                <w:sz w:val="24"/>
                <w:szCs w:val="24"/>
                <w:highlight w:val="none"/>
                <w:u w:val="none"/>
              </w:rPr>
            </w:pPr>
            <w:r>
              <w:rPr>
                <w:rFonts w:hint="default" w:ascii="Times New Roman" w:hAnsi="Times New Roman" w:eastAsia="宋体" w:cs="Times New Roman"/>
                <w:b/>
                <w:bCs/>
                <w:i w:val="0"/>
                <w:iCs w:val="0"/>
                <w:color w:val="000000"/>
                <w:kern w:val="0"/>
                <w:sz w:val="24"/>
                <w:szCs w:val="24"/>
                <w:highlight w:val="none"/>
                <w:u w:val="none"/>
                <w:lang w:val="en-US" w:eastAsia="zh-CN" w:bidi="ar"/>
              </w:rPr>
              <w:t>1.2.14. 自动化混匀组件</w:t>
            </w:r>
          </w:p>
        </w:tc>
      </w:tr>
      <w:tr w14:paraId="1DFC67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56170EA0">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6C619CE4">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A6F63">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1.2.14.1. 自动化兼容，可用于48 孔2ml冻存管整盒样品混匀，配置自动开关门功能</w:t>
            </w:r>
          </w:p>
        </w:tc>
      </w:tr>
      <w:tr w14:paraId="7D2053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2E38D2D1">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43137207">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BAE26">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1.2.14.2. 运动方式：圆周，振荡频率：200-2000RPM可调，温度控制范围：4℃~室温，实现冻存管混匀要求的冷藏环境</w:t>
            </w:r>
          </w:p>
        </w:tc>
      </w:tr>
      <w:tr w14:paraId="7F9BE0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5D6DC802">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4E7B9EC7">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D7CCE">
            <w:pPr>
              <w:keepNext w:val="0"/>
              <w:keepLines w:val="0"/>
              <w:widowControl/>
              <w:suppressLineNumbers w:val="0"/>
              <w:spacing w:line="360" w:lineRule="auto"/>
              <w:jc w:val="both"/>
              <w:textAlignment w:val="center"/>
              <w:rPr>
                <w:rFonts w:hint="default" w:ascii="Times New Roman" w:hAnsi="Times New Roman" w:eastAsia="宋体" w:cs="Times New Roman"/>
                <w:b/>
                <w:bCs/>
                <w:i w:val="0"/>
                <w:iCs w:val="0"/>
                <w:color w:val="000000"/>
                <w:sz w:val="24"/>
                <w:szCs w:val="24"/>
                <w:highlight w:val="none"/>
                <w:u w:val="none"/>
              </w:rPr>
            </w:pPr>
            <w:r>
              <w:rPr>
                <w:rFonts w:hint="default" w:ascii="Times New Roman" w:hAnsi="Times New Roman" w:eastAsia="宋体" w:cs="Times New Roman"/>
                <w:b/>
                <w:bCs/>
                <w:i w:val="0"/>
                <w:iCs w:val="0"/>
                <w:color w:val="000000"/>
                <w:kern w:val="0"/>
                <w:sz w:val="24"/>
                <w:szCs w:val="24"/>
                <w:highlight w:val="none"/>
                <w:u w:val="none"/>
                <w:lang w:val="en-US" w:eastAsia="zh-CN" w:bidi="ar"/>
              </w:rPr>
              <w:t>1.2.15. 自动化微孔板离心组件</w:t>
            </w:r>
          </w:p>
        </w:tc>
      </w:tr>
      <w:tr w14:paraId="5E220B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75" w:type="dxa"/>
            <w:vMerge w:val="continue"/>
            <w:tcBorders>
              <w:left w:val="single" w:color="000000" w:sz="4" w:space="0"/>
              <w:right w:val="single" w:color="000000" w:sz="4" w:space="0"/>
            </w:tcBorders>
            <w:shd w:val="clear" w:color="auto" w:fill="auto"/>
            <w:vAlign w:val="center"/>
          </w:tcPr>
          <w:p w14:paraId="0BE54B89">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031351D5">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E5F6E">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1.2.15.1. 具有SBS规格的离心板位≥2个，可适用于SBS规格的微孔板、深孔板、全裙边PCR板等，可适应总高≤50mm的不同高度的耗材，配备不小于5英寸的触控屏</w:t>
            </w:r>
          </w:p>
        </w:tc>
      </w:tr>
      <w:tr w14:paraId="78D628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24524C2E">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4EE6329F">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A0D70">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1.2.15.2. 最大转速：≥4000rpm，最大相对离心力：≥2050g</w:t>
            </w:r>
          </w:p>
        </w:tc>
      </w:tr>
      <w:tr w14:paraId="13608E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2760FD45">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55AF240E">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BCA64">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1.2.15.3. 机器人可从离心机正面、顶面与离心机吊篮直接交互</w:t>
            </w:r>
          </w:p>
        </w:tc>
      </w:tr>
      <w:tr w14:paraId="7C8E2B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1C2F198E">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5748BD9B">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3B717">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1.2.15.4. 支持自动化整合</w:t>
            </w:r>
          </w:p>
        </w:tc>
      </w:tr>
      <w:tr w14:paraId="3F73E9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32A965BF">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7532E487">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18192">
            <w:pPr>
              <w:keepNext w:val="0"/>
              <w:keepLines w:val="0"/>
              <w:widowControl/>
              <w:suppressLineNumbers w:val="0"/>
              <w:spacing w:line="360" w:lineRule="auto"/>
              <w:jc w:val="both"/>
              <w:textAlignment w:val="center"/>
              <w:rPr>
                <w:rFonts w:hint="default" w:ascii="Times New Roman" w:hAnsi="Times New Roman" w:eastAsia="宋体" w:cs="Times New Roman"/>
                <w:b/>
                <w:bCs/>
                <w:i w:val="0"/>
                <w:iCs w:val="0"/>
                <w:color w:val="000000"/>
                <w:sz w:val="24"/>
                <w:szCs w:val="24"/>
                <w:highlight w:val="none"/>
                <w:u w:val="none"/>
              </w:rPr>
            </w:pPr>
            <w:r>
              <w:rPr>
                <w:rFonts w:hint="default" w:ascii="Times New Roman" w:hAnsi="Times New Roman" w:eastAsia="宋体" w:cs="Times New Roman"/>
                <w:b/>
                <w:bCs/>
                <w:i w:val="0"/>
                <w:iCs w:val="0"/>
                <w:color w:val="000000"/>
                <w:kern w:val="0"/>
                <w:sz w:val="24"/>
                <w:szCs w:val="24"/>
                <w:highlight w:val="none"/>
                <w:u w:val="none"/>
                <w:lang w:val="en-US" w:eastAsia="zh-CN" w:bidi="ar"/>
              </w:rPr>
              <w:t>1.2.16. 自动化HEPA组件</w:t>
            </w:r>
          </w:p>
        </w:tc>
      </w:tr>
      <w:tr w14:paraId="264000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7E8F67B8">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7DA1181E">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2ECE3">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1.2.16.1. 组件配置负压HEPA，过滤效率H14，防止气溶胶外泄，保护操作人员安全，工作站相对房间的压差≤-10Pa</w:t>
            </w:r>
          </w:p>
        </w:tc>
      </w:tr>
      <w:tr w14:paraId="0FF94B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1B4A0B2D">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20BBDFFF">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7B909">
            <w:pPr>
              <w:keepNext w:val="0"/>
              <w:keepLines w:val="0"/>
              <w:widowControl/>
              <w:suppressLineNumbers w:val="0"/>
              <w:spacing w:line="360" w:lineRule="auto"/>
              <w:jc w:val="both"/>
              <w:textAlignment w:val="center"/>
              <w:rPr>
                <w:rFonts w:hint="default" w:ascii="Times New Roman" w:hAnsi="Times New Roman" w:eastAsia="宋体" w:cs="Times New Roman"/>
                <w:b/>
                <w:bCs/>
                <w:i w:val="0"/>
                <w:iCs w:val="0"/>
                <w:color w:val="000000"/>
                <w:sz w:val="24"/>
                <w:szCs w:val="24"/>
                <w:highlight w:val="none"/>
                <w:u w:val="none"/>
              </w:rPr>
            </w:pPr>
            <w:r>
              <w:rPr>
                <w:rFonts w:hint="default" w:ascii="Times New Roman" w:hAnsi="Times New Roman" w:eastAsia="宋体" w:cs="Times New Roman"/>
                <w:b/>
                <w:bCs/>
                <w:i w:val="0"/>
                <w:iCs w:val="0"/>
                <w:color w:val="000000"/>
                <w:kern w:val="0"/>
                <w:sz w:val="24"/>
                <w:szCs w:val="24"/>
                <w:highlight w:val="none"/>
                <w:u w:val="none"/>
                <w:lang w:val="en-US" w:eastAsia="zh-CN" w:bidi="ar"/>
              </w:rPr>
              <w:t>1.2.17. 自动化工作台及电控组件</w:t>
            </w:r>
          </w:p>
        </w:tc>
      </w:tr>
      <w:tr w14:paraId="4EB1D1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6428A22F">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2DEBECED">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77322">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1.2.17.1. 工作台主体框架耐受酒精擦拭消毒，台面耐受酸碱</w:t>
            </w:r>
          </w:p>
        </w:tc>
      </w:tr>
      <w:tr w14:paraId="6E465D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75" w:type="dxa"/>
            <w:vMerge w:val="continue"/>
            <w:tcBorders>
              <w:left w:val="single" w:color="000000" w:sz="4" w:space="0"/>
              <w:right w:val="single" w:color="000000" w:sz="4" w:space="0"/>
            </w:tcBorders>
            <w:shd w:val="clear" w:color="auto" w:fill="auto"/>
            <w:vAlign w:val="center"/>
          </w:tcPr>
          <w:p w14:paraId="680BEF8E">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00CB753B">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07BCC">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1.2.17.2. 工作台具备水平调节功能，对存在振动的中大型自动化设备配有相应的减震装置，保证设备长期稳定高效运行，对存在耗材补充的中小型自动化设备配有相应的水平拉动式底座，便于耗材补给及维护</w:t>
            </w:r>
          </w:p>
        </w:tc>
      </w:tr>
      <w:tr w14:paraId="7422B2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203AAE4C">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4C098D89">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DAF83">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1.2.17.3. 电控组件需包含：工控机x1、千兆交换机x1</w:t>
            </w:r>
          </w:p>
        </w:tc>
      </w:tr>
      <w:tr w14:paraId="7F0857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1A736636">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4BD42679">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F1A66">
            <w:pPr>
              <w:keepNext w:val="0"/>
              <w:keepLines w:val="0"/>
              <w:widowControl/>
              <w:suppressLineNumbers w:val="0"/>
              <w:spacing w:line="360" w:lineRule="auto"/>
              <w:jc w:val="both"/>
              <w:textAlignment w:val="center"/>
              <w:rPr>
                <w:rFonts w:hint="default" w:ascii="Times New Roman" w:hAnsi="Times New Roman" w:eastAsia="宋体" w:cs="Times New Roman"/>
                <w:b/>
                <w:bCs/>
                <w:i w:val="0"/>
                <w:iCs w:val="0"/>
                <w:color w:val="000000"/>
                <w:sz w:val="24"/>
                <w:szCs w:val="24"/>
                <w:highlight w:val="none"/>
                <w:u w:val="none"/>
              </w:rPr>
            </w:pPr>
            <w:r>
              <w:rPr>
                <w:rFonts w:hint="default" w:ascii="Times New Roman" w:hAnsi="Times New Roman" w:eastAsia="宋体" w:cs="Times New Roman"/>
                <w:b/>
                <w:bCs/>
                <w:i w:val="0"/>
                <w:iCs w:val="0"/>
                <w:color w:val="000000"/>
                <w:kern w:val="0"/>
                <w:sz w:val="24"/>
                <w:szCs w:val="24"/>
                <w:highlight w:val="none"/>
                <w:u w:val="none"/>
                <w:lang w:val="en-US" w:eastAsia="zh-CN" w:bidi="ar"/>
              </w:rPr>
              <w:t>1.2.18. 中央控制软件</w:t>
            </w:r>
          </w:p>
        </w:tc>
      </w:tr>
      <w:tr w14:paraId="3033A1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0083A4BF">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6BFB93B2">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01E26">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1.2.18.1. 支持设备驱动的自动化集成功能</w:t>
            </w:r>
          </w:p>
        </w:tc>
      </w:tr>
      <w:tr w14:paraId="5DC816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7EEA5F2D">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561A5A47">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C339B">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1.2.18.2. 支持拖拽编程，图形化流程编辑</w:t>
            </w:r>
          </w:p>
        </w:tc>
      </w:tr>
      <w:tr w14:paraId="6DA79F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3CB7ECD0">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31398FCC">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F75FB">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1.2.18.3. 具备智能动态排程及时序管理功能，支持岛内独立启停与节拍调节</w:t>
            </w:r>
          </w:p>
        </w:tc>
      </w:tr>
      <w:tr w14:paraId="1C2270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0CCD202E">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247DB76C">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A2912">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1.2.18.4. 具备动态调度能力，程序运行后仍可添加并运行新的程序，支持任务优先级调整</w:t>
            </w:r>
          </w:p>
        </w:tc>
      </w:tr>
      <w:tr w14:paraId="000C3B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477EF333">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4A23F8D2">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5381A">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1.2.18.5. 具备多任务并行处理能力</w:t>
            </w:r>
          </w:p>
        </w:tc>
      </w:tr>
      <w:tr w14:paraId="7FCC93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222E0F9E">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3DF1CEE2">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C66A2">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1.2.18.6. 可实现"断点精准定位到步,而非定位到流程"，定位信息包含：时间戳、故障步骤、故障内容等</w:t>
            </w:r>
          </w:p>
        </w:tc>
      </w:tr>
      <w:tr w14:paraId="703464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3B04D8D5">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6F079459">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B2A26">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1.2.18.7.  实时监控各模块运行状态、样本位置及设备参数，记录全流程过程数据（含时间戳、操作日志、异常事件）</w:t>
            </w:r>
          </w:p>
        </w:tc>
      </w:tr>
      <w:tr w14:paraId="1E6E2B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61153F1E">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061F7F39">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0B45C">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1.2.18.8. 软件采用B/S架构，支持跨平台使用，包括电脑、平板等</w:t>
            </w:r>
          </w:p>
        </w:tc>
      </w:tr>
      <w:tr w14:paraId="5706D2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24851531">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6219DBB7">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63CFE">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1.2.18.9. 支持针对不同物料类型设置取放策略，如：FIFO、LIFO、原拿原放等策略</w:t>
            </w:r>
          </w:p>
        </w:tc>
      </w:tr>
      <w:tr w14:paraId="3E9332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75" w:type="dxa"/>
            <w:vMerge w:val="continue"/>
            <w:tcBorders>
              <w:left w:val="single" w:color="000000" w:sz="4" w:space="0"/>
              <w:right w:val="single" w:color="000000" w:sz="4" w:space="0"/>
            </w:tcBorders>
            <w:shd w:val="clear" w:color="auto" w:fill="auto"/>
            <w:vAlign w:val="center"/>
          </w:tcPr>
          <w:p w14:paraId="099F94BA">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6E85E21F">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1FE2A">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1.2.18.10. 支持流程模拟，提供甘特图、列表等多种方式的状态展示功能；甘特图和其对应的资源投影图在同一界面展示，直观查看每个时段的资源占用情况</w:t>
            </w:r>
          </w:p>
        </w:tc>
      </w:tr>
      <w:tr w14:paraId="4C5409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196ECF08">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4249BB30">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2BD5E">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1.2.18.11.  支持日历预定功能，可以提前预约实验</w:t>
            </w:r>
          </w:p>
        </w:tc>
      </w:tr>
      <w:tr w14:paraId="4CF293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7B795EEF">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7918C014">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1FCA1">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1.2.18.12.  支持点位示教功能，方便用户对机器人点位进行校正</w:t>
            </w:r>
          </w:p>
        </w:tc>
      </w:tr>
      <w:tr w14:paraId="1EAFB6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5524E618">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71E691A9">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93A2C">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1.2.18.13.  支持下载实验报告为PDF，包含实验概览、实验参数、样品信息、试剂耗材、实验结果等</w:t>
            </w:r>
          </w:p>
        </w:tc>
      </w:tr>
      <w:tr w14:paraId="2EE2B3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1BF882B1">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66109646">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9E7E0">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1.2.18.14. 软件界面支持中英文切换</w:t>
            </w:r>
          </w:p>
        </w:tc>
      </w:tr>
      <w:tr w14:paraId="17AADC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7A3ECE58">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3D533A4E">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2D7B5">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kern w:val="0"/>
                <w:sz w:val="24"/>
                <w:szCs w:val="24"/>
                <w:highlight w:val="none"/>
                <w:u w:val="none"/>
                <w:lang w:val="en-US" w:eastAsia="zh-CN" w:bidi="ar"/>
              </w:rPr>
            </w:pPr>
            <w:r>
              <w:rPr>
                <w:rFonts w:hint="default" w:ascii="Times New Roman" w:hAnsi="Times New Roman" w:eastAsia="宋体" w:cs="Times New Roman"/>
                <w:i w:val="0"/>
                <w:iCs w:val="0"/>
                <w:color w:val="000000"/>
                <w:kern w:val="0"/>
                <w:sz w:val="24"/>
                <w:szCs w:val="24"/>
                <w:highlight w:val="none"/>
                <w:u w:val="none"/>
                <w:lang w:val="en-US" w:eastAsia="zh-CN" w:bidi="ar"/>
              </w:rPr>
              <w:t xml:space="preserve">1.2.18.15. </w:t>
            </w:r>
            <w:r>
              <w:rPr>
                <w:rFonts w:hint="default" w:ascii="Times New Roman" w:hAnsi="Times New Roman" w:eastAsia="宋体" w:cs="Times New Roman"/>
                <w:color w:val="000000"/>
                <w:kern w:val="0"/>
                <w:sz w:val="24"/>
                <w:szCs w:val="24"/>
                <w:highlight w:val="none"/>
                <w:u w:val="none"/>
                <w:lang w:val="en-US" w:eastAsia="zh-CN" w:bidi="ar"/>
              </w:rPr>
              <w:t>定制开发</w:t>
            </w:r>
            <w:r>
              <w:rPr>
                <w:rFonts w:hint="default" w:ascii="Times New Roman" w:hAnsi="Times New Roman" w:eastAsia="宋体" w:cs="Times New Roman"/>
                <w:color w:val="000000"/>
                <w:kern w:val="0"/>
                <w:sz w:val="24"/>
                <w:szCs w:val="24"/>
                <w:highlight w:val="none"/>
                <w:u w:val="none"/>
                <w:lang w:bidi="ar"/>
              </w:rPr>
              <w:t>配套样本保存液，覆盖拭子，血清、组织、粪便等样本类型，室温下保存时间≥24h，同等条件下核酸回收率CV≤20%</w:t>
            </w:r>
          </w:p>
        </w:tc>
      </w:tr>
      <w:tr w14:paraId="7551EB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559A57E5">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6CF9B600">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275E3">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kern w:val="0"/>
                <w:sz w:val="24"/>
                <w:szCs w:val="24"/>
                <w:highlight w:val="none"/>
                <w:u w:val="none"/>
                <w:lang w:val="en-US" w:eastAsia="zh-CN" w:bidi="ar"/>
              </w:rPr>
            </w:pPr>
            <w:r>
              <w:rPr>
                <w:rFonts w:hint="default" w:ascii="Times New Roman" w:hAnsi="Times New Roman" w:eastAsia="宋体" w:cs="Times New Roman"/>
                <w:i w:val="0"/>
                <w:iCs w:val="0"/>
                <w:color w:val="000000"/>
                <w:kern w:val="0"/>
                <w:sz w:val="24"/>
                <w:szCs w:val="24"/>
                <w:highlight w:val="none"/>
                <w:u w:val="none"/>
                <w:lang w:val="en-US" w:eastAsia="zh-CN" w:bidi="ar"/>
              </w:rPr>
              <w:t xml:space="preserve">1.2.18.16. </w:t>
            </w:r>
            <w:r>
              <w:rPr>
                <w:rFonts w:hint="default" w:ascii="Times New Roman" w:hAnsi="Times New Roman" w:eastAsia="宋体" w:cs="Times New Roman"/>
                <w:color w:val="000000"/>
                <w:kern w:val="0"/>
                <w:sz w:val="24"/>
                <w:szCs w:val="24"/>
                <w:highlight w:val="none"/>
                <w:u w:val="none"/>
                <w:lang w:bidi="ar"/>
              </w:rPr>
              <w:t>提供样本保存液测试方案，包括不限于样本兼容性验证、极限载量边界测试、批内/批间均一性测试、长期保存实时稳定性测试（至少包含4℃、-20℃、-80℃三组温度条件）、高温加速老化稳定性测试（至少包含37℃、42℃、65℃三组温度条件）、反复冻融耐受测试</w:t>
            </w:r>
          </w:p>
        </w:tc>
      </w:tr>
      <w:tr w14:paraId="14107A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0AA10D9A">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448B2BD9">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13BF1">
            <w:pPr>
              <w:keepNext w:val="0"/>
              <w:keepLines w:val="0"/>
              <w:widowControl/>
              <w:suppressLineNumbers w:val="0"/>
              <w:spacing w:line="360" w:lineRule="auto"/>
              <w:jc w:val="both"/>
              <w:textAlignment w:val="center"/>
              <w:rPr>
                <w:rFonts w:hint="default" w:ascii="Times New Roman" w:hAnsi="Times New Roman" w:eastAsia="宋体" w:cs="Times New Roman"/>
                <w:b/>
                <w:bCs/>
                <w:i w:val="0"/>
                <w:iCs w:val="0"/>
                <w:color w:val="000000"/>
                <w:sz w:val="24"/>
                <w:szCs w:val="24"/>
                <w:highlight w:val="none"/>
                <w:u w:val="none"/>
              </w:rPr>
            </w:pPr>
            <w:r>
              <w:rPr>
                <w:rFonts w:hint="default" w:ascii="Times New Roman" w:hAnsi="Times New Roman" w:eastAsia="宋体" w:cs="Times New Roman"/>
                <w:b/>
                <w:bCs/>
                <w:i w:val="0"/>
                <w:iCs w:val="0"/>
                <w:color w:val="000000"/>
                <w:kern w:val="0"/>
                <w:sz w:val="24"/>
                <w:szCs w:val="24"/>
                <w:highlight w:val="none"/>
                <w:u w:val="none"/>
                <w:lang w:val="en-US" w:eastAsia="zh-CN" w:bidi="ar"/>
              </w:rPr>
              <w:t>2. 全自动提取模块</w:t>
            </w:r>
          </w:p>
        </w:tc>
      </w:tr>
      <w:tr w14:paraId="331C78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0" w:hRule="atLeast"/>
        </w:trPr>
        <w:tc>
          <w:tcPr>
            <w:tcW w:w="675" w:type="dxa"/>
            <w:vMerge w:val="continue"/>
            <w:tcBorders>
              <w:left w:val="single" w:color="000000" w:sz="4" w:space="0"/>
              <w:right w:val="single" w:color="000000" w:sz="4" w:space="0"/>
            </w:tcBorders>
            <w:shd w:val="clear" w:color="auto" w:fill="auto"/>
            <w:vAlign w:val="center"/>
          </w:tcPr>
          <w:p w14:paraId="576EBC2B">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3C52DF2F">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8A74D">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全自动提取模块需配置负压层流罩组件，保证平台内部环境洁净。全自动提取模块通过整合自动化物料转运组件、自动化高通量核酸提取组件、自动化核酸提取组件-16通道、自动化液体工作站组件、自动化耗材供给组件、自动化冰箱组件、自动化撕膜组件、自动化封膜组件、自动化微孔板离心组件、多功能酶标仪、自动化qPCR仪组件等设备实现样本核酸提取、质控检测、样本初筛等环节。软件能够实现自动化核酸提取、转板保存、浓度测定、样本初筛等一系列自动化流程，同时支持对实验过程中产生的数据进行收集、汇总、记录以及处理</w:t>
            </w:r>
          </w:p>
        </w:tc>
      </w:tr>
      <w:tr w14:paraId="21F47F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080305CA">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52B374A5">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87930">
            <w:pPr>
              <w:keepNext w:val="0"/>
              <w:keepLines w:val="0"/>
              <w:widowControl/>
              <w:suppressLineNumbers w:val="0"/>
              <w:spacing w:line="360" w:lineRule="auto"/>
              <w:jc w:val="both"/>
              <w:textAlignment w:val="center"/>
              <w:rPr>
                <w:rFonts w:hint="default" w:ascii="Times New Roman" w:hAnsi="Times New Roman" w:eastAsia="宋体" w:cs="Times New Roman"/>
                <w:b/>
                <w:bCs/>
                <w:i w:val="0"/>
                <w:iCs w:val="0"/>
                <w:color w:val="000000"/>
                <w:sz w:val="24"/>
                <w:szCs w:val="24"/>
                <w:highlight w:val="none"/>
                <w:u w:val="none"/>
              </w:rPr>
            </w:pPr>
            <w:r>
              <w:rPr>
                <w:rFonts w:hint="default" w:ascii="Times New Roman" w:hAnsi="Times New Roman" w:eastAsia="宋体" w:cs="Times New Roman"/>
                <w:b/>
                <w:bCs/>
                <w:i w:val="0"/>
                <w:iCs w:val="0"/>
                <w:color w:val="000000"/>
                <w:kern w:val="0"/>
                <w:sz w:val="24"/>
                <w:szCs w:val="24"/>
                <w:highlight w:val="none"/>
                <w:u w:val="none"/>
                <w:lang w:val="en-US" w:eastAsia="zh-CN" w:bidi="ar"/>
              </w:rPr>
              <w:t>2.1. 自动化物料转运组件</w:t>
            </w:r>
          </w:p>
        </w:tc>
      </w:tr>
      <w:tr w14:paraId="2D19D5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73AC2E94">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1C39714F">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47351">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2.1.1. 轨道式协作机器人集成组件与设备，包含导轨、夹爪等设备</w:t>
            </w:r>
          </w:p>
        </w:tc>
      </w:tr>
      <w:tr w14:paraId="44FD9D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66044711">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44074E30">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1A68D">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▲2.1.2. 机器人符合ISO/TS 15066标准，【</w:t>
            </w:r>
            <w:r>
              <w:rPr>
                <w:rFonts w:hint="default" w:ascii="Times New Roman" w:hAnsi="Times New Roman" w:eastAsia="宋体" w:cs="Times New Roman"/>
                <w:b/>
                <w:bCs/>
                <w:i w:val="0"/>
                <w:iCs w:val="0"/>
                <w:color w:val="000000"/>
                <w:kern w:val="0"/>
                <w:sz w:val="24"/>
                <w:szCs w:val="24"/>
                <w:highlight w:val="none"/>
                <w:u w:val="none"/>
                <w:lang w:val="en-US" w:eastAsia="zh-CN" w:bidi="ar"/>
              </w:rPr>
              <w:t>提供符合声明承诺函并加盖投标人公章</w:t>
            </w:r>
            <w:r>
              <w:rPr>
                <w:rFonts w:hint="default" w:ascii="Times New Roman" w:hAnsi="Times New Roman" w:eastAsia="宋体" w:cs="Times New Roman"/>
                <w:i w:val="0"/>
                <w:iCs w:val="0"/>
                <w:color w:val="000000"/>
                <w:kern w:val="0"/>
                <w:sz w:val="24"/>
                <w:szCs w:val="24"/>
                <w:highlight w:val="none"/>
                <w:u w:val="none"/>
                <w:lang w:val="en-US" w:eastAsia="zh-CN" w:bidi="ar"/>
              </w:rPr>
              <w:t>】</w:t>
            </w:r>
          </w:p>
        </w:tc>
      </w:tr>
      <w:tr w14:paraId="330A8D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0B4327EE">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18C7BFCE">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BBBD0">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2.1.3. 机器人轴数≤4，机器人Z向行程≥800mm，臂展≥630mm，重复定位精度≤±0.03mm，抓取有效负载≥ 1.5kg，最大末端速度≥1400mm/s</w:t>
            </w:r>
          </w:p>
        </w:tc>
      </w:tr>
      <w:tr w14:paraId="65437D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675" w:type="dxa"/>
            <w:vMerge w:val="continue"/>
            <w:tcBorders>
              <w:left w:val="single" w:color="000000" w:sz="4" w:space="0"/>
              <w:right w:val="single" w:color="000000" w:sz="4" w:space="0"/>
            </w:tcBorders>
            <w:shd w:val="clear" w:color="auto" w:fill="auto"/>
            <w:vAlign w:val="center"/>
          </w:tcPr>
          <w:p w14:paraId="18AE366C">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1A176A37">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A66E3">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2.1.4. 机器人夹爪兼容孔板类型：符合SBS标准的微孔板、深孔板等，具备夹空检测和掉落检测功能，具备碰撞检测功能和拖动示教功能，具备断电保持功能，防止突然断电造成孔板掉落</w:t>
            </w:r>
          </w:p>
        </w:tc>
      </w:tr>
      <w:tr w14:paraId="3C4600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20D1C9FF">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5A6D452E">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FADF8">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2.1.5. 支持自动化整合</w:t>
            </w:r>
          </w:p>
        </w:tc>
      </w:tr>
      <w:tr w14:paraId="7186F2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046B100A">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5D0F874B">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77CF3">
            <w:pPr>
              <w:keepNext w:val="0"/>
              <w:keepLines w:val="0"/>
              <w:widowControl/>
              <w:suppressLineNumbers w:val="0"/>
              <w:spacing w:line="360" w:lineRule="auto"/>
              <w:jc w:val="both"/>
              <w:textAlignment w:val="center"/>
              <w:rPr>
                <w:rFonts w:hint="default" w:ascii="Times New Roman" w:hAnsi="Times New Roman" w:eastAsia="宋体" w:cs="Times New Roman"/>
                <w:b/>
                <w:bCs/>
                <w:i w:val="0"/>
                <w:iCs w:val="0"/>
                <w:color w:val="000000"/>
                <w:sz w:val="24"/>
                <w:szCs w:val="24"/>
                <w:highlight w:val="none"/>
                <w:u w:val="none"/>
              </w:rPr>
            </w:pPr>
            <w:r>
              <w:rPr>
                <w:rFonts w:hint="default" w:ascii="Times New Roman" w:hAnsi="Times New Roman" w:eastAsia="宋体" w:cs="Times New Roman"/>
                <w:b/>
                <w:bCs/>
                <w:i w:val="0"/>
                <w:iCs w:val="0"/>
                <w:color w:val="000000"/>
                <w:kern w:val="0"/>
                <w:sz w:val="24"/>
                <w:szCs w:val="24"/>
                <w:highlight w:val="none"/>
                <w:u w:val="none"/>
                <w:lang w:val="en-US" w:eastAsia="zh-CN" w:bidi="ar"/>
              </w:rPr>
              <w:t>2.2. 自动化高通量核酸提取组件</w:t>
            </w:r>
          </w:p>
        </w:tc>
      </w:tr>
      <w:tr w14:paraId="5CC945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2E7B8898">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7F49E6A2">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B8C64">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2.2.1. 样品通量：1~96，处理体积：50~1000μL</w:t>
            </w:r>
          </w:p>
        </w:tc>
      </w:tr>
      <w:tr w14:paraId="7F92E3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6E878A55">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6558AC27">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A0900">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2.2.2. 内置试剂盒和磁棒套两个红外自动检测传感器，防止漏放试剂盒和磁棒套</w:t>
            </w:r>
          </w:p>
        </w:tc>
      </w:tr>
      <w:tr w14:paraId="2CB7F5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61AA7FFF">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4EA48892">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20BCB">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2.2.3. 裂解温度：室温~120 ℃，洗脱温度：室温~120 ℃</w:t>
            </w:r>
          </w:p>
        </w:tc>
      </w:tr>
      <w:tr w14:paraId="0EF1FE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1B3D74C9">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64279473">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1A4F2">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2.2.4. 混合速度和混合幅度均≥10档速度可调，满足不同样本的提取需求，吸磁方式≥2种，吸磁段数≥5段，满足不同种类磁珠的吸磁</w:t>
            </w:r>
          </w:p>
        </w:tc>
      </w:tr>
      <w:tr w14:paraId="5BA615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2DD48DA4">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14D69C0D">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60406">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2.2.5. 支持自动化整合</w:t>
            </w:r>
          </w:p>
        </w:tc>
      </w:tr>
      <w:tr w14:paraId="72786E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190984B1">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432D6724">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A5678">
            <w:pPr>
              <w:keepNext w:val="0"/>
              <w:keepLines w:val="0"/>
              <w:widowControl/>
              <w:suppressLineNumbers w:val="0"/>
              <w:spacing w:line="360" w:lineRule="auto"/>
              <w:jc w:val="both"/>
              <w:textAlignment w:val="center"/>
              <w:rPr>
                <w:rFonts w:hint="default" w:ascii="Times New Roman" w:hAnsi="Times New Roman" w:eastAsia="宋体" w:cs="Times New Roman"/>
                <w:b/>
                <w:bCs/>
                <w:i w:val="0"/>
                <w:iCs w:val="0"/>
                <w:color w:val="000000"/>
                <w:sz w:val="24"/>
                <w:szCs w:val="24"/>
                <w:highlight w:val="none"/>
                <w:u w:val="none"/>
              </w:rPr>
            </w:pPr>
            <w:r>
              <w:rPr>
                <w:rFonts w:hint="default" w:ascii="Times New Roman" w:hAnsi="Times New Roman" w:eastAsia="宋体" w:cs="Times New Roman"/>
                <w:b/>
                <w:bCs/>
                <w:i w:val="0"/>
                <w:iCs w:val="0"/>
                <w:color w:val="000000"/>
                <w:kern w:val="0"/>
                <w:sz w:val="24"/>
                <w:szCs w:val="24"/>
                <w:highlight w:val="none"/>
                <w:u w:val="none"/>
                <w:lang w:val="en-US" w:eastAsia="zh-CN" w:bidi="ar"/>
              </w:rPr>
              <w:t>2.3. 自动化核酸提取组件</w:t>
            </w:r>
          </w:p>
        </w:tc>
      </w:tr>
      <w:tr w14:paraId="12DBA2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53C4166D">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68F6C050">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AAB5F">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2.3.1. 基于磁珠法，仪器磁棒直接转移磁珠，全过程无液体转移，避免污染，无需离心、抽真空，磁吸模式：直上直下吸磁和分段吸磁</w:t>
            </w:r>
          </w:p>
        </w:tc>
      </w:tr>
      <w:tr w14:paraId="0ADC5D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57736D4F">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7C4F7A86">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64357">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2.3.2. 样品通量：1-16，最低样本处理量1样本/次，工作体积：每个孔位50-1000μl</w:t>
            </w:r>
          </w:p>
        </w:tc>
      </w:tr>
      <w:tr w14:paraId="177F57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75" w:type="dxa"/>
            <w:vMerge w:val="continue"/>
            <w:tcBorders>
              <w:left w:val="single" w:color="000000" w:sz="4" w:space="0"/>
              <w:right w:val="single" w:color="000000" w:sz="4" w:space="0"/>
            </w:tcBorders>
            <w:shd w:val="clear" w:color="auto" w:fill="auto"/>
            <w:vAlign w:val="center"/>
          </w:tcPr>
          <w:p w14:paraId="7B53A460">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038621DD">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2A344">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2.3.3. 加热位置：96孔深孔板的2、6、8、12列可加热，温度范围：室温+5-105℃，振荡混合：多模多档可调，振荡模式具有多种振幅、频率与时间自由组合</w:t>
            </w:r>
          </w:p>
        </w:tc>
      </w:tr>
      <w:tr w14:paraId="16760A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518A011F">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2ED03D53">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A3EFD">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2.3.4. 支持自动化整合</w:t>
            </w:r>
          </w:p>
        </w:tc>
      </w:tr>
      <w:tr w14:paraId="41322D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1DBE791A">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3854D1ED">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F1AAD">
            <w:pPr>
              <w:keepNext w:val="0"/>
              <w:keepLines w:val="0"/>
              <w:widowControl/>
              <w:suppressLineNumbers w:val="0"/>
              <w:spacing w:line="360" w:lineRule="auto"/>
              <w:jc w:val="both"/>
              <w:textAlignment w:val="center"/>
              <w:rPr>
                <w:rFonts w:hint="default" w:ascii="Times New Roman" w:hAnsi="Times New Roman" w:eastAsia="宋体" w:cs="Times New Roman"/>
                <w:b/>
                <w:bCs/>
                <w:i w:val="0"/>
                <w:iCs w:val="0"/>
                <w:color w:val="000000"/>
                <w:sz w:val="24"/>
                <w:szCs w:val="24"/>
                <w:highlight w:val="none"/>
                <w:u w:val="none"/>
              </w:rPr>
            </w:pPr>
            <w:r>
              <w:rPr>
                <w:rFonts w:hint="default" w:ascii="Times New Roman" w:hAnsi="Times New Roman" w:eastAsia="宋体" w:cs="Times New Roman"/>
                <w:b/>
                <w:bCs/>
                <w:i w:val="0"/>
                <w:iCs w:val="0"/>
                <w:color w:val="000000"/>
                <w:kern w:val="0"/>
                <w:sz w:val="24"/>
                <w:szCs w:val="24"/>
                <w:highlight w:val="none"/>
                <w:u w:val="none"/>
                <w:lang w:val="en-US" w:eastAsia="zh-CN" w:bidi="ar"/>
              </w:rPr>
              <w:t>2.4. 自动化液体工作站组件</w:t>
            </w:r>
          </w:p>
        </w:tc>
      </w:tr>
      <w:tr w14:paraId="1BBCA0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7748B5EB">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4FB924D7">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38F99">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2.4.1. 移液器配置：配置灵活4 通道移液器、固定96通道移液器和孔板夹爪</w:t>
            </w:r>
          </w:p>
        </w:tc>
      </w:tr>
      <w:tr w14:paraId="768F95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75" w:type="dxa"/>
            <w:vMerge w:val="continue"/>
            <w:tcBorders>
              <w:left w:val="single" w:color="000000" w:sz="4" w:space="0"/>
              <w:right w:val="single" w:color="000000" w:sz="4" w:space="0"/>
            </w:tcBorders>
            <w:shd w:val="clear" w:color="auto" w:fill="auto"/>
            <w:vAlign w:val="center"/>
          </w:tcPr>
          <w:p w14:paraId="6B5DFAFF">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17CF92CA">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726ED">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★2.4.2. 液体工作站内 标准SBS 板位数量≥45个，可适配温控模块、倾斜模块、振荡模块，</w:t>
            </w:r>
            <w:r>
              <w:rPr>
                <w:rFonts w:hint="default" w:ascii="Times New Roman" w:hAnsi="Times New Roman" w:eastAsia="宋体" w:cs="Times New Roman"/>
                <w:b/>
                <w:bCs/>
                <w:i w:val="0"/>
                <w:iCs w:val="0"/>
                <w:color w:val="000000"/>
                <w:kern w:val="0"/>
                <w:sz w:val="24"/>
                <w:szCs w:val="24"/>
                <w:highlight w:val="none"/>
                <w:u w:val="none"/>
                <w:lang w:val="en-US" w:eastAsia="zh-CN" w:bidi="ar"/>
              </w:rPr>
              <w:t>【须提供制造商公开发布的产品白皮书或产品彩页或官网截图证明或第三方机构出具的检测报告或实物照片】</w:t>
            </w:r>
          </w:p>
        </w:tc>
      </w:tr>
      <w:tr w14:paraId="0EF477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09DB4074">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5345133E">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BDF0C">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2.4.3. XY 轴移动速度：≥800mm/s，Z轴≥250mm/s，重复定位精度≤±0.02mm</w:t>
            </w:r>
          </w:p>
        </w:tc>
      </w:tr>
      <w:tr w14:paraId="5F4F43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75" w:type="dxa"/>
            <w:vMerge w:val="continue"/>
            <w:tcBorders>
              <w:left w:val="single" w:color="000000" w:sz="4" w:space="0"/>
              <w:right w:val="single" w:color="000000" w:sz="4" w:space="0"/>
            </w:tcBorders>
            <w:shd w:val="clear" w:color="auto" w:fill="auto"/>
            <w:vAlign w:val="center"/>
          </w:tcPr>
          <w:p w14:paraId="0BD6F663">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068C0B43">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507B4">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2.4.4. 灵活4通道移液器间距9-21mm可调，每个通道可执行不同的移液任务，移液体积：0.5-1000μl，具备气压（PLLD）和电容（CLLD）液面探测</w:t>
            </w:r>
          </w:p>
        </w:tc>
      </w:tr>
      <w:tr w14:paraId="036674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3898C5A8">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2D26EE2E">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4070A">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2.4.5. 96通道移液体积：5-1000μl</w:t>
            </w:r>
          </w:p>
        </w:tc>
      </w:tr>
      <w:tr w14:paraId="62AF11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5B8CFFE7">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08F2AE37">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4003A">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2.4.6. 集成AI视觉感知系统，可自动识别台面布局与障碍物位置，实现板位快速标定</w:t>
            </w:r>
          </w:p>
        </w:tc>
      </w:tr>
      <w:tr w14:paraId="6DDEAD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74F82813">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58EFE232">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169E0">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2.4.7. 支持自动化整合</w:t>
            </w:r>
          </w:p>
        </w:tc>
      </w:tr>
      <w:tr w14:paraId="391327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051EF04C">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7E13E8A0">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6FC8C">
            <w:pPr>
              <w:keepNext w:val="0"/>
              <w:keepLines w:val="0"/>
              <w:widowControl/>
              <w:suppressLineNumbers w:val="0"/>
              <w:spacing w:line="360" w:lineRule="auto"/>
              <w:jc w:val="both"/>
              <w:textAlignment w:val="center"/>
              <w:rPr>
                <w:rFonts w:hint="default" w:ascii="Times New Roman" w:hAnsi="Times New Roman" w:eastAsia="宋体" w:cs="Times New Roman"/>
                <w:b/>
                <w:bCs/>
                <w:i w:val="0"/>
                <w:iCs w:val="0"/>
                <w:color w:val="000000"/>
                <w:sz w:val="24"/>
                <w:szCs w:val="24"/>
                <w:highlight w:val="none"/>
                <w:u w:val="none"/>
              </w:rPr>
            </w:pPr>
            <w:r>
              <w:rPr>
                <w:rFonts w:hint="default" w:ascii="Times New Roman" w:hAnsi="Times New Roman" w:eastAsia="宋体" w:cs="Times New Roman"/>
                <w:b/>
                <w:bCs/>
                <w:i w:val="0"/>
                <w:iCs w:val="0"/>
                <w:color w:val="000000"/>
                <w:kern w:val="0"/>
                <w:sz w:val="24"/>
                <w:szCs w:val="24"/>
                <w:highlight w:val="none"/>
                <w:u w:val="none"/>
                <w:lang w:val="en-US" w:eastAsia="zh-CN" w:bidi="ar"/>
              </w:rPr>
              <w:t>2.5. 自动化耗材供给组件</w:t>
            </w:r>
          </w:p>
        </w:tc>
      </w:tr>
      <w:tr w14:paraId="2F3A9D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1AEC755D">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33A733CA">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EF195">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2.5.1. 具备1套旋转式存储板架和1套孔板等耗材抓放机械臂，存取效率：完成1块孔板的存入或取出平均时间≤12s</w:t>
            </w:r>
          </w:p>
        </w:tc>
      </w:tr>
      <w:tr w14:paraId="117079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3F98C3D0">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764089A3">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9F7B0">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2.5.2. 兼容耗材类型：符合SBS标准的微孔板、深孔板、细胞培养板以及枪头盒等，存储容量：≥200块符合SBS标准的微孔板（高度h≤18mm）</w:t>
            </w:r>
          </w:p>
        </w:tc>
      </w:tr>
      <w:tr w14:paraId="0A6DD1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14587C42">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43B73F89">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769E6">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2.5.3. 每个储板架均自带条码，可自动扫描确认每个储板架的类型，自带扫码器可实现自动扫码盘库功能</w:t>
            </w:r>
          </w:p>
        </w:tc>
      </w:tr>
      <w:tr w14:paraId="249FB1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62B9E781">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752F7530">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EFB25">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2.5.4. 支持自动化整合</w:t>
            </w:r>
          </w:p>
        </w:tc>
      </w:tr>
      <w:tr w14:paraId="3B4810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0B556A4A">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1BA537B7">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F3CDC">
            <w:pPr>
              <w:keepNext w:val="0"/>
              <w:keepLines w:val="0"/>
              <w:widowControl/>
              <w:suppressLineNumbers w:val="0"/>
              <w:spacing w:line="360" w:lineRule="auto"/>
              <w:jc w:val="both"/>
              <w:textAlignment w:val="center"/>
              <w:rPr>
                <w:rFonts w:hint="default" w:ascii="Times New Roman" w:hAnsi="Times New Roman" w:eastAsia="宋体" w:cs="Times New Roman"/>
                <w:b/>
                <w:bCs/>
                <w:i w:val="0"/>
                <w:iCs w:val="0"/>
                <w:color w:val="000000"/>
                <w:sz w:val="24"/>
                <w:szCs w:val="24"/>
                <w:highlight w:val="none"/>
                <w:u w:val="none"/>
              </w:rPr>
            </w:pPr>
            <w:r>
              <w:rPr>
                <w:rFonts w:hint="default" w:ascii="Times New Roman" w:hAnsi="Times New Roman" w:eastAsia="宋体" w:cs="Times New Roman"/>
                <w:b/>
                <w:bCs/>
                <w:i w:val="0"/>
                <w:iCs w:val="0"/>
                <w:color w:val="000000"/>
                <w:kern w:val="0"/>
                <w:sz w:val="24"/>
                <w:szCs w:val="24"/>
                <w:highlight w:val="none"/>
                <w:u w:val="none"/>
                <w:lang w:val="en-US" w:eastAsia="zh-CN" w:bidi="ar"/>
              </w:rPr>
              <w:t>2.6. 自动化冰箱组件</w:t>
            </w:r>
          </w:p>
        </w:tc>
      </w:tr>
      <w:tr w14:paraId="37EBC6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675" w:type="dxa"/>
            <w:vMerge w:val="continue"/>
            <w:tcBorders>
              <w:left w:val="single" w:color="000000" w:sz="4" w:space="0"/>
              <w:right w:val="single" w:color="000000" w:sz="4" w:space="0"/>
            </w:tcBorders>
            <w:shd w:val="clear" w:color="auto" w:fill="auto"/>
            <w:vAlign w:val="center"/>
          </w:tcPr>
          <w:p w14:paraId="23C55D56">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2F50C820">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E88E9">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2.6.1. 冷藏箱配置2列容量总计≥40块微孔板（h≤18mm）的存储板栈和1套取放机械臂，兼容如试剂槽等其他符合SBS规格的物料，自带扫码器可进行自动扫码盘库</w:t>
            </w:r>
          </w:p>
        </w:tc>
      </w:tr>
      <w:tr w14:paraId="13F297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559101B8">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1057A81C">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6B0A1">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2.6.2. 制冷均匀迅速温度控制范围：2℃至8℃，背面配备自动化交互的迷你窗口，降低孔板进出对箱体内温度的影响</w:t>
            </w:r>
          </w:p>
        </w:tc>
      </w:tr>
      <w:tr w14:paraId="1EB20D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553E1CB7">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73956DFB">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0E938">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2.6.3. 存取效率：完成1块孔板的存入或取出平均时间≤15s</w:t>
            </w:r>
          </w:p>
        </w:tc>
      </w:tr>
      <w:tr w14:paraId="7EB14E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2938A3C7">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020AC2AE">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9D81A">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2.6.4. 支持自动化整合</w:t>
            </w:r>
          </w:p>
        </w:tc>
      </w:tr>
      <w:tr w14:paraId="126841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3703FAD9">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11E29668">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B7B17">
            <w:pPr>
              <w:keepNext w:val="0"/>
              <w:keepLines w:val="0"/>
              <w:widowControl/>
              <w:suppressLineNumbers w:val="0"/>
              <w:spacing w:line="360" w:lineRule="auto"/>
              <w:jc w:val="both"/>
              <w:textAlignment w:val="center"/>
              <w:rPr>
                <w:rFonts w:hint="default" w:ascii="Times New Roman" w:hAnsi="Times New Roman" w:eastAsia="宋体" w:cs="Times New Roman"/>
                <w:b/>
                <w:bCs/>
                <w:i w:val="0"/>
                <w:iCs w:val="0"/>
                <w:color w:val="000000"/>
                <w:sz w:val="24"/>
                <w:szCs w:val="24"/>
                <w:highlight w:val="none"/>
                <w:u w:val="none"/>
              </w:rPr>
            </w:pPr>
            <w:r>
              <w:rPr>
                <w:rFonts w:hint="default" w:ascii="Times New Roman" w:hAnsi="Times New Roman" w:eastAsia="宋体" w:cs="Times New Roman"/>
                <w:b/>
                <w:bCs/>
                <w:i w:val="0"/>
                <w:iCs w:val="0"/>
                <w:color w:val="000000"/>
                <w:kern w:val="0"/>
                <w:sz w:val="24"/>
                <w:szCs w:val="24"/>
                <w:highlight w:val="none"/>
                <w:u w:val="none"/>
                <w:lang w:val="en-US" w:eastAsia="zh-CN" w:bidi="ar"/>
              </w:rPr>
              <w:t>2.7. 自动化撕膜组件</w:t>
            </w:r>
          </w:p>
        </w:tc>
      </w:tr>
      <w:tr w14:paraId="21AB9A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70BACD10">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0B7F866F">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D4CF1">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2.7.1. 撕膜方法和技术：采用粘贴式撕膜技术，非传统机械式撕膜方法，保证每次撕膜的可靠性</w:t>
            </w:r>
          </w:p>
        </w:tc>
      </w:tr>
      <w:tr w14:paraId="027CD0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5FD581A1">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3C685D05">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FAEFB">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2.7.2. 撕膜速度可调节，最高可达250次撕膜/小时</w:t>
            </w:r>
          </w:p>
        </w:tc>
      </w:tr>
      <w:tr w14:paraId="0B0349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4B4603A1">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1975F24C">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C0E87">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2.7.3. 撕膜高度自动适应，可兼容8-70mm各符合SBS规格的孔板</w:t>
            </w:r>
          </w:p>
        </w:tc>
      </w:tr>
      <w:tr w14:paraId="5D4FDF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5DF38BA6">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6BC8EC0D">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77593">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2.7.4. 支持自动化整合</w:t>
            </w:r>
          </w:p>
        </w:tc>
      </w:tr>
      <w:tr w14:paraId="44A7F7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3B5EF4A6">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355B0AB8">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66909">
            <w:pPr>
              <w:keepNext w:val="0"/>
              <w:keepLines w:val="0"/>
              <w:widowControl/>
              <w:suppressLineNumbers w:val="0"/>
              <w:spacing w:line="360" w:lineRule="auto"/>
              <w:jc w:val="both"/>
              <w:textAlignment w:val="center"/>
              <w:rPr>
                <w:rFonts w:hint="default" w:ascii="Times New Roman" w:hAnsi="Times New Roman" w:eastAsia="宋体" w:cs="Times New Roman"/>
                <w:b/>
                <w:bCs/>
                <w:i w:val="0"/>
                <w:iCs w:val="0"/>
                <w:color w:val="000000"/>
                <w:sz w:val="24"/>
                <w:szCs w:val="24"/>
                <w:highlight w:val="none"/>
                <w:u w:val="none"/>
              </w:rPr>
            </w:pPr>
            <w:r>
              <w:rPr>
                <w:rFonts w:hint="default" w:ascii="Times New Roman" w:hAnsi="Times New Roman" w:eastAsia="宋体" w:cs="Times New Roman"/>
                <w:b/>
                <w:bCs/>
                <w:i w:val="0"/>
                <w:iCs w:val="0"/>
                <w:color w:val="000000"/>
                <w:kern w:val="0"/>
                <w:sz w:val="24"/>
                <w:szCs w:val="24"/>
                <w:highlight w:val="none"/>
                <w:u w:val="none"/>
                <w:lang w:val="en-US" w:eastAsia="zh-CN" w:bidi="ar"/>
              </w:rPr>
              <w:t>2.8. 自动化封膜组件</w:t>
            </w:r>
          </w:p>
        </w:tc>
      </w:tr>
      <w:tr w14:paraId="2A3570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54B62B09">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60F2A3FF">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E9F58">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2.8.1. 全自动封膜，适用可撕膜、可穿刺膜、永久性膜，适用铝膜、透明膜、可透气膜等多种膜</w:t>
            </w:r>
          </w:p>
        </w:tc>
      </w:tr>
      <w:tr w14:paraId="7BBE6D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1F5C0F29">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27FB0B1C">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6BED0">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2.8.2. 可兼容所有SBS、ANSI标准孔板，孔板高度范围：3mm-55mm</w:t>
            </w:r>
          </w:p>
        </w:tc>
      </w:tr>
      <w:tr w14:paraId="70ACC0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66C28154">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6027B2C6">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83B0A">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2.8.3. 热封温度范围 ：100℃ 至200℃，封膜循环时间最快20秒</w:t>
            </w:r>
          </w:p>
        </w:tc>
      </w:tr>
      <w:tr w14:paraId="330544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1E663EDB">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7B79329E">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E8A39">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2.8.4. 支持自动化整合</w:t>
            </w:r>
          </w:p>
        </w:tc>
      </w:tr>
      <w:tr w14:paraId="21C830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72716EDD">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613CFFB6">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02D6C">
            <w:pPr>
              <w:keepNext w:val="0"/>
              <w:keepLines w:val="0"/>
              <w:widowControl/>
              <w:suppressLineNumbers w:val="0"/>
              <w:spacing w:line="360" w:lineRule="auto"/>
              <w:jc w:val="both"/>
              <w:textAlignment w:val="center"/>
              <w:rPr>
                <w:rFonts w:hint="default" w:ascii="Times New Roman" w:hAnsi="Times New Roman" w:eastAsia="宋体" w:cs="Times New Roman"/>
                <w:b/>
                <w:bCs/>
                <w:i w:val="0"/>
                <w:iCs w:val="0"/>
                <w:color w:val="000000"/>
                <w:sz w:val="24"/>
                <w:szCs w:val="24"/>
                <w:highlight w:val="none"/>
                <w:u w:val="none"/>
              </w:rPr>
            </w:pPr>
            <w:r>
              <w:rPr>
                <w:rFonts w:hint="default" w:ascii="Times New Roman" w:hAnsi="Times New Roman" w:eastAsia="宋体" w:cs="Times New Roman"/>
                <w:b/>
                <w:bCs/>
                <w:i w:val="0"/>
                <w:iCs w:val="0"/>
                <w:color w:val="000000"/>
                <w:kern w:val="0"/>
                <w:sz w:val="24"/>
                <w:szCs w:val="24"/>
                <w:highlight w:val="none"/>
                <w:u w:val="none"/>
                <w:lang w:val="en-US" w:eastAsia="zh-CN" w:bidi="ar"/>
              </w:rPr>
              <w:t>2.9. 自动化微孔板离心组件</w:t>
            </w:r>
          </w:p>
        </w:tc>
      </w:tr>
      <w:tr w14:paraId="0EFB65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675" w:type="dxa"/>
            <w:vMerge w:val="continue"/>
            <w:tcBorders>
              <w:left w:val="single" w:color="000000" w:sz="4" w:space="0"/>
              <w:right w:val="single" w:color="000000" w:sz="4" w:space="0"/>
            </w:tcBorders>
            <w:shd w:val="clear" w:color="auto" w:fill="auto"/>
            <w:vAlign w:val="center"/>
          </w:tcPr>
          <w:p w14:paraId="63B89610">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184D757A">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26E35">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2.9.1. 具有SBS规格的离心板位≥2个，可适用于SBS规格的微孔板、深孔板、全裙边PCR板等，可适应总高≤50mm的不同高度的耗材，配备不小于5英寸的触控屏</w:t>
            </w:r>
          </w:p>
        </w:tc>
      </w:tr>
      <w:tr w14:paraId="5F6F77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60C44CEF">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6D3E4DE4">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4AEF4">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2.9.2. 最大转速：≥4000rpm，最大相对离心力：≥2050g</w:t>
            </w:r>
          </w:p>
        </w:tc>
      </w:tr>
      <w:tr w14:paraId="2FFB3D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2B269F71">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7CE12BF9">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B150C">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2.9.3. 机器人可从离心机正面、顶面与离心机吊篮直接交互</w:t>
            </w:r>
          </w:p>
        </w:tc>
      </w:tr>
      <w:tr w14:paraId="750B20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7A056FC7">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5FB61D1F">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0338F">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2.9.4. 支持自动化整合</w:t>
            </w:r>
          </w:p>
        </w:tc>
      </w:tr>
      <w:tr w14:paraId="464673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079F7BD8">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1B7031A0">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2F0C5">
            <w:pPr>
              <w:keepNext w:val="0"/>
              <w:keepLines w:val="0"/>
              <w:widowControl/>
              <w:suppressLineNumbers w:val="0"/>
              <w:spacing w:line="360" w:lineRule="auto"/>
              <w:jc w:val="both"/>
              <w:textAlignment w:val="center"/>
              <w:rPr>
                <w:rFonts w:hint="default" w:ascii="Times New Roman" w:hAnsi="Times New Roman" w:eastAsia="宋体" w:cs="Times New Roman"/>
                <w:b/>
                <w:bCs/>
                <w:i w:val="0"/>
                <w:iCs w:val="0"/>
                <w:color w:val="000000"/>
                <w:sz w:val="24"/>
                <w:szCs w:val="24"/>
                <w:highlight w:val="none"/>
                <w:u w:val="none"/>
              </w:rPr>
            </w:pPr>
            <w:r>
              <w:rPr>
                <w:rFonts w:hint="default" w:ascii="Times New Roman" w:hAnsi="Times New Roman" w:eastAsia="宋体" w:cs="Times New Roman"/>
                <w:b/>
                <w:bCs/>
                <w:i w:val="0"/>
                <w:iCs w:val="0"/>
                <w:color w:val="000000"/>
                <w:kern w:val="0"/>
                <w:sz w:val="24"/>
                <w:szCs w:val="24"/>
                <w:highlight w:val="none"/>
                <w:u w:val="none"/>
                <w:lang w:val="en-US" w:eastAsia="zh-CN" w:bidi="ar"/>
              </w:rPr>
              <w:t>2.10. 多功能酶标仪</w:t>
            </w:r>
          </w:p>
        </w:tc>
      </w:tr>
      <w:tr w14:paraId="2D6AD8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498C5A00">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345447D2">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8AFA1">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2.10.1. 适用孔板：6-384孔板</w:t>
            </w:r>
          </w:p>
        </w:tc>
      </w:tr>
      <w:tr w14:paraId="5FB052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693A1FF8">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4B8A4C6A">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64117">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2.10.2. 检测模式：紫外/可见吸收光、荧光、化学发光</w:t>
            </w:r>
          </w:p>
        </w:tc>
      </w:tr>
      <w:tr w14:paraId="66F65A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675" w:type="dxa"/>
            <w:vMerge w:val="continue"/>
            <w:tcBorders>
              <w:left w:val="single" w:color="000000" w:sz="4" w:space="0"/>
              <w:right w:val="single" w:color="000000" w:sz="4" w:space="0"/>
            </w:tcBorders>
            <w:shd w:val="clear" w:color="auto" w:fill="auto"/>
            <w:vAlign w:val="center"/>
          </w:tcPr>
          <w:p w14:paraId="182B8B73">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3DBE62AC">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75E22">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2.10.3. 吸收光波长范围：190--1100nm，1nm递增， 波长准确度：±2nm，波长精确度：±0.2nm，检测动态范围：0--5.0OD，检测分辨率：0.0001 OD</w:t>
            </w:r>
          </w:p>
        </w:tc>
      </w:tr>
      <w:tr w14:paraId="7E6113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0842EDD0">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306CC7A3">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2B0DE">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2.10.4. 荧光波长选择：滤光片，波长范围：200--750nm，200--850nm，检测动态范围：0--10,000,000</w:t>
            </w:r>
          </w:p>
        </w:tc>
      </w:tr>
      <w:tr w14:paraId="598E62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31F2748E">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27EAC410">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1A50B">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2.10.5. 发光检测动态范围：0--10,000,000，发光检测灵敏度：10amol ATP</w:t>
            </w:r>
          </w:p>
        </w:tc>
      </w:tr>
      <w:tr w14:paraId="3EB420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7C629A3F">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0E9EBF70">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EFD2E">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2.10.6. 支持自动化整合</w:t>
            </w:r>
          </w:p>
        </w:tc>
      </w:tr>
      <w:tr w14:paraId="14F140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0736FD90">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345254D9">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24EED">
            <w:pPr>
              <w:keepNext w:val="0"/>
              <w:keepLines w:val="0"/>
              <w:widowControl/>
              <w:suppressLineNumbers w:val="0"/>
              <w:spacing w:line="360" w:lineRule="auto"/>
              <w:jc w:val="both"/>
              <w:textAlignment w:val="center"/>
              <w:rPr>
                <w:rFonts w:hint="default" w:ascii="Times New Roman" w:hAnsi="Times New Roman" w:eastAsia="宋体" w:cs="Times New Roman"/>
                <w:b/>
                <w:bCs/>
                <w:i w:val="0"/>
                <w:iCs w:val="0"/>
                <w:color w:val="000000"/>
                <w:sz w:val="24"/>
                <w:szCs w:val="24"/>
                <w:highlight w:val="none"/>
                <w:u w:val="none"/>
              </w:rPr>
            </w:pPr>
            <w:r>
              <w:rPr>
                <w:rFonts w:hint="default" w:ascii="Times New Roman" w:hAnsi="Times New Roman" w:eastAsia="宋体" w:cs="Times New Roman"/>
                <w:b/>
                <w:bCs/>
                <w:i w:val="0"/>
                <w:iCs w:val="0"/>
                <w:color w:val="000000"/>
                <w:kern w:val="0"/>
                <w:sz w:val="24"/>
                <w:szCs w:val="24"/>
                <w:highlight w:val="none"/>
                <w:u w:val="none"/>
                <w:lang w:val="en-US" w:eastAsia="zh-CN" w:bidi="ar"/>
              </w:rPr>
              <w:t>2.11. 自动化qPCR仪组件</w:t>
            </w:r>
          </w:p>
        </w:tc>
      </w:tr>
      <w:tr w14:paraId="1D902A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0CD48857">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569E6BA8">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99036">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2.11.1. 反应通量：96</w:t>
            </w:r>
          </w:p>
        </w:tc>
      </w:tr>
      <w:tr w14:paraId="13BDE9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0C7C961A">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1D124CC8">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24A92">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2.11.2. 检测通道数≥6个</w:t>
            </w:r>
          </w:p>
        </w:tc>
      </w:tr>
      <w:tr w14:paraId="7E6198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24D59404">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03738E6A">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79C2F">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2.11.3. 温度范围：37℃–95℃，温度精确度：≤±0.1℃</w:t>
            </w:r>
          </w:p>
        </w:tc>
      </w:tr>
      <w:tr w14:paraId="47FF22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30DD9C46">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71CC1588">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BEFF1">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2.11.4. 检测灵敏度：可检测单拷贝基因，动力学线性范围：可检测到1-1010个拷贝DNA</w:t>
            </w:r>
          </w:p>
        </w:tc>
      </w:tr>
      <w:tr w14:paraId="035743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77F760C3">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19FBE9BA">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600FB">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▲2.11.5. 可区分1000拷贝和2000拷贝模板浓度的差异，支持现场验证</w:t>
            </w:r>
          </w:p>
        </w:tc>
      </w:tr>
      <w:tr w14:paraId="7500AD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3437D740">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3FE31D8D">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D48CF">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2.11.6.支持自动化整合</w:t>
            </w:r>
          </w:p>
        </w:tc>
      </w:tr>
      <w:tr w14:paraId="4B75B9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6C2D948A">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7D51B269">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060C4">
            <w:pPr>
              <w:keepNext w:val="0"/>
              <w:keepLines w:val="0"/>
              <w:widowControl/>
              <w:suppressLineNumbers w:val="0"/>
              <w:spacing w:line="360" w:lineRule="auto"/>
              <w:jc w:val="both"/>
              <w:textAlignment w:val="center"/>
              <w:rPr>
                <w:rFonts w:hint="default" w:ascii="Times New Roman" w:hAnsi="Times New Roman" w:eastAsia="宋体" w:cs="Times New Roman"/>
                <w:b/>
                <w:bCs/>
                <w:i w:val="0"/>
                <w:iCs w:val="0"/>
                <w:color w:val="000000"/>
                <w:sz w:val="24"/>
                <w:szCs w:val="24"/>
                <w:highlight w:val="none"/>
                <w:u w:val="none"/>
              </w:rPr>
            </w:pPr>
            <w:r>
              <w:rPr>
                <w:rFonts w:hint="default" w:ascii="Times New Roman" w:hAnsi="Times New Roman" w:eastAsia="宋体" w:cs="Times New Roman"/>
                <w:b/>
                <w:bCs/>
                <w:i w:val="0"/>
                <w:iCs w:val="0"/>
                <w:color w:val="000000"/>
                <w:kern w:val="0"/>
                <w:sz w:val="24"/>
                <w:szCs w:val="24"/>
                <w:highlight w:val="none"/>
                <w:u w:val="none"/>
                <w:lang w:val="en-US" w:eastAsia="zh-CN" w:bidi="ar"/>
              </w:rPr>
              <w:t>2.12. 自动化HEPA组件</w:t>
            </w:r>
          </w:p>
        </w:tc>
      </w:tr>
      <w:tr w14:paraId="4AB162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06C525B3">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6F7A0516">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8AE4A">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2.12.1. 组件配置负压HEPA，过滤效率H14，防止气溶胶外泄，保护操作人员安全，工作站相对房间的压差≤-10Pa</w:t>
            </w:r>
          </w:p>
        </w:tc>
      </w:tr>
      <w:tr w14:paraId="0D9F30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78D8A0E4">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60EE5F46">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255EA">
            <w:pPr>
              <w:keepNext w:val="0"/>
              <w:keepLines w:val="0"/>
              <w:widowControl/>
              <w:suppressLineNumbers w:val="0"/>
              <w:spacing w:line="360" w:lineRule="auto"/>
              <w:jc w:val="both"/>
              <w:textAlignment w:val="center"/>
              <w:rPr>
                <w:rFonts w:hint="default" w:ascii="Times New Roman" w:hAnsi="Times New Roman" w:eastAsia="宋体" w:cs="Times New Roman"/>
                <w:b/>
                <w:bCs/>
                <w:i w:val="0"/>
                <w:iCs w:val="0"/>
                <w:color w:val="000000"/>
                <w:sz w:val="24"/>
                <w:szCs w:val="24"/>
                <w:highlight w:val="none"/>
                <w:u w:val="none"/>
              </w:rPr>
            </w:pPr>
            <w:r>
              <w:rPr>
                <w:rFonts w:hint="default" w:ascii="Times New Roman" w:hAnsi="Times New Roman" w:eastAsia="宋体" w:cs="Times New Roman"/>
                <w:b/>
                <w:bCs/>
                <w:i w:val="0"/>
                <w:iCs w:val="0"/>
                <w:color w:val="000000"/>
                <w:kern w:val="0"/>
                <w:sz w:val="24"/>
                <w:szCs w:val="24"/>
                <w:highlight w:val="none"/>
                <w:u w:val="none"/>
                <w:lang w:val="en-US" w:eastAsia="zh-CN" w:bidi="ar"/>
              </w:rPr>
              <w:t>2.13. 自动化工作台及电控组件</w:t>
            </w:r>
          </w:p>
        </w:tc>
      </w:tr>
      <w:tr w14:paraId="06A2D6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5D993498">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25F36DA6">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CC926">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2.13.1. 工作台主体框架耐受酒精擦拭消毒，台面耐受酸碱</w:t>
            </w:r>
          </w:p>
        </w:tc>
      </w:tr>
      <w:tr w14:paraId="131DD8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75" w:type="dxa"/>
            <w:vMerge w:val="continue"/>
            <w:tcBorders>
              <w:left w:val="single" w:color="000000" w:sz="4" w:space="0"/>
              <w:right w:val="single" w:color="000000" w:sz="4" w:space="0"/>
            </w:tcBorders>
            <w:shd w:val="clear" w:color="auto" w:fill="auto"/>
            <w:vAlign w:val="center"/>
          </w:tcPr>
          <w:p w14:paraId="43157AA1">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303175E5">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A25F0">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2.13.2. 工作台具备水平调节功能，对存在振动的中大型自动化设备配有相应的减震装置，保证设备长期稳定高效运行，对存在耗材补充的中小型自动化设备配有相应的水平拉动式底座，便于耗材补给及维护</w:t>
            </w:r>
          </w:p>
        </w:tc>
      </w:tr>
      <w:tr w14:paraId="6ACFA0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777CC204">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3B39BBAC">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377B1">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2.13.3. 电控组件需包含：工控机x1、千兆交换机x1</w:t>
            </w:r>
          </w:p>
        </w:tc>
      </w:tr>
      <w:tr w14:paraId="3A7C8D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67484410">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29CD2F2B">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85531">
            <w:pPr>
              <w:keepNext w:val="0"/>
              <w:keepLines w:val="0"/>
              <w:widowControl/>
              <w:suppressLineNumbers w:val="0"/>
              <w:spacing w:line="360" w:lineRule="auto"/>
              <w:jc w:val="both"/>
              <w:textAlignment w:val="center"/>
              <w:rPr>
                <w:rFonts w:hint="default" w:ascii="Times New Roman" w:hAnsi="Times New Roman" w:eastAsia="宋体" w:cs="Times New Roman"/>
                <w:b/>
                <w:bCs/>
                <w:i w:val="0"/>
                <w:iCs w:val="0"/>
                <w:color w:val="000000"/>
                <w:sz w:val="24"/>
                <w:szCs w:val="24"/>
                <w:highlight w:val="none"/>
                <w:u w:val="none"/>
              </w:rPr>
            </w:pPr>
            <w:r>
              <w:rPr>
                <w:rFonts w:hint="default" w:ascii="Times New Roman" w:hAnsi="Times New Roman" w:eastAsia="宋体" w:cs="Times New Roman"/>
                <w:b/>
                <w:bCs/>
                <w:i w:val="0"/>
                <w:iCs w:val="0"/>
                <w:color w:val="000000"/>
                <w:kern w:val="0"/>
                <w:sz w:val="24"/>
                <w:szCs w:val="24"/>
                <w:highlight w:val="none"/>
                <w:u w:val="none"/>
                <w:lang w:val="en-US" w:eastAsia="zh-CN" w:bidi="ar"/>
              </w:rPr>
              <w:t>2.14.中央控制软件</w:t>
            </w:r>
          </w:p>
        </w:tc>
      </w:tr>
      <w:tr w14:paraId="1F7104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0EB07FAA">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74BE07A3">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410A0">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2.14.1. 支持设备驱动的自动化集成功能</w:t>
            </w:r>
          </w:p>
        </w:tc>
      </w:tr>
      <w:tr w14:paraId="34990C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3CA67359">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68E813A4">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6B031E">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2.14.2. 支持拖拽编程，图形化流程编辑</w:t>
            </w:r>
          </w:p>
        </w:tc>
      </w:tr>
      <w:tr w14:paraId="78DA24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0FFB0763">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42CFB49A">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475C0">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2.14.3. 具备智能动态排程及时序管理功能，支持岛内独立启停与节拍调节</w:t>
            </w:r>
          </w:p>
        </w:tc>
      </w:tr>
      <w:tr w14:paraId="0EBE39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1B055BA5">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63B6137C">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F4E7D">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2.14.4. 具备动态调度能力，程序运行后仍可添加并运行新的程序，支持任务优先级调整</w:t>
            </w:r>
          </w:p>
        </w:tc>
      </w:tr>
      <w:tr w14:paraId="463DF4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7F80355D">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7704C958">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83D9B">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2.14.5. 具备多任务并行处理能力</w:t>
            </w:r>
          </w:p>
        </w:tc>
      </w:tr>
      <w:tr w14:paraId="4DF11A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3BFE82B6">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3407FD38">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3F000">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2.14.6. 可实现"断点精准定位到步,而非定位到流程"，定位信息包含：时间戳、故障步骤、故障内容等</w:t>
            </w:r>
          </w:p>
        </w:tc>
      </w:tr>
      <w:tr w14:paraId="4E2E7E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7F2B7805">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1A0587ED">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E5E239">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2.14.7.  实时监控各模块运行状态、样本位置及设备参数，记录全流程过程数据（含时间戳、操作日志、异常事件）</w:t>
            </w:r>
          </w:p>
        </w:tc>
      </w:tr>
      <w:tr w14:paraId="424571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7271F74C">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352ED867">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D14C0">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2.14.8. 软件采用B/S架构，支持跨平台使用，包括电脑、平板等</w:t>
            </w:r>
          </w:p>
        </w:tc>
      </w:tr>
      <w:tr w14:paraId="151B68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03ABD0FC">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075A1358">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34B35">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2.14.9. 支持针对不同物料类型设置取放策略，如：FIFO、LIFO、原拿原放等策略</w:t>
            </w:r>
          </w:p>
        </w:tc>
      </w:tr>
      <w:tr w14:paraId="7117DD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75" w:type="dxa"/>
            <w:vMerge w:val="continue"/>
            <w:tcBorders>
              <w:left w:val="single" w:color="000000" w:sz="4" w:space="0"/>
              <w:right w:val="single" w:color="000000" w:sz="4" w:space="0"/>
            </w:tcBorders>
            <w:shd w:val="clear" w:color="auto" w:fill="auto"/>
            <w:vAlign w:val="center"/>
          </w:tcPr>
          <w:p w14:paraId="3182F7E9">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4C8A1C8E">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46572">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2.14.10. 支持流程模拟，提供甘特图、列表等多种方式的状态展示功能；甘特图和其对应的资源投影图在同一界面展示，直观查看每个时段的资源占用情况</w:t>
            </w:r>
          </w:p>
        </w:tc>
      </w:tr>
      <w:tr w14:paraId="180E2B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5CEF5B24">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18379431">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0BB59">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2.14.11.  支持日历预定功能，可以提前预约实验</w:t>
            </w:r>
          </w:p>
        </w:tc>
      </w:tr>
      <w:tr w14:paraId="5F0F14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635D492C">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6232C6AC">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083C1">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2.14.12.  支持点位示教功能，方便用户对机器人点位进行校正</w:t>
            </w:r>
          </w:p>
        </w:tc>
      </w:tr>
      <w:tr w14:paraId="2FC05A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75" w:type="dxa"/>
            <w:vMerge w:val="continue"/>
            <w:tcBorders>
              <w:left w:val="single" w:color="000000" w:sz="4" w:space="0"/>
              <w:right w:val="single" w:color="000000" w:sz="4" w:space="0"/>
            </w:tcBorders>
            <w:shd w:val="clear" w:color="auto" w:fill="auto"/>
            <w:vAlign w:val="center"/>
          </w:tcPr>
          <w:p w14:paraId="4171F81C">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2F31D68A">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7A23C">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2.14.13.  支持下载实验报告为PDF，包含实验概览、实验参数、样品信息、试剂耗材、实验结果等</w:t>
            </w:r>
          </w:p>
        </w:tc>
      </w:tr>
      <w:tr w14:paraId="7421D4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1698A3A1">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0E937CE4">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3C9A7">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2.14.14. 软件界面支持中英文切换</w:t>
            </w:r>
          </w:p>
        </w:tc>
      </w:tr>
      <w:tr w14:paraId="212876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664A4758">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205D2C62">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4903D">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kern w:val="0"/>
                <w:sz w:val="24"/>
                <w:szCs w:val="24"/>
                <w:highlight w:val="none"/>
                <w:u w:val="none"/>
                <w:lang w:val="en-US" w:eastAsia="zh-CN" w:bidi="ar"/>
              </w:rPr>
            </w:pPr>
            <w:r>
              <w:rPr>
                <w:rFonts w:hint="default" w:ascii="Times New Roman" w:hAnsi="Times New Roman" w:eastAsia="宋体" w:cs="Times New Roman"/>
                <w:i w:val="0"/>
                <w:iCs w:val="0"/>
                <w:color w:val="000000"/>
                <w:kern w:val="0"/>
                <w:sz w:val="24"/>
                <w:szCs w:val="24"/>
                <w:highlight w:val="none"/>
                <w:u w:val="none"/>
                <w:lang w:val="en-US" w:eastAsia="zh-CN" w:bidi="ar"/>
              </w:rPr>
              <w:t xml:space="preserve">2.14.15. </w:t>
            </w:r>
            <w:r>
              <w:rPr>
                <w:rFonts w:hint="default" w:ascii="Times New Roman" w:hAnsi="Times New Roman" w:eastAsia="宋体" w:cs="Times New Roman"/>
                <w:color w:val="000000"/>
                <w:kern w:val="0"/>
                <w:sz w:val="24"/>
                <w:szCs w:val="24"/>
                <w:highlight w:val="none"/>
                <w:u w:val="none"/>
                <w:lang w:val="en-US" w:eastAsia="zh-CN" w:bidi="ar"/>
              </w:rPr>
              <w:t>定制开发</w:t>
            </w:r>
            <w:r>
              <w:rPr>
                <w:rFonts w:hint="default" w:ascii="Times New Roman" w:hAnsi="Times New Roman" w:eastAsia="宋体" w:cs="Times New Roman"/>
                <w:color w:val="000000"/>
                <w:kern w:val="0"/>
                <w:sz w:val="24"/>
                <w:szCs w:val="24"/>
                <w:highlight w:val="none"/>
                <w:u w:val="none"/>
                <w:lang w:bidi="ar"/>
              </w:rPr>
              <w:t>配套RNA提取试剂，可兼容以上样本保存液，覆盖拭子、血清、组织、粪便等样本类型，支持病毒 DNA、RNA 共提取，也可单独 RNA 提取，同等条件下核酸回收率CV≤20%</w:t>
            </w:r>
          </w:p>
        </w:tc>
      </w:tr>
      <w:tr w14:paraId="7F6227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1582000C">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41EFBB13">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95B0F">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kern w:val="0"/>
                <w:sz w:val="24"/>
                <w:szCs w:val="24"/>
                <w:highlight w:val="none"/>
                <w:u w:val="none"/>
                <w:lang w:val="en-US" w:eastAsia="zh-CN" w:bidi="ar"/>
              </w:rPr>
            </w:pPr>
            <w:r>
              <w:rPr>
                <w:rFonts w:hint="default" w:ascii="Times New Roman" w:hAnsi="Times New Roman" w:eastAsia="宋体" w:cs="Times New Roman"/>
                <w:i w:val="0"/>
                <w:iCs w:val="0"/>
                <w:color w:val="000000"/>
                <w:kern w:val="0"/>
                <w:sz w:val="24"/>
                <w:szCs w:val="24"/>
                <w:highlight w:val="none"/>
                <w:u w:val="none"/>
                <w:lang w:val="en-US" w:eastAsia="zh-CN" w:bidi="ar"/>
              </w:rPr>
              <w:t xml:space="preserve">2.14.16. </w:t>
            </w:r>
            <w:r>
              <w:rPr>
                <w:rFonts w:hint="default" w:ascii="Times New Roman" w:hAnsi="Times New Roman" w:eastAsia="宋体" w:cs="Times New Roman"/>
                <w:color w:val="000000"/>
                <w:kern w:val="0"/>
                <w:sz w:val="24"/>
                <w:szCs w:val="24"/>
                <w:highlight w:val="none"/>
                <w:u w:val="none"/>
                <w:lang w:bidi="ar"/>
              </w:rPr>
              <w:t>提供RNA提取试剂测试报告，包括不限于核酸浓度、核酸纯度、RNA完整度RIN值、稳定性测试等</w:t>
            </w:r>
          </w:p>
        </w:tc>
      </w:tr>
      <w:tr w14:paraId="2B5841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5FE54B73">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45B21405">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FD3D9">
            <w:pPr>
              <w:keepNext w:val="0"/>
              <w:keepLines w:val="0"/>
              <w:widowControl/>
              <w:suppressLineNumbers w:val="0"/>
              <w:spacing w:line="360" w:lineRule="auto"/>
              <w:jc w:val="both"/>
              <w:textAlignment w:val="center"/>
              <w:rPr>
                <w:rFonts w:hint="default" w:ascii="Times New Roman" w:hAnsi="Times New Roman" w:eastAsia="宋体" w:cs="Times New Roman"/>
                <w:b/>
                <w:bCs/>
                <w:i w:val="0"/>
                <w:iCs w:val="0"/>
                <w:color w:val="000000"/>
                <w:sz w:val="24"/>
                <w:szCs w:val="24"/>
                <w:highlight w:val="none"/>
                <w:u w:val="none"/>
              </w:rPr>
            </w:pPr>
            <w:r>
              <w:rPr>
                <w:rFonts w:hint="default" w:ascii="Times New Roman" w:hAnsi="Times New Roman" w:eastAsia="宋体" w:cs="Times New Roman"/>
                <w:b/>
                <w:bCs/>
                <w:i w:val="0"/>
                <w:iCs w:val="0"/>
                <w:color w:val="000000"/>
                <w:kern w:val="0"/>
                <w:sz w:val="24"/>
                <w:szCs w:val="24"/>
                <w:highlight w:val="none"/>
                <w:u w:val="none"/>
                <w:lang w:val="en-US" w:eastAsia="zh-CN" w:bidi="ar"/>
              </w:rPr>
              <w:t>2.15. 医用冷藏箱</w:t>
            </w:r>
          </w:p>
        </w:tc>
      </w:tr>
      <w:tr w14:paraId="3E3A52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8" w:hRule="atLeast"/>
        </w:trPr>
        <w:tc>
          <w:tcPr>
            <w:tcW w:w="675" w:type="dxa"/>
            <w:vMerge w:val="continue"/>
            <w:tcBorders>
              <w:left w:val="single" w:color="000000" w:sz="4" w:space="0"/>
              <w:right w:val="single" w:color="000000" w:sz="4" w:space="0"/>
            </w:tcBorders>
            <w:shd w:val="clear" w:color="auto" w:fill="auto"/>
            <w:vAlign w:val="center"/>
          </w:tcPr>
          <w:p w14:paraId="5A6925F3">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7C58C383">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835B9">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2.15.1. 容积≥310L，温度范围：2~8℃</w:t>
            </w:r>
          </w:p>
        </w:tc>
      </w:tr>
      <w:tr w14:paraId="3FAF32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126C4CC9">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445A6314">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CCAA9">
            <w:pPr>
              <w:keepNext w:val="0"/>
              <w:keepLines w:val="0"/>
              <w:widowControl/>
              <w:suppressLineNumbers w:val="0"/>
              <w:spacing w:line="360" w:lineRule="auto"/>
              <w:jc w:val="both"/>
              <w:textAlignment w:val="center"/>
              <w:rPr>
                <w:rFonts w:hint="default" w:ascii="Times New Roman" w:hAnsi="Times New Roman" w:eastAsia="宋体" w:cs="Times New Roman"/>
                <w:b/>
                <w:bCs/>
                <w:i w:val="0"/>
                <w:iCs w:val="0"/>
                <w:color w:val="000000"/>
                <w:sz w:val="24"/>
                <w:szCs w:val="24"/>
                <w:highlight w:val="none"/>
                <w:u w:val="none"/>
              </w:rPr>
            </w:pPr>
            <w:r>
              <w:rPr>
                <w:rFonts w:hint="default" w:ascii="Times New Roman" w:hAnsi="Times New Roman" w:eastAsia="宋体" w:cs="Times New Roman"/>
                <w:b/>
                <w:bCs/>
                <w:i w:val="0"/>
                <w:iCs w:val="0"/>
                <w:color w:val="000000"/>
                <w:kern w:val="0"/>
                <w:sz w:val="24"/>
                <w:szCs w:val="24"/>
                <w:highlight w:val="none"/>
                <w:u w:val="none"/>
                <w:lang w:val="en-US" w:eastAsia="zh-CN" w:bidi="ar"/>
              </w:rPr>
              <w:t>2.16. -86度超低温冰箱</w:t>
            </w:r>
          </w:p>
        </w:tc>
      </w:tr>
      <w:tr w14:paraId="55CB40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6F308043">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44146DB1">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ED329">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2.16.1. 容积≥338L，温度范围：-40~-86℃</w:t>
            </w:r>
          </w:p>
        </w:tc>
      </w:tr>
      <w:tr w14:paraId="10D7A9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675" w:type="dxa"/>
            <w:vMerge w:val="continue"/>
            <w:tcBorders>
              <w:left w:val="single" w:color="000000" w:sz="4" w:space="0"/>
              <w:right w:val="single" w:color="000000" w:sz="4" w:space="0"/>
            </w:tcBorders>
            <w:shd w:val="clear" w:color="auto" w:fill="auto"/>
            <w:vAlign w:val="center"/>
          </w:tcPr>
          <w:p w14:paraId="0CF99EFE">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0F6FAE04">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F8E9F">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★2.16.2如投标人提供的投标产品属于《关于印发节能产品政府采购品目清单的通知》（财库〔2019〕19号）强制节能产品，应取得国家确定的认证机构出具的、有效期之内的节能产品认证证书。</w:t>
            </w:r>
            <w:r>
              <w:rPr>
                <w:rFonts w:hint="default" w:ascii="Times New Roman" w:hAnsi="Times New Roman" w:eastAsia="宋体" w:cs="Times New Roman"/>
                <w:b/>
                <w:bCs/>
                <w:i w:val="0"/>
                <w:iCs w:val="0"/>
                <w:color w:val="000000"/>
                <w:kern w:val="0"/>
                <w:sz w:val="24"/>
                <w:szCs w:val="24"/>
                <w:highlight w:val="none"/>
                <w:u w:val="none"/>
                <w:lang w:val="en-US" w:eastAsia="zh-CN" w:bidi="ar"/>
              </w:rPr>
              <w:t>【如属于强制节能产品，需提供节能产品认证证书】</w:t>
            </w:r>
          </w:p>
        </w:tc>
      </w:tr>
      <w:tr w14:paraId="6BE8E6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5D0D31FF">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5E731642">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0B1D8">
            <w:pPr>
              <w:keepNext w:val="0"/>
              <w:keepLines w:val="0"/>
              <w:widowControl/>
              <w:suppressLineNumbers w:val="0"/>
              <w:spacing w:line="360" w:lineRule="auto"/>
              <w:jc w:val="both"/>
              <w:textAlignment w:val="center"/>
              <w:rPr>
                <w:rFonts w:hint="default" w:ascii="Times New Roman" w:hAnsi="Times New Roman" w:eastAsia="宋体" w:cs="Times New Roman"/>
                <w:b/>
                <w:bCs/>
                <w:i w:val="0"/>
                <w:iCs w:val="0"/>
                <w:color w:val="000000"/>
                <w:sz w:val="24"/>
                <w:szCs w:val="24"/>
                <w:highlight w:val="none"/>
                <w:u w:val="none"/>
              </w:rPr>
            </w:pPr>
            <w:r>
              <w:rPr>
                <w:rFonts w:hint="default" w:ascii="Times New Roman" w:hAnsi="Times New Roman" w:eastAsia="宋体" w:cs="Times New Roman"/>
                <w:b/>
                <w:bCs/>
                <w:i w:val="0"/>
                <w:iCs w:val="0"/>
                <w:color w:val="000000"/>
                <w:kern w:val="0"/>
                <w:sz w:val="24"/>
                <w:szCs w:val="24"/>
                <w:highlight w:val="none"/>
                <w:u w:val="none"/>
                <w:lang w:val="en-US" w:eastAsia="zh-CN" w:bidi="ar"/>
              </w:rPr>
              <w:t>2.17. 多功能离心机</w:t>
            </w:r>
          </w:p>
        </w:tc>
      </w:tr>
      <w:tr w14:paraId="3B69BE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693BB420">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0E107D6D">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AE954">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2.17.1. 最高转速：≥21000rpm，最大离心力：≥30840xg</w:t>
            </w:r>
          </w:p>
        </w:tc>
      </w:tr>
      <w:tr w14:paraId="372D08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543086CC">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16614A82">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2CE9F">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2.17.2. 最大容量：≥250ml*4支</w:t>
            </w:r>
          </w:p>
        </w:tc>
      </w:tr>
      <w:tr w14:paraId="6AE1DD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5A6EDD80">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46088C1B">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1D331">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2.17.3. 标配水平酶标转子一套，转速≥4000rpm</w:t>
            </w:r>
          </w:p>
        </w:tc>
      </w:tr>
      <w:tr w14:paraId="76F2FE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19F9C5E4">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3F9DB816">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5FB60">
            <w:pPr>
              <w:keepNext w:val="0"/>
              <w:keepLines w:val="0"/>
              <w:widowControl/>
              <w:suppressLineNumbers w:val="0"/>
              <w:spacing w:line="360" w:lineRule="auto"/>
              <w:jc w:val="both"/>
              <w:textAlignment w:val="center"/>
              <w:rPr>
                <w:rFonts w:hint="default" w:ascii="Times New Roman" w:hAnsi="Times New Roman" w:eastAsia="宋体" w:cs="Times New Roman"/>
                <w:b/>
                <w:bCs/>
                <w:i w:val="0"/>
                <w:iCs w:val="0"/>
                <w:color w:val="000000"/>
                <w:sz w:val="24"/>
                <w:szCs w:val="24"/>
                <w:highlight w:val="none"/>
                <w:u w:val="none"/>
              </w:rPr>
            </w:pPr>
            <w:r>
              <w:rPr>
                <w:rFonts w:hint="default" w:ascii="Times New Roman" w:hAnsi="Times New Roman" w:eastAsia="宋体" w:cs="Times New Roman"/>
                <w:b/>
                <w:bCs/>
                <w:i w:val="0"/>
                <w:iCs w:val="0"/>
                <w:color w:val="000000"/>
                <w:kern w:val="0"/>
                <w:sz w:val="24"/>
                <w:szCs w:val="24"/>
                <w:highlight w:val="none"/>
                <w:u w:val="none"/>
                <w:lang w:val="en-US" w:eastAsia="zh-CN" w:bidi="ar"/>
              </w:rPr>
              <w:t>2.18. 生物安全柜</w:t>
            </w:r>
          </w:p>
        </w:tc>
      </w:tr>
      <w:tr w14:paraId="514C87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0FE801D6">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2A55E44B">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5501D">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2.18.1. A2型双人生物安全柜，30%外排，70%循环</w:t>
            </w:r>
          </w:p>
        </w:tc>
      </w:tr>
      <w:tr w14:paraId="5BEF7B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33E3ED00">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4C547657">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31E8E">
            <w:pPr>
              <w:keepNext w:val="0"/>
              <w:keepLines w:val="0"/>
              <w:widowControl/>
              <w:suppressLineNumbers w:val="0"/>
              <w:spacing w:line="360" w:lineRule="auto"/>
              <w:jc w:val="both"/>
              <w:textAlignment w:val="center"/>
              <w:rPr>
                <w:rFonts w:hint="default" w:ascii="Times New Roman" w:hAnsi="Times New Roman" w:eastAsia="宋体" w:cs="Times New Roman"/>
                <w:b/>
                <w:bCs/>
                <w:i w:val="0"/>
                <w:iCs w:val="0"/>
                <w:color w:val="000000"/>
                <w:sz w:val="24"/>
                <w:szCs w:val="24"/>
                <w:highlight w:val="none"/>
                <w:u w:val="none"/>
              </w:rPr>
            </w:pPr>
            <w:r>
              <w:rPr>
                <w:rFonts w:hint="default" w:ascii="Times New Roman" w:hAnsi="Times New Roman" w:eastAsia="宋体" w:cs="Times New Roman"/>
                <w:b/>
                <w:bCs/>
                <w:i w:val="0"/>
                <w:iCs w:val="0"/>
                <w:color w:val="000000"/>
                <w:kern w:val="0"/>
                <w:sz w:val="24"/>
                <w:szCs w:val="24"/>
                <w:highlight w:val="none"/>
                <w:u w:val="none"/>
                <w:lang w:val="en-US" w:eastAsia="zh-CN" w:bidi="ar"/>
              </w:rPr>
              <w:t>2.19. 手动单道移液器</w:t>
            </w:r>
          </w:p>
        </w:tc>
      </w:tr>
      <w:tr w14:paraId="682CBF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1A889F0A">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69CFE116">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EA943">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2.19.1. 量程：0.5-10μL，2-20μL，10-100μL，100-1000μL各一把，可整支高压灭菌</w:t>
            </w:r>
          </w:p>
        </w:tc>
      </w:tr>
      <w:tr w14:paraId="4D93E8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260B9FFF">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6C3492BF">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487A7">
            <w:pPr>
              <w:keepNext w:val="0"/>
              <w:keepLines w:val="0"/>
              <w:widowControl/>
              <w:suppressLineNumbers w:val="0"/>
              <w:spacing w:line="360" w:lineRule="auto"/>
              <w:jc w:val="both"/>
              <w:textAlignment w:val="center"/>
              <w:rPr>
                <w:rFonts w:hint="default" w:ascii="Times New Roman" w:hAnsi="Times New Roman" w:eastAsia="宋体" w:cs="Times New Roman"/>
                <w:b/>
                <w:bCs/>
                <w:i w:val="0"/>
                <w:iCs w:val="0"/>
                <w:color w:val="000000"/>
                <w:sz w:val="24"/>
                <w:szCs w:val="24"/>
                <w:highlight w:val="none"/>
                <w:u w:val="none"/>
              </w:rPr>
            </w:pPr>
            <w:r>
              <w:rPr>
                <w:rFonts w:hint="default" w:ascii="Times New Roman" w:hAnsi="Times New Roman" w:eastAsia="宋体" w:cs="Times New Roman"/>
                <w:b/>
                <w:bCs/>
                <w:i w:val="0"/>
                <w:iCs w:val="0"/>
                <w:color w:val="000000"/>
                <w:kern w:val="0"/>
                <w:sz w:val="24"/>
                <w:szCs w:val="24"/>
                <w:highlight w:val="none"/>
                <w:u w:val="none"/>
                <w:lang w:val="en-US" w:eastAsia="zh-CN" w:bidi="ar"/>
              </w:rPr>
              <w:t>2.20. 手动8道移液器</w:t>
            </w:r>
          </w:p>
        </w:tc>
      </w:tr>
      <w:tr w14:paraId="5FFB41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5AD0B18B">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3EE451B1">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ADA78">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2.20.1. 量程：30-300μL，可整支高压灭菌</w:t>
            </w:r>
          </w:p>
        </w:tc>
      </w:tr>
      <w:tr w14:paraId="7729E2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7CF5EEB7">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26E8E32D">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AAEEF">
            <w:pPr>
              <w:keepNext w:val="0"/>
              <w:keepLines w:val="0"/>
              <w:widowControl/>
              <w:suppressLineNumbers w:val="0"/>
              <w:spacing w:line="360" w:lineRule="auto"/>
              <w:jc w:val="both"/>
              <w:textAlignment w:val="center"/>
              <w:rPr>
                <w:rFonts w:hint="default" w:ascii="Times New Roman" w:hAnsi="Times New Roman" w:eastAsia="宋体" w:cs="Times New Roman"/>
                <w:b/>
                <w:bCs/>
                <w:i w:val="0"/>
                <w:iCs w:val="0"/>
                <w:color w:val="000000"/>
                <w:sz w:val="24"/>
                <w:szCs w:val="24"/>
                <w:highlight w:val="none"/>
                <w:u w:val="none"/>
              </w:rPr>
            </w:pPr>
            <w:r>
              <w:rPr>
                <w:rFonts w:hint="default" w:ascii="Times New Roman" w:hAnsi="Times New Roman" w:eastAsia="宋体" w:cs="Times New Roman"/>
                <w:b/>
                <w:bCs/>
                <w:i w:val="0"/>
                <w:iCs w:val="0"/>
                <w:color w:val="000000"/>
                <w:kern w:val="0"/>
                <w:sz w:val="24"/>
                <w:szCs w:val="24"/>
                <w:highlight w:val="none"/>
                <w:u w:val="none"/>
                <w:lang w:val="en-US" w:eastAsia="zh-CN" w:bidi="ar"/>
              </w:rPr>
              <w:t>2.21. 高速冷冻离心机</w:t>
            </w:r>
          </w:p>
        </w:tc>
      </w:tr>
      <w:tr w14:paraId="61B2A9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40EE21A0">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169FFC1B">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3576D">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2.21.1. 最高转速：≥15000rpm，最大离心力：≥21380xg</w:t>
            </w:r>
          </w:p>
        </w:tc>
      </w:tr>
      <w:tr w14:paraId="6CCC3E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2C2EEB0E">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306D250A">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636FF">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2.21.2. 最大容量：≥5ml*18支</w:t>
            </w:r>
          </w:p>
        </w:tc>
      </w:tr>
      <w:tr w14:paraId="1A1B5F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1554AE48">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709B843E">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1B75D">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2.21.3. 标配2/1.5ml*24角转子一套</w:t>
            </w:r>
          </w:p>
        </w:tc>
      </w:tr>
      <w:tr w14:paraId="25BC25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5E34F7B7">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25F277D6">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3B357">
            <w:pPr>
              <w:keepNext w:val="0"/>
              <w:keepLines w:val="0"/>
              <w:widowControl/>
              <w:suppressLineNumbers w:val="0"/>
              <w:spacing w:line="360" w:lineRule="auto"/>
              <w:jc w:val="both"/>
              <w:textAlignment w:val="center"/>
              <w:rPr>
                <w:rFonts w:hint="default" w:ascii="Times New Roman" w:hAnsi="Times New Roman" w:eastAsia="宋体" w:cs="Times New Roman"/>
                <w:b/>
                <w:bCs/>
                <w:i w:val="0"/>
                <w:iCs w:val="0"/>
                <w:color w:val="000000"/>
                <w:sz w:val="24"/>
                <w:szCs w:val="24"/>
                <w:highlight w:val="none"/>
                <w:u w:val="none"/>
              </w:rPr>
            </w:pPr>
            <w:r>
              <w:rPr>
                <w:rFonts w:hint="default" w:ascii="Times New Roman" w:hAnsi="Times New Roman" w:eastAsia="宋体" w:cs="Times New Roman"/>
                <w:b/>
                <w:bCs/>
                <w:i w:val="0"/>
                <w:iCs w:val="0"/>
                <w:color w:val="000000"/>
                <w:kern w:val="0"/>
                <w:sz w:val="24"/>
                <w:szCs w:val="24"/>
                <w:highlight w:val="none"/>
                <w:u w:val="none"/>
                <w:lang w:val="en-US" w:eastAsia="zh-CN" w:bidi="ar"/>
              </w:rPr>
              <w:t>2.22. 高速台式冷冻离心机</w:t>
            </w:r>
          </w:p>
        </w:tc>
      </w:tr>
      <w:tr w14:paraId="4D856F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5F1B3300">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2CB43631">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0AB74">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2.22.1. 最高转速：≥16500 r/min，最大离心力：≥24814×g</w:t>
            </w:r>
          </w:p>
        </w:tc>
      </w:tr>
      <w:tr w14:paraId="388DA5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2B23E21A">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74514D5B">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F2144">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2.22.2. 最大容量：≥6×100ml</w:t>
            </w:r>
          </w:p>
        </w:tc>
      </w:tr>
      <w:tr w14:paraId="143CC0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0EE63F65">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4758CB67">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0C06A">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2.22.3. 标配24*2ml冻存管角转子（15000转，23419xg）一套</w:t>
            </w:r>
          </w:p>
        </w:tc>
      </w:tr>
      <w:tr w14:paraId="75FF45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0D570FE1">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0095A86D">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88E77">
            <w:pPr>
              <w:keepNext w:val="0"/>
              <w:keepLines w:val="0"/>
              <w:widowControl/>
              <w:suppressLineNumbers w:val="0"/>
              <w:spacing w:line="360" w:lineRule="auto"/>
              <w:jc w:val="both"/>
              <w:textAlignment w:val="center"/>
              <w:rPr>
                <w:rFonts w:hint="default" w:ascii="Times New Roman" w:hAnsi="Times New Roman" w:eastAsia="宋体" w:cs="Times New Roman"/>
                <w:b/>
                <w:bCs/>
                <w:i w:val="0"/>
                <w:iCs w:val="0"/>
                <w:color w:val="000000"/>
                <w:sz w:val="24"/>
                <w:szCs w:val="24"/>
                <w:highlight w:val="none"/>
                <w:u w:val="none"/>
              </w:rPr>
            </w:pPr>
            <w:r>
              <w:rPr>
                <w:rFonts w:hint="default" w:ascii="Times New Roman" w:hAnsi="Times New Roman" w:eastAsia="宋体" w:cs="Times New Roman"/>
                <w:b/>
                <w:bCs/>
                <w:i w:val="0"/>
                <w:iCs w:val="0"/>
                <w:color w:val="000000"/>
                <w:kern w:val="0"/>
                <w:sz w:val="24"/>
                <w:szCs w:val="24"/>
                <w:highlight w:val="none"/>
                <w:u w:val="none"/>
                <w:lang w:val="en-US" w:eastAsia="zh-CN" w:bidi="ar"/>
              </w:rPr>
              <w:t>2.23. 半自动旋盖机</w:t>
            </w:r>
          </w:p>
        </w:tc>
      </w:tr>
      <w:tr w14:paraId="7CD121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7B9A5E6F">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531C324F">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66C80">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2.23.1.  6通道手持式冻存管自动开盖器，一次开启预制编码冻存管(6x8)一排6支冻存管盖</w:t>
            </w:r>
          </w:p>
        </w:tc>
      </w:tr>
      <w:tr w14:paraId="20A800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575ABBE1">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2867042A">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47DB4">
            <w:pPr>
              <w:keepNext w:val="0"/>
              <w:keepLines w:val="0"/>
              <w:widowControl/>
              <w:suppressLineNumbers w:val="0"/>
              <w:spacing w:line="360" w:lineRule="auto"/>
              <w:jc w:val="both"/>
              <w:textAlignment w:val="center"/>
              <w:rPr>
                <w:rFonts w:hint="default" w:ascii="Times New Roman" w:hAnsi="Times New Roman" w:eastAsia="宋体" w:cs="Times New Roman"/>
                <w:b/>
                <w:bCs/>
                <w:i w:val="0"/>
                <w:iCs w:val="0"/>
                <w:color w:val="000000"/>
                <w:sz w:val="24"/>
                <w:szCs w:val="24"/>
                <w:highlight w:val="none"/>
                <w:u w:val="none"/>
              </w:rPr>
            </w:pPr>
            <w:r>
              <w:rPr>
                <w:rFonts w:hint="default" w:ascii="Times New Roman" w:hAnsi="Times New Roman" w:eastAsia="宋体" w:cs="Times New Roman"/>
                <w:b/>
                <w:bCs/>
                <w:i w:val="0"/>
                <w:iCs w:val="0"/>
                <w:color w:val="000000"/>
                <w:kern w:val="0"/>
                <w:sz w:val="24"/>
                <w:szCs w:val="24"/>
                <w:highlight w:val="none"/>
                <w:u w:val="none"/>
                <w:lang w:val="en-US" w:eastAsia="zh-CN" w:bidi="ar"/>
              </w:rPr>
              <w:t>2.24. 全自动低温研磨仪</w:t>
            </w:r>
          </w:p>
        </w:tc>
      </w:tr>
      <w:tr w14:paraId="0D72F4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303F1AFA">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1702F814">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5989D">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2.24.1. 可同时研磨两个6*8标准冻存盒样本</w:t>
            </w:r>
          </w:p>
        </w:tc>
      </w:tr>
      <w:tr w14:paraId="65DA6E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52EB87D3">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1EE6DA8A">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ECE15">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2.24.2. 制冷功能：-50℃--室温可调</w:t>
            </w:r>
          </w:p>
        </w:tc>
      </w:tr>
      <w:tr w14:paraId="3B024F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249D8138">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74180FF1">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039D2">
            <w:pPr>
              <w:keepNext w:val="0"/>
              <w:keepLines w:val="0"/>
              <w:widowControl/>
              <w:suppressLineNumbers w:val="0"/>
              <w:spacing w:line="360" w:lineRule="auto"/>
              <w:jc w:val="both"/>
              <w:textAlignment w:val="center"/>
              <w:rPr>
                <w:rFonts w:hint="default" w:ascii="Times New Roman" w:hAnsi="Times New Roman" w:eastAsia="宋体" w:cs="Times New Roman"/>
                <w:b/>
                <w:bCs/>
                <w:i w:val="0"/>
                <w:iCs w:val="0"/>
                <w:color w:val="000000"/>
                <w:sz w:val="24"/>
                <w:szCs w:val="24"/>
                <w:highlight w:val="none"/>
                <w:u w:val="none"/>
              </w:rPr>
            </w:pPr>
            <w:r>
              <w:rPr>
                <w:rFonts w:hint="default" w:ascii="Times New Roman" w:hAnsi="Times New Roman" w:eastAsia="宋体" w:cs="Times New Roman"/>
                <w:b/>
                <w:bCs/>
                <w:i w:val="0"/>
                <w:iCs w:val="0"/>
                <w:color w:val="000000"/>
                <w:kern w:val="0"/>
                <w:sz w:val="24"/>
                <w:szCs w:val="24"/>
                <w:highlight w:val="none"/>
                <w:u w:val="none"/>
                <w:lang w:val="en-US" w:eastAsia="zh-CN" w:bidi="ar"/>
              </w:rPr>
              <w:t>2.25. 全自动撕膜机</w:t>
            </w:r>
          </w:p>
        </w:tc>
      </w:tr>
      <w:tr w14:paraId="2CAA55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669B6674">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4B9AAEB3">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65BB1">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2.25.1. 全自动撕膜，自动适应板厚度，一键式操作</w:t>
            </w:r>
          </w:p>
        </w:tc>
      </w:tr>
      <w:tr w14:paraId="157798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53E6E629">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077A093D">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987B6">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2.25.2. 撕膜方法：粘贴式撕膜技术</w:t>
            </w:r>
          </w:p>
        </w:tc>
      </w:tr>
      <w:tr w14:paraId="5AB194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18C56C0B">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7D31F7A5">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2D564">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2.25.3. 撕膜速度：速度可调节，最大撕膜速度≥240块/h</w:t>
            </w:r>
          </w:p>
        </w:tc>
      </w:tr>
      <w:tr w14:paraId="2CCC95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7AB59E19">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2F176D64">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1CB40">
            <w:pPr>
              <w:keepNext w:val="0"/>
              <w:keepLines w:val="0"/>
              <w:widowControl/>
              <w:suppressLineNumbers w:val="0"/>
              <w:spacing w:line="360" w:lineRule="auto"/>
              <w:jc w:val="both"/>
              <w:textAlignment w:val="center"/>
              <w:rPr>
                <w:rFonts w:hint="default" w:ascii="Times New Roman" w:hAnsi="Times New Roman" w:eastAsia="宋体" w:cs="Times New Roman"/>
                <w:b/>
                <w:bCs/>
                <w:i w:val="0"/>
                <w:iCs w:val="0"/>
                <w:color w:val="000000"/>
                <w:sz w:val="24"/>
                <w:szCs w:val="24"/>
                <w:highlight w:val="none"/>
                <w:u w:val="none"/>
              </w:rPr>
            </w:pPr>
            <w:r>
              <w:rPr>
                <w:rFonts w:hint="default" w:ascii="Times New Roman" w:hAnsi="Times New Roman" w:eastAsia="宋体" w:cs="Times New Roman"/>
                <w:b/>
                <w:bCs/>
                <w:i w:val="0"/>
                <w:iCs w:val="0"/>
                <w:color w:val="000000"/>
                <w:kern w:val="0"/>
                <w:sz w:val="24"/>
                <w:szCs w:val="24"/>
                <w:highlight w:val="none"/>
                <w:u w:val="none"/>
                <w:lang w:val="en-US" w:eastAsia="zh-CN" w:bidi="ar"/>
              </w:rPr>
              <w:t>2.26. 全自动热封膜机</w:t>
            </w:r>
          </w:p>
        </w:tc>
      </w:tr>
      <w:tr w14:paraId="76A2EB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7E585245">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3DE557D3">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EBAE7">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2.26.1. 密封温度范围：1~240℃</w:t>
            </w:r>
          </w:p>
        </w:tc>
      </w:tr>
      <w:tr w14:paraId="455764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3D39611E">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0A44CAA4">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C8AA1">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2.26.2. 密封时间范围：0.1~9.9s</w:t>
            </w:r>
          </w:p>
        </w:tc>
      </w:tr>
      <w:tr w14:paraId="52F177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3E5B7FDD">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240E6CE5">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2489C">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2.26.3. 封板高度：3mm-60mm可调</w:t>
            </w:r>
          </w:p>
        </w:tc>
      </w:tr>
      <w:tr w14:paraId="2EA8BA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5961772E">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438C2B34">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D0A76">
            <w:pPr>
              <w:keepNext w:val="0"/>
              <w:keepLines w:val="0"/>
              <w:widowControl/>
              <w:suppressLineNumbers w:val="0"/>
              <w:spacing w:line="360" w:lineRule="auto"/>
              <w:jc w:val="both"/>
              <w:textAlignment w:val="center"/>
              <w:rPr>
                <w:rFonts w:hint="default" w:ascii="Times New Roman" w:hAnsi="Times New Roman" w:eastAsia="宋体" w:cs="Times New Roman"/>
                <w:b/>
                <w:bCs/>
                <w:i w:val="0"/>
                <w:iCs w:val="0"/>
                <w:color w:val="000000"/>
                <w:sz w:val="24"/>
                <w:szCs w:val="24"/>
                <w:highlight w:val="none"/>
                <w:u w:val="none"/>
              </w:rPr>
            </w:pPr>
            <w:r>
              <w:rPr>
                <w:rFonts w:hint="default" w:ascii="Times New Roman" w:hAnsi="Times New Roman" w:eastAsia="宋体" w:cs="Times New Roman"/>
                <w:b/>
                <w:bCs/>
                <w:i w:val="0"/>
                <w:iCs w:val="0"/>
                <w:color w:val="000000"/>
                <w:kern w:val="0"/>
                <w:sz w:val="24"/>
                <w:szCs w:val="24"/>
                <w:highlight w:val="none"/>
                <w:u w:val="none"/>
                <w:lang w:val="en-US" w:eastAsia="zh-CN" w:bidi="ar"/>
              </w:rPr>
              <w:t>2.27. 全自动核酸提取仪①</w:t>
            </w:r>
          </w:p>
        </w:tc>
      </w:tr>
      <w:tr w14:paraId="2E91DB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363EE0AA">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35636335">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C8B3C">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2.27.1. 通量：1~96个样本</w:t>
            </w:r>
          </w:p>
        </w:tc>
      </w:tr>
      <w:tr w14:paraId="3C668F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5793EBD3">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2768BB3B">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ACDD6">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2.27.2. 工作体积：20-1000μl</w:t>
            </w:r>
          </w:p>
        </w:tc>
      </w:tr>
      <w:tr w14:paraId="2C0F93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2683E3CE">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49FE429F">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36ECA">
            <w:pPr>
              <w:keepNext w:val="0"/>
              <w:keepLines w:val="0"/>
              <w:widowControl/>
              <w:suppressLineNumbers w:val="0"/>
              <w:spacing w:line="360" w:lineRule="auto"/>
              <w:jc w:val="both"/>
              <w:textAlignment w:val="center"/>
              <w:rPr>
                <w:rFonts w:hint="default" w:ascii="Times New Roman" w:hAnsi="Times New Roman" w:eastAsia="宋体" w:cs="Times New Roman"/>
                <w:b/>
                <w:bCs/>
                <w:i w:val="0"/>
                <w:iCs w:val="0"/>
                <w:color w:val="000000"/>
                <w:sz w:val="24"/>
                <w:szCs w:val="24"/>
                <w:highlight w:val="none"/>
                <w:u w:val="none"/>
              </w:rPr>
            </w:pPr>
            <w:r>
              <w:rPr>
                <w:rFonts w:hint="default" w:ascii="Times New Roman" w:hAnsi="Times New Roman" w:eastAsia="宋体" w:cs="Times New Roman"/>
                <w:b/>
                <w:bCs/>
                <w:i w:val="0"/>
                <w:iCs w:val="0"/>
                <w:color w:val="000000"/>
                <w:kern w:val="0"/>
                <w:sz w:val="24"/>
                <w:szCs w:val="24"/>
                <w:highlight w:val="none"/>
                <w:u w:val="none"/>
                <w:lang w:val="en-US" w:eastAsia="zh-CN" w:bidi="ar"/>
              </w:rPr>
              <w:t>2.28. 全自动核酸提取仪②</w:t>
            </w:r>
          </w:p>
        </w:tc>
      </w:tr>
      <w:tr w14:paraId="6EF4C6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0F6F3444">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539252CB">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55D98">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2.28.1. 通量：1~48个样本</w:t>
            </w:r>
          </w:p>
        </w:tc>
      </w:tr>
      <w:tr w14:paraId="2EDBDF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55EF543F">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1F966E20">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D56FD">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2.28.2. 工作体积：20-1000μl</w:t>
            </w:r>
          </w:p>
        </w:tc>
      </w:tr>
      <w:tr w14:paraId="43A7AD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79A8EF7F">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7F3C436C">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FC117">
            <w:pPr>
              <w:keepNext w:val="0"/>
              <w:keepLines w:val="0"/>
              <w:widowControl/>
              <w:suppressLineNumbers w:val="0"/>
              <w:spacing w:line="360" w:lineRule="auto"/>
              <w:jc w:val="both"/>
              <w:textAlignment w:val="center"/>
              <w:rPr>
                <w:rFonts w:hint="default" w:ascii="Times New Roman" w:hAnsi="Times New Roman" w:eastAsia="宋体" w:cs="Times New Roman"/>
                <w:b/>
                <w:bCs/>
                <w:i w:val="0"/>
                <w:iCs w:val="0"/>
                <w:color w:val="000000"/>
                <w:sz w:val="24"/>
                <w:szCs w:val="24"/>
                <w:highlight w:val="none"/>
                <w:u w:val="none"/>
              </w:rPr>
            </w:pPr>
            <w:r>
              <w:rPr>
                <w:rFonts w:hint="default" w:ascii="Times New Roman" w:hAnsi="Times New Roman" w:eastAsia="宋体" w:cs="Times New Roman"/>
                <w:b/>
                <w:bCs/>
                <w:i w:val="0"/>
                <w:iCs w:val="0"/>
                <w:color w:val="000000"/>
                <w:kern w:val="0"/>
                <w:sz w:val="24"/>
                <w:szCs w:val="24"/>
                <w:highlight w:val="none"/>
                <w:u w:val="none"/>
                <w:lang w:val="en-US" w:eastAsia="zh-CN" w:bidi="ar"/>
              </w:rPr>
              <w:t>2.29. 96孔板涡旋混匀仪</w:t>
            </w:r>
          </w:p>
        </w:tc>
      </w:tr>
      <w:tr w14:paraId="4DB43E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6FB59C09">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4DA09F89">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0DA4D">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2.29.1. 运行方式：圆周，周转直径：4.5mm，速度范围：单孔板: 0-1500rpm，双孔板: 0-1000rpm</w:t>
            </w:r>
          </w:p>
        </w:tc>
      </w:tr>
      <w:tr w14:paraId="67B20C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168E005D">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1FFCBAE1">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F88DE">
            <w:pPr>
              <w:keepNext w:val="0"/>
              <w:keepLines w:val="0"/>
              <w:widowControl/>
              <w:suppressLineNumbers w:val="0"/>
              <w:spacing w:line="360" w:lineRule="auto"/>
              <w:jc w:val="both"/>
              <w:textAlignment w:val="center"/>
              <w:rPr>
                <w:rFonts w:hint="default" w:ascii="Times New Roman" w:hAnsi="Times New Roman" w:eastAsia="宋体" w:cs="Times New Roman"/>
                <w:b/>
                <w:bCs/>
                <w:i w:val="0"/>
                <w:iCs w:val="0"/>
                <w:color w:val="000000"/>
                <w:sz w:val="24"/>
                <w:szCs w:val="24"/>
                <w:highlight w:val="none"/>
                <w:u w:val="none"/>
              </w:rPr>
            </w:pPr>
            <w:r>
              <w:rPr>
                <w:rFonts w:hint="default" w:ascii="Times New Roman" w:hAnsi="Times New Roman" w:eastAsia="宋体" w:cs="Times New Roman"/>
                <w:b/>
                <w:bCs/>
                <w:i w:val="0"/>
                <w:iCs w:val="0"/>
                <w:color w:val="000000"/>
                <w:kern w:val="0"/>
                <w:sz w:val="24"/>
                <w:szCs w:val="24"/>
                <w:highlight w:val="none"/>
                <w:u w:val="none"/>
                <w:lang w:val="en-US" w:eastAsia="zh-CN" w:bidi="ar"/>
              </w:rPr>
              <w:t>2.30. 孔板离心机</w:t>
            </w:r>
          </w:p>
        </w:tc>
      </w:tr>
      <w:tr w14:paraId="5A17A9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0E51EB1A">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011E3CA8">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4CC18">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2.30.1. 最高转速：≥2500rpm/min，最大相对离心力：≥500xg，容量：2X96孔PCR板</w:t>
            </w:r>
          </w:p>
        </w:tc>
      </w:tr>
      <w:tr w14:paraId="268A30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0D69D11A">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5DB0D1CB">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DC4D6">
            <w:pPr>
              <w:keepNext w:val="0"/>
              <w:keepLines w:val="0"/>
              <w:widowControl/>
              <w:suppressLineNumbers w:val="0"/>
              <w:spacing w:line="360" w:lineRule="auto"/>
              <w:jc w:val="both"/>
              <w:textAlignment w:val="center"/>
              <w:rPr>
                <w:rFonts w:hint="default" w:ascii="Times New Roman" w:hAnsi="Times New Roman" w:eastAsia="宋体" w:cs="Times New Roman"/>
                <w:b/>
                <w:bCs/>
                <w:i w:val="0"/>
                <w:iCs w:val="0"/>
                <w:color w:val="000000"/>
                <w:sz w:val="24"/>
                <w:szCs w:val="24"/>
                <w:highlight w:val="none"/>
                <w:u w:val="none"/>
              </w:rPr>
            </w:pPr>
            <w:r>
              <w:rPr>
                <w:rFonts w:hint="default" w:ascii="Times New Roman" w:hAnsi="Times New Roman" w:eastAsia="宋体" w:cs="Times New Roman"/>
                <w:b/>
                <w:bCs/>
                <w:i w:val="0"/>
                <w:iCs w:val="0"/>
                <w:color w:val="000000"/>
                <w:kern w:val="0"/>
                <w:sz w:val="24"/>
                <w:szCs w:val="24"/>
                <w:highlight w:val="none"/>
                <w:u w:val="none"/>
                <w:lang w:val="en-US" w:eastAsia="zh-CN" w:bidi="ar"/>
              </w:rPr>
              <w:t>2.31. 超净工作台</w:t>
            </w:r>
          </w:p>
        </w:tc>
      </w:tr>
      <w:tr w14:paraId="588E94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6CA6DCAA">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25667B37">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7A547">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2.31.1. 双人超净工作台</w:t>
            </w:r>
          </w:p>
        </w:tc>
      </w:tr>
      <w:tr w14:paraId="7DAF56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570E5977">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0C685A2B">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B62CD">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2.31.2. 产品安全性：菌落数≤0.5CFU/30min</w:t>
            </w:r>
          </w:p>
        </w:tc>
      </w:tr>
      <w:tr w14:paraId="017E41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7BECB505">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4504AD6E">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18AB1">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2.31.3. 过滤效率:过滤器均采用无隔板高效过滤器，对直径0.3μm颗粒过滤效率为99.995%</w:t>
            </w:r>
          </w:p>
        </w:tc>
      </w:tr>
      <w:tr w14:paraId="7026D2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41933335">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23500A56">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12830">
            <w:pPr>
              <w:keepNext w:val="0"/>
              <w:keepLines w:val="0"/>
              <w:widowControl/>
              <w:suppressLineNumbers w:val="0"/>
              <w:spacing w:line="360" w:lineRule="auto"/>
              <w:jc w:val="both"/>
              <w:textAlignment w:val="center"/>
              <w:rPr>
                <w:rFonts w:hint="default" w:ascii="Times New Roman" w:hAnsi="Times New Roman" w:eastAsia="宋体" w:cs="Times New Roman"/>
                <w:b/>
                <w:bCs/>
                <w:i w:val="0"/>
                <w:iCs w:val="0"/>
                <w:color w:val="000000"/>
                <w:sz w:val="24"/>
                <w:szCs w:val="24"/>
                <w:highlight w:val="none"/>
                <w:u w:val="none"/>
              </w:rPr>
            </w:pPr>
            <w:r>
              <w:rPr>
                <w:rFonts w:hint="default" w:ascii="Times New Roman" w:hAnsi="Times New Roman" w:eastAsia="宋体" w:cs="Times New Roman"/>
                <w:b/>
                <w:bCs/>
                <w:i w:val="0"/>
                <w:iCs w:val="0"/>
                <w:color w:val="000000"/>
                <w:kern w:val="0"/>
                <w:sz w:val="24"/>
                <w:szCs w:val="24"/>
                <w:highlight w:val="none"/>
                <w:u w:val="none"/>
                <w:lang w:val="en-US" w:eastAsia="zh-CN" w:bidi="ar"/>
              </w:rPr>
              <w:t>2.32. 移液工作站</w:t>
            </w:r>
          </w:p>
        </w:tc>
      </w:tr>
      <w:tr w14:paraId="77C45F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53EE088B">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22EC642B">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18D0D">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2.32.1. 工作台面：3个</w:t>
            </w:r>
          </w:p>
        </w:tc>
      </w:tr>
      <w:tr w14:paraId="274248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57E9013A">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2B7DBF28">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257A7">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2.32.2. 96通道移液系统移液头，可一次处理单列或整板移液操作</w:t>
            </w:r>
          </w:p>
        </w:tc>
      </w:tr>
      <w:tr w14:paraId="296ED7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5ADE9C8F">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5316CBC7">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85566">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2.32.3. 移液范围： 0.5μL-1000μL，50μL、200μL、1000μL三种移液模块可选</w:t>
            </w:r>
          </w:p>
        </w:tc>
      </w:tr>
      <w:tr w14:paraId="13DDB3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0050463A">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55AEF8E8">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02506">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2.32.4. 适用耗材：支持SBS标准的96或384孔板、储液槽</w:t>
            </w:r>
          </w:p>
        </w:tc>
      </w:tr>
      <w:tr w14:paraId="264048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33A343A3">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57890B85">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5BBE0">
            <w:pPr>
              <w:keepNext w:val="0"/>
              <w:keepLines w:val="0"/>
              <w:widowControl/>
              <w:suppressLineNumbers w:val="0"/>
              <w:spacing w:line="360" w:lineRule="auto"/>
              <w:jc w:val="both"/>
              <w:textAlignment w:val="center"/>
              <w:rPr>
                <w:rFonts w:hint="default" w:ascii="Times New Roman" w:hAnsi="Times New Roman" w:eastAsia="宋体" w:cs="Times New Roman"/>
                <w:b/>
                <w:bCs/>
                <w:i w:val="0"/>
                <w:iCs w:val="0"/>
                <w:color w:val="000000"/>
                <w:sz w:val="24"/>
                <w:szCs w:val="24"/>
                <w:highlight w:val="none"/>
                <w:u w:val="none"/>
              </w:rPr>
            </w:pPr>
            <w:r>
              <w:rPr>
                <w:rFonts w:hint="default" w:ascii="Times New Roman" w:hAnsi="Times New Roman" w:eastAsia="宋体" w:cs="Times New Roman"/>
                <w:b/>
                <w:bCs/>
                <w:i w:val="0"/>
                <w:iCs w:val="0"/>
                <w:color w:val="000000"/>
                <w:kern w:val="0"/>
                <w:sz w:val="24"/>
                <w:szCs w:val="24"/>
                <w:highlight w:val="none"/>
                <w:u w:val="none"/>
                <w:lang w:val="en-US" w:eastAsia="zh-CN" w:bidi="ar"/>
              </w:rPr>
              <w:t>2.33. -20度冰箱</w:t>
            </w:r>
          </w:p>
        </w:tc>
      </w:tr>
      <w:tr w14:paraId="065456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3" w:hRule="atLeast"/>
        </w:trPr>
        <w:tc>
          <w:tcPr>
            <w:tcW w:w="675" w:type="dxa"/>
            <w:vMerge w:val="continue"/>
            <w:tcBorders>
              <w:left w:val="single" w:color="000000" w:sz="4" w:space="0"/>
              <w:right w:val="single" w:color="000000" w:sz="4" w:space="0"/>
            </w:tcBorders>
            <w:shd w:val="clear" w:color="auto" w:fill="auto"/>
            <w:vAlign w:val="center"/>
          </w:tcPr>
          <w:p w14:paraId="0DA990F5">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5777C4D2">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FB581">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2.33.1. 容积≥262L，温度范围：-10~-25℃</w:t>
            </w:r>
          </w:p>
        </w:tc>
      </w:tr>
      <w:tr w14:paraId="67826C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6396B36A">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110C5F15">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A69D5">
            <w:pPr>
              <w:keepNext w:val="0"/>
              <w:keepLines w:val="0"/>
              <w:widowControl/>
              <w:suppressLineNumbers w:val="0"/>
              <w:spacing w:line="360" w:lineRule="auto"/>
              <w:jc w:val="both"/>
              <w:textAlignment w:val="center"/>
              <w:rPr>
                <w:rFonts w:hint="default" w:ascii="Times New Roman" w:hAnsi="Times New Roman" w:eastAsia="宋体" w:cs="Times New Roman"/>
                <w:b/>
                <w:bCs/>
                <w:i w:val="0"/>
                <w:iCs w:val="0"/>
                <w:color w:val="000000"/>
                <w:sz w:val="24"/>
                <w:szCs w:val="24"/>
                <w:highlight w:val="none"/>
                <w:u w:val="none"/>
              </w:rPr>
            </w:pPr>
            <w:r>
              <w:rPr>
                <w:rFonts w:hint="default" w:ascii="Times New Roman" w:hAnsi="Times New Roman" w:eastAsia="宋体" w:cs="Times New Roman"/>
                <w:b/>
                <w:bCs/>
                <w:i w:val="0"/>
                <w:iCs w:val="0"/>
                <w:color w:val="000000"/>
                <w:kern w:val="0"/>
                <w:sz w:val="24"/>
                <w:szCs w:val="24"/>
                <w:highlight w:val="none"/>
                <w:u w:val="none"/>
                <w:lang w:val="en-US" w:eastAsia="zh-CN" w:bidi="ar"/>
              </w:rPr>
              <w:t>2.34. 涡旋混匀仪</w:t>
            </w:r>
          </w:p>
        </w:tc>
      </w:tr>
      <w:tr w14:paraId="60329C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02AF1C42">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2DF6A8D9">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FBB22">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2.34.1. 振荡方式：圆周，周转直径：4mm，转速范围：0-3000rpm</w:t>
            </w:r>
          </w:p>
        </w:tc>
      </w:tr>
      <w:tr w14:paraId="45DC3B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3C628E84">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3B39FE29">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11FC5">
            <w:pPr>
              <w:keepNext w:val="0"/>
              <w:keepLines w:val="0"/>
              <w:widowControl/>
              <w:suppressLineNumbers w:val="0"/>
              <w:spacing w:line="360" w:lineRule="auto"/>
              <w:jc w:val="both"/>
              <w:textAlignment w:val="center"/>
              <w:rPr>
                <w:rFonts w:hint="default" w:ascii="Times New Roman" w:hAnsi="Times New Roman" w:eastAsia="宋体" w:cs="Times New Roman"/>
                <w:b/>
                <w:bCs/>
                <w:i w:val="0"/>
                <w:iCs w:val="0"/>
                <w:color w:val="000000"/>
                <w:sz w:val="24"/>
                <w:szCs w:val="24"/>
                <w:highlight w:val="none"/>
                <w:u w:val="none"/>
              </w:rPr>
            </w:pPr>
            <w:r>
              <w:rPr>
                <w:rFonts w:hint="default" w:ascii="Times New Roman" w:hAnsi="Times New Roman" w:eastAsia="宋体" w:cs="Times New Roman"/>
                <w:b/>
                <w:bCs/>
                <w:i w:val="0"/>
                <w:iCs w:val="0"/>
                <w:color w:val="000000"/>
                <w:kern w:val="0"/>
                <w:sz w:val="24"/>
                <w:szCs w:val="24"/>
                <w:highlight w:val="none"/>
                <w:u w:val="none"/>
                <w:lang w:val="en-US" w:eastAsia="zh-CN" w:bidi="ar"/>
              </w:rPr>
              <w:t>2.35. 瞬时离心机</w:t>
            </w:r>
          </w:p>
        </w:tc>
      </w:tr>
      <w:tr w14:paraId="7D36AC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3C437F95">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50C195D5">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F3283">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2.35.1.  最大转速：≥7000rpm，最大相对离心力：≥2680×g；最大容量2ml x 8 离心管，2 x 0.2ml PCR8排管</w:t>
            </w:r>
          </w:p>
        </w:tc>
      </w:tr>
      <w:tr w14:paraId="0CC9E6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7BC43162">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29477701">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B13AC">
            <w:pPr>
              <w:keepNext w:val="0"/>
              <w:keepLines w:val="0"/>
              <w:widowControl/>
              <w:suppressLineNumbers w:val="0"/>
              <w:spacing w:line="360" w:lineRule="auto"/>
              <w:jc w:val="both"/>
              <w:textAlignment w:val="center"/>
              <w:rPr>
                <w:rFonts w:hint="default" w:ascii="Times New Roman" w:hAnsi="Times New Roman" w:eastAsia="宋体" w:cs="Times New Roman"/>
                <w:b/>
                <w:bCs/>
                <w:i w:val="0"/>
                <w:iCs w:val="0"/>
                <w:color w:val="000000"/>
                <w:sz w:val="24"/>
                <w:szCs w:val="24"/>
                <w:highlight w:val="none"/>
                <w:u w:val="none"/>
              </w:rPr>
            </w:pPr>
            <w:r>
              <w:rPr>
                <w:rFonts w:hint="default" w:ascii="Times New Roman" w:hAnsi="Times New Roman" w:eastAsia="宋体" w:cs="Times New Roman"/>
                <w:b/>
                <w:bCs/>
                <w:i w:val="0"/>
                <w:iCs w:val="0"/>
                <w:color w:val="000000"/>
                <w:kern w:val="0"/>
                <w:sz w:val="24"/>
                <w:szCs w:val="24"/>
                <w:highlight w:val="none"/>
                <w:u w:val="none"/>
                <w:lang w:val="en-US" w:eastAsia="zh-CN" w:bidi="ar"/>
              </w:rPr>
              <w:t>2.36. 灭菌器</w:t>
            </w:r>
          </w:p>
        </w:tc>
      </w:tr>
      <w:tr w14:paraId="22E2A4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258DAC45">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426EA80E">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4806E">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2.36.1.  容积：≥100L</w:t>
            </w:r>
          </w:p>
        </w:tc>
      </w:tr>
      <w:tr w14:paraId="69F86A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0722C393">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1E0A53AF">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AEE61">
            <w:pPr>
              <w:keepNext w:val="0"/>
              <w:keepLines w:val="0"/>
              <w:widowControl/>
              <w:suppressLineNumbers w:val="0"/>
              <w:spacing w:line="360" w:lineRule="auto"/>
              <w:jc w:val="both"/>
              <w:textAlignment w:val="center"/>
              <w:rPr>
                <w:rFonts w:hint="default" w:ascii="Times New Roman" w:hAnsi="Times New Roman" w:eastAsia="宋体" w:cs="Times New Roman"/>
                <w:b/>
                <w:bCs/>
                <w:i w:val="0"/>
                <w:iCs w:val="0"/>
                <w:color w:val="000000"/>
                <w:sz w:val="24"/>
                <w:szCs w:val="24"/>
                <w:highlight w:val="none"/>
                <w:u w:val="none"/>
              </w:rPr>
            </w:pPr>
            <w:r>
              <w:rPr>
                <w:rFonts w:hint="default" w:ascii="Times New Roman" w:hAnsi="Times New Roman" w:eastAsia="宋体" w:cs="Times New Roman"/>
                <w:b/>
                <w:bCs/>
                <w:i w:val="0"/>
                <w:iCs w:val="0"/>
                <w:color w:val="000000"/>
                <w:kern w:val="0"/>
                <w:sz w:val="24"/>
                <w:szCs w:val="24"/>
                <w:highlight w:val="none"/>
                <w:u w:val="none"/>
                <w:lang w:val="en-US" w:eastAsia="zh-CN" w:bidi="ar"/>
              </w:rPr>
              <w:t>3. 全自动建库模块</w:t>
            </w:r>
          </w:p>
        </w:tc>
      </w:tr>
      <w:tr w14:paraId="584F68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20" w:hRule="atLeast"/>
        </w:trPr>
        <w:tc>
          <w:tcPr>
            <w:tcW w:w="675" w:type="dxa"/>
            <w:vMerge w:val="continue"/>
            <w:tcBorders>
              <w:left w:val="single" w:color="000000" w:sz="4" w:space="0"/>
              <w:right w:val="single" w:color="000000" w:sz="4" w:space="0"/>
            </w:tcBorders>
            <w:shd w:val="clear" w:color="auto" w:fill="auto"/>
            <w:vAlign w:val="center"/>
          </w:tcPr>
          <w:p w14:paraId="5A3D9657">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73803929">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20026">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全自动建库模块需配置层流罩组件，保证平台内部环境洁净，全自动建库模块通过整合自动化物料转运组件、自动化液体工作站组件、自动化耗材供给组件、自动化冰箱组件、自动化微孔板离心组件、自动化片段分析组件、自动化qPCR仪组件、自动化定量组件、自动化撕膜组件、自动化封膜组件的设备实现NGS相关的试剂配制、文库构建、文库定量、文库Pooling等实验环节。软件能够实现对所有设备的实时监控和动态调度，以及优化设备利用率。同时支持对实验过程中产生的数据进行收集、汇总、记录以及处理。</w:t>
            </w:r>
          </w:p>
        </w:tc>
      </w:tr>
      <w:tr w14:paraId="35AFF5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45E33D6A">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7AC31485">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21474">
            <w:pPr>
              <w:keepNext w:val="0"/>
              <w:keepLines w:val="0"/>
              <w:widowControl/>
              <w:suppressLineNumbers w:val="0"/>
              <w:spacing w:line="360" w:lineRule="auto"/>
              <w:jc w:val="both"/>
              <w:textAlignment w:val="center"/>
              <w:rPr>
                <w:rFonts w:hint="default" w:ascii="Times New Roman" w:hAnsi="Times New Roman" w:eastAsia="宋体" w:cs="Times New Roman"/>
                <w:b/>
                <w:bCs/>
                <w:i w:val="0"/>
                <w:iCs w:val="0"/>
                <w:color w:val="000000"/>
                <w:sz w:val="24"/>
                <w:szCs w:val="24"/>
                <w:highlight w:val="none"/>
                <w:u w:val="none"/>
              </w:rPr>
            </w:pPr>
            <w:r>
              <w:rPr>
                <w:rFonts w:hint="default" w:ascii="Times New Roman" w:hAnsi="Times New Roman" w:eastAsia="宋体" w:cs="Times New Roman"/>
                <w:b/>
                <w:bCs/>
                <w:i w:val="0"/>
                <w:iCs w:val="0"/>
                <w:color w:val="000000"/>
                <w:kern w:val="0"/>
                <w:sz w:val="24"/>
                <w:szCs w:val="24"/>
                <w:highlight w:val="none"/>
                <w:u w:val="none"/>
                <w:lang w:val="en-US" w:eastAsia="zh-CN" w:bidi="ar"/>
              </w:rPr>
              <w:t>3.1. 自动化物料转运组件</w:t>
            </w:r>
          </w:p>
        </w:tc>
      </w:tr>
      <w:tr w14:paraId="5564B3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4B7D7E79">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5A8963EB">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AE03D">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▲3.1.1. 机器人符合ISO 10218标准，【</w:t>
            </w:r>
            <w:r>
              <w:rPr>
                <w:rFonts w:hint="default" w:ascii="Times New Roman" w:hAnsi="Times New Roman" w:eastAsia="宋体" w:cs="Times New Roman"/>
                <w:b/>
                <w:bCs/>
                <w:i w:val="0"/>
                <w:iCs w:val="0"/>
                <w:color w:val="000000"/>
                <w:kern w:val="0"/>
                <w:sz w:val="24"/>
                <w:szCs w:val="24"/>
                <w:highlight w:val="none"/>
                <w:u w:val="none"/>
                <w:lang w:val="en-US" w:eastAsia="zh-CN" w:bidi="ar"/>
              </w:rPr>
              <w:t>提供符合声明承诺函并加盖投标人公章</w:t>
            </w:r>
            <w:r>
              <w:rPr>
                <w:rFonts w:hint="default" w:ascii="Times New Roman" w:hAnsi="Times New Roman" w:eastAsia="宋体" w:cs="Times New Roman"/>
                <w:i w:val="0"/>
                <w:iCs w:val="0"/>
                <w:color w:val="000000"/>
                <w:kern w:val="0"/>
                <w:sz w:val="24"/>
                <w:szCs w:val="24"/>
                <w:highlight w:val="none"/>
                <w:u w:val="none"/>
                <w:lang w:val="en-US" w:eastAsia="zh-CN" w:bidi="ar"/>
              </w:rPr>
              <w:t>】</w:t>
            </w:r>
          </w:p>
        </w:tc>
      </w:tr>
      <w:tr w14:paraId="53BCDD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167CD80F">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2D054CD5">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69750">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3.1.2. 机械臂臂展≥650mm，重复定位精度≤±0.09mm，机械臂最大速度 ≥500mm/sec，负载能力≥500g</w:t>
            </w:r>
          </w:p>
        </w:tc>
      </w:tr>
      <w:tr w14:paraId="44C032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540405BA">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4A56458F">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3F204">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3.1.3. 机械臂支持拖动示教，可手动轻松推动机械臂关节</w:t>
            </w:r>
          </w:p>
        </w:tc>
      </w:tr>
      <w:tr w14:paraId="7FBF4F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675" w:type="dxa"/>
            <w:vMerge w:val="continue"/>
            <w:tcBorders>
              <w:left w:val="single" w:color="000000" w:sz="4" w:space="0"/>
              <w:right w:val="single" w:color="000000" w:sz="4" w:space="0"/>
            </w:tcBorders>
            <w:shd w:val="clear" w:color="auto" w:fill="auto"/>
            <w:vAlign w:val="center"/>
          </w:tcPr>
          <w:p w14:paraId="5A17293B">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15FE03EF">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97CAF">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3.1.4. 夹爪的夹持力≥23N，行程≥60mm，可兼顾标准孔板宽边和窄边抓取需求，具有掉电保持功能，机械臂/系统突然断电不会掉板，具有夹持状态检测功能，返回当前可确认是否有孔板被夹持</w:t>
            </w:r>
          </w:p>
        </w:tc>
      </w:tr>
      <w:tr w14:paraId="601017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trPr>
        <w:tc>
          <w:tcPr>
            <w:tcW w:w="675" w:type="dxa"/>
            <w:vMerge w:val="continue"/>
            <w:tcBorders>
              <w:left w:val="single" w:color="000000" w:sz="4" w:space="0"/>
              <w:right w:val="single" w:color="000000" w:sz="4" w:space="0"/>
            </w:tcBorders>
            <w:shd w:val="clear" w:color="auto" w:fill="auto"/>
            <w:vAlign w:val="center"/>
          </w:tcPr>
          <w:p w14:paraId="4C8A5FDA">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42532F65">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A71A9">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▲3.1.5. 机械臂可配备对应的导轨，速度≥750mm/sec，夹爪和导轨同作为机械臂系统的一个关节轴存在，同机械臂被同一个控制器管理，可以使用机械臂的编程指令对导轨路径进行规划，</w:t>
            </w:r>
            <w:r>
              <w:rPr>
                <w:rFonts w:hint="default" w:ascii="Times New Roman" w:hAnsi="Times New Roman" w:eastAsia="宋体" w:cs="Times New Roman"/>
                <w:b/>
                <w:bCs/>
                <w:i w:val="0"/>
                <w:iCs w:val="0"/>
                <w:color w:val="000000"/>
                <w:kern w:val="0"/>
                <w:sz w:val="24"/>
                <w:szCs w:val="24"/>
                <w:highlight w:val="none"/>
                <w:u w:val="none"/>
                <w:lang w:val="en-US" w:eastAsia="zh-CN" w:bidi="ar"/>
              </w:rPr>
              <w:t>【须提供制造商公开发布的产品白皮书或产品彩页或官网截图证明或第三方机构出具的检测报告或制造商盖章承诺函】</w:t>
            </w:r>
          </w:p>
        </w:tc>
      </w:tr>
      <w:tr w14:paraId="7D7664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6177D78B">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0AD06C3E">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04F9C">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3.1.6. 支持自动化整合</w:t>
            </w:r>
          </w:p>
        </w:tc>
      </w:tr>
      <w:tr w14:paraId="3519F3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4C49AD88">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5808AABB">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26BA6">
            <w:pPr>
              <w:keepNext w:val="0"/>
              <w:keepLines w:val="0"/>
              <w:widowControl/>
              <w:suppressLineNumbers w:val="0"/>
              <w:spacing w:line="360" w:lineRule="auto"/>
              <w:jc w:val="both"/>
              <w:textAlignment w:val="center"/>
              <w:rPr>
                <w:rFonts w:hint="default" w:ascii="Times New Roman" w:hAnsi="Times New Roman" w:eastAsia="宋体" w:cs="Times New Roman"/>
                <w:b/>
                <w:bCs/>
                <w:i w:val="0"/>
                <w:iCs w:val="0"/>
                <w:color w:val="000000"/>
                <w:sz w:val="24"/>
                <w:szCs w:val="24"/>
                <w:highlight w:val="none"/>
                <w:u w:val="none"/>
              </w:rPr>
            </w:pPr>
            <w:r>
              <w:rPr>
                <w:rFonts w:hint="default" w:ascii="Times New Roman" w:hAnsi="Times New Roman" w:eastAsia="宋体" w:cs="Times New Roman"/>
                <w:b/>
                <w:bCs/>
                <w:i w:val="0"/>
                <w:iCs w:val="0"/>
                <w:color w:val="000000"/>
                <w:kern w:val="0"/>
                <w:sz w:val="24"/>
                <w:szCs w:val="24"/>
                <w:highlight w:val="none"/>
                <w:u w:val="none"/>
                <w:lang w:val="en-US" w:eastAsia="zh-CN" w:bidi="ar"/>
              </w:rPr>
              <w:t>3.2. 自动化液体工作站组件①</w:t>
            </w:r>
          </w:p>
        </w:tc>
      </w:tr>
      <w:tr w14:paraId="26EF37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392CE692">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689C23B7">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2CA75">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3.2.1.主机台面SBS标准工作板位≥20个</w:t>
            </w:r>
          </w:p>
        </w:tc>
      </w:tr>
      <w:tr w14:paraId="2208C4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2AF8B150">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1A26A241">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E23A7">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3.2.2.具有1个8通道移液机械臂，可配置通道抓手，由单臂即可实现：加样、转板的操作; 机械臂XYZ轴的运动精度达±0.5 mm</w:t>
            </w:r>
          </w:p>
        </w:tc>
      </w:tr>
      <w:tr w14:paraId="09B36A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675" w:type="dxa"/>
            <w:vMerge w:val="continue"/>
            <w:tcBorders>
              <w:left w:val="single" w:color="000000" w:sz="4" w:space="0"/>
              <w:right w:val="single" w:color="000000" w:sz="4" w:space="0"/>
            </w:tcBorders>
            <w:shd w:val="clear" w:color="auto" w:fill="auto"/>
            <w:vAlign w:val="center"/>
          </w:tcPr>
          <w:p w14:paraId="014FD0B9">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0641EEA0">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5B571">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▲3.2.3.具有8个独立的加样通道，每个通道Z轴灵活独立，Y轴方向支持不等间距独立控制，满足不同耗材及多种复杂流程的移液需求，</w:t>
            </w:r>
            <w:r>
              <w:rPr>
                <w:rFonts w:hint="default" w:ascii="Times New Roman" w:hAnsi="Times New Roman" w:eastAsia="宋体" w:cs="Times New Roman"/>
                <w:b/>
                <w:bCs/>
                <w:i w:val="0"/>
                <w:iCs w:val="0"/>
                <w:color w:val="000000"/>
                <w:kern w:val="0"/>
                <w:sz w:val="24"/>
                <w:szCs w:val="24"/>
                <w:highlight w:val="none"/>
                <w:u w:val="none"/>
                <w:lang w:val="en-US" w:eastAsia="zh-CN" w:bidi="ar"/>
              </w:rPr>
              <w:t>【须提供制造商公开发布的产品白皮书或产品彩页或官网截图证明或第三方机构出具的检测报告】</w:t>
            </w:r>
          </w:p>
        </w:tc>
      </w:tr>
      <w:tr w14:paraId="07F405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28911C0F">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39794598">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996C4">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3.2.4.加样通道集成电容液面探测系统，且每个通道可独立进行探测</w:t>
            </w:r>
          </w:p>
        </w:tc>
      </w:tr>
      <w:tr w14:paraId="6AE75A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1333915D">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50D3F678">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C9672">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▲3.2.5.移液量程广，体积范围可达：1-5000μL</w:t>
            </w:r>
          </w:p>
        </w:tc>
      </w:tr>
      <w:tr w14:paraId="2B491A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07E6A76A">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69CAF02D">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93DD0">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3.2.6.工作站内置温度和湿度传感器，实时监控实验条件</w:t>
            </w:r>
          </w:p>
        </w:tc>
      </w:tr>
      <w:tr w14:paraId="558B4C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3B27C1E7">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569D50FD">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7F2CA">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3.2.7.开放通讯接口，支持与大机械臂整合，支持中央控制系统集中调度</w:t>
            </w:r>
          </w:p>
        </w:tc>
      </w:tr>
      <w:tr w14:paraId="2CFDF5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2D7FE680">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031CBF2E">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A5218">
            <w:pPr>
              <w:keepNext w:val="0"/>
              <w:keepLines w:val="0"/>
              <w:widowControl/>
              <w:suppressLineNumbers w:val="0"/>
              <w:spacing w:line="360" w:lineRule="auto"/>
              <w:jc w:val="both"/>
              <w:textAlignment w:val="center"/>
              <w:rPr>
                <w:rFonts w:hint="default" w:ascii="Times New Roman" w:hAnsi="Times New Roman" w:eastAsia="宋体" w:cs="Times New Roman"/>
                <w:b/>
                <w:bCs/>
                <w:i w:val="0"/>
                <w:iCs w:val="0"/>
                <w:color w:val="000000"/>
                <w:sz w:val="24"/>
                <w:szCs w:val="24"/>
                <w:highlight w:val="none"/>
                <w:u w:val="none"/>
              </w:rPr>
            </w:pPr>
            <w:r>
              <w:rPr>
                <w:rFonts w:hint="default" w:ascii="Times New Roman" w:hAnsi="Times New Roman" w:eastAsia="宋体" w:cs="Times New Roman"/>
                <w:b/>
                <w:bCs/>
                <w:i w:val="0"/>
                <w:iCs w:val="0"/>
                <w:color w:val="000000"/>
                <w:kern w:val="0"/>
                <w:sz w:val="24"/>
                <w:szCs w:val="24"/>
                <w:highlight w:val="none"/>
                <w:u w:val="none"/>
                <w:lang w:val="en-US" w:eastAsia="zh-CN" w:bidi="ar"/>
              </w:rPr>
              <w:t>3.3. 自动化液体工作站组件②</w:t>
            </w:r>
          </w:p>
        </w:tc>
      </w:tr>
      <w:tr w14:paraId="0759AC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658AEC74">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1B1E2EC1">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3A986">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3.3.1.主机台面SBS标准工作板位≥20个</w:t>
            </w:r>
          </w:p>
        </w:tc>
      </w:tr>
      <w:tr w14:paraId="56C9FF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675" w:type="dxa"/>
            <w:vMerge w:val="continue"/>
            <w:tcBorders>
              <w:left w:val="single" w:color="000000" w:sz="4" w:space="0"/>
              <w:right w:val="single" w:color="000000" w:sz="4" w:space="0"/>
            </w:tcBorders>
            <w:shd w:val="clear" w:color="auto" w:fill="auto"/>
            <w:vAlign w:val="center"/>
          </w:tcPr>
          <w:p w14:paraId="1A80A016">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6A53907D">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9974D">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3.3.2.具有两个独立机械臂系统：包括1个96通道移液机械臂臂和1个独立抓板机械臂，双臂协同操作，可实现同时加样、分液与转板，互不干扰，节省操作时间，提高实验效率</w:t>
            </w:r>
          </w:p>
        </w:tc>
      </w:tr>
      <w:tr w14:paraId="2AB3A1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51735BAD">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730D3BA3">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47CB8">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3.3.3.工作站台面活动区域以外具有独立的微孔板存储区，存储位不占加样台面空间</w:t>
            </w:r>
          </w:p>
        </w:tc>
      </w:tr>
      <w:tr w14:paraId="33F576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3BAE2DBB">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40FA6017">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53761">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3.3.4.96通道移液器移液范围：1-200ul</w:t>
            </w:r>
          </w:p>
        </w:tc>
      </w:tr>
      <w:tr w14:paraId="6E017A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637FE7CB">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1A22EF50">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C63C8">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3.3.5.移板机械臂可270度旋转，侧向抓板手至少可承重400g</w:t>
            </w:r>
          </w:p>
        </w:tc>
      </w:tr>
      <w:tr w14:paraId="57716A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7A145D04">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16580C2E">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F9FFD">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3.3.6.主机平台带工作状态指示灯，具有声光双重报警系统</w:t>
            </w:r>
          </w:p>
        </w:tc>
      </w:tr>
      <w:tr w14:paraId="0F87BF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65B55291">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735CF300">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5AE86">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3.3.7.具有安全防护面板，配备门锁，可防止非法进入工作台面，面板带有暂停按钮，可在任一时间进行暂停，处理异常事件</w:t>
            </w:r>
          </w:p>
        </w:tc>
      </w:tr>
      <w:tr w14:paraId="39D2F3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0579C38A">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6018EB33">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CBE69">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3.3.8.支持自动化整合</w:t>
            </w:r>
          </w:p>
        </w:tc>
      </w:tr>
      <w:tr w14:paraId="348083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03DFF3CB">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7F725BA1">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A6338">
            <w:pPr>
              <w:keepNext w:val="0"/>
              <w:keepLines w:val="0"/>
              <w:widowControl/>
              <w:suppressLineNumbers w:val="0"/>
              <w:spacing w:line="360" w:lineRule="auto"/>
              <w:jc w:val="both"/>
              <w:textAlignment w:val="center"/>
              <w:rPr>
                <w:rFonts w:hint="default" w:ascii="Times New Roman" w:hAnsi="Times New Roman" w:eastAsia="宋体" w:cs="Times New Roman"/>
                <w:b/>
                <w:bCs/>
                <w:i w:val="0"/>
                <w:iCs w:val="0"/>
                <w:color w:val="000000"/>
                <w:sz w:val="24"/>
                <w:szCs w:val="24"/>
                <w:highlight w:val="none"/>
                <w:u w:val="none"/>
              </w:rPr>
            </w:pPr>
            <w:r>
              <w:rPr>
                <w:rFonts w:hint="default" w:ascii="Times New Roman" w:hAnsi="Times New Roman" w:eastAsia="宋体" w:cs="Times New Roman"/>
                <w:b/>
                <w:bCs/>
                <w:i w:val="0"/>
                <w:iCs w:val="0"/>
                <w:color w:val="000000"/>
                <w:kern w:val="0"/>
                <w:sz w:val="24"/>
                <w:szCs w:val="24"/>
                <w:highlight w:val="none"/>
                <w:u w:val="none"/>
                <w:lang w:val="en-US" w:eastAsia="zh-CN" w:bidi="ar"/>
              </w:rPr>
              <w:t>3.4. 自动化耗材供给组件</w:t>
            </w:r>
          </w:p>
        </w:tc>
      </w:tr>
      <w:tr w14:paraId="4D04FA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6DB9A572">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5849D267">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7B56E">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3.4.1. 旋转式存储板架</w:t>
            </w:r>
          </w:p>
        </w:tc>
      </w:tr>
      <w:tr w14:paraId="44976D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62982C59">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473454F5">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A75AC">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3.4.2. 兼容耗材类型：符合SBS标准的微孔板、深孔板、细胞培养板以及枪头盒等，存储容量：≥200块符合SBS标准的微孔板（高度h≤18mm）</w:t>
            </w:r>
          </w:p>
        </w:tc>
      </w:tr>
      <w:tr w14:paraId="3B746B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7A2175DF">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3034FCBA">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8A742">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3.4.3. 存取效率：完成1块孔板的存入或取出平均时间≤15s</w:t>
            </w:r>
          </w:p>
        </w:tc>
      </w:tr>
      <w:tr w14:paraId="0CDAE2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40A6CF00">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5A0B5FE5">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4CC04">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3.4.4.支持自动化整合</w:t>
            </w:r>
          </w:p>
        </w:tc>
      </w:tr>
      <w:tr w14:paraId="47909E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273771E8">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49A4F260">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20DC9">
            <w:pPr>
              <w:keepNext w:val="0"/>
              <w:keepLines w:val="0"/>
              <w:widowControl/>
              <w:suppressLineNumbers w:val="0"/>
              <w:spacing w:line="360" w:lineRule="auto"/>
              <w:jc w:val="both"/>
              <w:textAlignment w:val="center"/>
              <w:rPr>
                <w:rFonts w:hint="default" w:ascii="Times New Roman" w:hAnsi="Times New Roman" w:eastAsia="宋体" w:cs="Times New Roman"/>
                <w:b/>
                <w:bCs/>
                <w:i w:val="0"/>
                <w:iCs w:val="0"/>
                <w:color w:val="000000"/>
                <w:sz w:val="24"/>
                <w:szCs w:val="24"/>
                <w:highlight w:val="none"/>
                <w:u w:val="none"/>
              </w:rPr>
            </w:pPr>
            <w:r>
              <w:rPr>
                <w:rFonts w:hint="default" w:ascii="Times New Roman" w:hAnsi="Times New Roman" w:eastAsia="宋体" w:cs="Times New Roman"/>
                <w:b/>
                <w:bCs/>
                <w:i w:val="0"/>
                <w:iCs w:val="0"/>
                <w:color w:val="000000"/>
                <w:kern w:val="0"/>
                <w:sz w:val="24"/>
                <w:szCs w:val="24"/>
                <w:highlight w:val="none"/>
                <w:u w:val="none"/>
                <w:lang w:val="en-US" w:eastAsia="zh-CN" w:bidi="ar"/>
              </w:rPr>
              <w:t>3.5. 自动化冰箱组件</w:t>
            </w:r>
          </w:p>
        </w:tc>
      </w:tr>
      <w:tr w14:paraId="7E7058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1594C6B8">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480A82B5">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FF77F">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3.5.1. 用于自动化实验中的试剂低温存储，可与自动化机械臂整合</w:t>
            </w:r>
          </w:p>
        </w:tc>
      </w:tr>
      <w:tr w14:paraId="1DD509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69A94385">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75C851EB">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0ECFD">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3.5.2. 可容纳≥2个标准载架，可容纳＞40块标准微孔板</w:t>
            </w:r>
          </w:p>
        </w:tc>
      </w:tr>
      <w:tr w14:paraId="6F1FDB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4448BCB9">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04108F5B">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45361">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▲3.5.3. 采用自动湿热灭菌技术，实现无人值守，对难处理的抗热微生物也有很强的灭菌效果，灭菌程序结束自动恢复到设定的培养温度</w:t>
            </w:r>
          </w:p>
        </w:tc>
      </w:tr>
      <w:tr w14:paraId="454A28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23BDAF93">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025B3977">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DA101">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3.5.4. 外置低温循环水浴，温度控制范围：+4-25℃</w:t>
            </w:r>
          </w:p>
        </w:tc>
      </w:tr>
      <w:tr w14:paraId="3ED3F8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202D84AC">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654A8646">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223F3">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3.5.5. 内置步进马达控制的板穿梭传递系统，具有板检测功能</w:t>
            </w:r>
          </w:p>
        </w:tc>
      </w:tr>
      <w:tr w14:paraId="5496CB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553E775E">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205ABE7A">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B3C8E">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3.5.6. 提供5种以上小门选择位置，便于更灵活整合</w:t>
            </w:r>
          </w:p>
        </w:tc>
      </w:tr>
      <w:tr w14:paraId="525413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5F02B621">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43344F59">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38CE5">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3.5.7. 整合方式灵活，可置于台面上，也可置于台面下</w:t>
            </w:r>
          </w:p>
        </w:tc>
      </w:tr>
      <w:tr w14:paraId="30B744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70A29D59">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484F0490">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DB41D">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3.5.8. 取板速度不超过14s</w:t>
            </w:r>
          </w:p>
        </w:tc>
      </w:tr>
      <w:tr w14:paraId="5325B5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0BE16D9F">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51253270">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88885">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3.5.9.图形化触摸屏界面，直观显示设定及实际参数</w:t>
            </w:r>
          </w:p>
        </w:tc>
      </w:tr>
      <w:tr w14:paraId="306AA5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35B76341">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50B286D9">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A9D9B">
            <w:pPr>
              <w:keepNext w:val="0"/>
              <w:keepLines w:val="0"/>
              <w:widowControl/>
              <w:suppressLineNumbers w:val="0"/>
              <w:spacing w:line="360" w:lineRule="auto"/>
              <w:jc w:val="both"/>
              <w:textAlignment w:val="center"/>
              <w:rPr>
                <w:rFonts w:hint="default" w:ascii="Times New Roman" w:hAnsi="Times New Roman" w:eastAsia="宋体" w:cs="Times New Roman"/>
                <w:b/>
                <w:bCs/>
                <w:i w:val="0"/>
                <w:iCs w:val="0"/>
                <w:color w:val="000000"/>
                <w:sz w:val="24"/>
                <w:szCs w:val="24"/>
                <w:highlight w:val="none"/>
                <w:u w:val="none"/>
              </w:rPr>
            </w:pPr>
            <w:r>
              <w:rPr>
                <w:rFonts w:hint="default" w:ascii="Times New Roman" w:hAnsi="Times New Roman" w:eastAsia="宋体" w:cs="Times New Roman"/>
                <w:b/>
                <w:bCs/>
                <w:i w:val="0"/>
                <w:iCs w:val="0"/>
                <w:color w:val="000000"/>
                <w:kern w:val="0"/>
                <w:sz w:val="24"/>
                <w:szCs w:val="24"/>
                <w:highlight w:val="none"/>
                <w:u w:val="none"/>
                <w:lang w:val="en-US" w:eastAsia="zh-CN" w:bidi="ar"/>
              </w:rPr>
              <w:t>3.6. 自动化微孔板离心组件</w:t>
            </w:r>
          </w:p>
        </w:tc>
      </w:tr>
      <w:tr w14:paraId="023856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675" w:type="dxa"/>
            <w:vMerge w:val="continue"/>
            <w:tcBorders>
              <w:left w:val="single" w:color="000000" w:sz="4" w:space="0"/>
              <w:right w:val="single" w:color="000000" w:sz="4" w:space="0"/>
            </w:tcBorders>
            <w:shd w:val="clear" w:color="auto" w:fill="auto"/>
            <w:vAlign w:val="center"/>
          </w:tcPr>
          <w:p w14:paraId="5FCEB379">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62A8EBA3">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F0B3F">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3.6.1. 具有SBS规格的离心板位≥2个，可适用于SBS规格的微孔板、深孔板、全裙边PCR板等，可适应总高≤50mm的不同高度的耗材，配备不小于5英寸的触控屏</w:t>
            </w:r>
          </w:p>
        </w:tc>
      </w:tr>
      <w:tr w14:paraId="4DB1E9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7F9B1806">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3375D891">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BDE73">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3.6.2. 最大转速：≥4000rpm，最大相对离心力：≥2050g</w:t>
            </w:r>
          </w:p>
        </w:tc>
      </w:tr>
      <w:tr w14:paraId="2933BA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279E357C">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2DBF47F8">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E5188">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3.6.3. 机器人可从离心机正面、顶面与离心机吊篮直接交互</w:t>
            </w:r>
          </w:p>
        </w:tc>
      </w:tr>
      <w:tr w14:paraId="37C0ED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1B9936D5">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7FA0EF93">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DAB28">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3.6.4. 支持自动化整合</w:t>
            </w:r>
          </w:p>
        </w:tc>
      </w:tr>
      <w:tr w14:paraId="32DCEC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311564D0">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2FFB2A74">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E3F44">
            <w:pPr>
              <w:keepNext w:val="0"/>
              <w:keepLines w:val="0"/>
              <w:widowControl/>
              <w:suppressLineNumbers w:val="0"/>
              <w:spacing w:line="360" w:lineRule="auto"/>
              <w:jc w:val="both"/>
              <w:textAlignment w:val="center"/>
              <w:rPr>
                <w:rFonts w:hint="default" w:ascii="Times New Roman" w:hAnsi="Times New Roman" w:eastAsia="宋体" w:cs="Times New Roman"/>
                <w:b/>
                <w:bCs/>
                <w:i w:val="0"/>
                <w:iCs w:val="0"/>
                <w:color w:val="000000"/>
                <w:sz w:val="24"/>
                <w:szCs w:val="24"/>
                <w:highlight w:val="none"/>
                <w:u w:val="none"/>
              </w:rPr>
            </w:pPr>
            <w:r>
              <w:rPr>
                <w:rFonts w:hint="default" w:ascii="Times New Roman" w:hAnsi="Times New Roman" w:eastAsia="宋体" w:cs="Times New Roman"/>
                <w:b/>
                <w:bCs/>
                <w:i w:val="0"/>
                <w:iCs w:val="0"/>
                <w:color w:val="000000"/>
                <w:kern w:val="0"/>
                <w:sz w:val="24"/>
                <w:szCs w:val="24"/>
                <w:highlight w:val="none"/>
                <w:u w:val="none"/>
                <w:lang w:val="en-US" w:eastAsia="zh-CN" w:bidi="ar"/>
              </w:rPr>
              <w:t>3.7. 自动化片段分析组件</w:t>
            </w:r>
          </w:p>
        </w:tc>
      </w:tr>
      <w:tr w14:paraId="7423DE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44C5C9AF">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02892752">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B9E79">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▲3.7.1. 可与自动化系统联用，通过自动化系统全天候进行DNA和RNA样品的分析，在无人值守的情况下，每24小时可分析2400多个样品</w:t>
            </w:r>
          </w:p>
        </w:tc>
      </w:tr>
      <w:tr w14:paraId="43283E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2EC8FC47">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67D00EBA">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F654C">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▲3.7.2. 适配标准96孔板装载样品，方便样品转板，匹配96阵列毛细管，实现40min运行96个样本</w:t>
            </w:r>
          </w:p>
        </w:tc>
      </w:tr>
      <w:tr w14:paraId="263F00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17AB53CD">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5D970BAE">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209B5">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3.7.3. 300bp以内长度的片段进行分析时，分辨率可达3bp</w:t>
            </w:r>
          </w:p>
        </w:tc>
      </w:tr>
      <w:tr w14:paraId="59FA27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739A5ED6">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5EA17EA5">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1D4A4">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3.7.4. DNA样品≤2ul、RNA样品≤2ul且无需额外搭配非标耗材如0.1ml微量管，操作简单，避免二次污染</w:t>
            </w:r>
          </w:p>
        </w:tc>
      </w:tr>
      <w:tr w14:paraId="3E0E26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35E168DB">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7AEADA85">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85B5D">
            <w:pPr>
              <w:keepNext w:val="0"/>
              <w:keepLines w:val="0"/>
              <w:widowControl/>
              <w:suppressLineNumbers w:val="0"/>
              <w:spacing w:line="360" w:lineRule="auto"/>
              <w:jc w:val="both"/>
              <w:textAlignment w:val="center"/>
              <w:rPr>
                <w:rFonts w:hint="default" w:ascii="Times New Roman" w:hAnsi="Times New Roman" w:eastAsia="宋体" w:cs="Times New Roman"/>
                <w:b/>
                <w:bCs/>
                <w:i w:val="0"/>
                <w:iCs w:val="0"/>
                <w:color w:val="000000"/>
                <w:sz w:val="24"/>
                <w:szCs w:val="24"/>
                <w:highlight w:val="none"/>
                <w:u w:val="none"/>
              </w:rPr>
            </w:pPr>
            <w:r>
              <w:rPr>
                <w:rFonts w:hint="default" w:ascii="Times New Roman" w:hAnsi="Times New Roman" w:eastAsia="宋体" w:cs="Times New Roman"/>
                <w:b/>
                <w:bCs/>
                <w:i w:val="0"/>
                <w:iCs w:val="0"/>
                <w:color w:val="000000"/>
                <w:kern w:val="0"/>
                <w:sz w:val="24"/>
                <w:szCs w:val="24"/>
                <w:highlight w:val="none"/>
                <w:u w:val="none"/>
                <w:lang w:val="en-US" w:eastAsia="zh-CN" w:bidi="ar"/>
              </w:rPr>
              <w:t>3.8. 自动化qPCR仪组件</w:t>
            </w:r>
          </w:p>
        </w:tc>
      </w:tr>
      <w:tr w14:paraId="520955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7E15DB86">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204E0D01">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BF272">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3.8.1. 反应通量：96</w:t>
            </w:r>
          </w:p>
        </w:tc>
      </w:tr>
      <w:tr w14:paraId="216524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3D33829B">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4CE8909C">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077C8">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★3.8.2. 检测通道数≥6个，</w:t>
            </w:r>
            <w:r>
              <w:rPr>
                <w:rFonts w:hint="default" w:ascii="Times New Roman" w:hAnsi="Times New Roman" w:eastAsia="宋体" w:cs="Times New Roman"/>
                <w:b/>
                <w:bCs/>
                <w:i w:val="0"/>
                <w:iCs w:val="0"/>
                <w:color w:val="000000"/>
                <w:kern w:val="0"/>
                <w:sz w:val="24"/>
                <w:szCs w:val="24"/>
                <w:highlight w:val="none"/>
                <w:u w:val="none"/>
                <w:lang w:val="en-US" w:eastAsia="zh-CN" w:bidi="ar"/>
              </w:rPr>
              <w:t>【须提供制造商公开发布的产品白皮书或产品彩页或官网截图证明或第三方机构出具的检测报告】</w:t>
            </w:r>
          </w:p>
        </w:tc>
      </w:tr>
      <w:tr w14:paraId="713F3C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09989B48">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66DC8996">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60F19">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3.8.3. 温度范围：37℃–95℃，温度精确度：≤±0.1℃</w:t>
            </w:r>
          </w:p>
        </w:tc>
      </w:tr>
      <w:tr w14:paraId="7AF6C4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044884FD">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581DDA14">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5416F">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3.8.4. 检测灵敏度：可检测单拷贝基因，动力学线性范围：可检测到1-1010个拷贝DNA</w:t>
            </w:r>
          </w:p>
        </w:tc>
      </w:tr>
      <w:tr w14:paraId="0F3DFB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775D7D7E">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31E28325">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B981E">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▲3.8.5. 可区分1000拷贝和2000拷贝模板浓度的差异，支持现场验证</w:t>
            </w:r>
          </w:p>
        </w:tc>
      </w:tr>
      <w:tr w14:paraId="60DADC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640ADA49">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2A66FBEE">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2B03A">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3.8.6. 支持自动化整合</w:t>
            </w:r>
          </w:p>
        </w:tc>
      </w:tr>
      <w:tr w14:paraId="133BDA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7BBE7DF8">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054BCC33">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86C28">
            <w:pPr>
              <w:keepNext w:val="0"/>
              <w:keepLines w:val="0"/>
              <w:widowControl/>
              <w:suppressLineNumbers w:val="0"/>
              <w:spacing w:line="360" w:lineRule="auto"/>
              <w:jc w:val="both"/>
              <w:textAlignment w:val="center"/>
              <w:rPr>
                <w:rFonts w:hint="default" w:ascii="Times New Roman" w:hAnsi="Times New Roman" w:eastAsia="宋体" w:cs="Times New Roman"/>
                <w:b/>
                <w:bCs/>
                <w:i w:val="0"/>
                <w:iCs w:val="0"/>
                <w:color w:val="000000"/>
                <w:sz w:val="24"/>
                <w:szCs w:val="24"/>
                <w:highlight w:val="none"/>
                <w:u w:val="none"/>
              </w:rPr>
            </w:pPr>
            <w:r>
              <w:rPr>
                <w:rFonts w:hint="default" w:ascii="Times New Roman" w:hAnsi="Times New Roman" w:eastAsia="宋体" w:cs="Times New Roman"/>
                <w:b/>
                <w:bCs/>
                <w:i w:val="0"/>
                <w:iCs w:val="0"/>
                <w:color w:val="000000"/>
                <w:kern w:val="0"/>
                <w:sz w:val="24"/>
                <w:szCs w:val="24"/>
                <w:highlight w:val="none"/>
                <w:u w:val="none"/>
                <w:lang w:val="en-US" w:eastAsia="zh-CN" w:bidi="ar"/>
              </w:rPr>
              <w:t>3.9. 自动化定量组件</w:t>
            </w:r>
          </w:p>
        </w:tc>
      </w:tr>
      <w:tr w14:paraId="0C4722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216862F2">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0009F1AF">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C0B0B">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3.9.1.检测模式：光吸收、荧光顶部底部、时间分辨荧光（TRF）</w:t>
            </w:r>
          </w:p>
        </w:tc>
      </w:tr>
      <w:tr w14:paraId="569209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317F557C">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2F84E3F5">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0DD69">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3.9.2.波长选择：自动弹出式智能四位滤光片盒，内置EPPROM，记录滤光片波长信息及使用寿命</w:t>
            </w:r>
          </w:p>
        </w:tc>
      </w:tr>
      <w:tr w14:paraId="53EE52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78E34009">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34E4092A">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452C1">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3.9.3.适用板型：6-384孔板、PCR板、4位卧式比色杯、高通量微量检测板（2ul×16）和其他自定义板型</w:t>
            </w:r>
          </w:p>
        </w:tc>
      </w:tr>
      <w:tr w14:paraId="0B56E0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7309A412">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32B05067">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2F840">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3.9.4.检测器：紫外光电二极管PDT（光吸收）、红外敏感PMT（荧光）</w:t>
            </w:r>
          </w:p>
        </w:tc>
      </w:tr>
      <w:tr w14:paraId="5BDF3A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62C060FF">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5EBE0F32">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D5BA82">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3.9.5.光吸收波长范围：230-1000nm，按滤光片配置而定；检测分辨率：0.0001 OD；测量范围：0-4 OD</w:t>
            </w:r>
          </w:p>
        </w:tc>
      </w:tr>
      <w:tr w14:paraId="377D53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675" w:type="dxa"/>
            <w:vMerge w:val="continue"/>
            <w:tcBorders>
              <w:left w:val="single" w:color="000000" w:sz="4" w:space="0"/>
              <w:right w:val="single" w:color="000000" w:sz="4" w:space="0"/>
            </w:tcBorders>
            <w:shd w:val="clear" w:color="auto" w:fill="auto"/>
            <w:vAlign w:val="center"/>
          </w:tcPr>
          <w:p w14:paraId="5CF8BDFD">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7B5D39B0">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CBD5F">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3.9.6.荧光激发波长范围：230-850nm，依滤光片而定；发射波长范围：280-850nm，依滤光片而定；顶部检测灵敏度：85 amol荧光素/ well (100 μl, 384孔板)，检测线性范围： 7个数量级</w:t>
            </w:r>
          </w:p>
        </w:tc>
      </w:tr>
      <w:tr w14:paraId="220B68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122E190B">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4B32384F">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1B9EB">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3.9.7.时间分辨荧光灵敏度：2.8 amol 铕/孔（0.9 pM，384孔板，100ul体系）</w:t>
            </w:r>
          </w:p>
        </w:tc>
      </w:tr>
      <w:tr w14:paraId="1915C2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5ED50614">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4E2A31C0">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ADBA6">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3.9.8.自动化兼容性：可与条码阅读器、自动化工作站及微孔板叠放系统无缝整合</w:t>
            </w:r>
          </w:p>
        </w:tc>
      </w:tr>
      <w:tr w14:paraId="3BCE6B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2DAFD861">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790B048A">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6CBCA">
            <w:pPr>
              <w:keepNext w:val="0"/>
              <w:keepLines w:val="0"/>
              <w:widowControl/>
              <w:suppressLineNumbers w:val="0"/>
              <w:spacing w:line="360" w:lineRule="auto"/>
              <w:jc w:val="both"/>
              <w:textAlignment w:val="center"/>
              <w:rPr>
                <w:rFonts w:hint="default" w:ascii="Times New Roman" w:hAnsi="Times New Roman" w:eastAsia="宋体" w:cs="Times New Roman"/>
                <w:b/>
                <w:bCs/>
                <w:i w:val="0"/>
                <w:iCs w:val="0"/>
                <w:color w:val="000000"/>
                <w:sz w:val="24"/>
                <w:szCs w:val="24"/>
                <w:highlight w:val="none"/>
                <w:u w:val="none"/>
              </w:rPr>
            </w:pPr>
            <w:r>
              <w:rPr>
                <w:rFonts w:hint="default" w:ascii="Times New Roman" w:hAnsi="Times New Roman" w:eastAsia="宋体" w:cs="Times New Roman"/>
                <w:b/>
                <w:bCs/>
                <w:i w:val="0"/>
                <w:iCs w:val="0"/>
                <w:color w:val="000000"/>
                <w:kern w:val="0"/>
                <w:sz w:val="24"/>
                <w:szCs w:val="24"/>
                <w:highlight w:val="none"/>
                <w:u w:val="none"/>
                <w:lang w:val="en-US" w:eastAsia="zh-CN" w:bidi="ar"/>
              </w:rPr>
              <w:t>3.10. 自动化撕膜组件</w:t>
            </w:r>
          </w:p>
        </w:tc>
      </w:tr>
      <w:tr w14:paraId="6C5ADA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4B34A1D7">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6AAE9CB4">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A57C6">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3.10.1. 撕膜方法和技术：采用粘贴式撕膜技术，非传统机械式撕膜方法，保证每次撕膜的可靠性</w:t>
            </w:r>
          </w:p>
        </w:tc>
      </w:tr>
      <w:tr w14:paraId="5EA247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2A354981">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16AD1626">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C1670">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3.10.2. 撕膜速度可调节，最高可达250次撕膜/小时</w:t>
            </w:r>
          </w:p>
        </w:tc>
      </w:tr>
      <w:tr w14:paraId="7808E1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6296F9C6">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2C56CDE7">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0EC15">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3.10.3. 撕膜高度自动适应，可兼容8-70mm各符合SBS规格的孔板</w:t>
            </w:r>
          </w:p>
        </w:tc>
      </w:tr>
      <w:tr w14:paraId="2774F5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5A3A0CB7">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14B48CB8">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52569">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3.10.4. 支持自动化整合</w:t>
            </w:r>
          </w:p>
        </w:tc>
      </w:tr>
      <w:tr w14:paraId="5920C2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2E4D2326">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34943DA8">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DFEBB">
            <w:pPr>
              <w:keepNext w:val="0"/>
              <w:keepLines w:val="0"/>
              <w:widowControl/>
              <w:suppressLineNumbers w:val="0"/>
              <w:spacing w:line="360" w:lineRule="auto"/>
              <w:jc w:val="both"/>
              <w:textAlignment w:val="center"/>
              <w:rPr>
                <w:rFonts w:hint="default" w:ascii="Times New Roman" w:hAnsi="Times New Roman" w:eastAsia="宋体" w:cs="Times New Roman"/>
                <w:b/>
                <w:bCs/>
                <w:i w:val="0"/>
                <w:iCs w:val="0"/>
                <w:color w:val="000000"/>
                <w:sz w:val="24"/>
                <w:szCs w:val="24"/>
                <w:highlight w:val="none"/>
                <w:u w:val="none"/>
              </w:rPr>
            </w:pPr>
            <w:r>
              <w:rPr>
                <w:rFonts w:hint="default" w:ascii="Times New Roman" w:hAnsi="Times New Roman" w:eastAsia="宋体" w:cs="Times New Roman"/>
                <w:b/>
                <w:bCs/>
                <w:i w:val="0"/>
                <w:iCs w:val="0"/>
                <w:color w:val="000000"/>
                <w:kern w:val="0"/>
                <w:sz w:val="24"/>
                <w:szCs w:val="24"/>
                <w:highlight w:val="none"/>
                <w:u w:val="none"/>
                <w:lang w:val="en-US" w:eastAsia="zh-CN" w:bidi="ar"/>
              </w:rPr>
              <w:t>3.11. 自动化封膜组件</w:t>
            </w:r>
          </w:p>
        </w:tc>
      </w:tr>
      <w:tr w14:paraId="4A343B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0B1EE3D4">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5C4B8B75">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70527">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3.11.1. 全自动封膜，适用可撕膜、可穿刺膜、永久性膜，适用铝膜、透明膜、可透气膜等多种膜</w:t>
            </w:r>
          </w:p>
        </w:tc>
      </w:tr>
      <w:tr w14:paraId="6196DF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7404A930">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565E5A5C">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E5E0C">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3.11.2. 可兼容所有SBS、ANSI标准孔板，孔板高度范围：3mm-55mm</w:t>
            </w:r>
          </w:p>
        </w:tc>
      </w:tr>
      <w:tr w14:paraId="7369E6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176EC201">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26B50052">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8D906">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3.11.3. 热封温度范围 ：100℃ 至200℃，封膜循环时间最快20秒</w:t>
            </w:r>
          </w:p>
        </w:tc>
      </w:tr>
      <w:tr w14:paraId="77C858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67231670">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4720865D">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CF12C">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3.11.4. 支持自动化整合</w:t>
            </w:r>
          </w:p>
        </w:tc>
      </w:tr>
      <w:tr w14:paraId="69F3AB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2B6EB400">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382A43B3">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5DC39">
            <w:pPr>
              <w:keepNext w:val="0"/>
              <w:keepLines w:val="0"/>
              <w:widowControl/>
              <w:suppressLineNumbers w:val="0"/>
              <w:spacing w:line="360" w:lineRule="auto"/>
              <w:jc w:val="both"/>
              <w:textAlignment w:val="center"/>
              <w:rPr>
                <w:rFonts w:hint="default" w:ascii="Times New Roman" w:hAnsi="Times New Roman" w:eastAsia="宋体" w:cs="Times New Roman"/>
                <w:b/>
                <w:bCs/>
                <w:i w:val="0"/>
                <w:iCs w:val="0"/>
                <w:color w:val="000000"/>
                <w:sz w:val="24"/>
                <w:szCs w:val="24"/>
                <w:highlight w:val="none"/>
                <w:u w:val="none"/>
              </w:rPr>
            </w:pPr>
            <w:r>
              <w:rPr>
                <w:rFonts w:hint="default" w:ascii="Times New Roman" w:hAnsi="Times New Roman" w:eastAsia="宋体" w:cs="Times New Roman"/>
                <w:b/>
                <w:bCs/>
                <w:i w:val="0"/>
                <w:iCs w:val="0"/>
                <w:color w:val="000000"/>
                <w:kern w:val="0"/>
                <w:sz w:val="24"/>
                <w:szCs w:val="24"/>
                <w:highlight w:val="none"/>
                <w:u w:val="none"/>
                <w:lang w:val="en-US" w:eastAsia="zh-CN" w:bidi="ar"/>
              </w:rPr>
              <w:t>3.12自动化热循环组件</w:t>
            </w:r>
          </w:p>
        </w:tc>
      </w:tr>
      <w:tr w14:paraId="24FA13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4CD49F8A">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2DD07353">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1A2D6">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3.12.1. 加热模块形式：96 孔 0.2 mL 加热模块，可兼容全裙边和半裙边反应板</w:t>
            </w:r>
          </w:p>
        </w:tc>
      </w:tr>
      <w:tr w14:paraId="4CA401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3C89946A">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0D832039">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3DC8E">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3.12.2. 温度范围：4-105 ℃，低温状态下不会发生冷凝，温度准确度：±0.25 ℃ (35.0-99.9 ℃)，温度精度 0.1 ℃</w:t>
            </w:r>
          </w:p>
        </w:tc>
      </w:tr>
      <w:tr w14:paraId="3BBA31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50CEBC0A">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2BFF90A8">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4B2B5">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3.12.3. 可从前方、双侧或上方对反应板进行操作</w:t>
            </w:r>
          </w:p>
        </w:tc>
      </w:tr>
      <w:tr w14:paraId="37839C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470AB111">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7B00FA14">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88733">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3.12.4. 支持自动化整合</w:t>
            </w:r>
          </w:p>
        </w:tc>
      </w:tr>
      <w:tr w14:paraId="2B3DCB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29792E80">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1B59BE10">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7B2F0">
            <w:pPr>
              <w:keepNext w:val="0"/>
              <w:keepLines w:val="0"/>
              <w:widowControl/>
              <w:suppressLineNumbers w:val="0"/>
              <w:spacing w:line="360" w:lineRule="auto"/>
              <w:jc w:val="both"/>
              <w:textAlignment w:val="center"/>
              <w:rPr>
                <w:rFonts w:hint="default" w:ascii="Times New Roman" w:hAnsi="Times New Roman" w:eastAsia="宋体" w:cs="Times New Roman"/>
                <w:b/>
                <w:bCs/>
                <w:i w:val="0"/>
                <w:iCs w:val="0"/>
                <w:color w:val="000000"/>
                <w:sz w:val="24"/>
                <w:szCs w:val="24"/>
                <w:highlight w:val="none"/>
                <w:u w:val="none"/>
              </w:rPr>
            </w:pPr>
            <w:r>
              <w:rPr>
                <w:rFonts w:hint="default" w:ascii="Times New Roman" w:hAnsi="Times New Roman" w:eastAsia="宋体" w:cs="Times New Roman"/>
                <w:b/>
                <w:bCs/>
                <w:i w:val="0"/>
                <w:iCs w:val="0"/>
                <w:color w:val="000000"/>
                <w:kern w:val="0"/>
                <w:sz w:val="24"/>
                <w:szCs w:val="24"/>
                <w:highlight w:val="none"/>
                <w:u w:val="none"/>
                <w:lang w:val="en-US" w:eastAsia="zh-CN" w:bidi="ar"/>
              </w:rPr>
              <w:t>3.13. 自动化HEPA组件</w:t>
            </w:r>
          </w:p>
        </w:tc>
      </w:tr>
      <w:tr w14:paraId="6E9621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1F32CF10">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230955AB">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BF748">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3.13.1. 组件配置负压HEPA，过滤效率H14，防止气溶胶外泄，保护操作人员安全，工作站相对房间的压差≤-10Pa</w:t>
            </w:r>
          </w:p>
        </w:tc>
      </w:tr>
      <w:tr w14:paraId="48DE58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698A9944">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395BBB1D">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00B58">
            <w:pPr>
              <w:keepNext w:val="0"/>
              <w:keepLines w:val="0"/>
              <w:widowControl/>
              <w:suppressLineNumbers w:val="0"/>
              <w:spacing w:line="360" w:lineRule="auto"/>
              <w:jc w:val="both"/>
              <w:textAlignment w:val="center"/>
              <w:rPr>
                <w:rFonts w:hint="default" w:ascii="Times New Roman" w:hAnsi="Times New Roman" w:eastAsia="宋体" w:cs="Times New Roman"/>
                <w:b/>
                <w:bCs/>
                <w:i w:val="0"/>
                <w:iCs w:val="0"/>
                <w:color w:val="000000"/>
                <w:sz w:val="24"/>
                <w:szCs w:val="24"/>
                <w:highlight w:val="none"/>
                <w:u w:val="none"/>
              </w:rPr>
            </w:pPr>
            <w:r>
              <w:rPr>
                <w:rFonts w:hint="default" w:ascii="Times New Roman" w:hAnsi="Times New Roman" w:eastAsia="宋体" w:cs="Times New Roman"/>
                <w:b/>
                <w:bCs/>
                <w:i w:val="0"/>
                <w:iCs w:val="0"/>
                <w:color w:val="000000"/>
                <w:kern w:val="0"/>
                <w:sz w:val="24"/>
                <w:szCs w:val="24"/>
                <w:highlight w:val="none"/>
                <w:u w:val="none"/>
                <w:lang w:val="en-US" w:eastAsia="zh-CN" w:bidi="ar"/>
              </w:rPr>
              <w:t>3.14. 自动化化工作台及电控组件</w:t>
            </w:r>
          </w:p>
        </w:tc>
      </w:tr>
      <w:tr w14:paraId="6ECDE7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79FB72B7">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775142BC">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E1AC3">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3.14.1. 工作台主体框架耐受酒精擦拭消毒，台面耐受酸碱</w:t>
            </w:r>
          </w:p>
        </w:tc>
      </w:tr>
      <w:tr w14:paraId="3EE0EC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75" w:type="dxa"/>
            <w:vMerge w:val="continue"/>
            <w:tcBorders>
              <w:left w:val="single" w:color="000000" w:sz="4" w:space="0"/>
              <w:right w:val="single" w:color="000000" w:sz="4" w:space="0"/>
            </w:tcBorders>
            <w:shd w:val="clear" w:color="auto" w:fill="auto"/>
            <w:vAlign w:val="center"/>
          </w:tcPr>
          <w:p w14:paraId="46E53A63">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477B02B1">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BA5D6">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3.14.2. 工作台具备水平调节功能，对存在振动的中大型自动化设备配有相应的减震装置，保证设备长期稳定高效运行，对存在耗材补充的中小型自动化设备配有相应的水平拉动式底座，便于耗材补给及维护</w:t>
            </w:r>
          </w:p>
        </w:tc>
      </w:tr>
      <w:tr w14:paraId="70543E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65F6AD7F">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27147EA8">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5BA4D">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3.14.3. 电控组件需包含：工控机x1、千兆交换机x1</w:t>
            </w:r>
          </w:p>
        </w:tc>
      </w:tr>
      <w:tr w14:paraId="51987A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41305489">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507FF3E2">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72D35">
            <w:pPr>
              <w:keepNext w:val="0"/>
              <w:keepLines w:val="0"/>
              <w:widowControl/>
              <w:suppressLineNumbers w:val="0"/>
              <w:spacing w:line="360" w:lineRule="auto"/>
              <w:jc w:val="both"/>
              <w:textAlignment w:val="center"/>
              <w:rPr>
                <w:rFonts w:hint="default" w:ascii="Times New Roman" w:hAnsi="Times New Roman" w:eastAsia="宋体" w:cs="Times New Roman"/>
                <w:b/>
                <w:bCs/>
                <w:i w:val="0"/>
                <w:iCs w:val="0"/>
                <w:color w:val="000000"/>
                <w:sz w:val="24"/>
                <w:szCs w:val="24"/>
                <w:highlight w:val="none"/>
                <w:u w:val="none"/>
              </w:rPr>
            </w:pPr>
            <w:r>
              <w:rPr>
                <w:rFonts w:hint="default" w:ascii="Times New Roman" w:hAnsi="Times New Roman" w:eastAsia="宋体" w:cs="Times New Roman"/>
                <w:b/>
                <w:bCs/>
                <w:i w:val="0"/>
                <w:iCs w:val="0"/>
                <w:color w:val="000000"/>
                <w:kern w:val="0"/>
                <w:sz w:val="24"/>
                <w:szCs w:val="24"/>
                <w:highlight w:val="none"/>
                <w:u w:val="none"/>
                <w:lang w:val="en-US" w:eastAsia="zh-CN" w:bidi="ar"/>
              </w:rPr>
              <w:t>3.15. 中央控制软件</w:t>
            </w:r>
          </w:p>
        </w:tc>
      </w:tr>
      <w:tr w14:paraId="1BFF76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05A0D3CE">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13DE9295">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F5F14">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3.15.1. 支持在没有上层派单系统的情况下，可在中控软件人机交互界面手工下单</w:t>
            </w:r>
          </w:p>
        </w:tc>
      </w:tr>
      <w:tr w14:paraId="627C8D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75" w:type="dxa"/>
            <w:vMerge w:val="continue"/>
            <w:tcBorders>
              <w:left w:val="single" w:color="000000" w:sz="4" w:space="0"/>
              <w:right w:val="single" w:color="000000" w:sz="4" w:space="0"/>
            </w:tcBorders>
            <w:shd w:val="clear" w:color="auto" w:fill="auto"/>
            <w:vAlign w:val="center"/>
          </w:tcPr>
          <w:p w14:paraId="74AE626B">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729AAE12">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EE46D">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▲3.15.2.工艺解析：可由实验人员按实验SOP自主编写产品工艺动作并实现自动解析，便于从整体上理解或检测工艺，也可以通过步骤甘特图了解排产情况。</w:t>
            </w:r>
            <w:r>
              <w:rPr>
                <w:rFonts w:hint="default" w:ascii="Times New Roman" w:hAnsi="Times New Roman" w:eastAsia="宋体" w:cs="Times New Roman"/>
                <w:b/>
                <w:bCs/>
                <w:i w:val="0"/>
                <w:iCs w:val="0"/>
                <w:color w:val="000000"/>
                <w:kern w:val="0"/>
                <w:sz w:val="24"/>
                <w:szCs w:val="24"/>
                <w:highlight w:val="none"/>
                <w:u w:val="none"/>
                <w:lang w:val="en-US" w:eastAsia="zh-CN" w:bidi="ar"/>
              </w:rPr>
              <w:t>【提供工艺流程可视化解析图及步骤甘特图】</w:t>
            </w:r>
          </w:p>
        </w:tc>
      </w:tr>
      <w:tr w14:paraId="50DD37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390B022A">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323ECA41">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17AC0">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3.15.3.只需明确实验核心步骤所需设备、方法、参数及步骤依赖关系即可编写流程，配置效率高</w:t>
            </w:r>
          </w:p>
        </w:tc>
      </w:tr>
      <w:tr w14:paraId="716899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228A08E0">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2DF593D5">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5A000">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▲3.15.4.支持Excel或CSV文件工艺编辑，不依赖于产线软件，基于产线已有方法名称，编辑好工艺之后上传，检查通过后即可使用</w:t>
            </w:r>
          </w:p>
        </w:tc>
      </w:tr>
      <w:tr w14:paraId="30164E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30CE53EB">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2D1D6541">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8F4DD">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3.15.5.支持循环、条件判断、变量、表达式、函数等高级语法，无需编程也可实现动态工艺编辑</w:t>
            </w:r>
          </w:p>
        </w:tc>
      </w:tr>
      <w:tr w14:paraId="07EF0E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176C0729">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71E14AE2">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A0BB0">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3.15.6.具有单一产线多产品多设备组的柔性混合排程效果，具备插单及优先级控制功能</w:t>
            </w:r>
          </w:p>
        </w:tc>
      </w:tr>
      <w:tr w14:paraId="7E9F3A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6C72F25E">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097CA8B3">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73AC2">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▲3.15.7.支持运行数据实时备份，实验进程全程受控可追溯，可实现任意断点快速重启，容灾性强</w:t>
            </w:r>
          </w:p>
        </w:tc>
      </w:tr>
      <w:tr w14:paraId="253F63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675" w:type="dxa"/>
            <w:vMerge w:val="continue"/>
            <w:tcBorders>
              <w:left w:val="single" w:color="000000" w:sz="4" w:space="0"/>
              <w:right w:val="single" w:color="000000" w:sz="4" w:space="0"/>
            </w:tcBorders>
            <w:shd w:val="clear" w:color="auto" w:fill="auto"/>
            <w:vAlign w:val="center"/>
          </w:tcPr>
          <w:p w14:paraId="27DC84D7">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01864A56">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FDE4C">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3.15.8.每次运行前软件提供排产报告：配备工艺流程可视化功能，解析图逻辑清晰，便于从整体上理解或检测工艺，也可通过步骤甘特图了解排产情况及各工单预估周期</w:t>
            </w:r>
          </w:p>
        </w:tc>
      </w:tr>
      <w:tr w14:paraId="6CEA9A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3B892BCB">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6E155EC0">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7742F">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3.15.9.支持企业微信异常提醒功能，支持异常语音播报功能</w:t>
            </w:r>
          </w:p>
        </w:tc>
      </w:tr>
      <w:tr w14:paraId="6FB0AC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16318F2D">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7F207AD7">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2296C">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kern w:val="0"/>
                <w:sz w:val="24"/>
                <w:szCs w:val="24"/>
                <w:highlight w:val="none"/>
                <w:u w:val="none"/>
                <w:lang w:val="en-US" w:eastAsia="zh-CN" w:bidi="ar"/>
              </w:rPr>
            </w:pPr>
            <w:r>
              <w:rPr>
                <w:rFonts w:hint="default" w:ascii="Times New Roman" w:hAnsi="Times New Roman" w:eastAsia="宋体" w:cs="Times New Roman"/>
                <w:i w:val="0"/>
                <w:iCs w:val="0"/>
                <w:color w:val="000000"/>
                <w:kern w:val="0"/>
                <w:sz w:val="24"/>
                <w:szCs w:val="24"/>
                <w:highlight w:val="none"/>
                <w:u w:val="none"/>
                <w:lang w:val="en-US" w:eastAsia="zh-CN" w:bidi="ar"/>
              </w:rPr>
              <w:t>3.15.10.</w:t>
            </w:r>
            <w:r>
              <w:rPr>
                <w:rFonts w:hint="default" w:ascii="Times New Roman" w:hAnsi="Times New Roman" w:eastAsia="宋体" w:cs="Times New Roman"/>
                <w:color w:val="000000"/>
                <w:kern w:val="0"/>
                <w:sz w:val="24"/>
                <w:szCs w:val="24"/>
                <w:highlight w:val="none"/>
                <w:u w:val="none"/>
                <w:lang w:bidi="ar"/>
              </w:rPr>
              <w:t>定制开发适配不同宿主的rRNA去除试剂盒，测序下机数据分析核糖体 RNA 占比，宿主rRNA ratio≤10%</w:t>
            </w:r>
          </w:p>
        </w:tc>
      </w:tr>
      <w:tr w14:paraId="681487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69CC65F9">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34E79F48">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5A7AB">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kern w:val="0"/>
                <w:sz w:val="24"/>
                <w:szCs w:val="24"/>
                <w:highlight w:val="none"/>
                <w:u w:val="none"/>
                <w:lang w:val="en-US" w:eastAsia="zh-CN" w:bidi="ar"/>
              </w:rPr>
            </w:pPr>
            <w:r>
              <w:rPr>
                <w:rFonts w:hint="default" w:ascii="Times New Roman" w:hAnsi="Times New Roman" w:eastAsia="宋体" w:cs="Times New Roman"/>
                <w:i w:val="0"/>
                <w:iCs w:val="0"/>
                <w:color w:val="000000"/>
                <w:kern w:val="0"/>
                <w:sz w:val="24"/>
                <w:szCs w:val="24"/>
                <w:highlight w:val="none"/>
                <w:u w:val="none"/>
                <w:lang w:val="en-US" w:eastAsia="zh-CN" w:bidi="ar"/>
              </w:rPr>
              <w:t>3.15.11.</w:t>
            </w:r>
            <w:r>
              <w:rPr>
                <w:rFonts w:hint="default" w:ascii="Times New Roman" w:hAnsi="Times New Roman" w:eastAsia="宋体" w:cs="Times New Roman"/>
                <w:color w:val="000000"/>
                <w:kern w:val="0"/>
                <w:sz w:val="24"/>
                <w:szCs w:val="24"/>
                <w:highlight w:val="none"/>
                <w:u w:val="none"/>
                <w:lang w:bidi="ar"/>
              </w:rPr>
              <w:t>定制开发RNA建库试剂盒，可完成RIN≥3的低质量降解样本文库构建</w:t>
            </w:r>
          </w:p>
        </w:tc>
      </w:tr>
      <w:tr w14:paraId="0C7761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5BF58193">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2773C2DA">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40EF1">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kern w:val="0"/>
                <w:sz w:val="24"/>
                <w:szCs w:val="24"/>
                <w:highlight w:val="none"/>
                <w:u w:val="none"/>
                <w:lang w:val="en-US" w:eastAsia="zh-CN" w:bidi="ar"/>
              </w:rPr>
            </w:pPr>
            <w:bookmarkStart w:id="13" w:name="OLE_LINK11"/>
            <w:r>
              <w:rPr>
                <w:rFonts w:hint="default" w:ascii="Times New Roman" w:hAnsi="Times New Roman" w:eastAsia="宋体" w:cs="Times New Roman"/>
                <w:i w:val="0"/>
                <w:iCs w:val="0"/>
                <w:color w:val="000000"/>
                <w:kern w:val="0"/>
                <w:sz w:val="24"/>
                <w:szCs w:val="24"/>
                <w:highlight w:val="none"/>
                <w:u w:val="none"/>
                <w:lang w:val="en-US" w:eastAsia="zh-CN" w:bidi="ar"/>
              </w:rPr>
              <w:t>3.15.12</w:t>
            </w:r>
            <w:bookmarkEnd w:id="13"/>
            <w:r>
              <w:rPr>
                <w:rFonts w:hint="default" w:ascii="Times New Roman" w:hAnsi="Times New Roman" w:eastAsia="宋体" w:cs="Times New Roman"/>
                <w:i w:val="0"/>
                <w:iCs w:val="0"/>
                <w:color w:val="000000"/>
                <w:kern w:val="0"/>
                <w:sz w:val="24"/>
                <w:szCs w:val="24"/>
                <w:highlight w:val="none"/>
                <w:u w:val="none"/>
                <w:lang w:val="en-US" w:eastAsia="zh-CN" w:bidi="ar"/>
              </w:rPr>
              <w:t>.</w:t>
            </w:r>
            <w:r>
              <w:rPr>
                <w:rFonts w:hint="default" w:ascii="Times New Roman" w:hAnsi="Times New Roman" w:eastAsia="宋体" w:cs="Times New Roman"/>
                <w:color w:val="000000"/>
                <w:kern w:val="0"/>
                <w:sz w:val="24"/>
                <w:szCs w:val="24"/>
                <w:highlight w:val="none"/>
                <w:u w:val="none"/>
                <w:lang w:bidi="ar"/>
              </w:rPr>
              <w:t>定制开发混样RNA建库试剂盒，构建可支持3-10组独立 Barcode 标记的混样体系，测序下机数据可精准拆分各样本 Barcode 序列，拆分率≥95%</w:t>
            </w:r>
          </w:p>
        </w:tc>
      </w:tr>
      <w:tr w14:paraId="1EB173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1E126430">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33F90F75">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8BE3F">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kern w:val="0"/>
                <w:sz w:val="24"/>
                <w:szCs w:val="24"/>
                <w:highlight w:val="none"/>
                <w:u w:val="none"/>
                <w:lang w:val="en-US" w:eastAsia="zh-CN" w:bidi="ar"/>
              </w:rPr>
            </w:pPr>
            <w:r>
              <w:rPr>
                <w:rFonts w:hint="default" w:ascii="Times New Roman" w:hAnsi="Times New Roman" w:eastAsia="宋体" w:cs="Times New Roman"/>
                <w:i w:val="0"/>
                <w:iCs w:val="0"/>
                <w:color w:val="000000"/>
                <w:kern w:val="0"/>
                <w:sz w:val="24"/>
                <w:szCs w:val="24"/>
                <w:highlight w:val="none"/>
                <w:u w:val="none"/>
                <w:lang w:val="en-US" w:eastAsia="zh-CN" w:bidi="ar"/>
              </w:rPr>
              <w:t>3.15.13.供应商应生物样本测试前提供完整的测试方案，及检测流程，内容包括不限于测试目标、测试要求、测试指标等，经采购人认可后实施测试，并需于综合验收前向采购人提供正式的生物样本检测报告、检测结果及结论等</w:t>
            </w:r>
          </w:p>
        </w:tc>
      </w:tr>
      <w:tr w14:paraId="3D0150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5E4E7063">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3B9C8879">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0EF48">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kern w:val="0"/>
                <w:sz w:val="24"/>
                <w:szCs w:val="24"/>
                <w:highlight w:val="none"/>
                <w:u w:val="none"/>
                <w:lang w:val="en-US" w:eastAsia="zh-CN" w:bidi="ar"/>
              </w:rPr>
            </w:pPr>
            <w:r>
              <w:rPr>
                <w:rFonts w:hint="default" w:ascii="Times New Roman" w:hAnsi="Times New Roman" w:eastAsia="宋体" w:cs="Times New Roman"/>
                <w:b/>
                <w:bCs/>
                <w:i w:val="0"/>
                <w:iCs w:val="0"/>
                <w:color w:val="000000"/>
                <w:kern w:val="0"/>
                <w:sz w:val="24"/>
                <w:szCs w:val="24"/>
                <w:highlight w:val="none"/>
                <w:u w:val="none"/>
                <w:lang w:val="en-US" w:eastAsia="zh-CN" w:bidi="ar"/>
              </w:rPr>
              <w:t>3.16.智能数据管理分析平台</w:t>
            </w:r>
          </w:p>
        </w:tc>
      </w:tr>
      <w:tr w14:paraId="4DBAC1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4F773393">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13E1E53A">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5B7D5">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kern w:val="0"/>
                <w:sz w:val="24"/>
                <w:szCs w:val="24"/>
                <w:highlight w:val="none"/>
                <w:u w:val="none"/>
                <w:lang w:val="en-US" w:eastAsia="zh-CN" w:bidi="ar"/>
              </w:rPr>
            </w:pPr>
            <w:r>
              <w:rPr>
                <w:rFonts w:hint="default" w:ascii="Times New Roman" w:hAnsi="Times New Roman" w:eastAsia="宋体" w:cs="Times New Roman"/>
                <w:i w:val="0"/>
                <w:iCs w:val="0"/>
                <w:color w:val="000000"/>
                <w:kern w:val="0"/>
                <w:sz w:val="24"/>
                <w:szCs w:val="24"/>
                <w:highlight w:val="none"/>
                <w:u w:val="none"/>
                <w:lang w:val="en-US" w:eastAsia="zh-CN" w:bidi="ar"/>
              </w:rPr>
              <w:t>3.16.1.主数据管理：管理检验方法（基本信息、版本、关联电子文档）；定义工序（编码、名称、类别、任务单模板）及对应分析项（单位、公式、修约）、标准BOM（物料编码、用量）、仪器设备；组合工序为实验模板，实现自动下发和全流程追溯。质量判定标准管理，设定分析项高低限阈值，自动判定结果（合格/不合格/风险）并触发后续流程。</w:t>
            </w:r>
          </w:p>
        </w:tc>
      </w:tr>
      <w:tr w14:paraId="033F0B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1572AC66">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20D238AE">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CF2B5">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kern w:val="0"/>
                <w:sz w:val="24"/>
                <w:szCs w:val="24"/>
                <w:highlight w:val="none"/>
                <w:u w:val="none"/>
                <w:lang w:val="en-US" w:eastAsia="zh-CN" w:bidi="ar"/>
              </w:rPr>
            </w:pPr>
            <w:r>
              <w:rPr>
                <w:rFonts w:hint="default" w:ascii="Times New Roman" w:hAnsi="Times New Roman" w:eastAsia="宋体" w:cs="Times New Roman"/>
                <w:i w:val="0"/>
                <w:iCs w:val="0"/>
                <w:color w:val="000000"/>
                <w:kern w:val="0"/>
                <w:sz w:val="24"/>
                <w:szCs w:val="24"/>
                <w:highlight w:val="none"/>
                <w:u w:val="none"/>
                <w:lang w:val="en-US" w:eastAsia="zh-CN" w:bidi="ar"/>
              </w:rPr>
              <w:t>3.16.2.数据统计分析：支持对实验数据进行多维度的统计与汇总分析，包括但不限于实验任务的类型分布、累计处理的实验任务数量、实验异常情况记录以及设备运行情况等，并支持从统计汇总数据穿透查看底层数据明细。</w:t>
            </w:r>
          </w:p>
        </w:tc>
      </w:tr>
      <w:tr w14:paraId="441F27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77C151A7">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1D99D05D">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608C5">
            <w:pPr>
              <w:keepNext w:val="0"/>
              <w:keepLines w:val="0"/>
              <w:widowControl/>
              <w:suppressLineNumbers w:val="0"/>
              <w:spacing w:line="360" w:lineRule="auto"/>
              <w:jc w:val="both"/>
              <w:textAlignment w:val="center"/>
              <w:rPr>
                <w:rFonts w:hint="default" w:ascii="Times New Roman" w:hAnsi="Times New Roman" w:eastAsia="宋体" w:cs="Times New Roman"/>
                <w:b/>
                <w:bCs/>
                <w:i w:val="0"/>
                <w:iCs w:val="0"/>
                <w:color w:val="000000"/>
                <w:kern w:val="0"/>
                <w:sz w:val="24"/>
                <w:szCs w:val="24"/>
                <w:highlight w:val="none"/>
                <w:u w:val="none"/>
                <w:lang w:val="en-US" w:eastAsia="zh-CN" w:bidi="ar"/>
              </w:rPr>
            </w:pPr>
            <w:r>
              <w:rPr>
                <w:rFonts w:hint="default" w:ascii="Times New Roman" w:hAnsi="Times New Roman" w:eastAsia="宋体" w:cs="Times New Roman"/>
                <w:i w:val="0"/>
                <w:iCs w:val="0"/>
                <w:color w:val="000000"/>
                <w:kern w:val="0"/>
                <w:sz w:val="24"/>
                <w:szCs w:val="24"/>
                <w:highlight w:val="none"/>
                <w:u w:val="none"/>
                <w:lang w:val="en-US" w:eastAsia="zh-CN" w:bidi="ar"/>
              </w:rPr>
              <w:t>3.16.3可视化大屏展示：支持通过可视化大屏，以饼图、柱状图等图表形式直观展示上述数据分析结果，并提供交互能力，支持点击图表穿透查看底层数据明细。</w:t>
            </w:r>
          </w:p>
        </w:tc>
      </w:tr>
      <w:tr w14:paraId="5A1E2D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250D59E1">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03776F0B">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4307B">
            <w:pPr>
              <w:keepNext w:val="0"/>
              <w:keepLines w:val="0"/>
              <w:widowControl/>
              <w:suppressLineNumbers w:val="0"/>
              <w:spacing w:line="360" w:lineRule="auto"/>
              <w:jc w:val="both"/>
              <w:textAlignment w:val="center"/>
              <w:rPr>
                <w:rFonts w:hint="default" w:ascii="Times New Roman" w:hAnsi="Times New Roman" w:eastAsia="宋体" w:cs="Times New Roman"/>
                <w:b/>
                <w:bCs/>
                <w:i w:val="0"/>
                <w:iCs w:val="0"/>
                <w:color w:val="000000"/>
                <w:sz w:val="24"/>
                <w:szCs w:val="24"/>
                <w:highlight w:val="none"/>
                <w:u w:val="none"/>
              </w:rPr>
            </w:pPr>
            <w:r>
              <w:rPr>
                <w:rFonts w:hint="default" w:ascii="Times New Roman" w:hAnsi="Times New Roman" w:eastAsia="宋体" w:cs="Times New Roman"/>
                <w:b/>
                <w:bCs/>
                <w:i w:val="0"/>
                <w:iCs w:val="0"/>
                <w:color w:val="000000"/>
                <w:kern w:val="0"/>
                <w:sz w:val="24"/>
                <w:szCs w:val="24"/>
                <w:highlight w:val="none"/>
                <w:u w:val="none"/>
                <w:lang w:val="en-US" w:eastAsia="zh-CN" w:bidi="ar"/>
              </w:rPr>
              <w:t>4.智能交付系统（核心产品）</w:t>
            </w:r>
          </w:p>
        </w:tc>
      </w:tr>
      <w:tr w14:paraId="67473B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80" w:hRule="atLeast"/>
        </w:trPr>
        <w:tc>
          <w:tcPr>
            <w:tcW w:w="675" w:type="dxa"/>
            <w:vMerge w:val="continue"/>
            <w:tcBorders>
              <w:left w:val="single" w:color="000000" w:sz="4" w:space="0"/>
              <w:right w:val="single" w:color="000000" w:sz="4" w:space="0"/>
            </w:tcBorders>
            <w:shd w:val="clear" w:color="auto" w:fill="auto"/>
            <w:vAlign w:val="center"/>
          </w:tcPr>
          <w:p w14:paraId="5F3BC47B">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7B421057">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86E05">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智能交付系统作为本项目的控制中枢，覆盖智能交付与智能调度两大核心模块。系统支持任务单多源接入、技术路线智能匹配与自动下发，具备AI智能化Pooling能力，可实现合格样本一键Pooling、index自动校验去重等全流程自动化，无需人工计算。同时，系统支持拖拽式可视化流程编排，具备任务优先级调度、队列预加载、紧急样本柔性插队及资源约束校验能力，支持分级异常处置与人工灵活介入，并具备高容灾断点续跑能力，确保高通量运行场景下业务的连续性</w:t>
            </w:r>
          </w:p>
        </w:tc>
      </w:tr>
      <w:tr w14:paraId="1AA926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15F8985F">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5A60619A">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5E203">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4.1.平台技术要求</w:t>
            </w:r>
          </w:p>
        </w:tc>
      </w:tr>
      <w:tr w14:paraId="295997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675" w:type="dxa"/>
            <w:vMerge w:val="continue"/>
            <w:tcBorders>
              <w:left w:val="single" w:color="000000" w:sz="4" w:space="0"/>
              <w:right w:val="single" w:color="000000" w:sz="4" w:space="0"/>
            </w:tcBorders>
            <w:shd w:val="clear" w:color="auto" w:fill="auto"/>
            <w:vAlign w:val="center"/>
          </w:tcPr>
          <w:p w14:paraId="1062172A">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10C6F8E7">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665A8">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4.1.1.系统基于主流Java平台，B/S架构支持HTML5，基于Spring Boot框架，兼Chrome/IE/Firefox等浏览器，无需安装插件即可跨平台访问（PC、手机、平板）</w:t>
            </w:r>
          </w:p>
        </w:tc>
      </w:tr>
      <w:tr w14:paraId="56D16E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1E4DA1D3">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3773BC49">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E3C56">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4.1.2.支持云部署、本地化部署、容器化部署及集团化部署</w:t>
            </w:r>
          </w:p>
        </w:tc>
      </w:tr>
      <w:tr w14:paraId="579DFB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72A08445">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481FD387">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C58D2">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4.1.3.系统应支持多种关系型数据库，包括但不限于Oracle、MS SQLServer、MySQL</w:t>
            </w:r>
          </w:p>
        </w:tc>
      </w:tr>
      <w:tr w14:paraId="6647AC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675" w:type="dxa"/>
            <w:vMerge w:val="continue"/>
            <w:tcBorders>
              <w:left w:val="single" w:color="000000" w:sz="4" w:space="0"/>
              <w:right w:val="single" w:color="000000" w:sz="4" w:space="0"/>
            </w:tcBorders>
            <w:shd w:val="clear" w:color="auto" w:fill="auto"/>
            <w:vAlign w:val="center"/>
          </w:tcPr>
          <w:p w14:paraId="572B3AB7">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79B3B91A">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8D829">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4.1.4.系统具有灵活的定制化开发拓展能力，架构设计合理，平台应具有良好的用户界面和操作友好性，方便实验室人员进行配置和使用。平台应具有强大的功能和灵活性，支持实验室的各种工作流程和数据类型的定制和扩展</w:t>
            </w:r>
          </w:p>
        </w:tc>
      </w:tr>
      <w:tr w14:paraId="1240BE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675" w:type="dxa"/>
            <w:vMerge w:val="continue"/>
            <w:tcBorders>
              <w:left w:val="single" w:color="000000" w:sz="4" w:space="0"/>
              <w:right w:val="single" w:color="000000" w:sz="4" w:space="0"/>
            </w:tcBorders>
            <w:shd w:val="clear" w:color="auto" w:fill="auto"/>
            <w:vAlign w:val="center"/>
          </w:tcPr>
          <w:p w14:paraId="61142224">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021DD7B0">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453AE">
            <w:pPr>
              <w:keepNext w:val="0"/>
              <w:keepLines w:val="0"/>
              <w:widowControl/>
              <w:suppressLineNumbers w:val="0"/>
              <w:spacing w:line="360" w:lineRule="auto"/>
              <w:jc w:val="left"/>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▲4.1.5. 开发平台具备卓越的架构拓展性，平台内置各类模板和组件，可选择相应模板及组件快速搭建业务功能，支持在线调试；支持版本管控及代码在测试环境和生产环境的快速迁移，支持版本的一键还原。</w:t>
            </w:r>
            <w:r>
              <w:rPr>
                <w:rFonts w:hint="default" w:ascii="Times New Roman" w:hAnsi="Times New Roman" w:eastAsia="宋体" w:cs="Times New Roman"/>
                <w:b/>
                <w:bCs/>
                <w:i w:val="0"/>
                <w:iCs w:val="0"/>
                <w:color w:val="000000"/>
                <w:kern w:val="0"/>
                <w:sz w:val="24"/>
                <w:szCs w:val="24"/>
                <w:highlight w:val="none"/>
                <w:u w:val="none"/>
                <w:lang w:val="en-US" w:eastAsia="zh-CN" w:bidi="ar"/>
              </w:rPr>
              <w:t>【须提供软件功能截图】</w:t>
            </w:r>
          </w:p>
        </w:tc>
      </w:tr>
      <w:tr w14:paraId="320BD8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70B027CF">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2E07014C">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46F8B">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4.1.6.系统自带图形化展示功能模块，不需要后台编写代码，直接在界面上进行图表的拖拽，即可实现图形化展示</w:t>
            </w:r>
          </w:p>
        </w:tc>
      </w:tr>
      <w:tr w14:paraId="2261AE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439E2D49">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018A5388">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98BE6">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4.2.智能交付平台</w:t>
            </w:r>
          </w:p>
        </w:tc>
      </w:tr>
      <w:tr w14:paraId="233FE3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675" w:type="dxa"/>
            <w:vMerge w:val="continue"/>
            <w:tcBorders>
              <w:left w:val="single" w:color="000000" w:sz="4" w:space="0"/>
              <w:right w:val="single" w:color="000000" w:sz="4" w:space="0"/>
            </w:tcBorders>
            <w:shd w:val="clear" w:color="auto" w:fill="auto"/>
            <w:vAlign w:val="center"/>
          </w:tcPr>
          <w:p w14:paraId="32260CB0">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5917AB38">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24A74">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4.2.1.实验任务单创建与管理：支持手动创建、文件批量导入及外部系统推送三种方式创建实验任务单，可上传相关附件，支持审批流程自定义及按权限跳过审批</w:t>
            </w:r>
          </w:p>
        </w:tc>
      </w:tr>
      <w:tr w14:paraId="22456B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75" w:type="dxa"/>
            <w:vMerge w:val="continue"/>
            <w:tcBorders>
              <w:left w:val="single" w:color="000000" w:sz="4" w:space="0"/>
              <w:right w:val="single" w:color="000000" w:sz="4" w:space="0"/>
            </w:tcBorders>
            <w:shd w:val="clear" w:color="auto" w:fill="auto"/>
            <w:vAlign w:val="center"/>
          </w:tcPr>
          <w:p w14:paraId="6A421C08">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1270D892">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87BEB">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4.2.2.技术路线自动匹配：系统根据任务单信息自动匹配技术路线（含工序、SOP、分析项），支持手动选择；自动整合任务信息、优先级、输入参数等推送至智能调度中心</w:t>
            </w:r>
          </w:p>
        </w:tc>
      </w:tr>
      <w:tr w14:paraId="5E878F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7DC25F6E">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4C301380">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273F4">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4.2.3.数据权限隔离：支持按实验组/课题组进行数据隔离，确保组间数据互不可见；不同级别人员界面和数据访问范围不同</w:t>
            </w:r>
          </w:p>
        </w:tc>
      </w:tr>
      <w:tr w14:paraId="394C9C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675" w:type="dxa"/>
            <w:vMerge w:val="continue"/>
            <w:tcBorders>
              <w:left w:val="single" w:color="000000" w:sz="4" w:space="0"/>
              <w:right w:val="single" w:color="000000" w:sz="4" w:space="0"/>
            </w:tcBorders>
            <w:shd w:val="clear" w:color="auto" w:fill="auto"/>
            <w:vAlign w:val="center"/>
          </w:tcPr>
          <w:p w14:paraId="66D6CF87">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56871F14">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5FA74">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4.2.4.任务执行与状态同步：实验任务自动拆解为工序任务队列，智能调度中心执行后实时回传结果并更新状态；未执行任务支持手动暂停、终止并实时推送至调度中心。</w:t>
            </w:r>
          </w:p>
        </w:tc>
      </w:tr>
      <w:tr w14:paraId="02AB34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675" w:type="dxa"/>
            <w:vMerge w:val="continue"/>
            <w:tcBorders>
              <w:left w:val="single" w:color="000000" w:sz="4" w:space="0"/>
              <w:right w:val="single" w:color="000000" w:sz="4" w:space="0"/>
            </w:tcBorders>
            <w:shd w:val="clear" w:color="auto" w:fill="auto"/>
            <w:vAlign w:val="center"/>
          </w:tcPr>
          <w:p w14:paraId="7E033DB9">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5BAB5ECE">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8F8F5">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4.2.5.任务监控与异常处理：支持多条件筛选（任务、样本、优先级、类型、时间等），可视化展示任务列表、执行时长、进度百分比、状态，可穿透查看明细；异常任务即时通知，支持人工介入（暂停、跳过、回退、终止）</w:t>
            </w:r>
          </w:p>
        </w:tc>
      </w:tr>
      <w:tr w14:paraId="4E3B3D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trPr>
        <w:tc>
          <w:tcPr>
            <w:tcW w:w="675" w:type="dxa"/>
            <w:vMerge w:val="continue"/>
            <w:tcBorders>
              <w:left w:val="single" w:color="000000" w:sz="4" w:space="0"/>
              <w:right w:val="single" w:color="000000" w:sz="4" w:space="0"/>
            </w:tcBorders>
            <w:shd w:val="clear" w:color="auto" w:fill="auto"/>
            <w:vAlign w:val="center"/>
          </w:tcPr>
          <w:p w14:paraId="15794DDA">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56EE69EA">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D8BB3">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4.2.6.有自主知识产权，支持合格样本一键pooling的AI智能化系统。支持稀释版到pooling版在系统上自主完成并优化，无需计算。可实现系统检测合格文库并自动流转至排机池，一键选择产出目标数据量，并根据目标数据量自动校验index并去重，自动计算单样本混库体积，自动出pooling单，并在工作站中完成混库。pooling单支持导出为excel备份。</w:t>
            </w:r>
            <w:r>
              <w:rPr>
                <w:rFonts w:hint="default" w:ascii="Times New Roman" w:hAnsi="Times New Roman" w:eastAsia="宋体" w:cs="Times New Roman"/>
                <w:b/>
                <w:bCs/>
                <w:i w:val="0"/>
                <w:iCs w:val="0"/>
                <w:color w:val="000000"/>
                <w:kern w:val="0"/>
                <w:sz w:val="24"/>
                <w:szCs w:val="24"/>
                <w:highlight w:val="none"/>
                <w:u w:val="none"/>
                <w:lang w:val="en-US" w:eastAsia="zh-CN" w:bidi="ar"/>
              </w:rPr>
              <w:t>【须提供软件功能截图】</w:t>
            </w:r>
          </w:p>
        </w:tc>
      </w:tr>
      <w:tr w14:paraId="7B1F96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7E588531">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3EA6F1B5">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5A768">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4.2.7.资源管理：实验室人员台账、仪器设备台账、物料台账管理、样本管理台账。</w:t>
            </w:r>
          </w:p>
        </w:tc>
      </w:tr>
      <w:tr w14:paraId="6ED32A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52C7E146">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22A859F8">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20632">
            <w:pPr>
              <w:keepNext w:val="0"/>
              <w:keepLines w:val="0"/>
              <w:widowControl/>
              <w:suppressLineNumbers w:val="0"/>
              <w:spacing w:line="360" w:lineRule="auto"/>
              <w:jc w:val="both"/>
              <w:textAlignment w:val="center"/>
              <w:rPr>
                <w:rFonts w:hint="default" w:ascii="Times New Roman" w:hAnsi="Times New Roman" w:eastAsia="宋体" w:cs="Times New Roman"/>
                <w:b/>
                <w:bCs/>
                <w:i w:val="0"/>
                <w:iCs w:val="0"/>
                <w:color w:val="000000"/>
                <w:sz w:val="24"/>
                <w:szCs w:val="24"/>
                <w:highlight w:val="none"/>
                <w:u w:val="none"/>
              </w:rPr>
            </w:pPr>
            <w:r>
              <w:rPr>
                <w:rFonts w:hint="default" w:ascii="Times New Roman" w:hAnsi="Times New Roman" w:eastAsia="宋体" w:cs="Times New Roman"/>
                <w:b/>
                <w:bCs/>
                <w:i w:val="0"/>
                <w:iCs w:val="0"/>
                <w:color w:val="000000"/>
                <w:kern w:val="0"/>
                <w:sz w:val="24"/>
                <w:szCs w:val="24"/>
                <w:highlight w:val="none"/>
                <w:u w:val="none"/>
                <w:lang w:val="en-US" w:eastAsia="zh-CN" w:bidi="ar"/>
              </w:rPr>
              <w:t>4.3.智能调度平台</w:t>
            </w:r>
          </w:p>
        </w:tc>
      </w:tr>
      <w:tr w14:paraId="1F158E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75" w:type="dxa"/>
            <w:vMerge w:val="continue"/>
            <w:tcBorders>
              <w:left w:val="single" w:color="000000" w:sz="4" w:space="0"/>
              <w:right w:val="single" w:color="000000" w:sz="4" w:space="0"/>
            </w:tcBorders>
            <w:shd w:val="clear" w:color="auto" w:fill="auto"/>
            <w:vAlign w:val="center"/>
          </w:tcPr>
          <w:p w14:paraId="66148FE6">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245C74A6">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4D0B7">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4.3.1.可视化流程编排：支持拖拽式流程组态+脚本辅助双模式，无需编程搭建测序流程；兼容串行、并行、分支判断、循环、跳转返工、暂停待机；支持多岛联动（如前处理岛完成后自动下发至提取岛）</w:t>
            </w:r>
          </w:p>
        </w:tc>
      </w:tr>
      <w:tr w14:paraId="436F40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0CDECCA5">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328BA2CA">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0DF6E">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4.3.2.任务智能调度：支持机械臂、AGV两类传输方式，可配置源/目标岛、触发条件、超时、重试次数；实现传输设备资源调度，避免多任务冲突</w:t>
            </w:r>
          </w:p>
        </w:tc>
      </w:tr>
      <w:tr w14:paraId="1B9688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675" w:type="dxa"/>
            <w:vMerge w:val="continue"/>
            <w:tcBorders>
              <w:left w:val="single" w:color="000000" w:sz="4" w:space="0"/>
              <w:right w:val="single" w:color="000000" w:sz="4" w:space="0"/>
            </w:tcBorders>
            <w:shd w:val="clear" w:color="auto" w:fill="auto"/>
            <w:vAlign w:val="center"/>
          </w:tcPr>
          <w:p w14:paraId="317A3E58">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4F8981AA">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57DC3">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4.3.3.任务优先级与预加载：自定义优先级（常规/加急），高优先级优先抢占空闲工位与设备，不打乱在跑批次；任务队列自动排序，设备空闲预加载下一批次，实现工序无缝衔接、零待机</w:t>
            </w:r>
          </w:p>
        </w:tc>
      </w:tr>
      <w:tr w14:paraId="25A2CD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427C78A1">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6C2F1FAE">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B9123">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4.3.4.动态时序与柔性插队：运行中可追加新程序并行执行；支持紧急样本任意位置插队，插队后未执行任务自动重新调度</w:t>
            </w:r>
          </w:p>
        </w:tc>
      </w:tr>
      <w:tr w14:paraId="08E0B4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73BE1E61">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41898500">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501DC">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4.3.5.资源约束与校验：关联仪器、耗材等资源，实验开始前逻辑判断资源充足性（如DNA提取试剂用量），不足时即时提示补充</w:t>
            </w:r>
          </w:p>
        </w:tc>
      </w:tr>
      <w:tr w14:paraId="0A944B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675" w:type="dxa"/>
            <w:vMerge w:val="continue"/>
            <w:tcBorders>
              <w:left w:val="single" w:color="000000" w:sz="4" w:space="0"/>
              <w:right w:val="single" w:color="000000" w:sz="4" w:space="0"/>
            </w:tcBorders>
            <w:shd w:val="clear" w:color="auto" w:fill="auto"/>
            <w:vAlign w:val="center"/>
          </w:tcPr>
          <w:p w14:paraId="4A58CEC7">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03CB66A2">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D608B">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4.3.6.运行监控：实时记录实验步骤、原始文件、结果、时长；可视化展示流程实例（高亮当前/完成/阻塞节点），监控执行阶段（准备→执行→数据记录→分析→归档）；统计各岛/设备占用率、空闲率、故障率、平均任务时长</w:t>
            </w:r>
          </w:p>
        </w:tc>
      </w:tr>
      <w:tr w14:paraId="630CE5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675" w:type="dxa"/>
            <w:vMerge w:val="continue"/>
            <w:tcBorders>
              <w:left w:val="single" w:color="000000" w:sz="4" w:space="0"/>
              <w:right w:val="single" w:color="000000" w:sz="4" w:space="0"/>
            </w:tcBorders>
            <w:shd w:val="clear" w:color="auto" w:fill="auto"/>
            <w:vAlign w:val="center"/>
          </w:tcPr>
          <w:p w14:paraId="696F6286">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15470AB0">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E157E">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4.3.7.异常分级与处理处理：分级异常：轻微异常自动重试（1-5次），一般异常弹窗预警暂停工位，严重异常锁止工序、隔离故障样本、保护正常批次；人工介入：暂停、跳过、回退、终止、手动指派传输</w:t>
            </w:r>
          </w:p>
        </w:tc>
      </w:tr>
      <w:tr w14:paraId="6F02BC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75" w:type="dxa"/>
            <w:vMerge w:val="continue"/>
            <w:tcBorders>
              <w:left w:val="single" w:color="000000" w:sz="4" w:space="0"/>
              <w:right w:val="single" w:color="000000" w:sz="4" w:space="0"/>
            </w:tcBorders>
            <w:shd w:val="clear" w:color="auto" w:fill="auto"/>
            <w:vAlign w:val="center"/>
          </w:tcPr>
          <w:p w14:paraId="1144403B">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015BF087">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3EB82">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▲4.3.8.容灾断点续跑：系统具有高容灾性，支持断电/离线/停机后精准恢复至停机前节点，无需整批重启，保留已完成数据</w:t>
            </w:r>
          </w:p>
        </w:tc>
      </w:tr>
      <w:tr w14:paraId="60C9D6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2B1383B9">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32F83A0C">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E9B42">
            <w:pPr>
              <w:keepNext w:val="0"/>
              <w:keepLines w:val="0"/>
              <w:widowControl/>
              <w:suppressLineNumbers w:val="0"/>
              <w:spacing w:line="360" w:lineRule="auto"/>
              <w:jc w:val="left"/>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color w:val="0F1115"/>
                <w:highlight w:val="none"/>
                <w:shd w:val="clear" w:color="auto" w:fill="FFFFFF"/>
              </w:rPr>
              <w:t>★</w:t>
            </w:r>
            <w:r>
              <w:rPr>
                <w:rFonts w:hint="default" w:ascii="Times New Roman" w:hAnsi="Times New Roman" w:eastAsia="宋体" w:cs="Times New Roman"/>
                <w:i w:val="0"/>
                <w:iCs w:val="0"/>
                <w:color w:val="000000"/>
                <w:kern w:val="0"/>
                <w:sz w:val="24"/>
                <w:szCs w:val="24"/>
                <w:highlight w:val="none"/>
                <w:u w:val="none"/>
                <w:lang w:val="en-US" w:eastAsia="zh-CN" w:bidi="ar"/>
              </w:rPr>
              <w:t>5. 产品配置</w:t>
            </w:r>
          </w:p>
        </w:tc>
      </w:tr>
      <w:tr w14:paraId="323C99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21810B2A">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3D6FA6DA">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3C895">
            <w:pPr>
              <w:keepNext w:val="0"/>
              <w:keepLines w:val="0"/>
              <w:widowControl/>
              <w:suppressLineNumbers w:val="0"/>
              <w:spacing w:line="360" w:lineRule="auto"/>
              <w:jc w:val="left"/>
              <w:textAlignment w:val="center"/>
              <w:rPr>
                <w:rFonts w:hint="default" w:ascii="Times New Roman" w:hAnsi="Times New Roman" w:eastAsia="宋体" w:cs="Times New Roman"/>
                <w:i w:val="0"/>
                <w:iCs w:val="0"/>
                <w:color w:val="000000"/>
                <w:kern w:val="0"/>
                <w:sz w:val="24"/>
                <w:szCs w:val="24"/>
                <w:highlight w:val="none"/>
                <w:u w:val="none"/>
                <w:lang w:val="en-US" w:eastAsia="zh-CN" w:bidi="ar"/>
              </w:rPr>
            </w:pPr>
            <w:r>
              <w:rPr>
                <w:rFonts w:hint="default" w:ascii="Times New Roman" w:hAnsi="Times New Roman" w:eastAsia="宋体" w:cs="Times New Roman"/>
                <w:sz w:val="24"/>
                <w:highlight w:val="none"/>
                <w:lang w:val="en-US" w:eastAsia="zh-CN"/>
              </w:rPr>
              <w:t>5.1样本预处理工作站</w:t>
            </w:r>
          </w:p>
        </w:tc>
      </w:tr>
      <w:tr w14:paraId="740212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2F5AE9F9">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718C283F">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A8433">
            <w:pPr>
              <w:keepNext w:val="0"/>
              <w:keepLines w:val="0"/>
              <w:widowControl/>
              <w:suppressLineNumbers w:val="0"/>
              <w:spacing w:line="360" w:lineRule="auto"/>
              <w:jc w:val="left"/>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5.1.1拭子/血液样本预处理工作站</w:t>
            </w:r>
          </w:p>
        </w:tc>
      </w:tr>
      <w:tr w14:paraId="178579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14A51AE3">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035E5D0B">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C0132">
            <w:pPr>
              <w:keepNext w:val="0"/>
              <w:keepLines w:val="0"/>
              <w:widowControl/>
              <w:suppressLineNumbers w:val="0"/>
              <w:spacing w:line="360" w:lineRule="auto"/>
              <w:jc w:val="left"/>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5.1.1.1自动化物料转运组件 1套</w:t>
            </w:r>
          </w:p>
        </w:tc>
      </w:tr>
      <w:tr w14:paraId="420605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6837CA94">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0DBF86B7">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F4252">
            <w:pPr>
              <w:keepNext w:val="0"/>
              <w:keepLines w:val="0"/>
              <w:widowControl/>
              <w:suppressLineNumbers w:val="0"/>
              <w:spacing w:line="360" w:lineRule="auto"/>
              <w:jc w:val="left"/>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5.1.1.2.自动化液体工作站组件 1套</w:t>
            </w:r>
          </w:p>
        </w:tc>
      </w:tr>
      <w:tr w14:paraId="782F98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4B32F835">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4D49B4F4">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73DB3">
            <w:pPr>
              <w:keepNext w:val="0"/>
              <w:keepLines w:val="0"/>
              <w:widowControl/>
              <w:suppressLineNumbers w:val="0"/>
              <w:spacing w:line="360" w:lineRule="auto"/>
              <w:jc w:val="left"/>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5.1.1.3.自动化耗材供给组件 1套</w:t>
            </w:r>
          </w:p>
        </w:tc>
      </w:tr>
      <w:tr w14:paraId="081C7D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6A123DDB">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49A45FFA">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DB61F">
            <w:pPr>
              <w:keepNext w:val="0"/>
              <w:keepLines w:val="0"/>
              <w:widowControl/>
              <w:suppressLineNumbers w:val="0"/>
              <w:spacing w:line="360" w:lineRule="auto"/>
              <w:jc w:val="left"/>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5.1.1.4.自动化冰箱组件 1套</w:t>
            </w:r>
          </w:p>
        </w:tc>
      </w:tr>
      <w:tr w14:paraId="34C47D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68523C1C">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685E1FAD">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308B6">
            <w:pPr>
              <w:keepNext w:val="0"/>
              <w:keepLines w:val="0"/>
              <w:widowControl/>
              <w:suppressLineNumbers w:val="0"/>
              <w:spacing w:line="360" w:lineRule="auto"/>
              <w:jc w:val="left"/>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5.1.1.5.自动化扫码组件 1套</w:t>
            </w:r>
          </w:p>
        </w:tc>
      </w:tr>
      <w:tr w14:paraId="338EAD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753980BB">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27A1B65F">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945C9">
            <w:pPr>
              <w:keepNext w:val="0"/>
              <w:keepLines w:val="0"/>
              <w:widowControl/>
              <w:suppressLineNumbers w:val="0"/>
              <w:spacing w:line="360" w:lineRule="auto"/>
              <w:jc w:val="left"/>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5.1.1.6.自动化冻存管开关盖组件 1套</w:t>
            </w:r>
          </w:p>
        </w:tc>
      </w:tr>
      <w:tr w14:paraId="44CA54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37414365">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42CEBE6D">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8CB5A">
            <w:pPr>
              <w:keepNext w:val="0"/>
              <w:keepLines w:val="0"/>
              <w:widowControl/>
              <w:suppressLineNumbers w:val="0"/>
              <w:spacing w:line="360" w:lineRule="auto"/>
              <w:jc w:val="left"/>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5.1.1.7.自动化撕膜组件 1套</w:t>
            </w:r>
          </w:p>
        </w:tc>
      </w:tr>
      <w:tr w14:paraId="247512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5E1617D9">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0A72EF15">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D7DEE">
            <w:pPr>
              <w:keepNext w:val="0"/>
              <w:keepLines w:val="0"/>
              <w:widowControl/>
              <w:suppressLineNumbers w:val="0"/>
              <w:spacing w:line="360" w:lineRule="auto"/>
              <w:jc w:val="left"/>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5.1.1.8.自动化封膜组件 1套</w:t>
            </w:r>
          </w:p>
        </w:tc>
      </w:tr>
      <w:tr w14:paraId="2FB7C3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785EC4E0">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50D3A44C">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888E2">
            <w:pPr>
              <w:keepNext w:val="0"/>
              <w:keepLines w:val="0"/>
              <w:widowControl/>
              <w:suppressLineNumbers w:val="0"/>
              <w:spacing w:line="360" w:lineRule="auto"/>
              <w:jc w:val="left"/>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5.1.1.9.自动化液面探测组件 1套</w:t>
            </w:r>
          </w:p>
        </w:tc>
      </w:tr>
      <w:tr w14:paraId="5952A2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72236E39">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6C4C7F72">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4DB47">
            <w:pPr>
              <w:keepNext w:val="0"/>
              <w:keepLines w:val="0"/>
              <w:widowControl/>
              <w:suppressLineNumbers w:val="0"/>
              <w:spacing w:line="360" w:lineRule="auto"/>
              <w:jc w:val="left"/>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5.1.1.10.自动化离心组件 1套</w:t>
            </w:r>
          </w:p>
        </w:tc>
      </w:tr>
      <w:tr w14:paraId="577A72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31B91CD4">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6AFD98F5">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12F21">
            <w:pPr>
              <w:keepNext w:val="0"/>
              <w:keepLines w:val="0"/>
              <w:widowControl/>
              <w:suppressLineNumbers w:val="0"/>
              <w:spacing w:line="360" w:lineRule="auto"/>
              <w:jc w:val="left"/>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5.1.1.11.自动化混匀组件 2套</w:t>
            </w:r>
          </w:p>
        </w:tc>
      </w:tr>
      <w:tr w14:paraId="470F68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696EFB27">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13C64E31">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6E633">
            <w:pPr>
              <w:keepNext w:val="0"/>
              <w:keepLines w:val="0"/>
              <w:widowControl/>
              <w:suppressLineNumbers w:val="0"/>
              <w:spacing w:line="360" w:lineRule="auto"/>
              <w:jc w:val="left"/>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5.1.1.12.自动化微孔板离心组件 1套</w:t>
            </w:r>
          </w:p>
        </w:tc>
      </w:tr>
      <w:tr w14:paraId="13A8FE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52DDD67B">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7540C086">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356B0">
            <w:pPr>
              <w:keepNext w:val="0"/>
              <w:keepLines w:val="0"/>
              <w:widowControl/>
              <w:suppressLineNumbers w:val="0"/>
              <w:spacing w:line="360" w:lineRule="auto"/>
              <w:jc w:val="left"/>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5.1.1.13.自动化HEPA组件 1套</w:t>
            </w:r>
          </w:p>
        </w:tc>
      </w:tr>
      <w:tr w14:paraId="3CFBA9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7666410D">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3BAA9BA3">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B57B9">
            <w:pPr>
              <w:keepNext w:val="0"/>
              <w:keepLines w:val="0"/>
              <w:widowControl/>
              <w:suppressLineNumbers w:val="0"/>
              <w:spacing w:line="360" w:lineRule="auto"/>
              <w:jc w:val="left"/>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5.1.1.14.自动化化工作台及电控组件 1套</w:t>
            </w:r>
          </w:p>
        </w:tc>
      </w:tr>
      <w:tr w14:paraId="6A92E2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39275A29">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027D1FDA">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05410">
            <w:pPr>
              <w:keepNext w:val="0"/>
              <w:keepLines w:val="0"/>
              <w:widowControl/>
              <w:suppressLineNumbers w:val="0"/>
              <w:spacing w:line="360" w:lineRule="auto"/>
              <w:jc w:val="left"/>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5.1.1.15.中央控制软件 1套</w:t>
            </w:r>
          </w:p>
        </w:tc>
      </w:tr>
      <w:tr w14:paraId="324F52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7EB659B2">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10890CCA">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0B2F9">
            <w:pPr>
              <w:keepNext w:val="0"/>
              <w:keepLines w:val="0"/>
              <w:widowControl/>
              <w:suppressLineNumbers w:val="0"/>
              <w:spacing w:line="360" w:lineRule="auto"/>
              <w:jc w:val="left"/>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5.1.2.组织/粪便样本预处理工作站</w:t>
            </w:r>
          </w:p>
        </w:tc>
      </w:tr>
      <w:tr w14:paraId="3D6202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208A0605">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34CF5888">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2176B">
            <w:pPr>
              <w:keepNext w:val="0"/>
              <w:keepLines w:val="0"/>
              <w:widowControl/>
              <w:suppressLineNumbers w:val="0"/>
              <w:spacing w:line="360" w:lineRule="auto"/>
              <w:jc w:val="left"/>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5.1.2.1.自动化物料转运组件 1套</w:t>
            </w:r>
          </w:p>
        </w:tc>
      </w:tr>
      <w:tr w14:paraId="418182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502B054E">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03B9595F">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1A28F">
            <w:pPr>
              <w:keepNext w:val="0"/>
              <w:keepLines w:val="0"/>
              <w:widowControl/>
              <w:suppressLineNumbers w:val="0"/>
              <w:spacing w:line="360" w:lineRule="auto"/>
              <w:jc w:val="left"/>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5.1.2.2.6D柔性传输组件 1套</w:t>
            </w:r>
          </w:p>
        </w:tc>
      </w:tr>
      <w:tr w14:paraId="2C1F9E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374BEAE8">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34AFDC4B">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BE7D6">
            <w:pPr>
              <w:keepNext w:val="0"/>
              <w:keepLines w:val="0"/>
              <w:widowControl/>
              <w:suppressLineNumbers w:val="0"/>
              <w:spacing w:line="360" w:lineRule="auto"/>
              <w:jc w:val="left"/>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5.1.2.3.自动化冻存管转运组件 1套</w:t>
            </w:r>
          </w:p>
        </w:tc>
      </w:tr>
      <w:tr w14:paraId="205D3F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08E6F044">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7FB6006D">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4DA5E">
            <w:pPr>
              <w:keepNext w:val="0"/>
              <w:keepLines w:val="0"/>
              <w:widowControl/>
              <w:suppressLineNumbers w:val="0"/>
              <w:spacing w:line="360" w:lineRule="auto"/>
              <w:jc w:val="left"/>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5.1.2.4.自动化液体工作站组件 1套</w:t>
            </w:r>
          </w:p>
        </w:tc>
      </w:tr>
      <w:tr w14:paraId="491BD6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6D944081">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11C02F2E">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67EB0">
            <w:pPr>
              <w:keepNext w:val="0"/>
              <w:keepLines w:val="0"/>
              <w:widowControl/>
              <w:suppressLineNumbers w:val="0"/>
              <w:spacing w:line="360" w:lineRule="auto"/>
              <w:jc w:val="left"/>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5.1.2.5.自动化耗材供给组件 1套</w:t>
            </w:r>
          </w:p>
        </w:tc>
      </w:tr>
      <w:tr w14:paraId="3379E0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41559328">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0430E9C3">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FF219">
            <w:pPr>
              <w:keepNext w:val="0"/>
              <w:keepLines w:val="0"/>
              <w:widowControl/>
              <w:suppressLineNumbers w:val="0"/>
              <w:spacing w:line="360" w:lineRule="auto"/>
              <w:jc w:val="left"/>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5.1.2.6.自动化冰箱组件 1套</w:t>
            </w:r>
          </w:p>
        </w:tc>
      </w:tr>
      <w:tr w14:paraId="571CC2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2C025FE1">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7FD2FEF7">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5A8C8">
            <w:pPr>
              <w:keepNext w:val="0"/>
              <w:keepLines w:val="0"/>
              <w:widowControl/>
              <w:suppressLineNumbers w:val="0"/>
              <w:spacing w:line="360" w:lineRule="auto"/>
              <w:jc w:val="left"/>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5.1.2.7.自动化扫码组件 1套</w:t>
            </w:r>
          </w:p>
        </w:tc>
      </w:tr>
      <w:tr w14:paraId="43062C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6C94B006">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05047F83">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D48A9">
            <w:pPr>
              <w:keepNext w:val="0"/>
              <w:keepLines w:val="0"/>
              <w:widowControl/>
              <w:suppressLineNumbers w:val="0"/>
              <w:spacing w:line="360" w:lineRule="auto"/>
              <w:jc w:val="left"/>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5.1.2.8.自动化冻存管开关盖组件 1套</w:t>
            </w:r>
          </w:p>
        </w:tc>
      </w:tr>
      <w:tr w14:paraId="693305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46879293">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107E6AB0">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83914">
            <w:pPr>
              <w:keepNext w:val="0"/>
              <w:keepLines w:val="0"/>
              <w:widowControl/>
              <w:suppressLineNumbers w:val="0"/>
              <w:spacing w:line="360" w:lineRule="auto"/>
              <w:jc w:val="left"/>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5.1.2.9.自动化撕膜组件 1套</w:t>
            </w:r>
          </w:p>
        </w:tc>
      </w:tr>
      <w:tr w14:paraId="251DD2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1B4943EE">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6369C016">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4B1D2">
            <w:pPr>
              <w:keepNext w:val="0"/>
              <w:keepLines w:val="0"/>
              <w:widowControl/>
              <w:suppressLineNumbers w:val="0"/>
              <w:spacing w:line="360" w:lineRule="auto"/>
              <w:jc w:val="left"/>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5.1.2.10.自动化封膜组件 1套</w:t>
            </w:r>
          </w:p>
        </w:tc>
      </w:tr>
      <w:tr w14:paraId="2A1AF6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79F79275">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679FA40C">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0BFC2">
            <w:pPr>
              <w:keepNext w:val="0"/>
              <w:keepLines w:val="0"/>
              <w:widowControl/>
              <w:suppressLineNumbers w:val="0"/>
              <w:spacing w:line="360" w:lineRule="auto"/>
              <w:jc w:val="left"/>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5.1.2.11.自动化液面探测组件 1套</w:t>
            </w:r>
          </w:p>
        </w:tc>
      </w:tr>
      <w:tr w14:paraId="33BA5C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2886E321">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23D1EE0B">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2B9AA">
            <w:pPr>
              <w:keepNext w:val="0"/>
              <w:keepLines w:val="0"/>
              <w:widowControl/>
              <w:suppressLineNumbers w:val="0"/>
              <w:spacing w:line="360" w:lineRule="auto"/>
              <w:jc w:val="left"/>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5.1.2.12.自动化高通量研磨组件 1套</w:t>
            </w:r>
          </w:p>
        </w:tc>
      </w:tr>
      <w:tr w14:paraId="7637AC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5E9EB9A4">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11EA501A">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A3A87">
            <w:pPr>
              <w:keepNext w:val="0"/>
              <w:keepLines w:val="0"/>
              <w:widowControl/>
              <w:suppressLineNumbers w:val="0"/>
              <w:spacing w:line="360" w:lineRule="auto"/>
              <w:jc w:val="left"/>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5.1.2.13.自动化离心组件 1套</w:t>
            </w:r>
          </w:p>
        </w:tc>
      </w:tr>
      <w:tr w14:paraId="2614DE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2FCD680A">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785C12F1">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4107A">
            <w:pPr>
              <w:keepNext w:val="0"/>
              <w:keepLines w:val="0"/>
              <w:widowControl/>
              <w:suppressLineNumbers w:val="0"/>
              <w:spacing w:line="360" w:lineRule="auto"/>
              <w:jc w:val="left"/>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5.1.2.14.自动化混匀组件 1套</w:t>
            </w:r>
          </w:p>
        </w:tc>
      </w:tr>
      <w:tr w14:paraId="079BE8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12829322">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5C0FC711">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5B8BE">
            <w:pPr>
              <w:keepNext w:val="0"/>
              <w:keepLines w:val="0"/>
              <w:widowControl/>
              <w:suppressLineNumbers w:val="0"/>
              <w:spacing w:line="360" w:lineRule="auto"/>
              <w:jc w:val="left"/>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5.1.2.15.自动化微孔板离心组件 1套</w:t>
            </w:r>
          </w:p>
        </w:tc>
      </w:tr>
      <w:tr w14:paraId="13BF34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659839F7">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26C13CB8">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7BAA8">
            <w:pPr>
              <w:keepNext w:val="0"/>
              <w:keepLines w:val="0"/>
              <w:widowControl/>
              <w:suppressLineNumbers w:val="0"/>
              <w:spacing w:line="360" w:lineRule="auto"/>
              <w:jc w:val="left"/>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5.1.2.16.自动化HEPA组件 1套</w:t>
            </w:r>
          </w:p>
        </w:tc>
      </w:tr>
      <w:tr w14:paraId="1B7C2A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19000D41">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1DEF4AC9">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6624A">
            <w:pPr>
              <w:keepNext w:val="0"/>
              <w:keepLines w:val="0"/>
              <w:widowControl/>
              <w:suppressLineNumbers w:val="0"/>
              <w:spacing w:line="360" w:lineRule="auto"/>
              <w:jc w:val="left"/>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5.1.2.17.自动化化工作台及电控组件 1套</w:t>
            </w:r>
          </w:p>
        </w:tc>
      </w:tr>
      <w:tr w14:paraId="636527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5EEBAF9B">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72D8D6C5">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871D1">
            <w:pPr>
              <w:keepNext w:val="0"/>
              <w:keepLines w:val="0"/>
              <w:widowControl/>
              <w:suppressLineNumbers w:val="0"/>
              <w:spacing w:line="360" w:lineRule="auto"/>
              <w:jc w:val="left"/>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5.1.2.18.中央控制软件 1套</w:t>
            </w:r>
          </w:p>
        </w:tc>
      </w:tr>
      <w:tr w14:paraId="7D9B34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4144CC6B">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5DBD7CB8">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82EEE">
            <w:pPr>
              <w:keepNext w:val="0"/>
              <w:keepLines w:val="0"/>
              <w:widowControl/>
              <w:suppressLineNumbers w:val="0"/>
              <w:spacing w:line="360" w:lineRule="auto"/>
              <w:jc w:val="left"/>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5.2.全自动提取模块</w:t>
            </w:r>
          </w:p>
        </w:tc>
      </w:tr>
      <w:tr w14:paraId="076A84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51E47118">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5128DF3C">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3B8BA">
            <w:pPr>
              <w:keepNext w:val="0"/>
              <w:keepLines w:val="0"/>
              <w:widowControl/>
              <w:suppressLineNumbers w:val="0"/>
              <w:spacing w:line="360" w:lineRule="auto"/>
              <w:jc w:val="left"/>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5.2.1.自动化物料转运组件 1套</w:t>
            </w:r>
          </w:p>
        </w:tc>
      </w:tr>
      <w:tr w14:paraId="648804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12E04291">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1F716BC0">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761FC">
            <w:pPr>
              <w:keepNext w:val="0"/>
              <w:keepLines w:val="0"/>
              <w:widowControl/>
              <w:suppressLineNumbers w:val="0"/>
              <w:spacing w:line="360" w:lineRule="auto"/>
              <w:jc w:val="left"/>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5.2.2.自动化高通量核酸提取组件 2套</w:t>
            </w:r>
          </w:p>
        </w:tc>
      </w:tr>
      <w:tr w14:paraId="217279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1836F144">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1AB74E40">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65DC3">
            <w:pPr>
              <w:keepNext w:val="0"/>
              <w:keepLines w:val="0"/>
              <w:widowControl/>
              <w:suppressLineNumbers w:val="0"/>
              <w:spacing w:line="360" w:lineRule="auto"/>
              <w:jc w:val="left"/>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5.2.3.自动化核酸提取组件 2套</w:t>
            </w:r>
          </w:p>
        </w:tc>
      </w:tr>
      <w:tr w14:paraId="104479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5B79B03A">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730EA2D5">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29CD8">
            <w:pPr>
              <w:keepNext w:val="0"/>
              <w:keepLines w:val="0"/>
              <w:widowControl/>
              <w:suppressLineNumbers w:val="0"/>
              <w:spacing w:line="360" w:lineRule="auto"/>
              <w:jc w:val="left"/>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5.2.4.自动化液体工作站组件 1套</w:t>
            </w:r>
          </w:p>
        </w:tc>
      </w:tr>
      <w:tr w14:paraId="6119B3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2BD77B16">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008C7BA7">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9F146">
            <w:pPr>
              <w:keepNext w:val="0"/>
              <w:keepLines w:val="0"/>
              <w:widowControl/>
              <w:suppressLineNumbers w:val="0"/>
              <w:spacing w:line="360" w:lineRule="auto"/>
              <w:jc w:val="left"/>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5.2.5.自动化耗材供给组件 1套</w:t>
            </w:r>
          </w:p>
        </w:tc>
      </w:tr>
      <w:tr w14:paraId="45855B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4310A79F">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69F8A356">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20158">
            <w:pPr>
              <w:keepNext w:val="0"/>
              <w:keepLines w:val="0"/>
              <w:widowControl/>
              <w:suppressLineNumbers w:val="0"/>
              <w:spacing w:line="360" w:lineRule="auto"/>
              <w:jc w:val="left"/>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5.2.6.自动化冰箱组件 1套</w:t>
            </w:r>
          </w:p>
        </w:tc>
      </w:tr>
      <w:tr w14:paraId="2ACE57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27C1AD8F">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538B437A">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19027">
            <w:pPr>
              <w:keepNext w:val="0"/>
              <w:keepLines w:val="0"/>
              <w:widowControl/>
              <w:suppressLineNumbers w:val="0"/>
              <w:spacing w:line="360" w:lineRule="auto"/>
              <w:jc w:val="left"/>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5.2.7.自动化撕膜组件 1套</w:t>
            </w:r>
          </w:p>
        </w:tc>
      </w:tr>
      <w:tr w14:paraId="26578C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4A17102B">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409B2AE8">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F3C5C">
            <w:pPr>
              <w:keepNext w:val="0"/>
              <w:keepLines w:val="0"/>
              <w:widowControl/>
              <w:suppressLineNumbers w:val="0"/>
              <w:spacing w:line="360" w:lineRule="auto"/>
              <w:jc w:val="left"/>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5.2.8.自动化封膜组件 1套</w:t>
            </w:r>
          </w:p>
        </w:tc>
      </w:tr>
      <w:tr w14:paraId="7CB6F2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7A9D8AC4">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66F2636B">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9B527">
            <w:pPr>
              <w:keepNext w:val="0"/>
              <w:keepLines w:val="0"/>
              <w:widowControl/>
              <w:suppressLineNumbers w:val="0"/>
              <w:spacing w:line="360" w:lineRule="auto"/>
              <w:jc w:val="left"/>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5.2.9.自动化微孔板离心组件 1套</w:t>
            </w:r>
          </w:p>
        </w:tc>
      </w:tr>
      <w:tr w14:paraId="30C022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37C310B3">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072D36BC">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F2C3E">
            <w:pPr>
              <w:keepNext w:val="0"/>
              <w:keepLines w:val="0"/>
              <w:widowControl/>
              <w:suppressLineNumbers w:val="0"/>
              <w:spacing w:line="360" w:lineRule="auto"/>
              <w:jc w:val="left"/>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5.2.10.多功能酶标仪 1套</w:t>
            </w:r>
          </w:p>
        </w:tc>
      </w:tr>
      <w:tr w14:paraId="2786B6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1AD5EC16">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7EB43814">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329EB">
            <w:pPr>
              <w:keepNext w:val="0"/>
              <w:keepLines w:val="0"/>
              <w:widowControl/>
              <w:suppressLineNumbers w:val="0"/>
              <w:spacing w:line="360" w:lineRule="auto"/>
              <w:jc w:val="left"/>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5.2.11.自动化qPCR仪组件 1套</w:t>
            </w:r>
          </w:p>
        </w:tc>
      </w:tr>
      <w:tr w14:paraId="6E94CF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69AE5AEC">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797E7BF1">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A0425">
            <w:pPr>
              <w:keepNext w:val="0"/>
              <w:keepLines w:val="0"/>
              <w:widowControl/>
              <w:suppressLineNumbers w:val="0"/>
              <w:spacing w:line="360" w:lineRule="auto"/>
              <w:jc w:val="left"/>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5.2.12.自动化HEPA组件 1套</w:t>
            </w:r>
          </w:p>
        </w:tc>
      </w:tr>
      <w:tr w14:paraId="362773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310E94E3">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3E813845">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EF810">
            <w:pPr>
              <w:keepNext w:val="0"/>
              <w:keepLines w:val="0"/>
              <w:widowControl/>
              <w:suppressLineNumbers w:val="0"/>
              <w:spacing w:line="360" w:lineRule="auto"/>
              <w:jc w:val="left"/>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5.2.13.自动化化工作台及电控组件 1套</w:t>
            </w:r>
          </w:p>
        </w:tc>
      </w:tr>
      <w:tr w14:paraId="27E6EB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5885AEA4">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216818A2">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2E461">
            <w:pPr>
              <w:keepNext w:val="0"/>
              <w:keepLines w:val="0"/>
              <w:widowControl/>
              <w:suppressLineNumbers w:val="0"/>
              <w:spacing w:line="360" w:lineRule="auto"/>
              <w:jc w:val="left"/>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5.2.14.中央控制软件 1套</w:t>
            </w:r>
          </w:p>
        </w:tc>
      </w:tr>
      <w:tr w14:paraId="79AC03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0B4584E3">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1C56F80B">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915AD">
            <w:pPr>
              <w:keepNext w:val="0"/>
              <w:keepLines w:val="0"/>
              <w:widowControl/>
              <w:suppressLineNumbers w:val="0"/>
              <w:spacing w:line="360" w:lineRule="auto"/>
              <w:jc w:val="left"/>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5.2.15.医用冷藏箱 5套</w:t>
            </w:r>
          </w:p>
        </w:tc>
      </w:tr>
      <w:tr w14:paraId="72621E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5AA2BDE6">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75A49CBA">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8CBD7">
            <w:pPr>
              <w:keepNext w:val="0"/>
              <w:keepLines w:val="0"/>
              <w:widowControl/>
              <w:suppressLineNumbers w:val="0"/>
              <w:spacing w:line="360" w:lineRule="auto"/>
              <w:jc w:val="left"/>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5.2.16.-86度超低温冰箱 2套</w:t>
            </w:r>
          </w:p>
        </w:tc>
      </w:tr>
      <w:tr w14:paraId="7A350D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0B33397D">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79DB3A0B">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E8E75">
            <w:pPr>
              <w:keepNext w:val="0"/>
              <w:keepLines w:val="0"/>
              <w:widowControl/>
              <w:suppressLineNumbers w:val="0"/>
              <w:spacing w:line="360" w:lineRule="auto"/>
              <w:jc w:val="left"/>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5.2.17.多功能离心机 2套</w:t>
            </w:r>
          </w:p>
        </w:tc>
      </w:tr>
      <w:tr w14:paraId="332A82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0D0E1852">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70E3A4BF">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45A2E">
            <w:pPr>
              <w:keepNext w:val="0"/>
              <w:keepLines w:val="0"/>
              <w:widowControl/>
              <w:suppressLineNumbers w:val="0"/>
              <w:spacing w:line="360" w:lineRule="auto"/>
              <w:jc w:val="left"/>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5.2.18.生物安全柜 2套</w:t>
            </w:r>
          </w:p>
        </w:tc>
      </w:tr>
      <w:tr w14:paraId="486AB3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59D3BF51">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57FC6799">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5368B">
            <w:pPr>
              <w:keepNext w:val="0"/>
              <w:keepLines w:val="0"/>
              <w:widowControl/>
              <w:suppressLineNumbers w:val="0"/>
              <w:spacing w:line="360" w:lineRule="auto"/>
              <w:jc w:val="left"/>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5.2.19.手动单道移液器 4套</w:t>
            </w:r>
          </w:p>
        </w:tc>
      </w:tr>
      <w:tr w14:paraId="04F62A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6E170408">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1D424BBE">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92070">
            <w:pPr>
              <w:keepNext w:val="0"/>
              <w:keepLines w:val="0"/>
              <w:widowControl/>
              <w:suppressLineNumbers w:val="0"/>
              <w:spacing w:line="360" w:lineRule="auto"/>
              <w:jc w:val="left"/>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5.2.20.手动8道移液器 4套</w:t>
            </w:r>
          </w:p>
        </w:tc>
      </w:tr>
      <w:tr w14:paraId="15D3AA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1C8B082A">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55013C72">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F762A">
            <w:pPr>
              <w:keepNext w:val="0"/>
              <w:keepLines w:val="0"/>
              <w:widowControl/>
              <w:suppressLineNumbers w:val="0"/>
              <w:spacing w:line="360" w:lineRule="auto"/>
              <w:jc w:val="left"/>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5.2.21.高速冷冻离心机 1套</w:t>
            </w:r>
          </w:p>
        </w:tc>
      </w:tr>
      <w:tr w14:paraId="458E9A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1B2966FF">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20369F75">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6D9CD">
            <w:pPr>
              <w:keepNext w:val="0"/>
              <w:keepLines w:val="0"/>
              <w:widowControl/>
              <w:suppressLineNumbers w:val="0"/>
              <w:spacing w:line="360" w:lineRule="auto"/>
              <w:jc w:val="left"/>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5.2.22.高速台式冷冻离心机 2套</w:t>
            </w:r>
          </w:p>
        </w:tc>
      </w:tr>
      <w:tr w14:paraId="04A8C3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1F9CB12F">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10B72D2E">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5A962">
            <w:pPr>
              <w:keepNext w:val="0"/>
              <w:keepLines w:val="0"/>
              <w:widowControl/>
              <w:suppressLineNumbers w:val="0"/>
              <w:spacing w:line="360" w:lineRule="auto"/>
              <w:jc w:val="left"/>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5.2.23.半自动旋盖机 2套</w:t>
            </w:r>
          </w:p>
        </w:tc>
      </w:tr>
      <w:tr w14:paraId="1791AA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27012254">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4837DBF5">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164E5">
            <w:pPr>
              <w:keepNext w:val="0"/>
              <w:keepLines w:val="0"/>
              <w:widowControl/>
              <w:suppressLineNumbers w:val="0"/>
              <w:spacing w:line="360" w:lineRule="auto"/>
              <w:jc w:val="left"/>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5.2.24.全自动低温研磨仪 1套</w:t>
            </w:r>
          </w:p>
        </w:tc>
      </w:tr>
      <w:tr w14:paraId="1A0621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47826C35">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4432BF15">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6120B">
            <w:pPr>
              <w:keepNext w:val="0"/>
              <w:keepLines w:val="0"/>
              <w:widowControl/>
              <w:suppressLineNumbers w:val="0"/>
              <w:spacing w:line="360" w:lineRule="auto"/>
              <w:jc w:val="left"/>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5.2.25.全自动撕膜机 1套</w:t>
            </w:r>
          </w:p>
        </w:tc>
      </w:tr>
      <w:tr w14:paraId="0F72F5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6FF2B9DD">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46B3F6A7">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00ED9">
            <w:pPr>
              <w:keepNext w:val="0"/>
              <w:keepLines w:val="0"/>
              <w:widowControl/>
              <w:suppressLineNumbers w:val="0"/>
              <w:spacing w:line="360" w:lineRule="auto"/>
              <w:jc w:val="left"/>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5.2.26.全自动热封膜机 1套</w:t>
            </w:r>
          </w:p>
        </w:tc>
      </w:tr>
      <w:tr w14:paraId="7EC050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0BFC7EB8">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2191D761">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2E573">
            <w:pPr>
              <w:keepNext w:val="0"/>
              <w:keepLines w:val="0"/>
              <w:widowControl/>
              <w:suppressLineNumbers w:val="0"/>
              <w:spacing w:line="360" w:lineRule="auto"/>
              <w:jc w:val="left"/>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5.2.27.全自动核酸提取仪① 2套</w:t>
            </w:r>
          </w:p>
        </w:tc>
      </w:tr>
      <w:tr w14:paraId="291D5C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1B1EBFB5">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4C13A2AB">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311F8">
            <w:pPr>
              <w:keepNext w:val="0"/>
              <w:keepLines w:val="0"/>
              <w:widowControl/>
              <w:suppressLineNumbers w:val="0"/>
              <w:spacing w:line="360" w:lineRule="auto"/>
              <w:jc w:val="left"/>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5.2.28.全自动核酸提取仪② 1套</w:t>
            </w:r>
          </w:p>
        </w:tc>
      </w:tr>
      <w:tr w14:paraId="48B86A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38DF2FB1">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4B6D97B3">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0F64B">
            <w:pPr>
              <w:keepNext w:val="0"/>
              <w:keepLines w:val="0"/>
              <w:widowControl/>
              <w:suppressLineNumbers w:val="0"/>
              <w:spacing w:line="360" w:lineRule="auto"/>
              <w:jc w:val="left"/>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5.2.29.96孔板涡旋混匀仪 2套</w:t>
            </w:r>
          </w:p>
        </w:tc>
      </w:tr>
      <w:tr w14:paraId="2EC192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0E918980">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2A4C4130">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B2A93">
            <w:pPr>
              <w:keepNext w:val="0"/>
              <w:keepLines w:val="0"/>
              <w:widowControl/>
              <w:suppressLineNumbers w:val="0"/>
              <w:spacing w:line="360" w:lineRule="auto"/>
              <w:jc w:val="left"/>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5.2.30.孔板离心机 2套</w:t>
            </w:r>
          </w:p>
        </w:tc>
      </w:tr>
      <w:tr w14:paraId="6200D1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11D77492">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06BB4CAF">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38E38">
            <w:pPr>
              <w:keepNext w:val="0"/>
              <w:keepLines w:val="0"/>
              <w:widowControl/>
              <w:suppressLineNumbers w:val="0"/>
              <w:spacing w:line="360" w:lineRule="auto"/>
              <w:jc w:val="left"/>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5.2.31.超净工作台 2套</w:t>
            </w:r>
          </w:p>
        </w:tc>
      </w:tr>
      <w:tr w14:paraId="1B0764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1141C7C9">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5FC798F3">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105B5">
            <w:pPr>
              <w:keepNext w:val="0"/>
              <w:keepLines w:val="0"/>
              <w:widowControl/>
              <w:suppressLineNumbers w:val="0"/>
              <w:spacing w:line="360" w:lineRule="auto"/>
              <w:jc w:val="left"/>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5.2.32.移液工作站 1套</w:t>
            </w:r>
          </w:p>
        </w:tc>
      </w:tr>
      <w:tr w14:paraId="576B1A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51F32132">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7958C7B3">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A6079">
            <w:pPr>
              <w:keepNext w:val="0"/>
              <w:keepLines w:val="0"/>
              <w:widowControl/>
              <w:suppressLineNumbers w:val="0"/>
              <w:spacing w:line="360" w:lineRule="auto"/>
              <w:jc w:val="left"/>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5.2.33.-20度冰箱 1套</w:t>
            </w:r>
          </w:p>
        </w:tc>
      </w:tr>
      <w:tr w14:paraId="78CDBD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58C1470E">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63E479B6">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6170B">
            <w:pPr>
              <w:keepNext w:val="0"/>
              <w:keepLines w:val="0"/>
              <w:widowControl/>
              <w:suppressLineNumbers w:val="0"/>
              <w:spacing w:line="360" w:lineRule="auto"/>
              <w:jc w:val="left"/>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5.2.34.涡旋混匀仪 2套</w:t>
            </w:r>
          </w:p>
        </w:tc>
      </w:tr>
      <w:tr w14:paraId="0BFD83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58487885">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681BDB04">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D25D2">
            <w:pPr>
              <w:keepNext w:val="0"/>
              <w:keepLines w:val="0"/>
              <w:widowControl/>
              <w:suppressLineNumbers w:val="0"/>
              <w:spacing w:line="360" w:lineRule="auto"/>
              <w:jc w:val="left"/>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5.2.35.瞬时离心机 2套</w:t>
            </w:r>
          </w:p>
        </w:tc>
      </w:tr>
      <w:tr w14:paraId="5B3D58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5D521734">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72EA4DC3">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FD746">
            <w:pPr>
              <w:keepNext w:val="0"/>
              <w:keepLines w:val="0"/>
              <w:widowControl/>
              <w:suppressLineNumbers w:val="0"/>
              <w:spacing w:line="360" w:lineRule="auto"/>
              <w:jc w:val="left"/>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5.2.36.灭菌器 2套</w:t>
            </w:r>
          </w:p>
        </w:tc>
      </w:tr>
      <w:tr w14:paraId="4FF36D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0B83C25C">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6B78F2CE">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2E88D">
            <w:pPr>
              <w:keepNext w:val="0"/>
              <w:keepLines w:val="0"/>
              <w:widowControl/>
              <w:suppressLineNumbers w:val="0"/>
              <w:spacing w:line="360" w:lineRule="auto"/>
              <w:jc w:val="left"/>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5.3.全自动建库模块</w:t>
            </w:r>
          </w:p>
        </w:tc>
      </w:tr>
      <w:tr w14:paraId="2A8955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5E3C7C10">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09790AA7">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B838F">
            <w:pPr>
              <w:keepNext w:val="0"/>
              <w:keepLines w:val="0"/>
              <w:widowControl/>
              <w:suppressLineNumbers w:val="0"/>
              <w:spacing w:line="360" w:lineRule="auto"/>
              <w:jc w:val="left"/>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5.3.1.自动化物料转运组件 1套</w:t>
            </w:r>
          </w:p>
        </w:tc>
      </w:tr>
      <w:tr w14:paraId="148BE8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2DEB8782">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51C304E5">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FC3BB">
            <w:pPr>
              <w:keepNext w:val="0"/>
              <w:keepLines w:val="0"/>
              <w:widowControl/>
              <w:suppressLineNumbers w:val="0"/>
              <w:spacing w:line="360" w:lineRule="auto"/>
              <w:jc w:val="left"/>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5.3.2.自动化液体工作站组件① 1套</w:t>
            </w:r>
          </w:p>
        </w:tc>
      </w:tr>
      <w:tr w14:paraId="5697F4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74913A2B">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2A6C9FD1">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1CFAB">
            <w:pPr>
              <w:keepNext w:val="0"/>
              <w:keepLines w:val="0"/>
              <w:widowControl/>
              <w:suppressLineNumbers w:val="0"/>
              <w:spacing w:line="360" w:lineRule="auto"/>
              <w:jc w:val="left"/>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5.3.3.自动化液体工作站组件② 1套</w:t>
            </w:r>
          </w:p>
        </w:tc>
      </w:tr>
      <w:tr w14:paraId="26F31D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3C8523FD">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0C5828FC">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950B9">
            <w:pPr>
              <w:keepNext w:val="0"/>
              <w:keepLines w:val="0"/>
              <w:widowControl/>
              <w:suppressLineNumbers w:val="0"/>
              <w:spacing w:line="360" w:lineRule="auto"/>
              <w:jc w:val="left"/>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5.3.4.自动化耗材供给组件 2套</w:t>
            </w:r>
          </w:p>
        </w:tc>
      </w:tr>
      <w:tr w14:paraId="29D707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0ADED6CB">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4E3C4C01">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56E50">
            <w:pPr>
              <w:keepNext w:val="0"/>
              <w:keepLines w:val="0"/>
              <w:widowControl/>
              <w:suppressLineNumbers w:val="0"/>
              <w:spacing w:line="360" w:lineRule="auto"/>
              <w:jc w:val="left"/>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5.3.5.自动化冰箱组件 1套</w:t>
            </w:r>
          </w:p>
        </w:tc>
      </w:tr>
      <w:tr w14:paraId="1EE9C3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2CAE493D">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4EFB2175">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9442D">
            <w:pPr>
              <w:keepNext w:val="0"/>
              <w:keepLines w:val="0"/>
              <w:widowControl/>
              <w:suppressLineNumbers w:val="0"/>
              <w:spacing w:line="360" w:lineRule="auto"/>
              <w:jc w:val="left"/>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5.3.6.自动化微孔板离心组件 1套</w:t>
            </w:r>
          </w:p>
        </w:tc>
      </w:tr>
      <w:tr w14:paraId="159A6F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1A87FC3F">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48445A5F">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46D53">
            <w:pPr>
              <w:keepNext w:val="0"/>
              <w:keepLines w:val="0"/>
              <w:widowControl/>
              <w:suppressLineNumbers w:val="0"/>
              <w:spacing w:line="360" w:lineRule="auto"/>
              <w:jc w:val="left"/>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5.3.7.自动化片段分析组件 1套</w:t>
            </w:r>
          </w:p>
        </w:tc>
      </w:tr>
      <w:tr w14:paraId="2F0634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3C937A19">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4A700D75">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D2749">
            <w:pPr>
              <w:keepNext w:val="0"/>
              <w:keepLines w:val="0"/>
              <w:widowControl/>
              <w:suppressLineNumbers w:val="0"/>
              <w:spacing w:line="360" w:lineRule="auto"/>
              <w:jc w:val="left"/>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5.3.8.自动化qPCR仪组件 1套</w:t>
            </w:r>
          </w:p>
        </w:tc>
      </w:tr>
      <w:tr w14:paraId="456157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0A81151F">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4DAD3FCE">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7E978">
            <w:pPr>
              <w:keepNext w:val="0"/>
              <w:keepLines w:val="0"/>
              <w:widowControl/>
              <w:suppressLineNumbers w:val="0"/>
              <w:spacing w:line="360" w:lineRule="auto"/>
              <w:jc w:val="left"/>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5.3.9.自动化定量组件 1套</w:t>
            </w:r>
          </w:p>
        </w:tc>
      </w:tr>
      <w:tr w14:paraId="264230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1A1C346E">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2730F15E">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B9283">
            <w:pPr>
              <w:keepNext w:val="0"/>
              <w:keepLines w:val="0"/>
              <w:widowControl/>
              <w:suppressLineNumbers w:val="0"/>
              <w:spacing w:line="360" w:lineRule="auto"/>
              <w:jc w:val="left"/>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5.3.10.自动化撕膜组件 1套</w:t>
            </w:r>
          </w:p>
        </w:tc>
      </w:tr>
      <w:tr w14:paraId="22DA8B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3683993E">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47CE9A0D">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53423">
            <w:pPr>
              <w:keepNext w:val="0"/>
              <w:keepLines w:val="0"/>
              <w:widowControl/>
              <w:suppressLineNumbers w:val="0"/>
              <w:spacing w:line="360" w:lineRule="auto"/>
              <w:jc w:val="left"/>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5.3.11.自动化封膜组件 1套</w:t>
            </w:r>
          </w:p>
        </w:tc>
      </w:tr>
      <w:tr w14:paraId="1727B1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6123812A">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0491AB69">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9B70D">
            <w:pPr>
              <w:keepNext w:val="0"/>
              <w:keepLines w:val="0"/>
              <w:widowControl/>
              <w:suppressLineNumbers w:val="0"/>
              <w:spacing w:line="360" w:lineRule="auto"/>
              <w:jc w:val="left"/>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5.3.12.自动化热循环组件 4套</w:t>
            </w:r>
          </w:p>
        </w:tc>
      </w:tr>
      <w:tr w14:paraId="6CA781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7106FB49">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3D1CEC6C">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34DBF">
            <w:pPr>
              <w:keepNext w:val="0"/>
              <w:keepLines w:val="0"/>
              <w:widowControl/>
              <w:suppressLineNumbers w:val="0"/>
              <w:spacing w:line="360" w:lineRule="auto"/>
              <w:jc w:val="left"/>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5.3.13.自动化HEPA组件 1套</w:t>
            </w:r>
          </w:p>
        </w:tc>
      </w:tr>
      <w:tr w14:paraId="09FAAA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6718DBC4">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27D442F8">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4347E">
            <w:pPr>
              <w:keepNext w:val="0"/>
              <w:keepLines w:val="0"/>
              <w:widowControl/>
              <w:suppressLineNumbers w:val="0"/>
              <w:spacing w:line="360" w:lineRule="auto"/>
              <w:jc w:val="left"/>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5.3.14.自动化化工作台及电控组件 1套</w:t>
            </w:r>
          </w:p>
        </w:tc>
      </w:tr>
      <w:tr w14:paraId="666891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2FA72365">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1B75D7D9">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1D2B3">
            <w:pPr>
              <w:keepNext w:val="0"/>
              <w:keepLines w:val="0"/>
              <w:widowControl/>
              <w:suppressLineNumbers w:val="0"/>
              <w:spacing w:line="360" w:lineRule="auto"/>
              <w:jc w:val="left"/>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5.3.15.中央控制软件 1套</w:t>
            </w:r>
          </w:p>
        </w:tc>
      </w:tr>
      <w:tr w14:paraId="2F31F5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34F83A14">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17B6161E">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0BE1E">
            <w:pPr>
              <w:keepNext w:val="0"/>
              <w:keepLines w:val="0"/>
              <w:widowControl/>
              <w:suppressLineNumbers w:val="0"/>
              <w:spacing w:line="360" w:lineRule="auto"/>
              <w:jc w:val="left"/>
              <w:textAlignment w:val="center"/>
              <w:rPr>
                <w:rFonts w:hint="default" w:ascii="Times New Roman" w:hAnsi="Times New Roman" w:eastAsia="宋体" w:cs="Times New Roman"/>
                <w:i w:val="0"/>
                <w:iCs w:val="0"/>
                <w:color w:val="000000"/>
                <w:kern w:val="0"/>
                <w:sz w:val="24"/>
                <w:szCs w:val="24"/>
                <w:highlight w:val="none"/>
                <w:u w:val="none"/>
                <w:lang w:val="en-US" w:eastAsia="zh-CN" w:bidi="ar"/>
              </w:rPr>
            </w:pPr>
            <w:r>
              <w:rPr>
                <w:rFonts w:hint="default" w:ascii="Times New Roman" w:hAnsi="Times New Roman" w:eastAsia="宋体" w:cs="Times New Roman"/>
                <w:i w:val="0"/>
                <w:iCs w:val="0"/>
                <w:color w:val="000000"/>
                <w:kern w:val="0"/>
                <w:sz w:val="24"/>
                <w:szCs w:val="24"/>
                <w:highlight w:val="none"/>
                <w:u w:val="none"/>
                <w:lang w:val="en-US" w:eastAsia="zh-CN" w:bidi="ar"/>
              </w:rPr>
              <w:t>5.3.16.智能数据管理分析平台 1套</w:t>
            </w:r>
          </w:p>
        </w:tc>
      </w:tr>
      <w:tr w14:paraId="4CC1F7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right w:val="single" w:color="000000" w:sz="4" w:space="0"/>
            </w:tcBorders>
            <w:shd w:val="clear" w:color="auto" w:fill="auto"/>
            <w:vAlign w:val="center"/>
          </w:tcPr>
          <w:p w14:paraId="7D14F525">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right w:val="single" w:color="000000" w:sz="4" w:space="0"/>
            </w:tcBorders>
            <w:shd w:val="clear" w:color="auto" w:fill="auto"/>
            <w:vAlign w:val="center"/>
          </w:tcPr>
          <w:p w14:paraId="66051A6C">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61809">
            <w:pPr>
              <w:keepNext w:val="0"/>
              <w:keepLines w:val="0"/>
              <w:widowControl/>
              <w:suppressLineNumbers w:val="0"/>
              <w:spacing w:line="360" w:lineRule="auto"/>
              <w:jc w:val="left"/>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5.4.智能交付系统 1套</w:t>
            </w:r>
          </w:p>
        </w:tc>
      </w:tr>
      <w:tr w14:paraId="733799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5" w:type="dxa"/>
            <w:vMerge w:val="continue"/>
            <w:tcBorders>
              <w:left w:val="single" w:color="000000" w:sz="4" w:space="0"/>
              <w:bottom w:val="single" w:color="000000" w:sz="4" w:space="0"/>
              <w:right w:val="single" w:color="000000" w:sz="4" w:space="0"/>
            </w:tcBorders>
            <w:shd w:val="clear" w:color="auto" w:fill="auto"/>
            <w:vAlign w:val="center"/>
          </w:tcPr>
          <w:p w14:paraId="5ECB8A8F">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0" w:type="dxa"/>
            <w:vMerge w:val="continue"/>
            <w:tcBorders>
              <w:left w:val="single" w:color="000000" w:sz="4" w:space="0"/>
              <w:bottom w:val="single" w:color="000000" w:sz="4" w:space="0"/>
              <w:right w:val="single" w:color="000000" w:sz="4" w:space="0"/>
            </w:tcBorders>
            <w:shd w:val="clear" w:color="auto" w:fill="auto"/>
            <w:vAlign w:val="center"/>
          </w:tcPr>
          <w:p w14:paraId="66A49288">
            <w:pPr>
              <w:spacing w:line="360" w:lineRule="auto"/>
              <w:jc w:val="center"/>
              <w:rPr>
                <w:rFonts w:hint="default" w:ascii="Times New Roman" w:hAnsi="Times New Roman" w:eastAsia="宋体" w:cs="Times New Roman"/>
                <w:i w:val="0"/>
                <w:iCs w:val="0"/>
                <w:color w:val="000000"/>
                <w:sz w:val="24"/>
                <w:szCs w:val="24"/>
                <w:highlight w:val="none"/>
                <w:u w:val="none"/>
              </w:rPr>
            </w:pPr>
          </w:p>
        </w:tc>
        <w:tc>
          <w:tcPr>
            <w:tcW w:w="7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8CC30">
            <w:pPr>
              <w:keepNext w:val="0"/>
              <w:keepLines w:val="0"/>
              <w:widowControl/>
              <w:suppressLineNumbers w:val="0"/>
              <w:spacing w:line="360" w:lineRule="auto"/>
              <w:jc w:val="left"/>
              <w:textAlignment w:val="center"/>
              <w:rPr>
                <w:rFonts w:hint="default" w:ascii="Times New Roman" w:hAnsi="Times New Roman" w:eastAsia="宋体" w:cs="Times New Roman"/>
                <w:i w:val="0"/>
                <w:iCs w:val="0"/>
                <w:color w:val="000000"/>
                <w:kern w:val="0"/>
                <w:sz w:val="24"/>
                <w:szCs w:val="24"/>
                <w:highlight w:val="none"/>
                <w:u w:val="none"/>
                <w:lang w:val="en-US" w:eastAsia="zh-CN" w:bidi="ar"/>
              </w:rPr>
            </w:pPr>
            <w:r>
              <w:rPr>
                <w:rFonts w:hint="default" w:ascii="Times New Roman" w:hAnsi="Times New Roman" w:eastAsia="宋体" w:cs="Times New Roman"/>
                <w:i w:val="0"/>
                <w:iCs w:val="0"/>
                <w:color w:val="000000"/>
                <w:kern w:val="0"/>
                <w:sz w:val="24"/>
                <w:szCs w:val="24"/>
                <w:highlight w:val="none"/>
                <w:u w:val="none"/>
                <w:lang w:val="en-US" w:eastAsia="zh-CN" w:bidi="ar"/>
              </w:rPr>
              <w:t>5.5配套的试剂耗材1套</w:t>
            </w:r>
          </w:p>
        </w:tc>
      </w:tr>
    </w:tbl>
    <w:p w14:paraId="37CC5122">
      <w:pPr>
        <w:widowControl/>
        <w:snapToGrid w:val="0"/>
        <w:spacing w:line="360" w:lineRule="auto"/>
        <w:outlineLvl w:val="9"/>
        <w:rPr>
          <w:rFonts w:hint="default" w:ascii="Times New Roman" w:hAnsi="Times New Roman" w:eastAsia="宋体" w:cs="Times New Roman"/>
          <w:b/>
          <w:sz w:val="24"/>
          <w:szCs w:val="24"/>
          <w:highlight w:val="none"/>
        </w:rPr>
      </w:pPr>
    </w:p>
    <w:p w14:paraId="555DE708">
      <w:pPr>
        <w:widowControl/>
        <w:numPr>
          <w:ilvl w:val="255"/>
          <w:numId w:val="0"/>
        </w:numPr>
        <w:snapToGrid w:val="0"/>
        <w:spacing w:line="360" w:lineRule="auto"/>
        <w:rPr>
          <w:rFonts w:hint="default" w:ascii="Times New Roman" w:hAnsi="Times New Roman" w:eastAsia="宋体" w:cs="Times New Roman"/>
          <w:b/>
          <w:color w:val="FF0000"/>
          <w:sz w:val="24"/>
          <w:szCs w:val="24"/>
          <w:highlight w:val="none"/>
        </w:rPr>
      </w:pPr>
    </w:p>
    <w:p w14:paraId="3026E525">
      <w:pPr>
        <w:rPr>
          <w:rFonts w:hint="default" w:ascii="Times New Roman" w:hAnsi="Times New Roman" w:eastAsia="宋体" w:cs="Times New Roman"/>
          <w:color w:val="000000" w:themeColor="text1"/>
          <w:sz w:val="28"/>
          <w:szCs w:val="28"/>
          <w:highlight w:val="none"/>
          <w14:textFill>
            <w14:solidFill>
              <w14:schemeClr w14:val="tx1"/>
            </w14:solidFill>
          </w14:textFill>
        </w:rPr>
      </w:pPr>
      <w:r>
        <w:rPr>
          <w:rFonts w:hint="default" w:ascii="Times New Roman" w:hAnsi="Times New Roman" w:eastAsia="宋体" w:cs="Times New Roman"/>
          <w:color w:val="000000" w:themeColor="text1"/>
          <w:sz w:val="28"/>
          <w:szCs w:val="28"/>
          <w:highlight w:val="none"/>
          <w14:textFill>
            <w14:solidFill>
              <w14:schemeClr w14:val="tx1"/>
            </w14:solidFill>
          </w14:textFill>
        </w:rPr>
        <w:br w:type="page"/>
      </w:r>
    </w:p>
    <w:p w14:paraId="41C1E038">
      <w:pPr>
        <w:pStyle w:val="6"/>
        <w:spacing w:before="0" w:after="0"/>
        <w:jc w:val="both"/>
        <w:outlineLvl w:val="1"/>
        <w:rPr>
          <w:rFonts w:hint="default" w:ascii="Times New Roman" w:hAnsi="Times New Roman" w:eastAsia="宋体" w:cs="Times New Roman"/>
          <w:color w:val="000000" w:themeColor="text1"/>
          <w:sz w:val="28"/>
          <w:szCs w:val="28"/>
          <w:highlight w:val="none"/>
          <w14:textFill>
            <w14:solidFill>
              <w14:schemeClr w14:val="tx1"/>
            </w14:solidFill>
          </w14:textFill>
        </w:rPr>
      </w:pPr>
      <w:r>
        <w:rPr>
          <w:rFonts w:hint="default" w:ascii="Times New Roman" w:hAnsi="Times New Roman" w:eastAsia="宋体" w:cs="Times New Roman"/>
          <w:color w:val="000000" w:themeColor="text1"/>
          <w:sz w:val="28"/>
          <w:szCs w:val="28"/>
          <w:highlight w:val="none"/>
          <w14:textFill>
            <w14:solidFill>
              <w14:schemeClr w14:val="tx1"/>
            </w14:solidFill>
          </w14:textFill>
        </w:rPr>
        <w:t>《二》商务要求</w:t>
      </w:r>
    </w:p>
    <w:p w14:paraId="7114910A">
      <w:pPr>
        <w:pStyle w:val="23"/>
        <w:shd w:val="clear" w:color="auto" w:fill="FFFFFF"/>
        <w:spacing w:before="0" w:beforeAutospacing="0" w:after="0" w:afterAutospacing="0" w:line="360" w:lineRule="auto"/>
        <w:ind w:firstLine="480" w:firstLineChars="200"/>
        <w:jc w:val="both"/>
        <w:outlineLvl w:val="3"/>
        <w:rPr>
          <w:rFonts w:hint="default" w:ascii="Times New Roman" w:hAnsi="Times New Roman" w:eastAsia="宋体" w:cs="Times New Roman"/>
          <w:color w:val="0F1115"/>
          <w:highlight w:val="none"/>
        </w:rPr>
      </w:pPr>
      <w:r>
        <w:rPr>
          <w:rFonts w:hint="default" w:ascii="Times New Roman" w:hAnsi="Times New Roman" w:eastAsia="宋体" w:cs="Times New Roman"/>
          <w:color w:val="0F1115"/>
          <w:highlight w:val="none"/>
          <w:shd w:val="clear" w:color="auto" w:fill="FFFFFF"/>
        </w:rPr>
        <w:t>（一）供货要求</w:t>
      </w:r>
    </w:p>
    <w:p w14:paraId="754296DA">
      <w:pPr>
        <w:pStyle w:val="23"/>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rPr>
      </w:pPr>
      <w:r>
        <w:rPr>
          <w:rFonts w:hint="default" w:ascii="Times New Roman" w:hAnsi="Times New Roman" w:eastAsia="宋体" w:cs="Times New Roman"/>
          <w:color w:val="0F1115"/>
          <w:highlight w:val="none"/>
          <w:shd w:val="clear" w:color="auto" w:fill="FFFFFF"/>
        </w:rPr>
        <w:t>★1、数量要求：</w:t>
      </w:r>
      <w:r>
        <w:rPr>
          <w:rFonts w:hint="default" w:ascii="Times New Roman" w:hAnsi="Times New Roman" w:eastAsia="宋体" w:cs="Times New Roman"/>
          <w:kern w:val="0"/>
          <w:sz w:val="24"/>
          <w:highlight w:val="none"/>
          <w:lang w:eastAsia="zh-CN"/>
        </w:rPr>
        <w:t>样本预处理工作站</w:t>
      </w:r>
      <w:r>
        <w:rPr>
          <w:rFonts w:hint="default" w:ascii="Times New Roman" w:hAnsi="Times New Roman" w:eastAsia="宋体" w:cs="Times New Roman"/>
          <w:color w:val="0F1115"/>
          <w:highlight w:val="none"/>
          <w:shd w:val="clear" w:color="auto" w:fill="FFFFFF"/>
          <w:lang w:val="en-US" w:eastAsia="zh-CN"/>
        </w:rPr>
        <w:t>1</w:t>
      </w:r>
      <w:r>
        <w:rPr>
          <w:rFonts w:hint="default" w:ascii="Times New Roman" w:hAnsi="Times New Roman" w:eastAsia="宋体" w:cs="Times New Roman"/>
          <w:color w:val="0F1115"/>
          <w:highlight w:val="none"/>
          <w:shd w:val="clear" w:color="auto" w:fill="FFFFFF"/>
        </w:rPr>
        <w:t>套</w:t>
      </w:r>
      <w:r>
        <w:rPr>
          <w:rFonts w:hint="default" w:ascii="Times New Roman" w:hAnsi="Times New Roman" w:eastAsia="宋体" w:cs="Times New Roman"/>
          <w:kern w:val="0"/>
          <w:sz w:val="24"/>
          <w:highlight w:val="none"/>
          <w:lang w:eastAsia="zh-CN"/>
        </w:rPr>
        <w:t>、全自动提取模块</w:t>
      </w:r>
      <w:r>
        <w:rPr>
          <w:rFonts w:hint="default" w:ascii="Times New Roman" w:hAnsi="Times New Roman" w:eastAsia="宋体" w:cs="Times New Roman"/>
          <w:color w:val="0F1115"/>
          <w:highlight w:val="none"/>
          <w:shd w:val="clear" w:color="auto" w:fill="FFFFFF"/>
        </w:rPr>
        <w:t>1套</w:t>
      </w:r>
      <w:r>
        <w:rPr>
          <w:rFonts w:hint="default" w:ascii="Times New Roman" w:hAnsi="Times New Roman" w:eastAsia="宋体" w:cs="Times New Roman"/>
          <w:kern w:val="0"/>
          <w:sz w:val="24"/>
          <w:highlight w:val="none"/>
          <w:lang w:eastAsia="zh-CN"/>
        </w:rPr>
        <w:t>、全自动建库模块</w:t>
      </w:r>
      <w:r>
        <w:rPr>
          <w:rFonts w:hint="default" w:ascii="Times New Roman" w:hAnsi="Times New Roman" w:eastAsia="宋体" w:cs="Times New Roman"/>
          <w:color w:val="0F1115"/>
          <w:highlight w:val="none"/>
          <w:shd w:val="clear" w:color="auto" w:fill="FFFFFF"/>
        </w:rPr>
        <w:t>1套</w:t>
      </w:r>
      <w:r>
        <w:rPr>
          <w:rFonts w:hint="default" w:ascii="Times New Roman" w:hAnsi="Times New Roman" w:eastAsia="宋体" w:cs="Times New Roman"/>
          <w:kern w:val="0"/>
          <w:sz w:val="24"/>
          <w:highlight w:val="none"/>
          <w:lang w:eastAsia="zh-CN"/>
        </w:rPr>
        <w:t>和智能交付系统</w:t>
      </w:r>
      <w:r>
        <w:rPr>
          <w:rFonts w:hint="default" w:ascii="Times New Roman" w:hAnsi="Times New Roman" w:eastAsia="宋体" w:cs="Times New Roman"/>
          <w:color w:val="0F1115"/>
          <w:highlight w:val="none"/>
          <w:shd w:val="clear" w:color="auto" w:fill="FFFFFF"/>
        </w:rPr>
        <w:t>1套。</w:t>
      </w:r>
    </w:p>
    <w:p w14:paraId="4862E0E7">
      <w:pPr>
        <w:pStyle w:val="23"/>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shd w:val="clear" w:color="auto" w:fill="FFFFFF"/>
        </w:rPr>
      </w:pPr>
      <w:r>
        <w:rPr>
          <w:rFonts w:hint="default" w:ascii="Times New Roman" w:hAnsi="Times New Roman" w:eastAsia="宋体" w:cs="Times New Roman"/>
          <w:color w:val="0F1115"/>
          <w:highlight w:val="none"/>
          <w:shd w:val="clear" w:color="auto" w:fill="FFFFFF"/>
        </w:rPr>
        <w:t>★2、交货期：</w:t>
      </w:r>
    </w:p>
    <w:p w14:paraId="7D289645">
      <w:pPr>
        <w:pStyle w:val="23"/>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shd w:val="clear" w:color="auto" w:fill="FFFFFF"/>
        </w:rPr>
      </w:pPr>
      <w:bookmarkStart w:id="14" w:name="OLE_LINK16"/>
      <w:r>
        <w:rPr>
          <w:rFonts w:hint="default" w:ascii="Times New Roman" w:hAnsi="Times New Roman" w:eastAsia="宋体" w:cs="Times New Roman"/>
          <w:color w:val="0F1115"/>
          <w:highlight w:val="none"/>
          <w:shd w:val="clear" w:color="auto" w:fill="FFFFFF"/>
        </w:rPr>
        <w:t>第一阶段，合同签订后2026年12月30日前，完成样本预处理工作站、全自动提取模块的交付。</w:t>
      </w:r>
    </w:p>
    <w:p w14:paraId="4E4BB445">
      <w:pPr>
        <w:pStyle w:val="23"/>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shd w:val="clear" w:color="auto" w:fill="FFFFFF"/>
        </w:rPr>
      </w:pPr>
      <w:r>
        <w:rPr>
          <w:rFonts w:hint="default" w:ascii="Times New Roman" w:hAnsi="Times New Roman" w:eastAsia="宋体" w:cs="Times New Roman"/>
          <w:color w:val="0F1115"/>
          <w:highlight w:val="none"/>
          <w:shd w:val="clear" w:color="auto" w:fill="FFFFFF"/>
        </w:rPr>
        <w:t>第二阶段，合同签订后2027年6月30日前，完成样本预处理工作站、全自动提取模块、全自动建库模块</w:t>
      </w:r>
      <w:r>
        <w:rPr>
          <w:rFonts w:hint="default" w:ascii="Times New Roman" w:hAnsi="Times New Roman" w:eastAsia="宋体" w:cs="Times New Roman"/>
          <w:color w:val="0F1115"/>
          <w:highlight w:val="none"/>
          <w:shd w:val="clear" w:color="auto" w:fill="FFFFFF"/>
          <w:lang w:val="en-US" w:eastAsia="zh-CN"/>
        </w:rPr>
        <w:t>及智能交付系统</w:t>
      </w:r>
      <w:r>
        <w:rPr>
          <w:rFonts w:hint="default" w:ascii="Times New Roman" w:hAnsi="Times New Roman" w:eastAsia="宋体" w:cs="Times New Roman"/>
          <w:color w:val="0F1115"/>
          <w:highlight w:val="none"/>
          <w:shd w:val="clear" w:color="auto" w:fill="FFFFFF"/>
        </w:rPr>
        <w:t>独立运行及</w:t>
      </w:r>
      <w:r>
        <w:rPr>
          <w:rFonts w:hint="default" w:ascii="Times New Roman" w:hAnsi="Times New Roman" w:eastAsia="宋体" w:cs="Times New Roman"/>
          <w:color w:val="0F1115"/>
          <w:highlight w:val="none"/>
          <w:shd w:val="clear" w:color="auto" w:fill="FFFFFF"/>
          <w:lang w:val="en-US" w:eastAsia="zh-CN"/>
        </w:rPr>
        <w:t>四个模块联调</w:t>
      </w:r>
      <w:r>
        <w:rPr>
          <w:rFonts w:hint="default" w:ascii="Times New Roman" w:hAnsi="Times New Roman" w:eastAsia="宋体" w:cs="Times New Roman"/>
          <w:color w:val="0F1115"/>
          <w:highlight w:val="none"/>
          <w:shd w:val="clear" w:color="auto" w:fill="FFFFFF"/>
        </w:rPr>
        <w:t>。</w:t>
      </w:r>
    </w:p>
    <w:p w14:paraId="18721A44">
      <w:pPr>
        <w:pStyle w:val="23"/>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shd w:val="clear" w:color="auto" w:fill="FFFFFF"/>
        </w:rPr>
      </w:pPr>
      <w:r>
        <w:rPr>
          <w:rFonts w:hint="default" w:ascii="Times New Roman" w:hAnsi="Times New Roman" w:eastAsia="宋体" w:cs="Times New Roman"/>
          <w:color w:val="0F1115"/>
          <w:highlight w:val="none"/>
          <w:shd w:val="clear" w:color="auto" w:fill="FFFFFF"/>
        </w:rPr>
        <w:t>第三阶段，合同签订后</w:t>
      </w:r>
      <w:r>
        <w:rPr>
          <w:rFonts w:hint="default" w:ascii="Times New Roman" w:hAnsi="Times New Roman" w:eastAsia="宋体" w:cs="Times New Roman"/>
          <w:color w:val="0F1115"/>
          <w:highlight w:val="none"/>
          <w:shd w:val="clear" w:color="auto" w:fill="FFFFFF"/>
          <w:lang w:val="en-US"/>
        </w:rPr>
        <w:t>2027年9月30日前，</w:t>
      </w:r>
      <w:r>
        <w:rPr>
          <w:rFonts w:hint="default" w:ascii="Times New Roman" w:hAnsi="Times New Roman" w:eastAsia="宋体" w:cs="Times New Roman"/>
          <w:color w:val="0F1115"/>
          <w:highlight w:val="none"/>
          <w:shd w:val="clear" w:color="auto" w:fill="FFFFFF"/>
          <w:lang w:val="en-US" w:eastAsia="zh-CN"/>
        </w:rPr>
        <w:t>完成设备</w:t>
      </w:r>
      <w:bookmarkStart w:id="15" w:name="OLE_LINK10"/>
      <w:r>
        <w:rPr>
          <w:rFonts w:hint="default" w:ascii="Times New Roman" w:hAnsi="Times New Roman" w:eastAsia="宋体" w:cs="Times New Roman"/>
          <w:color w:val="0F1115"/>
          <w:highlight w:val="none"/>
          <w:shd w:val="clear" w:color="auto" w:fill="FFFFFF"/>
          <w:lang w:val="en-US"/>
        </w:rPr>
        <w:t>生物性样本测试</w:t>
      </w:r>
      <w:bookmarkEnd w:id="15"/>
      <w:r>
        <w:rPr>
          <w:rFonts w:hint="default" w:ascii="Times New Roman" w:hAnsi="Times New Roman" w:eastAsia="宋体" w:cs="Times New Roman"/>
          <w:color w:val="0F1115"/>
          <w:highlight w:val="none"/>
          <w:shd w:val="clear" w:color="auto" w:fill="FFFFFF"/>
          <w:lang w:val="en-US"/>
        </w:rPr>
        <w:t>，实现葛洪系统的稳定对接</w:t>
      </w:r>
      <w:r>
        <w:rPr>
          <w:rFonts w:hint="default" w:ascii="Times New Roman" w:hAnsi="Times New Roman" w:eastAsia="宋体" w:cs="Times New Roman"/>
          <w:color w:val="0F1115"/>
          <w:highlight w:val="none"/>
          <w:shd w:val="clear" w:color="auto" w:fill="FFFFFF"/>
        </w:rPr>
        <w:t>。</w:t>
      </w:r>
    </w:p>
    <w:bookmarkEnd w:id="14"/>
    <w:p w14:paraId="7796043C">
      <w:pPr>
        <w:pStyle w:val="23"/>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shd w:val="clear" w:color="auto" w:fill="FFFFFF"/>
        </w:rPr>
      </w:pPr>
      <w:r>
        <w:rPr>
          <w:rFonts w:hint="default" w:ascii="Times New Roman" w:hAnsi="Times New Roman" w:eastAsia="宋体" w:cs="Times New Roman"/>
          <w:color w:val="0F1115"/>
          <w:highlight w:val="none"/>
          <w:shd w:val="clear" w:color="auto" w:fill="FFFFFF"/>
        </w:rPr>
        <w:t>★3、交货地点：采购人指定地点。</w:t>
      </w:r>
    </w:p>
    <w:p w14:paraId="49E31A15">
      <w:pPr>
        <w:pStyle w:val="23"/>
        <w:shd w:val="clear" w:color="auto" w:fill="FFFFFF"/>
        <w:spacing w:before="0" w:beforeAutospacing="0" w:after="0" w:afterAutospacing="0" w:line="360" w:lineRule="auto"/>
        <w:jc w:val="both"/>
        <w:outlineLvl w:val="3"/>
        <w:rPr>
          <w:rFonts w:hint="default" w:ascii="Times New Roman" w:hAnsi="Times New Roman" w:eastAsia="宋体" w:cs="Times New Roman"/>
          <w:color w:val="0F1115"/>
          <w:highlight w:val="none"/>
          <w:lang w:val="en-US" w:eastAsia="zh-CN"/>
        </w:rPr>
      </w:pPr>
      <w:r>
        <w:rPr>
          <w:rFonts w:hint="default" w:ascii="Times New Roman" w:hAnsi="Times New Roman" w:eastAsia="宋体" w:cs="Times New Roman"/>
          <w:color w:val="0F1115"/>
          <w:highlight w:val="none"/>
          <w:shd w:val="clear" w:color="auto" w:fill="FFFFFF"/>
        </w:rPr>
        <w:t>（二）</w:t>
      </w:r>
      <w:r>
        <w:rPr>
          <w:rFonts w:hint="default" w:ascii="Times New Roman" w:hAnsi="Times New Roman" w:eastAsia="宋体" w:cs="Times New Roman"/>
          <w:color w:val="0F1115"/>
          <w:highlight w:val="none"/>
          <w:shd w:val="clear" w:color="auto" w:fill="FFFFFF"/>
          <w:lang w:val="en-US" w:eastAsia="zh-CN"/>
        </w:rPr>
        <w:t>履约团队、</w:t>
      </w:r>
      <w:r>
        <w:rPr>
          <w:rFonts w:hint="default" w:ascii="Times New Roman" w:hAnsi="Times New Roman" w:eastAsia="宋体" w:cs="Times New Roman"/>
          <w:b/>
          <w:highlight w:val="none"/>
        </w:rPr>
        <w:t>技术</w:t>
      </w:r>
      <w:r>
        <w:rPr>
          <w:rFonts w:hint="default" w:ascii="Times New Roman" w:hAnsi="Times New Roman" w:eastAsia="宋体" w:cs="Times New Roman"/>
          <w:b/>
          <w:bCs/>
          <w:highlight w:val="none"/>
        </w:rPr>
        <w:t>支持、售后及</w:t>
      </w:r>
      <w:r>
        <w:rPr>
          <w:rFonts w:hint="default" w:ascii="Times New Roman" w:hAnsi="Times New Roman" w:eastAsia="宋体" w:cs="Times New Roman"/>
          <w:b/>
          <w:highlight w:val="none"/>
        </w:rPr>
        <w:t>培训</w:t>
      </w:r>
      <w:r>
        <w:rPr>
          <w:rFonts w:hint="default" w:ascii="Times New Roman" w:hAnsi="Times New Roman" w:eastAsia="宋体" w:cs="Times New Roman"/>
          <w:b/>
          <w:highlight w:val="none"/>
          <w:lang w:val="en-US" w:eastAsia="zh-CN"/>
        </w:rPr>
        <w:t>的要求</w:t>
      </w:r>
    </w:p>
    <w:p w14:paraId="607258E4">
      <w:pPr>
        <w:pStyle w:val="23"/>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shd w:val="clear" w:color="auto" w:fill="FFFFFF"/>
        </w:rPr>
      </w:pPr>
      <w:r>
        <w:rPr>
          <w:rFonts w:hint="default" w:ascii="Times New Roman" w:hAnsi="Times New Roman" w:eastAsia="宋体" w:cs="Times New Roman"/>
          <w:bCs/>
          <w:highlight w:val="none"/>
        </w:rPr>
        <w:t>▲</w:t>
      </w:r>
      <w:r>
        <w:rPr>
          <w:rFonts w:hint="default" w:ascii="Times New Roman" w:hAnsi="Times New Roman" w:eastAsia="宋体" w:cs="Times New Roman"/>
          <w:color w:val="0F1115"/>
          <w:highlight w:val="none"/>
          <w:shd w:val="clear" w:color="auto" w:fill="FFFFFF"/>
        </w:rPr>
        <w:t xml:space="preserve">1、投标人项目团队以及能力要求： </w:t>
      </w:r>
    </w:p>
    <w:p w14:paraId="0DE1598D">
      <w:pPr>
        <w:pStyle w:val="23"/>
        <w:numPr>
          <w:ilvl w:val="0"/>
          <w:numId w:val="5"/>
        </w:numPr>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shd w:val="clear" w:color="auto" w:fill="FFFFFF"/>
        </w:rPr>
      </w:pPr>
      <w:r>
        <w:rPr>
          <w:rFonts w:hint="default" w:ascii="Times New Roman" w:hAnsi="Times New Roman" w:eastAsia="宋体" w:cs="Times New Roman"/>
          <w:color w:val="0F1115"/>
          <w:highlight w:val="none"/>
          <w:shd w:val="clear" w:color="auto" w:fill="FFFFFF"/>
        </w:rPr>
        <w:t>投标人须为本项目配备专门的技术团队，至少包括：</w:t>
      </w:r>
    </w:p>
    <w:p w14:paraId="614C88D4">
      <w:pPr>
        <w:pStyle w:val="23"/>
        <w:numPr>
          <w:ilvl w:val="255"/>
          <w:numId w:val="0"/>
        </w:numPr>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shd w:val="clear" w:color="auto" w:fill="FFFFFF"/>
        </w:rPr>
      </w:pPr>
      <w:r>
        <w:rPr>
          <w:rFonts w:hint="default" w:ascii="Times New Roman" w:hAnsi="Times New Roman" w:eastAsia="宋体" w:cs="Times New Roman"/>
          <w:color w:val="0F1115"/>
          <w:highlight w:val="none"/>
          <w:shd w:val="clear" w:color="auto" w:fill="FFFFFF"/>
        </w:rPr>
        <w:t>项目负责人1名，具有</w:t>
      </w:r>
      <w:r>
        <w:rPr>
          <w:rFonts w:hint="default" w:ascii="Times New Roman" w:hAnsi="Times New Roman" w:eastAsia="宋体" w:cs="Times New Roman"/>
          <w:color w:val="0F1115"/>
          <w:highlight w:val="none"/>
          <w:shd w:val="clear" w:color="auto" w:fill="FFFFFF"/>
          <w:lang w:val="en-US" w:eastAsia="zh-CN"/>
        </w:rPr>
        <w:t>5</w:t>
      </w:r>
      <w:r>
        <w:rPr>
          <w:rFonts w:hint="default" w:ascii="Times New Roman" w:hAnsi="Times New Roman" w:eastAsia="宋体" w:cs="Times New Roman"/>
          <w:color w:val="0F1115"/>
          <w:highlight w:val="none"/>
          <w:shd w:val="clear" w:color="auto" w:fill="FFFFFF"/>
        </w:rPr>
        <w:t>年以上</w:t>
      </w:r>
      <w:r>
        <w:rPr>
          <w:rFonts w:hint="default" w:ascii="Times New Roman" w:hAnsi="Times New Roman" w:eastAsia="宋体" w:cs="Times New Roman"/>
          <w:sz w:val="24"/>
          <w:szCs w:val="24"/>
          <w:highlight w:val="none"/>
        </w:rPr>
        <w:t>科研实验场景自动化系统项目应用经验</w:t>
      </w:r>
      <w:r>
        <w:rPr>
          <w:rFonts w:hint="default" w:ascii="Times New Roman" w:hAnsi="Times New Roman" w:eastAsia="宋体" w:cs="Times New Roman"/>
          <w:color w:val="0F1115"/>
          <w:highlight w:val="none"/>
          <w:shd w:val="clear" w:color="auto" w:fill="FFFFFF"/>
        </w:rPr>
        <w:t>；</w:t>
      </w:r>
    </w:p>
    <w:p w14:paraId="58B727C7">
      <w:pPr>
        <w:pStyle w:val="23"/>
        <w:numPr>
          <w:ilvl w:val="255"/>
          <w:numId w:val="0"/>
        </w:numPr>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shd w:val="clear" w:color="auto" w:fill="FFFFFF"/>
        </w:rPr>
      </w:pPr>
      <w:r>
        <w:rPr>
          <w:rFonts w:hint="default" w:ascii="Times New Roman" w:hAnsi="Times New Roman" w:eastAsia="宋体" w:cs="Times New Roman"/>
          <w:sz w:val="24"/>
          <w:szCs w:val="24"/>
          <w:highlight w:val="none"/>
        </w:rPr>
        <w:t>技术负责人1名</w:t>
      </w:r>
      <w:r>
        <w:rPr>
          <w:rFonts w:hint="default" w:ascii="Times New Roman" w:hAnsi="Times New Roman" w:eastAsia="宋体" w:cs="Times New Roman"/>
          <w:sz w:val="24"/>
          <w:szCs w:val="24"/>
          <w:highlight w:val="none"/>
          <w:lang w:eastAsia="zh-CN"/>
        </w:rPr>
        <w:t>，</w:t>
      </w:r>
      <w:r>
        <w:rPr>
          <w:rFonts w:hint="default" w:ascii="Times New Roman" w:hAnsi="Times New Roman" w:eastAsia="宋体" w:cs="Times New Roman"/>
          <w:sz w:val="24"/>
          <w:szCs w:val="24"/>
          <w:highlight w:val="none"/>
        </w:rPr>
        <w:t>具备5年以上科研实验场景自动化系统项目研发及管理经验</w:t>
      </w:r>
      <w:r>
        <w:rPr>
          <w:rFonts w:hint="default" w:ascii="Times New Roman" w:hAnsi="Times New Roman" w:eastAsia="宋体" w:cs="Times New Roman"/>
          <w:sz w:val="24"/>
          <w:szCs w:val="24"/>
          <w:highlight w:val="none"/>
          <w:lang w:eastAsia="zh-CN"/>
        </w:rPr>
        <w:t>；</w:t>
      </w:r>
    </w:p>
    <w:p w14:paraId="7A9EDB3E">
      <w:pPr>
        <w:pStyle w:val="23"/>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shd w:val="clear" w:color="auto" w:fill="FFFFFF"/>
          <w:lang w:eastAsia="zh-CN"/>
        </w:rPr>
      </w:pPr>
      <w:r>
        <w:rPr>
          <w:rFonts w:hint="default" w:ascii="Times New Roman" w:hAnsi="Times New Roman" w:eastAsia="宋体" w:cs="Times New Roman"/>
          <w:color w:val="0F1115"/>
          <w:highlight w:val="none"/>
          <w:shd w:val="clear" w:color="auto" w:fill="FFFFFF"/>
        </w:rPr>
        <w:t>机械工程师至少1名；软件工程师至少1名；电气工程师至少1名</w:t>
      </w:r>
      <w:r>
        <w:rPr>
          <w:rFonts w:hint="default" w:ascii="Times New Roman" w:hAnsi="Times New Roman" w:eastAsia="宋体" w:cs="Times New Roman"/>
          <w:color w:val="0F1115"/>
          <w:highlight w:val="none"/>
          <w:shd w:val="clear" w:color="auto" w:fill="FFFFFF"/>
          <w:lang w:eastAsia="zh-CN"/>
        </w:rPr>
        <w:t>。</w:t>
      </w:r>
    </w:p>
    <w:p w14:paraId="75246E42">
      <w:pPr>
        <w:pStyle w:val="23"/>
        <w:numPr>
          <w:ilvl w:val="0"/>
          <w:numId w:val="5"/>
        </w:numPr>
        <w:shd w:val="clear" w:color="auto" w:fill="FFFFFF"/>
        <w:spacing w:before="0" w:beforeAutospacing="0" w:after="0" w:afterAutospacing="0" w:line="360" w:lineRule="auto"/>
        <w:ind w:firstLine="480" w:firstLineChars="200"/>
        <w:rPr>
          <w:rFonts w:hint="default" w:ascii="Times New Roman" w:hAnsi="Times New Roman" w:eastAsia="宋体" w:cs="Times New Roman"/>
          <w:highlight w:val="none"/>
        </w:rPr>
      </w:pPr>
      <w:r>
        <w:rPr>
          <w:rFonts w:hint="default" w:ascii="Times New Roman" w:hAnsi="Times New Roman" w:eastAsia="宋体" w:cs="Times New Roman"/>
          <w:color w:val="0F1115"/>
          <w:highlight w:val="none"/>
          <w:shd w:val="clear" w:color="auto" w:fill="FFFFFF"/>
        </w:rPr>
        <w:t>投标时须提供</w:t>
      </w:r>
      <w:r>
        <w:rPr>
          <w:rFonts w:hint="default" w:ascii="Times New Roman" w:hAnsi="Times New Roman" w:eastAsia="宋体" w:cs="Times New Roman"/>
          <w:color w:val="0F1115"/>
          <w:highlight w:val="none"/>
          <w:shd w:val="clear" w:color="auto" w:fill="FFFFFF"/>
          <w:lang w:val="en-US" w:eastAsia="zh-CN"/>
        </w:rPr>
        <w:t>团队</w:t>
      </w:r>
      <w:r>
        <w:rPr>
          <w:rFonts w:hint="default" w:ascii="Times New Roman" w:hAnsi="Times New Roman" w:eastAsia="宋体" w:cs="Times New Roman"/>
          <w:color w:val="0F1115"/>
          <w:highlight w:val="none"/>
          <w:shd w:val="clear" w:color="auto" w:fill="FFFFFF"/>
        </w:rPr>
        <w:t>成员的简历（含学历、专业、工作经历、项目相关经验）。中标后，未经采购人书面同意，不得更换</w:t>
      </w:r>
      <w:r>
        <w:rPr>
          <w:rFonts w:hint="default" w:ascii="Times New Roman" w:hAnsi="Times New Roman" w:eastAsia="宋体" w:cs="Times New Roman"/>
          <w:color w:val="0F1115"/>
          <w:highlight w:val="none"/>
          <w:shd w:val="clear" w:color="auto" w:fill="FFFFFF"/>
          <w:lang w:val="en-US" w:eastAsia="zh-CN"/>
        </w:rPr>
        <w:t>团队</w:t>
      </w:r>
      <w:r>
        <w:rPr>
          <w:rFonts w:hint="default" w:ascii="Times New Roman" w:hAnsi="Times New Roman" w:eastAsia="宋体" w:cs="Times New Roman"/>
          <w:color w:val="0F1115"/>
          <w:highlight w:val="none"/>
          <w:shd w:val="clear" w:color="auto" w:fill="FFFFFF"/>
        </w:rPr>
        <w:t>成员。</w:t>
      </w:r>
      <w:r>
        <w:rPr>
          <w:rFonts w:hint="default" w:ascii="Times New Roman" w:hAnsi="Times New Roman" w:eastAsia="宋体" w:cs="Times New Roman"/>
          <w:highlight w:val="none"/>
        </w:rPr>
        <w:t>确因人员离职、病休等特殊客观情况需进行调整的，投标人应提前30个工作日向采购人提交书面更换申请，说明更换原因及拟任人员的资质、履历。新更换人员的资质、专业能力不得低于被更换的人员，且需经采购人书面批准后方可执行更换。若团队成员无法满足项目工作要求，采购人要求更换的，中标人须在收到采购人通知后</w:t>
      </w:r>
      <w:r>
        <w:rPr>
          <w:rFonts w:hint="default" w:ascii="Times New Roman" w:hAnsi="Times New Roman" w:eastAsia="宋体" w:cs="Times New Roman"/>
          <w:highlight w:val="none"/>
          <w:lang w:val="en-US" w:eastAsia="zh-CN"/>
        </w:rPr>
        <w:t>7个工作日</w:t>
      </w:r>
      <w:r>
        <w:rPr>
          <w:rFonts w:hint="default" w:ascii="Times New Roman" w:hAnsi="Times New Roman" w:eastAsia="宋体" w:cs="Times New Roman"/>
          <w:highlight w:val="none"/>
        </w:rPr>
        <w:t>内完成人员更替，所提供人员须符合招投标文件要求并满足采购人项目工作需要。</w:t>
      </w:r>
    </w:p>
    <w:p w14:paraId="1D531707">
      <w:pPr>
        <w:pStyle w:val="23"/>
        <w:numPr>
          <w:ilvl w:val="0"/>
          <w:numId w:val="5"/>
        </w:numPr>
        <w:shd w:val="clear" w:color="auto" w:fill="FFFFFF"/>
        <w:spacing w:before="0" w:beforeAutospacing="0" w:after="0" w:afterAutospacing="0" w:line="360" w:lineRule="auto"/>
        <w:ind w:firstLine="480" w:firstLineChars="200"/>
        <w:rPr>
          <w:rFonts w:hint="default" w:ascii="Times New Roman" w:hAnsi="Times New Roman" w:eastAsia="宋体" w:cs="Times New Roman"/>
          <w:highlight w:val="none"/>
        </w:rPr>
      </w:pPr>
      <w:r>
        <w:rPr>
          <w:rFonts w:hint="default" w:ascii="Times New Roman" w:hAnsi="Times New Roman" w:eastAsia="宋体" w:cs="Times New Roman"/>
          <w:bCs/>
          <w:highlight w:val="none"/>
        </w:rPr>
        <w:t>投标人</w:t>
      </w:r>
      <w:r>
        <w:rPr>
          <w:rFonts w:hint="default" w:ascii="Times New Roman" w:hAnsi="Times New Roman" w:eastAsia="宋体" w:cs="Times New Roman"/>
          <w:bCs/>
          <w:color w:val="000000"/>
          <w:highlight w:val="none"/>
        </w:rPr>
        <w:t>能力：</w:t>
      </w:r>
      <w:r>
        <w:rPr>
          <w:rFonts w:hint="default" w:ascii="Times New Roman" w:hAnsi="Times New Roman" w:eastAsia="宋体" w:cs="Times New Roman"/>
          <w:highlight w:val="none"/>
        </w:rPr>
        <w:t>为保障项目定制化研制目标落地、最终成果稳定适配采购人使用环境规范，投标人需具备样本前处理、核酸提取、文库构建自动化系统</w:t>
      </w:r>
      <w:r>
        <w:rPr>
          <w:rFonts w:hint="default" w:ascii="Times New Roman" w:hAnsi="Times New Roman" w:eastAsia="宋体" w:cs="Times New Roman"/>
          <w:highlight w:val="none"/>
          <w:lang w:eastAsia="zh-CN"/>
        </w:rPr>
        <w:t>、</w:t>
      </w:r>
      <w:r>
        <w:rPr>
          <w:rFonts w:hint="default" w:ascii="Times New Roman" w:hAnsi="Times New Roman" w:eastAsia="宋体" w:cs="Times New Roman"/>
          <w:sz w:val="24"/>
          <w:szCs w:val="22"/>
          <w:highlight w:val="none"/>
        </w:rPr>
        <w:t>自动化控制、NGS实验数据分析、智能调度</w:t>
      </w:r>
      <w:r>
        <w:rPr>
          <w:rFonts w:hint="default" w:ascii="Times New Roman" w:hAnsi="Times New Roman" w:eastAsia="宋体" w:cs="Times New Roman"/>
          <w:highlight w:val="none"/>
        </w:rPr>
        <w:t>等</w:t>
      </w:r>
      <w:r>
        <w:rPr>
          <w:rFonts w:hint="default" w:ascii="Times New Roman" w:hAnsi="Times New Roman" w:eastAsia="宋体" w:cs="Times New Roman"/>
          <w:highlight w:val="none"/>
          <w:lang w:val="en-US" w:eastAsia="zh-CN"/>
        </w:rPr>
        <w:t>相关</w:t>
      </w:r>
      <w:r>
        <w:rPr>
          <w:rFonts w:hint="default" w:ascii="Times New Roman" w:hAnsi="Times New Roman" w:eastAsia="宋体" w:cs="Times New Roman"/>
          <w:highlight w:val="none"/>
        </w:rPr>
        <w:t>领域的研发能力。</w:t>
      </w:r>
    </w:p>
    <w:p w14:paraId="6C2CFD67">
      <w:pPr>
        <w:pStyle w:val="23"/>
        <w:shd w:val="clear" w:color="auto" w:fill="FFFFFF"/>
        <w:spacing w:before="0" w:beforeAutospacing="0" w:after="0" w:afterAutospacing="0" w:line="360" w:lineRule="auto"/>
        <w:ind w:left="479" w:leftChars="228"/>
        <w:jc w:val="both"/>
        <w:rPr>
          <w:rFonts w:hint="default" w:ascii="Times New Roman" w:hAnsi="Times New Roman" w:eastAsia="宋体" w:cs="Times New Roman"/>
          <w:color w:val="0F1115"/>
          <w:highlight w:val="none"/>
          <w:shd w:val="clear" w:color="auto" w:fill="FFFFFF"/>
        </w:rPr>
      </w:pPr>
      <w:r>
        <w:rPr>
          <w:rFonts w:hint="default" w:ascii="Times New Roman" w:hAnsi="Times New Roman" w:eastAsia="宋体" w:cs="Times New Roman"/>
          <w:bCs/>
          <w:szCs w:val="20"/>
          <w:highlight w:val="none"/>
        </w:rPr>
        <w:t>▲</w:t>
      </w:r>
      <w:r>
        <w:rPr>
          <w:rFonts w:hint="default" w:ascii="Times New Roman" w:hAnsi="Times New Roman" w:eastAsia="宋体" w:cs="Times New Roman"/>
          <w:color w:val="0F1115"/>
          <w:highlight w:val="none"/>
          <w:shd w:val="clear" w:color="auto" w:fill="FFFFFF"/>
        </w:rPr>
        <w:t>2、售后服务要求：</w:t>
      </w:r>
    </w:p>
    <w:p w14:paraId="00688B5B">
      <w:pPr>
        <w:pStyle w:val="23"/>
        <w:shd w:val="clear" w:color="auto" w:fill="FFFFFF"/>
        <w:spacing w:before="0" w:beforeAutospacing="0" w:after="0" w:afterAutospacing="0" w:line="360" w:lineRule="auto"/>
        <w:ind w:left="0" w:leftChars="0" w:firstLine="480" w:firstLineChars="200"/>
        <w:jc w:val="both"/>
        <w:rPr>
          <w:rFonts w:hint="default" w:ascii="Times New Roman" w:hAnsi="Times New Roman" w:eastAsia="宋体" w:cs="Times New Roman"/>
          <w:highlight w:val="none"/>
        </w:rPr>
      </w:pPr>
      <w:r>
        <w:rPr>
          <w:rFonts w:hint="default" w:ascii="Times New Roman" w:hAnsi="Times New Roman" w:eastAsia="宋体" w:cs="Times New Roman"/>
          <w:color w:val="0F1115"/>
          <w:highlight w:val="none"/>
          <w:shd w:val="clear" w:color="auto" w:fill="FFFFFF"/>
        </w:rPr>
        <w:t>（1）投标人需为本项目配备足够的服务力量，具有国内本地化的服务团队</w:t>
      </w:r>
      <w:r>
        <w:rPr>
          <w:rFonts w:hint="default" w:ascii="Times New Roman" w:hAnsi="Times New Roman" w:eastAsia="宋体" w:cs="Times New Roman"/>
          <w:color w:val="0F1115"/>
          <w:highlight w:val="none"/>
          <w:shd w:val="clear" w:color="auto" w:fill="FFFFFF"/>
          <w:lang w:eastAsia="zh-CN"/>
        </w:rPr>
        <w:t>，</w:t>
      </w:r>
      <w:r>
        <w:rPr>
          <w:rFonts w:hint="default" w:ascii="Times New Roman" w:hAnsi="Times New Roman" w:eastAsia="宋体" w:cs="Times New Roman"/>
          <w:color w:val="0F1115"/>
          <w:highlight w:val="none"/>
          <w:shd w:val="clear" w:color="auto" w:fill="FFFFFF"/>
          <w:lang w:val="en-US" w:eastAsia="zh-CN"/>
        </w:rPr>
        <w:t>并按照采购人要求在合同履行期间（含售后服务期内）提供驻场人员</w:t>
      </w:r>
      <w:r>
        <w:rPr>
          <w:rFonts w:hint="default" w:ascii="Times New Roman" w:hAnsi="Times New Roman" w:eastAsia="宋体" w:cs="Times New Roman"/>
          <w:color w:val="0F1115"/>
          <w:highlight w:val="none"/>
          <w:shd w:val="clear" w:color="auto" w:fill="FFFFFF"/>
        </w:rPr>
        <w:t>。</w:t>
      </w:r>
    </w:p>
    <w:p w14:paraId="046331CF">
      <w:pPr>
        <w:pStyle w:val="23"/>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shd w:val="clear" w:color="auto" w:fill="FFFFFF"/>
        </w:rPr>
      </w:pPr>
      <w:r>
        <w:rPr>
          <w:rFonts w:hint="default" w:ascii="Times New Roman" w:hAnsi="Times New Roman" w:eastAsia="宋体" w:cs="Times New Roman"/>
          <w:color w:val="0F1115"/>
          <w:highlight w:val="none"/>
          <w:shd w:val="clear" w:color="auto" w:fill="FFFFFF"/>
        </w:rPr>
        <w:t>（2）</w:t>
      </w:r>
      <w:r>
        <w:rPr>
          <w:rFonts w:hint="default" w:ascii="Times New Roman" w:hAnsi="Times New Roman" w:eastAsia="宋体" w:cs="Times New Roman"/>
          <w:color w:val="0F1115"/>
          <w:sz w:val="24"/>
          <w:highlight w:val="none"/>
          <w:shd w:val="clear" w:color="auto" w:fill="FFFFFF"/>
        </w:rPr>
        <w:t>中标人售后服务响应时间：在</w:t>
      </w:r>
      <w:r>
        <w:rPr>
          <w:rFonts w:hint="default" w:ascii="Times New Roman" w:hAnsi="Times New Roman" w:eastAsia="宋体" w:cs="Times New Roman"/>
          <w:color w:val="0F1115"/>
          <w:sz w:val="24"/>
          <w:highlight w:val="none"/>
          <w:shd w:val="clear" w:color="auto" w:fill="FFFFFF"/>
          <w:lang w:val="en-US" w:eastAsia="zh-CN"/>
        </w:rPr>
        <w:t>质保期</w:t>
      </w:r>
      <w:r>
        <w:rPr>
          <w:rFonts w:hint="default" w:ascii="Times New Roman" w:hAnsi="Times New Roman" w:eastAsia="宋体" w:cs="Times New Roman"/>
          <w:color w:val="0F1115"/>
          <w:sz w:val="24"/>
          <w:highlight w:val="none"/>
          <w:shd w:val="clear" w:color="auto" w:fill="FFFFFF"/>
        </w:rPr>
        <w:t>内接到采购人的故障信息后，应立即了解采购人需要解决的问题，可通过电话向采购人提出处理的办法，指导采购人自行解决。当采购人自行无法解决时，中标人应尽快采用远程服务或在本协议约定的响应时间内派技术人员上门服务。响应时间：中标人的服务响应（包括电话、远程服务</w:t>
      </w:r>
      <w:r>
        <w:rPr>
          <w:rFonts w:hint="default" w:ascii="Times New Roman" w:hAnsi="Times New Roman" w:eastAsia="宋体" w:cs="Times New Roman"/>
          <w:color w:val="0F1115"/>
          <w:sz w:val="24"/>
          <w:highlight w:val="none"/>
          <w:shd w:val="clear" w:color="auto" w:fill="FFFFFF"/>
          <w:lang w:eastAsia="zh-Hans"/>
        </w:rPr>
        <w:t>等</w:t>
      </w:r>
      <w:r>
        <w:rPr>
          <w:rFonts w:hint="default" w:ascii="Times New Roman" w:hAnsi="Times New Roman" w:eastAsia="宋体" w:cs="Times New Roman"/>
          <w:color w:val="0F1115"/>
          <w:sz w:val="24"/>
          <w:highlight w:val="none"/>
          <w:shd w:val="clear" w:color="auto" w:fill="FFFFFF"/>
        </w:rPr>
        <w:t>），电话响应时间要求4小时（含）内，到场响应时间要求48小时内（指从接到报障至到达故障现场的时间），72小时内修复或提出采购人认可的替代方案。</w:t>
      </w:r>
    </w:p>
    <w:p w14:paraId="56BF3F9D">
      <w:pPr>
        <w:pStyle w:val="23"/>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highlight w:val="none"/>
        </w:rPr>
      </w:pPr>
      <w:r>
        <w:rPr>
          <w:rFonts w:hint="default" w:ascii="Times New Roman" w:hAnsi="Times New Roman" w:eastAsia="宋体" w:cs="Times New Roman"/>
          <w:highlight w:val="none"/>
        </w:rPr>
        <w:t>（3）投标人无偿提供技术支持热线电话，满足7×24小时热线服务。</w:t>
      </w:r>
    </w:p>
    <w:p w14:paraId="603AA761">
      <w:pPr>
        <w:pStyle w:val="23"/>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shd w:val="clear" w:color="auto" w:fill="FFFFFF"/>
        </w:rPr>
      </w:pPr>
      <w:r>
        <w:rPr>
          <w:rFonts w:hint="default" w:ascii="Times New Roman" w:hAnsi="Times New Roman" w:eastAsia="宋体" w:cs="Times New Roman"/>
          <w:highlight w:val="none"/>
        </w:rPr>
        <w:t>（4）投标人无偿提供email技术支持，并且在24小时内回</w:t>
      </w:r>
      <w:r>
        <w:rPr>
          <w:rFonts w:hint="default" w:ascii="Times New Roman" w:hAnsi="Times New Roman" w:eastAsia="宋体" w:cs="Times New Roman"/>
          <w:color w:val="0F1115"/>
          <w:highlight w:val="none"/>
          <w:shd w:val="clear" w:color="auto" w:fill="FFFFFF"/>
        </w:rPr>
        <w:t>复。</w:t>
      </w:r>
    </w:p>
    <w:p w14:paraId="5D54CEC6">
      <w:pPr>
        <w:pStyle w:val="23"/>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highlight w:val="none"/>
        </w:rPr>
      </w:pPr>
      <w:r>
        <w:rPr>
          <w:rFonts w:hint="default" w:ascii="Times New Roman" w:hAnsi="Times New Roman" w:eastAsia="宋体" w:cs="Times New Roman"/>
          <w:highlight w:val="none"/>
        </w:rPr>
        <w:t>（5）投标人提供该设备的技术使用说明书及外购配件仪器说明书，并指导在使用该设备时的操作注意事项等。</w:t>
      </w:r>
    </w:p>
    <w:p w14:paraId="5468145C">
      <w:pPr>
        <w:pStyle w:val="23"/>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highlight w:val="none"/>
        </w:rPr>
      </w:pPr>
      <w:r>
        <w:rPr>
          <w:rFonts w:hint="default" w:ascii="Times New Roman" w:hAnsi="Times New Roman" w:eastAsia="宋体" w:cs="Times New Roman"/>
          <w:highlight w:val="none"/>
        </w:rPr>
        <w:t>（6）在设备安装调试、</w:t>
      </w:r>
      <w:r>
        <w:rPr>
          <w:rFonts w:hint="default" w:ascii="Times New Roman" w:hAnsi="Times New Roman" w:eastAsia="宋体" w:cs="Times New Roman"/>
          <w:highlight w:val="none"/>
          <w:lang w:val="en-US" w:eastAsia="zh-CN"/>
        </w:rPr>
        <w:t>运行、</w:t>
      </w:r>
      <w:r>
        <w:rPr>
          <w:rFonts w:hint="default" w:ascii="Times New Roman" w:hAnsi="Times New Roman" w:eastAsia="宋体" w:cs="Times New Roman"/>
          <w:highlight w:val="none"/>
        </w:rPr>
        <w:t>综合验收等关键阶段，投标人应按采购人要求派驻现场工程师，确保设备顺利投入使用。</w:t>
      </w:r>
    </w:p>
    <w:p w14:paraId="7CD30D69">
      <w:pPr>
        <w:pStyle w:val="23"/>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highlight w:val="none"/>
        </w:rPr>
      </w:pPr>
      <w:r>
        <w:rPr>
          <w:rFonts w:hint="default" w:ascii="Times New Roman" w:hAnsi="Times New Roman" w:eastAsia="宋体" w:cs="Times New Roman"/>
          <w:highlight w:val="none"/>
        </w:rPr>
        <w:t>（7）技术文档：投标人应提供完整的中文电子版及纸质版操作、安装、维护和接口说明文件。并指导在使用该设备时的操作注意事项等。</w:t>
      </w:r>
    </w:p>
    <w:p w14:paraId="55F1FC0D">
      <w:pPr>
        <w:pStyle w:val="23"/>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highlight w:val="none"/>
        </w:rPr>
      </w:pPr>
      <w:r>
        <w:rPr>
          <w:rFonts w:hint="default" w:ascii="Times New Roman" w:hAnsi="Times New Roman" w:eastAsia="宋体" w:cs="Times New Roman"/>
          <w:highlight w:val="none"/>
          <w:lang w:eastAsia="zh-CN"/>
        </w:rPr>
        <w:t>（</w:t>
      </w:r>
      <w:r>
        <w:rPr>
          <w:rFonts w:hint="default" w:ascii="Times New Roman" w:hAnsi="Times New Roman" w:eastAsia="宋体" w:cs="Times New Roman"/>
          <w:highlight w:val="none"/>
          <w:lang w:val="en-US" w:eastAsia="zh-CN"/>
        </w:rPr>
        <w:t>8</w:t>
      </w:r>
      <w:r>
        <w:rPr>
          <w:rFonts w:hint="default" w:ascii="Times New Roman" w:hAnsi="Times New Roman" w:eastAsia="宋体" w:cs="Times New Roman"/>
          <w:highlight w:val="none"/>
          <w:lang w:eastAsia="zh-CN"/>
        </w:rPr>
        <w:t>）</w:t>
      </w:r>
      <w:r>
        <w:rPr>
          <w:rFonts w:hint="default" w:ascii="Times New Roman" w:hAnsi="Times New Roman" w:eastAsia="宋体" w:cs="Times New Roman"/>
          <w:highlight w:val="none"/>
        </w:rPr>
        <w:t>安全要求：</w:t>
      </w:r>
      <w:r>
        <w:rPr>
          <w:rFonts w:hint="default" w:ascii="Times New Roman" w:hAnsi="Times New Roman" w:eastAsia="宋体" w:cs="Times New Roman"/>
          <w:highlight w:val="none"/>
          <w:lang w:val="en-US" w:eastAsia="zh-CN"/>
        </w:rPr>
        <w:t>投标人交付的智能交付系统</w:t>
      </w:r>
      <w:r>
        <w:rPr>
          <w:rFonts w:hint="default" w:ascii="Times New Roman" w:hAnsi="Times New Roman" w:eastAsia="宋体" w:cs="Times New Roman"/>
          <w:highlight w:val="none"/>
        </w:rPr>
        <w:t>必须符合《信息安全技术网络安全等级保护基本要求》中要求的备案和测评要求，所属等级为</w:t>
      </w:r>
      <w:permStart w:id="0" w:edGrp="everyone"/>
      <w:r>
        <w:rPr>
          <w:rFonts w:hint="default" w:ascii="Times New Roman" w:hAnsi="Times New Roman" w:eastAsia="宋体" w:cs="Times New Roman"/>
          <w:highlight w:val="none"/>
        </w:rPr>
        <w:t xml:space="preserve"> </w:t>
      </w:r>
      <w:r>
        <w:rPr>
          <w:rFonts w:hint="default" w:ascii="Times New Roman" w:hAnsi="Times New Roman" w:eastAsia="宋体" w:cs="Times New Roman"/>
          <w:highlight w:val="none"/>
          <w:lang w:val="en-US" w:eastAsia="zh-CN"/>
        </w:rPr>
        <w:t>3</w:t>
      </w:r>
      <w:r>
        <w:rPr>
          <w:rFonts w:hint="default" w:ascii="Times New Roman" w:hAnsi="Times New Roman" w:eastAsia="宋体" w:cs="Times New Roman"/>
          <w:highlight w:val="none"/>
        </w:rPr>
        <w:t xml:space="preserve">  </w:t>
      </w:r>
      <w:permEnd w:id="0"/>
      <w:r>
        <w:rPr>
          <w:rFonts w:hint="default" w:ascii="Times New Roman" w:hAnsi="Times New Roman" w:eastAsia="宋体" w:cs="Times New Roman"/>
          <w:highlight w:val="none"/>
        </w:rPr>
        <w:t>级，如不符合，</w:t>
      </w:r>
      <w:r>
        <w:rPr>
          <w:rFonts w:hint="default" w:ascii="Times New Roman" w:hAnsi="Times New Roman" w:eastAsia="宋体" w:cs="Times New Roman"/>
          <w:highlight w:val="none"/>
          <w:lang w:val="en-US" w:eastAsia="zh-CN"/>
        </w:rPr>
        <w:t>投标人</w:t>
      </w:r>
      <w:r>
        <w:rPr>
          <w:rFonts w:hint="default" w:ascii="Times New Roman" w:hAnsi="Times New Roman" w:eastAsia="宋体" w:cs="Times New Roman"/>
          <w:highlight w:val="none"/>
        </w:rPr>
        <w:t>应无条件免费负责配合整改完成。</w:t>
      </w:r>
    </w:p>
    <w:p w14:paraId="66F1C69E">
      <w:pPr>
        <w:tabs>
          <w:tab w:val="left" w:pos="420"/>
        </w:tabs>
        <w:autoSpaceDE w:val="0"/>
        <w:autoSpaceDN w:val="0"/>
        <w:spacing w:line="360" w:lineRule="auto"/>
        <w:ind w:firstLine="480" w:firstLineChars="200"/>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w:t>
      </w:r>
      <w:r>
        <w:rPr>
          <w:rFonts w:hint="default" w:ascii="Times New Roman" w:hAnsi="Times New Roman" w:eastAsia="宋体" w:cs="Times New Roman"/>
          <w:kern w:val="0"/>
          <w:sz w:val="24"/>
          <w:szCs w:val="24"/>
          <w:highlight w:val="none"/>
          <w:lang w:val="en-US" w:eastAsia="zh-CN"/>
        </w:rPr>
        <w:t>9</w:t>
      </w:r>
      <w:r>
        <w:rPr>
          <w:rFonts w:hint="default" w:ascii="Times New Roman" w:hAnsi="Times New Roman" w:eastAsia="宋体" w:cs="Times New Roman"/>
          <w:kern w:val="0"/>
          <w:sz w:val="24"/>
          <w:szCs w:val="24"/>
          <w:highlight w:val="none"/>
        </w:rPr>
        <w:t>）质保期：投标人提供仪器设备及配套的软件系统的质保期</w:t>
      </w:r>
      <w:r>
        <w:rPr>
          <w:rFonts w:hint="default" w:ascii="Times New Roman" w:hAnsi="Times New Roman" w:eastAsia="宋体" w:cs="Times New Roman"/>
          <w:b w:val="0"/>
          <w:bCs w:val="0"/>
          <w:kern w:val="0"/>
          <w:sz w:val="24"/>
          <w:szCs w:val="24"/>
          <w:highlight w:val="none"/>
        </w:rPr>
        <w:t>至少五年</w:t>
      </w:r>
      <w:r>
        <w:rPr>
          <w:rFonts w:hint="default" w:ascii="Times New Roman" w:hAnsi="Times New Roman" w:eastAsia="宋体" w:cs="Times New Roman"/>
          <w:b w:val="0"/>
          <w:bCs w:val="0"/>
          <w:kern w:val="0"/>
          <w:sz w:val="24"/>
          <w:szCs w:val="24"/>
          <w:highlight w:val="none"/>
          <w:lang w:eastAsia="zh-CN"/>
        </w:rPr>
        <w:t>，</w:t>
      </w:r>
      <w:r>
        <w:rPr>
          <w:rFonts w:hint="default" w:ascii="Times New Roman" w:hAnsi="Times New Roman" w:eastAsia="宋体" w:cs="Times New Roman"/>
          <w:kern w:val="0"/>
          <w:sz w:val="24"/>
          <w:szCs w:val="24"/>
          <w:highlight w:val="none"/>
          <w:lang w:val="en-US"/>
        </w:rPr>
        <w:t>自</w:t>
      </w:r>
      <w:r>
        <w:rPr>
          <w:rFonts w:hint="default" w:ascii="Times New Roman" w:hAnsi="Times New Roman" w:eastAsia="宋体" w:cs="Times New Roman"/>
          <w:kern w:val="0"/>
          <w:sz w:val="24"/>
          <w:szCs w:val="24"/>
          <w:highlight w:val="none"/>
        </w:rPr>
        <w:t>综合</w:t>
      </w:r>
      <w:r>
        <w:rPr>
          <w:rFonts w:hint="default" w:ascii="Times New Roman" w:hAnsi="Times New Roman" w:eastAsia="宋体" w:cs="Times New Roman"/>
          <w:kern w:val="0"/>
          <w:sz w:val="24"/>
          <w:szCs w:val="24"/>
          <w:highlight w:val="none"/>
          <w:lang w:val="en-US"/>
        </w:rPr>
        <w:t>验收合格后开始</w:t>
      </w:r>
      <w:r>
        <w:rPr>
          <w:rFonts w:hint="default" w:ascii="Times New Roman" w:hAnsi="Times New Roman" w:eastAsia="宋体" w:cs="Times New Roman"/>
          <w:kern w:val="0"/>
          <w:sz w:val="24"/>
          <w:szCs w:val="24"/>
          <w:highlight w:val="none"/>
        </w:rPr>
        <w:t>计算</w:t>
      </w:r>
      <w:r>
        <w:rPr>
          <w:rFonts w:hint="default" w:ascii="Times New Roman" w:hAnsi="Times New Roman" w:eastAsia="宋体" w:cs="Times New Roman"/>
          <w:kern w:val="0"/>
          <w:sz w:val="24"/>
          <w:szCs w:val="24"/>
          <w:highlight w:val="none"/>
          <w:lang w:eastAsia="zh-CN"/>
        </w:rPr>
        <w:t>。</w:t>
      </w:r>
    </w:p>
    <w:p w14:paraId="26A26357">
      <w:pPr>
        <w:tabs>
          <w:tab w:val="left" w:pos="420"/>
        </w:tabs>
        <w:autoSpaceDE w:val="0"/>
        <w:autoSpaceDN w:val="0"/>
        <w:spacing w:line="360" w:lineRule="auto"/>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kern w:val="0"/>
          <w:sz w:val="24"/>
          <w:szCs w:val="24"/>
          <w:highlight w:val="none"/>
          <w:lang w:val="en-US" w:eastAsia="zh-CN"/>
        </w:rPr>
        <w:t>质保期</w:t>
      </w:r>
      <w:r>
        <w:rPr>
          <w:rFonts w:hint="default" w:ascii="Times New Roman" w:hAnsi="Times New Roman" w:eastAsia="宋体" w:cs="Times New Roman"/>
          <w:kern w:val="0"/>
          <w:sz w:val="24"/>
          <w:szCs w:val="24"/>
          <w:highlight w:val="none"/>
        </w:rPr>
        <w:t>内，</w:t>
      </w:r>
      <w:r>
        <w:rPr>
          <w:rFonts w:hint="default" w:ascii="Times New Roman" w:hAnsi="Times New Roman" w:eastAsia="宋体" w:cs="Times New Roman"/>
          <w:kern w:val="0"/>
          <w:sz w:val="24"/>
          <w:szCs w:val="24"/>
          <w:highlight w:val="none"/>
          <w:lang w:val="en-US"/>
        </w:rPr>
        <w:t>如果设备发生故障，</w:t>
      </w:r>
      <w:r>
        <w:rPr>
          <w:rFonts w:hint="default" w:ascii="Times New Roman" w:hAnsi="Times New Roman" w:eastAsia="宋体" w:cs="Times New Roman"/>
          <w:kern w:val="0"/>
          <w:sz w:val="24"/>
          <w:szCs w:val="24"/>
          <w:highlight w:val="none"/>
        </w:rPr>
        <w:t>中</w:t>
      </w:r>
      <w:r>
        <w:rPr>
          <w:rFonts w:hint="default" w:ascii="Times New Roman" w:hAnsi="Times New Roman" w:eastAsia="宋体" w:cs="Times New Roman"/>
          <w:kern w:val="0"/>
          <w:sz w:val="24"/>
          <w:szCs w:val="24"/>
          <w:highlight w:val="none"/>
          <w:lang w:val="en-US"/>
        </w:rPr>
        <w:t>标人</w:t>
      </w:r>
      <w:r>
        <w:rPr>
          <w:rFonts w:hint="default" w:ascii="Times New Roman" w:hAnsi="Times New Roman" w:eastAsia="宋体" w:cs="Times New Roman"/>
          <w:kern w:val="0"/>
          <w:sz w:val="24"/>
          <w:szCs w:val="24"/>
          <w:highlight w:val="none"/>
        </w:rPr>
        <w:t>提供保修服务，应</w:t>
      </w:r>
      <w:r>
        <w:rPr>
          <w:rFonts w:hint="default" w:ascii="Times New Roman" w:hAnsi="Times New Roman" w:eastAsia="宋体" w:cs="Times New Roman"/>
          <w:kern w:val="0"/>
          <w:sz w:val="24"/>
          <w:szCs w:val="24"/>
          <w:highlight w:val="none"/>
          <w:lang w:val="en-US"/>
        </w:rPr>
        <w:t>调查故障原因并修复直至满足验收指标和性能的要求，或者更换整个、部分有缺陷的材料。</w:t>
      </w:r>
      <w:r>
        <w:rPr>
          <w:rFonts w:hint="default" w:ascii="Times New Roman" w:hAnsi="Times New Roman" w:eastAsia="宋体" w:cs="Times New Roman"/>
          <w:kern w:val="0"/>
          <w:sz w:val="24"/>
          <w:szCs w:val="24"/>
          <w:highlight w:val="none"/>
        </w:rPr>
        <w:t>如系采购人错误使用或故意损坏造成的故障，由采购人承担</w:t>
      </w:r>
      <w:r>
        <w:rPr>
          <w:rFonts w:hint="default" w:ascii="Times New Roman" w:hAnsi="Times New Roman" w:eastAsia="宋体" w:cs="Times New Roman"/>
          <w:sz w:val="24"/>
          <w:highlight w:val="none"/>
        </w:rPr>
        <w:t>相关的零部件的费用，维修发生的人工费、交通费、食宿费、运费采购人不另行支付。如系设备的设计、质量或非人为因素造成设备的故障、损坏，则中标人还需免费更换零部件与修复。保修的范围不包含消耗品。</w:t>
      </w:r>
      <w:r>
        <w:rPr>
          <w:rFonts w:hint="default" w:ascii="Times New Roman" w:hAnsi="Times New Roman" w:eastAsia="宋体" w:cs="Times New Roman"/>
          <w:sz w:val="24"/>
          <w:highlight w:val="none"/>
          <w:lang w:val="en-US" w:eastAsia="zh-CN"/>
        </w:rPr>
        <w:t>质保期</w:t>
      </w:r>
      <w:r>
        <w:rPr>
          <w:rFonts w:hint="default" w:ascii="Times New Roman" w:hAnsi="Times New Roman" w:eastAsia="宋体" w:cs="Times New Roman"/>
          <w:sz w:val="24"/>
          <w:highlight w:val="none"/>
        </w:rPr>
        <w:t>内，如设备或零部件因非人为因素出现故障而造成短期停用时，则</w:t>
      </w:r>
      <w:r>
        <w:rPr>
          <w:rFonts w:hint="default" w:ascii="Times New Roman" w:hAnsi="Times New Roman" w:eastAsia="宋体" w:cs="Times New Roman"/>
          <w:sz w:val="24"/>
          <w:highlight w:val="none"/>
          <w:lang w:val="en-US" w:eastAsia="zh-CN"/>
        </w:rPr>
        <w:t>质保期</w:t>
      </w:r>
      <w:r>
        <w:rPr>
          <w:rFonts w:hint="default" w:ascii="Times New Roman" w:hAnsi="Times New Roman" w:eastAsia="宋体" w:cs="Times New Roman"/>
          <w:sz w:val="24"/>
          <w:highlight w:val="none"/>
        </w:rPr>
        <w:t>相应顺延。如停用时间累计超过60天则</w:t>
      </w:r>
      <w:r>
        <w:rPr>
          <w:rFonts w:hint="default" w:ascii="Times New Roman" w:hAnsi="Times New Roman" w:eastAsia="宋体" w:cs="Times New Roman"/>
          <w:sz w:val="24"/>
          <w:highlight w:val="none"/>
          <w:lang w:val="en-US" w:eastAsia="zh-CN"/>
        </w:rPr>
        <w:t>质保</w:t>
      </w:r>
      <w:r>
        <w:rPr>
          <w:rFonts w:hint="default" w:ascii="Times New Roman" w:hAnsi="Times New Roman" w:eastAsia="宋体" w:cs="Times New Roman"/>
          <w:sz w:val="24"/>
          <w:highlight w:val="none"/>
        </w:rPr>
        <w:t>重新计算。</w:t>
      </w:r>
    </w:p>
    <w:p w14:paraId="61A3D8F8">
      <w:pPr>
        <w:tabs>
          <w:tab w:val="left" w:pos="420"/>
        </w:tabs>
        <w:autoSpaceDE w:val="0"/>
        <w:autoSpaceDN w:val="0"/>
        <w:spacing w:line="360" w:lineRule="auto"/>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lang w:val="en-US" w:eastAsia="zh-CN"/>
        </w:rPr>
        <w:t>质保期</w:t>
      </w:r>
      <w:r>
        <w:rPr>
          <w:rFonts w:hint="default" w:ascii="Times New Roman" w:hAnsi="Times New Roman" w:eastAsia="宋体" w:cs="Times New Roman"/>
          <w:sz w:val="24"/>
          <w:highlight w:val="none"/>
        </w:rPr>
        <w:t>内，如货品非因采购人的人为原因而出现的问题由中标人负责保修、包换或包退，并承担修理、调换或退货的实际费用。同一设备（或部件）一个月内连续2次出现同一故障，中标人须无偿更换同一档次设备（部件）。</w:t>
      </w:r>
    </w:p>
    <w:p w14:paraId="0C7EBB27">
      <w:pPr>
        <w:tabs>
          <w:tab w:val="left" w:pos="420"/>
        </w:tabs>
        <w:autoSpaceDE w:val="0"/>
        <w:autoSpaceDN w:val="0"/>
        <w:spacing w:line="360" w:lineRule="auto"/>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lang w:val="en-US" w:eastAsia="zh-CN"/>
        </w:rPr>
        <w:t>质保期</w:t>
      </w:r>
      <w:r>
        <w:rPr>
          <w:rFonts w:hint="default" w:ascii="Times New Roman" w:hAnsi="Times New Roman" w:eastAsia="宋体" w:cs="Times New Roman"/>
          <w:sz w:val="24"/>
          <w:highlight w:val="none"/>
        </w:rPr>
        <w:t>内，中标人需提供根据采购人的要求提供保养服务（包括但不限于定期巡检、设备养护、清洁、调试、系统维护等）</w:t>
      </w:r>
      <w:r>
        <w:rPr>
          <w:rFonts w:hint="default" w:ascii="Times New Roman" w:hAnsi="Times New Roman" w:eastAsia="宋体" w:cs="Times New Roman"/>
          <w:sz w:val="24"/>
          <w:highlight w:val="none"/>
          <w:lang w:val="zh-CN"/>
        </w:rPr>
        <w:t>。</w:t>
      </w:r>
    </w:p>
    <w:p w14:paraId="3FB139A5">
      <w:pPr>
        <w:pStyle w:val="23"/>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highlight w:val="none"/>
        </w:rPr>
      </w:pPr>
      <w:r>
        <w:rPr>
          <w:rFonts w:hint="default" w:ascii="Times New Roman" w:hAnsi="Times New Roman" w:eastAsia="宋体" w:cs="Times New Roman"/>
          <w:highlight w:val="none"/>
          <w:lang w:val="en-US" w:eastAsia="zh-CN"/>
        </w:rPr>
        <w:t>如</w:t>
      </w:r>
      <w:r>
        <w:rPr>
          <w:rFonts w:hint="default" w:ascii="Times New Roman" w:hAnsi="Times New Roman" w:eastAsia="宋体" w:cs="Times New Roman"/>
          <w:highlight w:val="none"/>
        </w:rPr>
        <w:t>“技术规格”中</w:t>
      </w:r>
      <w:r>
        <w:rPr>
          <w:rFonts w:hint="default" w:ascii="Times New Roman" w:hAnsi="Times New Roman" w:eastAsia="宋体" w:cs="Times New Roman"/>
          <w:highlight w:val="none"/>
          <w:lang w:val="en-US" w:eastAsia="zh-CN"/>
        </w:rPr>
        <w:t>对质保服务</w:t>
      </w:r>
      <w:r>
        <w:rPr>
          <w:rFonts w:hint="default" w:ascii="Times New Roman" w:hAnsi="Times New Roman" w:eastAsia="宋体" w:cs="Times New Roman"/>
          <w:highlight w:val="none"/>
        </w:rPr>
        <w:t>另有要求的，</w:t>
      </w:r>
      <w:r>
        <w:rPr>
          <w:rFonts w:hint="default" w:ascii="Times New Roman" w:hAnsi="Times New Roman" w:eastAsia="宋体" w:cs="Times New Roman"/>
          <w:highlight w:val="none"/>
          <w:lang w:val="en-US" w:eastAsia="zh-CN"/>
        </w:rPr>
        <w:t>中标人还需按该要求提供质保服务。</w:t>
      </w:r>
    </w:p>
    <w:p w14:paraId="30538D59">
      <w:pPr>
        <w:pStyle w:val="23"/>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C0C0C"/>
          <w:highlight w:val="none"/>
        </w:rPr>
      </w:pPr>
      <w:r>
        <w:rPr>
          <w:rFonts w:hint="default" w:ascii="Times New Roman" w:hAnsi="Times New Roman" w:eastAsia="宋体" w:cs="Times New Roman"/>
          <w:highlight w:val="none"/>
        </w:rPr>
        <w:t>★</w:t>
      </w:r>
      <w:r>
        <w:rPr>
          <w:rFonts w:hint="default" w:ascii="Times New Roman" w:hAnsi="Times New Roman" w:eastAsia="宋体" w:cs="Times New Roman"/>
          <w:color w:val="0C0C0C"/>
          <w:highlight w:val="none"/>
        </w:rPr>
        <w:t>（</w:t>
      </w:r>
      <w:r>
        <w:rPr>
          <w:rFonts w:hint="default" w:ascii="Times New Roman" w:hAnsi="Times New Roman" w:eastAsia="宋体" w:cs="Times New Roman"/>
          <w:color w:val="0C0C0C"/>
          <w:highlight w:val="none"/>
          <w:lang w:val="en-US" w:eastAsia="zh-CN"/>
        </w:rPr>
        <w:t>10</w:t>
      </w:r>
      <w:r>
        <w:rPr>
          <w:rFonts w:hint="default" w:ascii="Times New Roman" w:hAnsi="Times New Roman" w:eastAsia="宋体" w:cs="Times New Roman"/>
          <w:color w:val="0C0C0C"/>
          <w:highlight w:val="none"/>
        </w:rPr>
        <w:t>）关于软件质保售后服务</w:t>
      </w:r>
      <w:r>
        <w:rPr>
          <w:rFonts w:hint="default" w:ascii="Times New Roman" w:hAnsi="Times New Roman" w:eastAsia="宋体" w:cs="Times New Roman"/>
          <w:color w:val="0C0C0C"/>
          <w:highlight w:val="none"/>
          <w:lang w:val="en-US" w:eastAsia="zh-CN"/>
        </w:rPr>
        <w:t>的要求</w:t>
      </w:r>
      <w:r>
        <w:rPr>
          <w:rFonts w:hint="default" w:ascii="Times New Roman" w:hAnsi="Times New Roman" w:eastAsia="宋体" w:cs="Times New Roman"/>
          <w:color w:val="0C0C0C"/>
          <w:highlight w:val="none"/>
        </w:rPr>
        <w:t>：</w:t>
      </w:r>
    </w:p>
    <w:p w14:paraId="7527E178">
      <w:pPr>
        <w:pStyle w:val="23"/>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C0C0C"/>
          <w:highlight w:val="none"/>
        </w:rPr>
      </w:pPr>
      <w:r>
        <w:rPr>
          <w:rFonts w:hint="default" w:ascii="Times New Roman" w:hAnsi="Times New Roman" w:eastAsia="宋体" w:cs="Times New Roman"/>
          <w:color w:val="0C0C0C"/>
          <w:highlight w:val="none"/>
        </w:rPr>
        <w:t>1）升级服务：投标人对所售软件系统进行功能改进后，采购人可享受相应升级服务</w:t>
      </w:r>
      <w:r>
        <w:rPr>
          <w:rFonts w:hint="default" w:ascii="Times New Roman" w:hAnsi="Times New Roman" w:eastAsia="宋体" w:cs="Times New Roman"/>
          <w:color w:val="0C0C0C"/>
          <w:highlight w:val="none"/>
          <w:lang w:eastAsia="zh-Hans"/>
        </w:rPr>
        <w:t>。如果开源系统或开源软件版本升级，采购人可要求</w:t>
      </w:r>
      <w:r>
        <w:rPr>
          <w:rFonts w:hint="default" w:ascii="Times New Roman" w:hAnsi="Times New Roman" w:eastAsia="宋体" w:cs="Times New Roman"/>
          <w:color w:val="0C0C0C"/>
          <w:highlight w:val="none"/>
        </w:rPr>
        <w:t>投标人</w:t>
      </w:r>
      <w:r>
        <w:rPr>
          <w:rFonts w:hint="default" w:ascii="Times New Roman" w:hAnsi="Times New Roman" w:eastAsia="宋体" w:cs="Times New Roman"/>
          <w:color w:val="0C0C0C"/>
          <w:highlight w:val="none"/>
          <w:lang w:eastAsia="zh-Hans"/>
        </w:rPr>
        <w:t>进行相应升级或更新。</w:t>
      </w:r>
    </w:p>
    <w:p w14:paraId="655DEFB1">
      <w:pPr>
        <w:pStyle w:val="23"/>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C0C0C"/>
          <w:highlight w:val="none"/>
        </w:rPr>
      </w:pPr>
      <w:r>
        <w:rPr>
          <w:rFonts w:hint="default" w:ascii="Times New Roman" w:hAnsi="Times New Roman" w:eastAsia="宋体" w:cs="Times New Roman"/>
          <w:color w:val="0C0C0C"/>
          <w:highlight w:val="none"/>
        </w:rPr>
        <w:t>2）培训服务：线下培训采购人人员使用系统，系统升级后，投标人提供新功能线上训练及功能说明手册</w:t>
      </w:r>
    </w:p>
    <w:p w14:paraId="411AEC94">
      <w:pPr>
        <w:pStyle w:val="23"/>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C0C0C"/>
          <w:highlight w:val="none"/>
        </w:rPr>
      </w:pPr>
      <w:r>
        <w:rPr>
          <w:rFonts w:hint="default" w:ascii="Times New Roman" w:hAnsi="Times New Roman" w:eastAsia="宋体" w:cs="Times New Roman"/>
          <w:color w:val="0C0C0C"/>
          <w:highlight w:val="none"/>
        </w:rPr>
        <w:t>3）产品补丁：修正产品中存在的Bug，包含但不限于缺陷、故障、漏洞、程序错误等导致系统无法安全顺畅运行的问题。</w:t>
      </w:r>
    </w:p>
    <w:p w14:paraId="1883CDE4">
      <w:pPr>
        <w:pStyle w:val="23"/>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C0C0C"/>
          <w:highlight w:val="none"/>
        </w:rPr>
      </w:pPr>
      <w:r>
        <w:rPr>
          <w:rFonts w:hint="default" w:ascii="Times New Roman" w:hAnsi="Times New Roman" w:eastAsia="宋体" w:cs="Times New Roman"/>
          <w:color w:val="0C0C0C"/>
          <w:highlight w:val="none"/>
        </w:rPr>
        <w:t>4) 非开源软件</w:t>
      </w:r>
      <w:r>
        <w:rPr>
          <w:rFonts w:hint="default" w:ascii="Times New Roman" w:hAnsi="Times New Roman" w:eastAsia="宋体" w:cs="Times New Roman"/>
          <w:color w:val="0C0C0C"/>
          <w:highlight w:val="none"/>
          <w:lang w:eastAsia="zh-Hans"/>
        </w:rPr>
        <w:t>或第三方软件</w:t>
      </w:r>
      <w:r>
        <w:rPr>
          <w:rFonts w:hint="default" w:ascii="Times New Roman" w:hAnsi="Times New Roman" w:eastAsia="宋体" w:cs="Times New Roman"/>
          <w:color w:val="0C0C0C"/>
          <w:highlight w:val="none"/>
        </w:rPr>
        <w:t>的保障：若投标人交付的产品包含或</w:t>
      </w:r>
      <w:r>
        <w:rPr>
          <w:rFonts w:hint="default" w:ascii="Times New Roman" w:hAnsi="Times New Roman" w:eastAsia="宋体" w:cs="Times New Roman"/>
          <w:color w:val="0C0C0C"/>
          <w:highlight w:val="none"/>
          <w:lang w:eastAsia="zh-Hans"/>
        </w:rPr>
        <w:t>安装、调试、维护等过程中</w:t>
      </w:r>
      <w:r>
        <w:rPr>
          <w:rFonts w:hint="default" w:ascii="Times New Roman" w:hAnsi="Times New Roman" w:eastAsia="宋体" w:cs="Times New Roman"/>
          <w:color w:val="0C0C0C"/>
          <w:highlight w:val="none"/>
        </w:rPr>
        <w:t>需</w:t>
      </w:r>
      <w:r>
        <w:rPr>
          <w:rFonts w:hint="default" w:ascii="Times New Roman" w:hAnsi="Times New Roman" w:eastAsia="宋体" w:cs="Times New Roman"/>
          <w:color w:val="0C0C0C"/>
          <w:highlight w:val="none"/>
          <w:lang w:eastAsia="zh-Hans"/>
        </w:rPr>
        <w:t>使用任何</w:t>
      </w:r>
      <w:r>
        <w:rPr>
          <w:rFonts w:hint="default" w:ascii="Times New Roman" w:hAnsi="Times New Roman" w:eastAsia="宋体" w:cs="Times New Roman"/>
          <w:color w:val="0C0C0C"/>
          <w:highlight w:val="none"/>
        </w:rPr>
        <w:t>非开源软件</w:t>
      </w:r>
      <w:r>
        <w:rPr>
          <w:rFonts w:hint="default" w:ascii="Times New Roman" w:hAnsi="Times New Roman" w:eastAsia="宋体" w:cs="Times New Roman"/>
          <w:color w:val="0C0C0C"/>
          <w:highlight w:val="none"/>
          <w:lang w:eastAsia="zh-Hans"/>
        </w:rPr>
        <w:t>或第三方软件</w:t>
      </w:r>
      <w:r>
        <w:rPr>
          <w:rFonts w:hint="default" w:ascii="Times New Roman" w:hAnsi="Times New Roman" w:eastAsia="宋体" w:cs="Times New Roman"/>
          <w:color w:val="0C0C0C"/>
          <w:highlight w:val="none"/>
        </w:rPr>
        <w:t>，投标人</w:t>
      </w:r>
      <w:r>
        <w:rPr>
          <w:rFonts w:hint="default" w:ascii="Times New Roman" w:hAnsi="Times New Roman" w:eastAsia="宋体" w:cs="Times New Roman"/>
          <w:color w:val="0C0C0C"/>
          <w:highlight w:val="none"/>
          <w:lang w:eastAsia="zh-Hans"/>
        </w:rPr>
        <w:t>须确保采购人获得该软件的永久、不可撤销、不限地域、免许可费的使用权，并于</w:t>
      </w:r>
      <w:r>
        <w:rPr>
          <w:rFonts w:hint="default" w:ascii="Times New Roman" w:hAnsi="Times New Roman" w:eastAsia="宋体" w:cs="Times New Roman"/>
          <w:color w:val="0C0C0C"/>
          <w:highlight w:val="none"/>
        </w:rPr>
        <w:t>交付时提供原厂商</w:t>
      </w:r>
      <w:r>
        <w:rPr>
          <w:rFonts w:hint="default" w:ascii="Times New Roman" w:hAnsi="Times New Roman" w:eastAsia="宋体" w:cs="Times New Roman"/>
          <w:color w:val="0C0C0C"/>
          <w:highlight w:val="none"/>
          <w:lang w:eastAsia="zh-Hans"/>
        </w:rPr>
        <w:t>出具的</w:t>
      </w:r>
      <w:r>
        <w:rPr>
          <w:rFonts w:hint="default" w:ascii="Times New Roman" w:hAnsi="Times New Roman" w:eastAsia="宋体" w:cs="Times New Roman"/>
          <w:color w:val="0C0C0C"/>
          <w:highlight w:val="none"/>
        </w:rPr>
        <w:t>书面授权文件且不</w:t>
      </w:r>
      <w:r>
        <w:rPr>
          <w:rFonts w:hint="default" w:ascii="Times New Roman" w:hAnsi="Times New Roman" w:eastAsia="宋体" w:cs="Times New Roman"/>
          <w:color w:val="0C0C0C"/>
          <w:highlight w:val="none"/>
          <w:lang w:eastAsia="zh-Hans"/>
        </w:rPr>
        <w:t>限制</w:t>
      </w:r>
      <w:r>
        <w:rPr>
          <w:rFonts w:hint="default" w:ascii="Times New Roman" w:hAnsi="Times New Roman" w:eastAsia="宋体" w:cs="Times New Roman"/>
          <w:color w:val="0C0C0C"/>
          <w:highlight w:val="none"/>
        </w:rPr>
        <w:t>采购人</w:t>
      </w:r>
      <w:r>
        <w:rPr>
          <w:rFonts w:hint="default" w:ascii="Times New Roman" w:hAnsi="Times New Roman" w:eastAsia="宋体" w:cs="Times New Roman"/>
          <w:color w:val="0C0C0C"/>
          <w:highlight w:val="none"/>
          <w:lang w:eastAsia="zh-Hans"/>
        </w:rPr>
        <w:t>进行</w:t>
      </w:r>
      <w:r>
        <w:rPr>
          <w:rFonts w:hint="default" w:ascii="Times New Roman" w:hAnsi="Times New Roman" w:eastAsia="宋体" w:cs="Times New Roman"/>
          <w:color w:val="0C0C0C"/>
          <w:highlight w:val="none"/>
        </w:rPr>
        <w:t>商业</w:t>
      </w:r>
      <w:r>
        <w:rPr>
          <w:rFonts w:hint="default" w:ascii="Times New Roman" w:hAnsi="Times New Roman" w:eastAsia="宋体" w:cs="Times New Roman"/>
          <w:color w:val="0C0C0C"/>
          <w:highlight w:val="none"/>
          <w:lang w:eastAsia="zh-Hans"/>
        </w:rPr>
        <w:t>或非商业</w:t>
      </w:r>
      <w:r>
        <w:rPr>
          <w:rFonts w:hint="default" w:ascii="Times New Roman" w:hAnsi="Times New Roman" w:eastAsia="宋体" w:cs="Times New Roman"/>
          <w:color w:val="0C0C0C"/>
          <w:highlight w:val="none"/>
        </w:rPr>
        <w:t>使用的</w:t>
      </w:r>
      <w:r>
        <w:rPr>
          <w:rFonts w:hint="default" w:ascii="Times New Roman" w:hAnsi="Times New Roman" w:eastAsia="宋体" w:cs="Times New Roman"/>
          <w:color w:val="0C0C0C"/>
          <w:highlight w:val="none"/>
          <w:lang w:eastAsia="zh-Hans"/>
        </w:rPr>
        <w:t>有效</w:t>
      </w:r>
      <w:r>
        <w:rPr>
          <w:rFonts w:hint="default" w:ascii="Times New Roman" w:hAnsi="Times New Roman" w:eastAsia="宋体" w:cs="Times New Roman"/>
          <w:color w:val="0C0C0C"/>
          <w:highlight w:val="none"/>
        </w:rPr>
        <w:t>证明。若因授权问题导致采购人无法使用</w:t>
      </w:r>
      <w:r>
        <w:rPr>
          <w:rFonts w:hint="default" w:ascii="Times New Roman" w:hAnsi="Times New Roman" w:eastAsia="宋体" w:cs="Times New Roman"/>
          <w:color w:val="0C0C0C"/>
          <w:highlight w:val="none"/>
          <w:lang w:eastAsia="zh-Hans"/>
        </w:rPr>
        <w:t>相关软件</w:t>
      </w:r>
      <w:r>
        <w:rPr>
          <w:rFonts w:hint="default" w:ascii="Times New Roman" w:hAnsi="Times New Roman" w:eastAsia="宋体" w:cs="Times New Roman"/>
          <w:color w:val="0C0C0C"/>
          <w:highlight w:val="none"/>
        </w:rPr>
        <w:t>或引发任何第三方索赔，投标人承担全部法律责任并赔偿采购人所有损失。</w:t>
      </w:r>
    </w:p>
    <w:p w14:paraId="2145233A">
      <w:pPr>
        <w:pStyle w:val="23"/>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C0C0C"/>
          <w:highlight w:val="none"/>
        </w:rPr>
      </w:pPr>
      <w:r>
        <w:rPr>
          <w:rFonts w:hint="default" w:ascii="Times New Roman" w:hAnsi="Times New Roman" w:eastAsia="宋体" w:cs="Times New Roman"/>
          <w:color w:val="0C0C0C"/>
          <w:highlight w:val="none"/>
          <w:lang w:val="en-US" w:eastAsia="zh-CN"/>
        </w:rPr>
        <w:t>5</w:t>
      </w:r>
      <w:r>
        <w:rPr>
          <w:rFonts w:hint="default" w:ascii="Times New Roman" w:hAnsi="Times New Roman" w:eastAsia="宋体" w:cs="Times New Roman"/>
          <w:color w:val="0C0C0C"/>
          <w:highlight w:val="none"/>
        </w:rPr>
        <w:t>）投标人对如下软件系统不提供任何维护与技术支持服务：</w:t>
      </w:r>
    </w:p>
    <w:p w14:paraId="15C2F3BF">
      <w:pPr>
        <w:pStyle w:val="23"/>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C0C0C"/>
          <w:highlight w:val="none"/>
        </w:rPr>
      </w:pPr>
      <w:r>
        <w:rPr>
          <w:rFonts w:hint="default" w:ascii="Times New Roman" w:hAnsi="Times New Roman" w:eastAsia="宋体" w:cs="Times New Roman"/>
          <w:color w:val="0C0C0C"/>
          <w:highlight w:val="none"/>
        </w:rPr>
        <w:t>投标人之外的任何人未经乙方许可对系统进行任何方式的修改而产生的软件运行及升级故障</w:t>
      </w:r>
    </w:p>
    <w:p w14:paraId="07BBA9C3">
      <w:pPr>
        <w:pStyle w:val="23"/>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highlight w:val="none"/>
        </w:rPr>
      </w:pPr>
      <w:r>
        <w:rPr>
          <w:rFonts w:hint="default" w:ascii="Times New Roman" w:hAnsi="Times New Roman" w:eastAsia="宋体" w:cs="Times New Roman"/>
          <w:highlight w:val="none"/>
        </w:rPr>
        <w:t>采购人所使用的任何第三方非开源软件产品（除合同约定外嵌入到第三方软件产品的功能）</w:t>
      </w:r>
    </w:p>
    <w:p w14:paraId="30B52C69">
      <w:pPr>
        <w:pStyle w:val="23"/>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shd w:val="clear" w:color="auto" w:fill="FFFFFF"/>
        </w:rPr>
      </w:pPr>
      <w:r>
        <w:rPr>
          <w:rFonts w:hint="default" w:ascii="Times New Roman" w:hAnsi="Times New Roman" w:eastAsia="宋体" w:cs="Times New Roman"/>
          <w:bCs/>
          <w:szCs w:val="20"/>
          <w:highlight w:val="none"/>
        </w:rPr>
        <w:t>▲3</w:t>
      </w:r>
      <w:r>
        <w:rPr>
          <w:rFonts w:hint="default" w:ascii="Times New Roman" w:hAnsi="Times New Roman" w:eastAsia="宋体" w:cs="Times New Roman"/>
          <w:color w:val="0F1115"/>
          <w:highlight w:val="none"/>
          <w:shd w:val="clear" w:color="auto" w:fill="FFFFFF"/>
        </w:rPr>
        <w:t xml:space="preserve">、培训要求：  </w:t>
      </w:r>
    </w:p>
    <w:p w14:paraId="4A7D4C34">
      <w:pPr>
        <w:pStyle w:val="23"/>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kern w:val="2"/>
          <w:highlight w:val="none"/>
          <w:shd w:val="clear" w:color="auto" w:fill="FFFFFF"/>
        </w:rPr>
      </w:pPr>
      <w:r>
        <w:rPr>
          <w:rFonts w:hint="default" w:ascii="Times New Roman" w:hAnsi="Times New Roman" w:eastAsia="宋体" w:cs="Times New Roman"/>
          <w:color w:val="0F1115"/>
          <w:kern w:val="2"/>
          <w:highlight w:val="none"/>
          <w:shd w:val="clear" w:color="auto" w:fill="FFFFFF"/>
        </w:rPr>
        <w:t>（1）</w:t>
      </w:r>
      <w:r>
        <w:rPr>
          <w:rFonts w:hint="default" w:ascii="Times New Roman" w:hAnsi="Times New Roman" w:eastAsia="宋体" w:cs="Times New Roman"/>
          <w:color w:val="0F1115"/>
          <w:kern w:val="2"/>
          <w:sz w:val="24"/>
          <w:highlight w:val="none"/>
          <w:shd w:val="clear" w:color="auto" w:fill="FFFFFF"/>
        </w:rPr>
        <w:t>为保证中标人所提供的仪器设备安全、可靠运行，便于采购人的运行维护，</w:t>
      </w:r>
      <w:r>
        <w:rPr>
          <w:rFonts w:hint="default" w:ascii="Times New Roman" w:hAnsi="Times New Roman" w:eastAsia="宋体" w:cs="Times New Roman"/>
          <w:bCs w:val="0"/>
          <w:color w:val="0F1115"/>
          <w:kern w:val="2"/>
          <w:sz w:val="24"/>
          <w:highlight w:val="none"/>
          <w:shd w:val="clear" w:color="auto" w:fill="FFFFFF"/>
        </w:rPr>
        <w:t>中标人在采购人组织综合验收前</w:t>
      </w:r>
      <w:r>
        <w:rPr>
          <w:rFonts w:hint="default" w:ascii="Times New Roman" w:hAnsi="Times New Roman" w:eastAsia="宋体" w:cs="Times New Roman"/>
          <w:color w:val="0F1115"/>
          <w:kern w:val="2"/>
          <w:sz w:val="24"/>
          <w:highlight w:val="none"/>
          <w:shd w:val="clear" w:color="auto" w:fill="FFFFFF"/>
        </w:rPr>
        <w:t>必须对采购人培训合格的维护和管理人员。</w:t>
      </w:r>
      <w:r>
        <w:rPr>
          <w:rFonts w:hint="default" w:ascii="Times New Roman" w:hAnsi="Times New Roman" w:eastAsia="宋体" w:cs="Times New Roman"/>
          <w:color w:val="0F1115"/>
          <w:spacing w:val="0"/>
          <w:kern w:val="2"/>
          <w:sz w:val="24"/>
          <w:highlight w:val="none"/>
          <w:shd w:val="clear" w:color="auto" w:fill="FFFFFF"/>
        </w:rPr>
        <w:t>包括仪器基本原理、安装、调试、操作使用及日</w:t>
      </w:r>
      <w:r>
        <w:rPr>
          <w:rFonts w:hint="default" w:ascii="Times New Roman" w:hAnsi="Times New Roman" w:eastAsia="宋体" w:cs="Times New Roman"/>
          <w:color w:val="0F1115"/>
          <w:kern w:val="2"/>
          <w:sz w:val="24"/>
          <w:highlight w:val="none"/>
          <w:shd w:val="clear" w:color="auto" w:fill="FFFFFF"/>
        </w:rPr>
        <w:t>常保养维修等，使其能独立操作仪器及使用软件</w:t>
      </w:r>
      <w:r>
        <w:rPr>
          <w:rFonts w:hint="default" w:ascii="Times New Roman" w:hAnsi="Times New Roman" w:eastAsia="宋体" w:cs="Times New Roman"/>
          <w:color w:val="0F1115"/>
          <w:kern w:val="2"/>
          <w:highlight w:val="none"/>
          <w:shd w:val="clear" w:color="auto" w:fill="FFFFFF"/>
        </w:rPr>
        <w:t>。</w:t>
      </w:r>
    </w:p>
    <w:p w14:paraId="68D3ABC4">
      <w:pPr>
        <w:pStyle w:val="23"/>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C0C0C"/>
          <w:highlight w:val="none"/>
        </w:rPr>
      </w:pPr>
      <w:r>
        <w:rPr>
          <w:rFonts w:hint="default" w:ascii="Times New Roman" w:hAnsi="Times New Roman" w:eastAsia="宋体" w:cs="Times New Roman"/>
          <w:color w:val="0C0C0C"/>
          <w:highlight w:val="none"/>
        </w:rPr>
        <w:t>（2）投标人负责对采购人提供详细的培训：</w:t>
      </w:r>
    </w:p>
    <w:p w14:paraId="3F464D67">
      <w:pPr>
        <w:widowControl/>
        <w:shd w:val="clear" w:color="auto" w:fill="FFFFFF"/>
        <w:spacing w:line="360" w:lineRule="auto"/>
        <w:ind w:firstLine="480" w:firstLineChars="200"/>
        <w:jc w:val="left"/>
        <w:rPr>
          <w:rFonts w:hint="default" w:ascii="Times New Roman" w:hAnsi="Times New Roman" w:eastAsia="宋体" w:cs="Times New Roman"/>
          <w:color w:val="0F1115"/>
          <w:sz w:val="24"/>
          <w:szCs w:val="24"/>
          <w:highlight w:val="none"/>
          <w:shd w:val="clear" w:color="auto" w:fill="FFFFFF"/>
        </w:rPr>
      </w:pPr>
      <w:bookmarkStart w:id="16" w:name="OLE_LINK7"/>
      <w:r>
        <w:rPr>
          <w:rFonts w:hint="default" w:ascii="Times New Roman" w:hAnsi="Times New Roman" w:eastAsia="宋体" w:cs="Times New Roman"/>
          <w:color w:val="0F1115"/>
          <w:sz w:val="24"/>
          <w:szCs w:val="24"/>
          <w:highlight w:val="none"/>
          <w:shd w:val="clear" w:color="auto" w:fill="FFFFFF"/>
        </w:rPr>
        <w:t>1）现场培训：仪器安装调试后，投标人需向采购人至少提供6次现场培训，具体培训批次、时间安排须提前与采购人沟通确认，经采购人同意后方可实施，培训内容包括但不限于：</w:t>
      </w:r>
      <w:r>
        <w:rPr>
          <w:rFonts w:hint="default" w:ascii="Times New Roman" w:hAnsi="Times New Roman" w:eastAsia="宋体" w:cs="Times New Roman"/>
          <w:sz w:val="24"/>
          <w:szCs w:val="24"/>
          <w:highlight w:val="none"/>
        </w:rPr>
        <w:t>设备操作规范、技术原理、软硬件操作规范、参数调试方法、日常维护保养流程、常见故障识别与应急处理、安全操作规范等内容，兼顾理论讲解与实操演练，突出实操能力培养。每次现场培训均须向采购人交付完整配套资料，包括纸质版培训手册、操作指南、维护规程，以及操作演示视频、故障排查教学视频等电子资料，确保采购人后续可随时查阅复盘。</w:t>
      </w:r>
    </w:p>
    <w:p w14:paraId="7A4121EE">
      <w:pPr>
        <w:widowControl/>
        <w:shd w:val="clear" w:color="auto" w:fill="FFFFFF"/>
        <w:spacing w:line="360" w:lineRule="auto"/>
        <w:ind w:firstLine="480" w:firstLineChars="200"/>
        <w:jc w:val="left"/>
        <w:rPr>
          <w:rFonts w:hint="default" w:ascii="Times New Roman" w:hAnsi="Times New Roman" w:eastAsia="宋体" w:cs="Times New Roman"/>
          <w:sz w:val="24"/>
          <w:szCs w:val="24"/>
          <w:highlight w:val="none"/>
        </w:rPr>
      </w:pPr>
      <w:r>
        <w:rPr>
          <w:rFonts w:hint="default" w:ascii="Times New Roman" w:hAnsi="Times New Roman" w:eastAsia="宋体" w:cs="Times New Roman"/>
          <w:color w:val="0F1115"/>
          <w:sz w:val="24"/>
          <w:szCs w:val="24"/>
          <w:highlight w:val="none"/>
          <w:shd w:val="clear" w:color="auto" w:fill="FFFFFF"/>
          <w:lang w:val="en-US" w:eastAsia="zh-CN"/>
        </w:rPr>
        <w:t>2</w:t>
      </w:r>
      <w:r>
        <w:rPr>
          <w:rFonts w:hint="default" w:ascii="Times New Roman" w:hAnsi="Times New Roman" w:eastAsia="宋体" w:cs="Times New Roman"/>
          <w:color w:val="0F1115"/>
          <w:sz w:val="24"/>
          <w:szCs w:val="24"/>
          <w:highlight w:val="none"/>
          <w:shd w:val="clear" w:color="auto" w:fill="FFFFFF"/>
        </w:rPr>
        <w:t>）应用培训：</w:t>
      </w:r>
      <w:r>
        <w:rPr>
          <w:rFonts w:hint="default" w:ascii="Times New Roman" w:hAnsi="Times New Roman" w:eastAsia="宋体" w:cs="Times New Roman"/>
          <w:sz w:val="24"/>
          <w:szCs w:val="24"/>
          <w:highlight w:val="none"/>
        </w:rPr>
        <w:t>投标人须结合本项目设备配置清单及采购人实际业务场景，提供匹配业务需求的应用培训</w:t>
      </w:r>
      <w:r>
        <w:rPr>
          <w:rFonts w:hint="default" w:ascii="Times New Roman" w:hAnsi="Times New Roman" w:eastAsia="宋体" w:cs="Times New Roman"/>
          <w:sz w:val="24"/>
          <w:szCs w:val="24"/>
          <w:highlight w:val="none"/>
          <w:lang w:val="en-US" w:eastAsia="zh-CN"/>
        </w:rPr>
        <w:t>至少1次</w:t>
      </w:r>
      <w:r>
        <w:rPr>
          <w:rFonts w:hint="default" w:ascii="Times New Roman" w:hAnsi="Times New Roman" w:eastAsia="宋体" w:cs="Times New Roman"/>
          <w:sz w:val="24"/>
          <w:szCs w:val="24"/>
          <w:highlight w:val="none"/>
        </w:rPr>
        <w:t>。培训内容围绕设备对应检测/实验场景的标准化应用流程、数据处理与结果分析、典型业务案例实操等展开，具体培训方案由双方在合同中另行约定，确保设备功能与采购人业务需求充分适配。</w:t>
      </w:r>
    </w:p>
    <w:p w14:paraId="21BF88AA">
      <w:pPr>
        <w:widowControl/>
        <w:shd w:val="clear"/>
        <w:tabs>
          <w:tab w:val="left" w:pos="420"/>
        </w:tabs>
        <w:autoSpaceDE w:val="0"/>
        <w:autoSpaceDN w:val="0"/>
        <w:spacing w:line="360" w:lineRule="auto"/>
        <w:ind w:firstLine="480" w:firstLineChars="200"/>
        <w:jc w:val="left"/>
        <w:rPr>
          <w:rFonts w:hint="default" w:ascii="Times New Roman" w:hAnsi="Times New Roman" w:eastAsia="宋体" w:cs="Times New Roman"/>
          <w:color w:val="0F1115"/>
          <w:sz w:val="24"/>
          <w:szCs w:val="24"/>
          <w:highlight w:val="none"/>
          <w:shd w:val="clear" w:color="auto" w:fill="FFFFFF"/>
        </w:rPr>
      </w:pPr>
      <w:r>
        <w:rPr>
          <w:rFonts w:hint="default" w:ascii="Times New Roman" w:hAnsi="Times New Roman" w:eastAsia="宋体" w:cs="Times New Roman"/>
          <w:sz w:val="24"/>
          <w:szCs w:val="24"/>
          <w:highlight w:val="none"/>
          <w:lang w:val="en-US" w:eastAsia="zh-CN"/>
        </w:rPr>
        <w:t>4、</w:t>
      </w:r>
      <w:r>
        <w:rPr>
          <w:rFonts w:hint="default" w:ascii="Times New Roman" w:hAnsi="Times New Roman" w:eastAsia="宋体" w:cs="Times New Roman"/>
          <w:sz w:val="24"/>
          <w:highlight w:val="none"/>
        </w:rPr>
        <w:t>上述</w:t>
      </w:r>
      <w:r>
        <w:rPr>
          <w:rFonts w:hint="default" w:ascii="Times New Roman" w:hAnsi="Times New Roman" w:eastAsia="宋体" w:cs="Times New Roman"/>
          <w:sz w:val="24"/>
          <w:highlight w:val="none"/>
          <w:lang w:val="en-US" w:eastAsia="zh-CN"/>
        </w:rPr>
        <w:t>履约团队、</w:t>
      </w:r>
      <w:r>
        <w:rPr>
          <w:rFonts w:hint="default" w:ascii="Times New Roman" w:hAnsi="Times New Roman" w:eastAsia="宋体" w:cs="Times New Roman"/>
          <w:b w:val="0"/>
          <w:sz w:val="24"/>
          <w:highlight w:val="none"/>
        </w:rPr>
        <w:t>技术</w:t>
      </w:r>
      <w:r>
        <w:rPr>
          <w:rFonts w:hint="default" w:ascii="Times New Roman" w:hAnsi="Times New Roman" w:eastAsia="宋体" w:cs="Times New Roman"/>
          <w:b w:val="0"/>
          <w:bCs w:val="0"/>
          <w:sz w:val="24"/>
          <w:highlight w:val="none"/>
        </w:rPr>
        <w:t>支持、</w:t>
      </w:r>
      <w:r>
        <w:rPr>
          <w:rFonts w:hint="default" w:ascii="Times New Roman" w:hAnsi="Times New Roman" w:eastAsia="宋体" w:cs="Times New Roman"/>
          <w:sz w:val="24"/>
          <w:highlight w:val="none"/>
        </w:rPr>
        <w:t>售后与培训服务</w:t>
      </w:r>
      <w:r>
        <w:rPr>
          <w:rFonts w:hint="default" w:ascii="Times New Roman" w:hAnsi="Times New Roman" w:eastAsia="宋体" w:cs="Times New Roman"/>
          <w:sz w:val="24"/>
          <w:highlight w:val="none"/>
          <w:lang w:eastAsia="zh-CN"/>
        </w:rPr>
        <w:t>的</w:t>
      </w:r>
      <w:r>
        <w:rPr>
          <w:rFonts w:hint="default" w:ascii="Times New Roman" w:hAnsi="Times New Roman" w:eastAsia="宋体" w:cs="Times New Roman"/>
          <w:sz w:val="24"/>
          <w:highlight w:val="none"/>
          <w:lang w:val="en-US" w:eastAsia="zh-CN"/>
        </w:rPr>
        <w:t>要求</w:t>
      </w:r>
      <w:r>
        <w:rPr>
          <w:rFonts w:hint="default" w:ascii="Times New Roman" w:hAnsi="Times New Roman" w:eastAsia="宋体" w:cs="Times New Roman"/>
          <w:sz w:val="24"/>
          <w:highlight w:val="none"/>
        </w:rPr>
        <w:t>除另有约定外，相关费用均已包含在投标报价中，采购人不另行支付。</w:t>
      </w:r>
    </w:p>
    <w:bookmarkEnd w:id="16"/>
    <w:p w14:paraId="7040CA30">
      <w:pPr>
        <w:pStyle w:val="23"/>
        <w:shd w:val="clear" w:color="auto" w:fill="FFFFFF"/>
        <w:spacing w:before="0" w:beforeAutospacing="0" w:after="0" w:afterAutospacing="0" w:line="360" w:lineRule="auto"/>
        <w:jc w:val="both"/>
        <w:outlineLvl w:val="3"/>
        <w:rPr>
          <w:rFonts w:hint="default" w:ascii="Times New Roman" w:hAnsi="Times New Roman" w:eastAsia="宋体" w:cs="Times New Roman"/>
          <w:color w:val="0F1115"/>
          <w:highlight w:val="none"/>
          <w:shd w:val="clear" w:color="auto" w:fill="FFFFFF"/>
        </w:rPr>
      </w:pPr>
      <w:r>
        <w:rPr>
          <w:rFonts w:hint="default" w:ascii="Times New Roman" w:hAnsi="Times New Roman" w:eastAsia="宋体" w:cs="Times New Roman"/>
          <w:color w:val="0F1115"/>
          <w:highlight w:val="none"/>
          <w:shd w:val="clear" w:color="auto" w:fill="FFFFFF"/>
        </w:rPr>
        <w:t>（三）包装和运输</w:t>
      </w:r>
    </w:p>
    <w:p w14:paraId="4DC10739">
      <w:pPr>
        <w:pStyle w:val="23"/>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rPr>
      </w:pPr>
      <w:r>
        <w:rPr>
          <w:rFonts w:hint="default" w:ascii="Times New Roman" w:hAnsi="Times New Roman" w:eastAsia="宋体" w:cs="Times New Roman"/>
          <w:color w:val="0F1115"/>
          <w:highlight w:val="none"/>
          <w:shd w:val="clear" w:color="auto" w:fill="FFFFFF"/>
        </w:rPr>
        <w:t>1、所有设备从出厂到安装现场的所有运输：包括所有货物一次和二次运输（包括水平和垂直）的提运、吊装、就位等工作均由投标人负责，投标人对设备运输进行保险，并全权负责运输人员的人身安全。投标人对任何由于不当包装或防护措施不利而导致的商品损坏、损失、费用增长等后果负责。</w:t>
      </w:r>
    </w:p>
    <w:p w14:paraId="2D9B2183">
      <w:pPr>
        <w:pStyle w:val="23"/>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rPr>
      </w:pPr>
      <w:r>
        <w:rPr>
          <w:rFonts w:hint="default" w:ascii="Times New Roman" w:hAnsi="Times New Roman" w:eastAsia="宋体" w:cs="Times New Roman"/>
          <w:color w:val="0F1115"/>
          <w:highlight w:val="none"/>
          <w:shd w:val="clear" w:color="auto" w:fill="FFFFFF"/>
        </w:rPr>
        <w:t>2、对于有特殊要求的设备运输时（如恒温、易碎、易变形、易受潮、防雨等），投标人应加强包装保护措施，在包装箱上印有醒目标记。</w:t>
      </w:r>
    </w:p>
    <w:p w14:paraId="3BBF78EC">
      <w:pPr>
        <w:pStyle w:val="23"/>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rPr>
      </w:pPr>
      <w:r>
        <w:rPr>
          <w:rFonts w:hint="default" w:ascii="Times New Roman" w:hAnsi="Times New Roman" w:eastAsia="宋体" w:cs="Times New Roman"/>
          <w:color w:val="0F1115"/>
          <w:highlight w:val="none"/>
          <w:shd w:val="clear" w:color="auto" w:fill="FFFFFF"/>
        </w:rPr>
        <w:t>3、产品的包装应具有足够的强度，有安全起吊标志，能保证多次搬运和装卸，并安全可靠的抵达目的地。</w:t>
      </w:r>
    </w:p>
    <w:p w14:paraId="21D9182A">
      <w:pPr>
        <w:pStyle w:val="23"/>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rPr>
      </w:pPr>
      <w:r>
        <w:rPr>
          <w:rFonts w:hint="default" w:ascii="Times New Roman" w:hAnsi="Times New Roman" w:eastAsia="宋体" w:cs="Times New Roman"/>
          <w:color w:val="0F1115"/>
          <w:highlight w:val="none"/>
          <w:shd w:val="clear" w:color="auto" w:fill="FFFFFF"/>
        </w:rPr>
        <w:t>4、设备、附件、专用工具应按照采购人要求单独分箱包装，每个包装箱外表面应有与装箱单一致的合同号和设备清单及编号，易于被区分。</w:t>
      </w:r>
    </w:p>
    <w:p w14:paraId="4126BF63">
      <w:pPr>
        <w:pStyle w:val="23"/>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shd w:val="clear" w:color="auto" w:fill="FFFFFF"/>
        </w:rPr>
      </w:pPr>
      <w:r>
        <w:rPr>
          <w:rFonts w:hint="default" w:ascii="Times New Roman" w:hAnsi="Times New Roman" w:eastAsia="宋体" w:cs="Times New Roman"/>
          <w:color w:val="0F1115"/>
          <w:highlight w:val="none"/>
          <w:shd w:val="clear" w:color="auto" w:fill="FFFFFF"/>
        </w:rPr>
        <w:t>5、投标人应在发货前两周将预计发货日期及实际交货日期通知采购人，具体交货日期需经双方确认。如果运输和安装过程中导致设备损坏，责任由投标人承担，投标人必须在一周内提交维修计划供采购人批准，并按照批准的维修计划完成设备修复。</w:t>
      </w:r>
    </w:p>
    <w:p w14:paraId="3B42B6A6">
      <w:pPr>
        <w:pStyle w:val="23"/>
        <w:ind w:firstLine="480" w:firstLineChars="200"/>
        <w:rPr>
          <w:rFonts w:hint="default" w:ascii="Times New Roman" w:hAnsi="Times New Roman" w:eastAsia="宋体" w:cs="Times New Roman"/>
          <w:color w:val="0F1115"/>
          <w:highlight w:val="none"/>
          <w:shd w:val="clear" w:color="auto" w:fill="FFFFFF"/>
        </w:rPr>
      </w:pPr>
      <w:r>
        <w:rPr>
          <w:rFonts w:hint="default" w:ascii="Times New Roman" w:hAnsi="Times New Roman" w:eastAsia="宋体" w:cs="Times New Roman"/>
          <w:color w:val="0F1115"/>
          <w:sz w:val="24"/>
          <w:highlight w:val="none"/>
          <w:shd w:val="clear" w:color="auto" w:fill="FFFFFF"/>
          <w:lang w:val="en-US" w:eastAsia="zh-CN"/>
        </w:rPr>
        <w:t>6</w:t>
      </w:r>
      <w:r>
        <w:rPr>
          <w:rFonts w:hint="default" w:ascii="Times New Roman" w:hAnsi="Times New Roman" w:eastAsia="宋体" w:cs="Times New Roman"/>
          <w:color w:val="0F1115"/>
          <w:sz w:val="24"/>
          <w:highlight w:val="none"/>
          <w:shd w:val="clear" w:color="auto" w:fill="FFFFFF"/>
          <w:lang w:eastAsia="zh-CN"/>
        </w:rPr>
        <w:t>、</w:t>
      </w:r>
      <w:r>
        <w:rPr>
          <w:rFonts w:hint="default" w:ascii="Times New Roman" w:hAnsi="Times New Roman" w:eastAsia="宋体" w:cs="Times New Roman"/>
          <w:color w:val="0F1115"/>
          <w:sz w:val="24"/>
          <w:highlight w:val="none"/>
          <w:shd w:val="clear" w:color="auto" w:fill="FFFFFF"/>
        </w:rPr>
        <w:t>除另有约定外，上述</w:t>
      </w:r>
      <w:r>
        <w:rPr>
          <w:rFonts w:hint="default" w:ascii="Times New Roman" w:hAnsi="Times New Roman" w:eastAsia="宋体" w:cs="Times New Roman"/>
          <w:color w:val="0F1115"/>
          <w:sz w:val="24"/>
          <w:highlight w:val="none"/>
          <w:shd w:val="clear" w:color="auto" w:fill="FFFFFF"/>
          <w:lang w:val="en-US" w:eastAsia="zh-CN"/>
        </w:rPr>
        <w:t>关于</w:t>
      </w:r>
      <w:r>
        <w:rPr>
          <w:rFonts w:hint="default" w:ascii="Times New Roman" w:hAnsi="Times New Roman" w:eastAsia="宋体" w:cs="Times New Roman"/>
          <w:color w:val="0F1115"/>
          <w:sz w:val="24"/>
          <w:highlight w:val="none"/>
          <w:shd w:val="clear" w:color="auto" w:fill="FFFFFF"/>
        </w:rPr>
        <w:t>包装和运输</w:t>
      </w:r>
      <w:r>
        <w:rPr>
          <w:rFonts w:hint="default" w:ascii="Times New Roman" w:hAnsi="Times New Roman" w:eastAsia="宋体" w:cs="Times New Roman"/>
          <w:color w:val="0F1115"/>
          <w:sz w:val="24"/>
          <w:highlight w:val="none"/>
          <w:shd w:val="clear" w:color="auto" w:fill="FFFFFF"/>
          <w:lang w:val="en-US" w:eastAsia="zh-CN"/>
        </w:rPr>
        <w:t>相关</w:t>
      </w:r>
      <w:r>
        <w:rPr>
          <w:rFonts w:hint="default" w:ascii="Times New Roman" w:hAnsi="Times New Roman" w:eastAsia="宋体" w:cs="Times New Roman"/>
          <w:color w:val="0F1115"/>
          <w:sz w:val="24"/>
          <w:highlight w:val="none"/>
          <w:shd w:val="clear" w:color="auto" w:fill="FFFFFF"/>
        </w:rPr>
        <w:t>的费用均已包含在投标报价中，采购人不另行支付。</w:t>
      </w:r>
    </w:p>
    <w:p w14:paraId="16F4F080">
      <w:pPr>
        <w:pStyle w:val="23"/>
        <w:shd w:val="clear" w:color="auto" w:fill="FFFFFF"/>
        <w:spacing w:before="0" w:beforeAutospacing="0" w:after="0" w:afterAutospacing="0" w:line="360" w:lineRule="auto"/>
        <w:ind w:firstLine="480" w:firstLineChars="200"/>
        <w:jc w:val="both"/>
        <w:outlineLvl w:val="3"/>
        <w:rPr>
          <w:rFonts w:hint="default" w:ascii="Times New Roman" w:hAnsi="Times New Roman" w:eastAsia="宋体" w:cs="Times New Roman"/>
          <w:color w:val="0F1115"/>
          <w:highlight w:val="none"/>
        </w:rPr>
      </w:pPr>
      <w:r>
        <w:rPr>
          <w:rFonts w:hint="default" w:ascii="Times New Roman" w:hAnsi="Times New Roman" w:eastAsia="宋体" w:cs="Times New Roman"/>
          <w:color w:val="0F1115"/>
          <w:highlight w:val="none"/>
          <w:shd w:val="clear" w:color="auto" w:fill="FFFFFF"/>
        </w:rPr>
        <w:t>（四） 供货要求和设备调试方案</w:t>
      </w:r>
    </w:p>
    <w:p w14:paraId="216B58AB">
      <w:pPr>
        <w:pStyle w:val="23"/>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rPr>
      </w:pPr>
      <w:r>
        <w:rPr>
          <w:rFonts w:hint="default" w:ascii="Times New Roman" w:hAnsi="Times New Roman" w:eastAsia="宋体" w:cs="Times New Roman"/>
          <w:bCs/>
          <w:highlight w:val="none"/>
        </w:rPr>
        <w:t>▲</w:t>
      </w:r>
      <w:r>
        <w:rPr>
          <w:rFonts w:hint="default" w:ascii="Times New Roman" w:hAnsi="Times New Roman" w:eastAsia="宋体" w:cs="Times New Roman"/>
          <w:color w:val="0F1115"/>
          <w:highlight w:val="none"/>
          <w:shd w:val="clear" w:color="auto" w:fill="FFFFFF"/>
        </w:rPr>
        <w:t>1、投标人需</w:t>
      </w:r>
      <w:r>
        <w:rPr>
          <w:rFonts w:hint="default" w:ascii="Times New Roman" w:hAnsi="Times New Roman" w:eastAsia="宋体" w:cs="Times New Roman"/>
          <w:color w:val="0F1115"/>
          <w:highlight w:val="none"/>
          <w:shd w:val="clear" w:color="auto" w:fill="FFFFFF"/>
          <w:lang w:val="en-US" w:eastAsia="zh-CN"/>
        </w:rPr>
        <w:t>在投标时</w:t>
      </w:r>
      <w:r>
        <w:rPr>
          <w:rFonts w:hint="default" w:ascii="Times New Roman" w:hAnsi="Times New Roman" w:eastAsia="宋体" w:cs="Times New Roman"/>
          <w:color w:val="0F1115"/>
          <w:highlight w:val="none"/>
          <w:shd w:val="clear" w:color="auto" w:fill="FFFFFF"/>
        </w:rPr>
        <w:t>按交货期要求</w:t>
      </w:r>
      <w:r>
        <w:rPr>
          <w:rFonts w:hint="default" w:ascii="Times New Roman" w:hAnsi="Times New Roman" w:eastAsia="宋体" w:cs="Times New Roman"/>
          <w:color w:val="0F1115"/>
          <w:highlight w:val="none"/>
          <w:shd w:val="clear" w:color="auto" w:fill="FFFFFF"/>
          <w:lang w:val="en-US" w:eastAsia="zh-CN"/>
        </w:rPr>
        <w:t>提供</w:t>
      </w:r>
      <w:r>
        <w:rPr>
          <w:rFonts w:hint="default" w:ascii="Times New Roman" w:hAnsi="Times New Roman" w:eastAsia="宋体" w:cs="Times New Roman"/>
          <w:color w:val="0F1115"/>
          <w:highlight w:val="none"/>
          <w:shd w:val="clear" w:color="auto" w:fill="FFFFFF"/>
        </w:rPr>
        <w:t>项目进度计划、进度延误处理措施、设备调试方案。</w:t>
      </w:r>
    </w:p>
    <w:p w14:paraId="4E44533C">
      <w:pPr>
        <w:pStyle w:val="23"/>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bCs/>
          <w:highlight w:val="none"/>
        </w:rPr>
      </w:pPr>
      <w:r>
        <w:rPr>
          <w:rFonts w:hint="default" w:ascii="Times New Roman" w:hAnsi="Times New Roman" w:eastAsia="宋体" w:cs="Times New Roman"/>
          <w:bCs/>
          <w:highlight w:val="none"/>
          <w:shd w:val="clear"/>
        </w:rPr>
        <w:t>2、到货后需按采购人实际要求的期限、范围分批安装、调试、测试及验收。</w:t>
      </w:r>
    </w:p>
    <w:p w14:paraId="1628AB1A">
      <w:pPr>
        <w:pStyle w:val="23"/>
        <w:spacing w:line="360" w:lineRule="auto"/>
        <w:ind w:firstLine="480"/>
        <w:rPr>
          <w:rFonts w:hint="default" w:ascii="Times New Roman" w:hAnsi="Times New Roman" w:eastAsia="宋体" w:cs="Times New Roman"/>
          <w:bCs/>
          <w:highlight w:val="none"/>
          <w:shd w:val="clear"/>
        </w:rPr>
      </w:pPr>
      <w:r>
        <w:rPr>
          <w:rFonts w:hint="default" w:ascii="Times New Roman" w:hAnsi="Times New Roman" w:eastAsia="宋体" w:cs="Times New Roman"/>
          <w:bCs/>
          <w:highlight w:val="none"/>
          <w:shd w:val="clear"/>
        </w:rPr>
        <w:t>3、</w:t>
      </w:r>
      <w:r>
        <w:rPr>
          <w:rFonts w:hint="default" w:ascii="Times New Roman" w:hAnsi="Times New Roman" w:eastAsia="宋体" w:cs="Times New Roman"/>
          <w:bCs/>
          <w:highlight w:val="none"/>
        </w:rPr>
        <w:t>中标人指派的安装、调试人员应有相关资质和能力。</w:t>
      </w:r>
      <w:r>
        <w:rPr>
          <w:rFonts w:hint="default" w:ascii="Times New Roman" w:hAnsi="Times New Roman" w:eastAsia="宋体" w:cs="Times New Roman"/>
          <w:bCs/>
          <w:highlight w:val="none"/>
          <w:shd w:val="clear"/>
        </w:rPr>
        <w:t>在安装实施期间，严格遵守采购人的有关规定。如</w:t>
      </w:r>
      <w:r>
        <w:rPr>
          <w:rFonts w:hint="default" w:ascii="Times New Roman" w:hAnsi="Times New Roman" w:eastAsia="宋体" w:cs="Times New Roman"/>
          <w:bCs/>
          <w:highlight w:val="none"/>
          <w:shd w:val="clear"/>
          <w:lang w:val="en-US" w:eastAsia="zh-CN"/>
        </w:rPr>
        <w:t>采购人有</w:t>
      </w:r>
      <w:r>
        <w:rPr>
          <w:rFonts w:hint="default" w:ascii="Times New Roman" w:hAnsi="Times New Roman" w:eastAsia="宋体" w:cs="Times New Roman"/>
          <w:bCs/>
          <w:highlight w:val="none"/>
          <w:shd w:val="clear"/>
        </w:rPr>
        <w:t>需求，投标人应指定专人持续跟进安装场地条件、运输路径和现场接口需求，并根据采购人需要参与场地设计交底、施工交底和场地验收等工作。</w:t>
      </w:r>
    </w:p>
    <w:p w14:paraId="31957AD5">
      <w:pPr>
        <w:pStyle w:val="23"/>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shd w:val="clear" w:color="auto" w:fill="FFFFFF"/>
        </w:rPr>
      </w:pPr>
      <w:r>
        <w:rPr>
          <w:rFonts w:hint="default" w:ascii="Times New Roman" w:hAnsi="Times New Roman" w:eastAsia="宋体" w:cs="Times New Roman"/>
          <w:highlight w:val="none"/>
        </w:rPr>
        <w:t>★</w:t>
      </w:r>
      <w:r>
        <w:rPr>
          <w:rFonts w:hint="default" w:ascii="Times New Roman" w:hAnsi="Times New Roman" w:eastAsia="宋体" w:cs="Times New Roman"/>
          <w:color w:val="0F1115"/>
          <w:highlight w:val="none"/>
          <w:shd w:val="clear" w:color="auto" w:fill="FFFFFF"/>
        </w:rPr>
        <w:t>4、场地协同要求：</w:t>
      </w:r>
    </w:p>
    <w:p w14:paraId="08BA7D91">
      <w:pPr>
        <w:pStyle w:val="23"/>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shd w:val="clear" w:color="auto" w:fill="FFFFFF"/>
        </w:rPr>
      </w:pPr>
      <w:r>
        <w:rPr>
          <w:rFonts w:hint="default" w:ascii="Times New Roman" w:hAnsi="Times New Roman" w:eastAsia="宋体" w:cs="Times New Roman"/>
          <w:color w:val="0F1115"/>
          <w:highlight w:val="none"/>
          <w:shd w:val="clear" w:color="auto" w:fill="FFFFFF"/>
        </w:rPr>
        <w:t>（1）因采购人场地在建设中，合同签订后，投标人应当专门安排一名设备安装维护工程师，随时与采购人保持联系，能及时主动跟进设备安装场地条件具体情况，在</w:t>
      </w:r>
      <w:r>
        <w:rPr>
          <w:rFonts w:hint="default" w:ascii="Times New Roman" w:hAnsi="Times New Roman" w:eastAsia="宋体" w:cs="Times New Roman"/>
          <w:color w:val="0F1115"/>
          <w:highlight w:val="none"/>
          <w:shd w:val="clear" w:color="auto" w:fill="FFFFFF"/>
          <w:lang w:val="en-US" w:eastAsia="zh-CN"/>
        </w:rPr>
        <w:t>场地的</w:t>
      </w:r>
      <w:r>
        <w:rPr>
          <w:rFonts w:hint="default" w:ascii="Times New Roman" w:hAnsi="Times New Roman" w:eastAsia="宋体" w:cs="Times New Roman"/>
          <w:color w:val="0F1115"/>
          <w:highlight w:val="none"/>
          <w:shd w:val="clear" w:color="auto" w:fill="FFFFFF"/>
        </w:rPr>
        <w:t>设计阶段及施工阶段能及时为采购人提供设备安装场地关于科研设备对场地的技术要求，运输路线等注意事项。根据采购人需要，参加采购人组织的场地建设设计交底、施工交底、场地验收等会议，并对场地设计图纸进行确认，确保科研设备到场后能顺利安装和运行。实施过程中设备安装场地发生变化时，应当及时配合采购人对新的安装场地进行评估，在科研设备分别生产前和运输安装前，与采购人联系，结合场地条件安排下单生产和运输时间，有必要时共同踏勘安装场地，对设备发货前共同评估设备安装场地条件。如因投标人未及时提供场地条件或配合不到位，导致设备与场地不匹配的，由投标人承担相应责任。</w:t>
      </w:r>
    </w:p>
    <w:p w14:paraId="5C5B0FF6">
      <w:pPr>
        <w:pStyle w:val="23"/>
        <w:numPr>
          <w:ilvl w:val="255"/>
          <w:numId w:val="0"/>
        </w:numPr>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shd w:val="clear" w:color="auto" w:fill="FFFFFF"/>
        </w:rPr>
      </w:pPr>
      <w:r>
        <w:rPr>
          <w:rFonts w:hint="default" w:ascii="Times New Roman" w:hAnsi="Times New Roman" w:eastAsia="宋体" w:cs="Times New Roman"/>
          <w:color w:val="0F1115"/>
          <w:highlight w:val="none"/>
          <w:shd w:val="clear" w:color="auto" w:fill="FFFFFF"/>
        </w:rPr>
        <w:t>（2）</w:t>
      </w:r>
      <w:r>
        <w:rPr>
          <w:rFonts w:hint="default" w:ascii="Times New Roman" w:hAnsi="Times New Roman" w:eastAsia="宋体" w:cs="Times New Roman"/>
          <w:highlight w:val="none"/>
        </w:rPr>
        <w:t>若货物交付时，采购人安装场地尚未建成</w:t>
      </w:r>
      <w:r>
        <w:rPr>
          <w:rFonts w:hint="default" w:ascii="Times New Roman" w:hAnsi="Times New Roman" w:eastAsia="宋体" w:cs="Times New Roman"/>
          <w:color w:val="0F1115"/>
          <w:highlight w:val="none"/>
          <w:shd w:val="clear" w:color="auto" w:fill="FFFFFF"/>
        </w:rPr>
        <w:t>，投标人需提供场地</w:t>
      </w:r>
      <w:r>
        <w:rPr>
          <w:rFonts w:hint="default" w:ascii="Times New Roman" w:hAnsi="Times New Roman" w:eastAsia="宋体" w:cs="Times New Roman"/>
          <w:color w:val="0F1115"/>
          <w:highlight w:val="none"/>
          <w:shd w:val="clear" w:color="auto" w:fill="FFFFFF"/>
          <w:lang w:val="en-US" w:eastAsia="zh-CN"/>
        </w:rPr>
        <w:t>供采购人</w:t>
      </w:r>
      <w:r>
        <w:rPr>
          <w:rFonts w:hint="default" w:ascii="Times New Roman" w:hAnsi="Times New Roman" w:eastAsia="宋体" w:cs="Times New Roman"/>
          <w:color w:val="0F1115"/>
          <w:highlight w:val="none"/>
          <w:shd w:val="clear" w:color="auto" w:fill="FFFFFF"/>
        </w:rPr>
        <w:t>进行设备</w:t>
      </w:r>
      <w:r>
        <w:rPr>
          <w:rFonts w:hint="default" w:ascii="Times New Roman" w:hAnsi="Times New Roman" w:eastAsia="宋体" w:cs="Times New Roman"/>
          <w:color w:val="0F1115"/>
          <w:highlight w:val="none"/>
          <w:shd w:val="clear" w:color="auto" w:fill="FFFFFF"/>
          <w:lang w:val="en-US" w:eastAsia="zh-CN"/>
        </w:rPr>
        <w:t>存放、</w:t>
      </w:r>
      <w:r>
        <w:rPr>
          <w:rFonts w:hint="default" w:ascii="Times New Roman" w:hAnsi="Times New Roman" w:eastAsia="宋体" w:cs="Times New Roman"/>
          <w:color w:val="0F1115"/>
          <w:highlight w:val="none"/>
          <w:shd w:val="clear" w:color="auto" w:fill="FFFFFF"/>
        </w:rPr>
        <w:t>调试，以确保设备功能及智能化目标实现，该场地应在广州市范围内。产生的全部相关费用由投标人承担</w:t>
      </w:r>
      <w:r>
        <w:rPr>
          <w:rFonts w:hint="default" w:ascii="Times New Roman" w:hAnsi="Times New Roman" w:eastAsia="宋体" w:cs="Times New Roman"/>
          <w:color w:val="0F1115"/>
          <w:highlight w:val="none"/>
          <w:shd w:val="clear" w:color="auto" w:fill="FFFFFF"/>
          <w:lang w:eastAsia="zh-CN"/>
        </w:rPr>
        <w:t>，包括但不限于场地租赁费、水电费、网络通讯费、安保管理费等。</w:t>
      </w:r>
    </w:p>
    <w:p w14:paraId="41CAD10B">
      <w:pPr>
        <w:tabs>
          <w:tab w:val="left" w:pos="525"/>
          <w:tab w:val="left" w:pos="851"/>
        </w:tabs>
        <w:autoSpaceDE w:val="0"/>
        <w:autoSpaceDN w:val="0"/>
        <w:adjustRightInd w:val="0"/>
        <w:spacing w:line="360" w:lineRule="auto"/>
        <w:ind w:firstLine="480" w:firstLineChars="200"/>
        <w:rPr>
          <w:rFonts w:hint="default" w:ascii="Times New Roman" w:hAnsi="Times New Roman" w:eastAsia="宋体" w:cs="Times New Roman"/>
          <w:color w:val="0F1115"/>
          <w:kern w:val="0"/>
          <w:sz w:val="24"/>
          <w:szCs w:val="24"/>
          <w:highlight w:val="none"/>
          <w:shd w:val="clear" w:color="auto" w:fill="FFFFFF"/>
        </w:rPr>
      </w:pPr>
      <w:r>
        <w:rPr>
          <w:rFonts w:hint="default" w:ascii="Times New Roman" w:hAnsi="Times New Roman" w:eastAsia="宋体" w:cs="Times New Roman"/>
          <w:bCs/>
          <w:sz w:val="24"/>
          <w:szCs w:val="24"/>
          <w:highlight w:val="none"/>
        </w:rPr>
        <w:t>★</w:t>
      </w:r>
      <w:r>
        <w:rPr>
          <w:rFonts w:hint="default" w:ascii="Times New Roman" w:hAnsi="Times New Roman" w:eastAsia="宋体" w:cs="Times New Roman"/>
          <w:color w:val="0F1115"/>
          <w:kern w:val="0"/>
          <w:sz w:val="24"/>
          <w:szCs w:val="24"/>
          <w:highlight w:val="none"/>
          <w:shd w:val="clear" w:color="auto" w:fill="FFFFFF"/>
        </w:rPr>
        <w:t>5、委托定制货物二次搬迁、移机及安装、调试等部署服务</w:t>
      </w:r>
    </w:p>
    <w:p w14:paraId="358E99B7">
      <w:pPr>
        <w:shd w:val="clear" w:color="auto" w:fill="FFFFFF"/>
        <w:tabs>
          <w:tab w:val="left" w:pos="525"/>
          <w:tab w:val="left" w:pos="851"/>
        </w:tabs>
        <w:autoSpaceDE w:val="0"/>
        <w:autoSpaceDN w:val="0"/>
        <w:spacing w:line="360" w:lineRule="auto"/>
        <w:ind w:firstLine="480" w:firstLineChars="200"/>
        <w:rPr>
          <w:rFonts w:hint="default" w:ascii="Times New Roman" w:hAnsi="Times New Roman" w:eastAsia="宋体" w:cs="Times New Roman"/>
          <w:color w:val="0F1115"/>
          <w:sz w:val="24"/>
          <w:highlight w:val="none"/>
          <w:shd w:val="clear" w:color="auto" w:fill="FFFFFF"/>
        </w:rPr>
      </w:pPr>
      <w:r>
        <w:rPr>
          <w:rFonts w:hint="default" w:ascii="Times New Roman" w:hAnsi="Times New Roman" w:eastAsia="宋体" w:cs="Times New Roman"/>
          <w:color w:val="0F1115"/>
          <w:sz w:val="24"/>
          <w:highlight w:val="none"/>
          <w:shd w:val="clear" w:color="auto" w:fill="FFFFFF"/>
        </w:rPr>
        <w:t>如货物（含全部耗材与相关配件</w:t>
      </w:r>
      <w:r>
        <w:rPr>
          <w:rFonts w:hint="default" w:ascii="Times New Roman" w:hAnsi="Times New Roman" w:eastAsia="宋体" w:cs="Times New Roman"/>
          <w:color w:val="0F1115"/>
          <w:sz w:val="24"/>
          <w:highlight w:val="none"/>
          <w:shd w:val="clear" w:color="auto" w:fill="FFFFFF"/>
          <w:lang w:eastAsia="zh-CN"/>
        </w:rPr>
        <w:t>、</w:t>
      </w:r>
      <w:r>
        <w:rPr>
          <w:rFonts w:hint="default" w:ascii="Times New Roman" w:hAnsi="Times New Roman" w:eastAsia="宋体" w:cs="Times New Roman"/>
          <w:color w:val="0F1115"/>
          <w:sz w:val="24"/>
          <w:highlight w:val="none"/>
          <w:shd w:val="clear" w:color="auto" w:fill="FFFFFF"/>
          <w:lang w:val="en-US" w:eastAsia="zh-CN"/>
        </w:rPr>
        <w:t>软件</w:t>
      </w:r>
      <w:r>
        <w:rPr>
          <w:rFonts w:hint="default" w:ascii="Times New Roman" w:hAnsi="Times New Roman" w:eastAsia="宋体" w:cs="Times New Roman"/>
          <w:color w:val="0F1115"/>
          <w:sz w:val="24"/>
          <w:highlight w:val="none"/>
          <w:shd w:val="clear" w:color="auto" w:fill="FFFFFF"/>
        </w:rPr>
        <w:t>）需要二次搬迁、移机的，</w:t>
      </w:r>
      <w:r>
        <w:rPr>
          <w:rFonts w:hint="default" w:ascii="Times New Roman" w:hAnsi="Times New Roman" w:eastAsia="宋体" w:cs="Times New Roman"/>
          <w:sz w:val="24"/>
          <w:highlight w:val="none"/>
        </w:rPr>
        <w:t>中标人</w:t>
      </w:r>
      <w:r>
        <w:rPr>
          <w:rFonts w:hint="default" w:ascii="Times New Roman" w:hAnsi="Times New Roman" w:eastAsia="宋体" w:cs="Times New Roman"/>
          <w:color w:val="0F1115"/>
          <w:sz w:val="24"/>
          <w:highlight w:val="none"/>
          <w:shd w:val="clear" w:color="auto" w:fill="FFFFFF"/>
        </w:rPr>
        <w:t>应按采购人的要求，对本项目下所有的设备（含软件）各再提供一次相关服务（包括但不限于拆除、包装、运输、再次安装、调试</w:t>
      </w:r>
      <w:r>
        <w:rPr>
          <w:rFonts w:hint="default" w:ascii="Times New Roman" w:hAnsi="Times New Roman" w:eastAsia="宋体" w:cs="Times New Roman"/>
          <w:color w:val="0F1115"/>
          <w:sz w:val="24"/>
          <w:highlight w:val="none"/>
          <w:shd w:val="clear" w:color="auto" w:fill="FFFFFF"/>
          <w:lang w:eastAsia="zh-CN"/>
        </w:rPr>
        <w:t>、</w:t>
      </w:r>
      <w:r>
        <w:rPr>
          <w:rFonts w:hint="default" w:ascii="Times New Roman" w:hAnsi="Times New Roman" w:eastAsia="宋体" w:cs="Times New Roman"/>
          <w:color w:val="0F1115"/>
          <w:sz w:val="24"/>
          <w:highlight w:val="none"/>
          <w:shd w:val="clear" w:color="auto" w:fill="FFFFFF"/>
          <w:lang w:val="en-US" w:eastAsia="zh-CN"/>
        </w:rPr>
        <w:t>数据</w:t>
      </w:r>
      <w:r>
        <w:rPr>
          <w:rFonts w:hint="default" w:ascii="Times New Roman" w:hAnsi="Times New Roman" w:eastAsia="宋体" w:cs="Times New Roman"/>
          <w:color w:val="0F1115"/>
          <w:sz w:val="24"/>
          <w:highlight w:val="none"/>
          <w:shd w:val="clear" w:color="auto" w:fill="FFFFFF"/>
          <w:lang w:eastAsia="zh-CN"/>
        </w:rPr>
        <w:t>迁移</w:t>
      </w:r>
      <w:r>
        <w:rPr>
          <w:rFonts w:hint="default" w:ascii="Times New Roman" w:hAnsi="Times New Roman" w:eastAsia="宋体" w:cs="Times New Roman"/>
          <w:color w:val="0F1115"/>
          <w:sz w:val="24"/>
          <w:highlight w:val="none"/>
          <w:shd w:val="clear" w:color="auto" w:fill="FFFFFF"/>
        </w:rPr>
        <w:t>等），</w:t>
      </w:r>
      <w:r>
        <w:rPr>
          <w:rFonts w:hint="default" w:ascii="Times New Roman" w:hAnsi="Times New Roman" w:eastAsia="宋体" w:cs="Times New Roman"/>
          <w:sz w:val="24"/>
          <w:highlight w:val="none"/>
        </w:rPr>
        <w:t>中标人</w:t>
      </w:r>
      <w:r>
        <w:rPr>
          <w:rFonts w:hint="default" w:ascii="Times New Roman" w:hAnsi="Times New Roman" w:eastAsia="宋体" w:cs="Times New Roman"/>
          <w:color w:val="0F1115"/>
          <w:sz w:val="24"/>
          <w:highlight w:val="none"/>
          <w:shd w:val="clear" w:color="auto" w:fill="FFFFFF"/>
        </w:rPr>
        <w:t>应自行承担全部费用【包括但不限于运费、保险费、安装费、材料费、调试费、人工费、差旅费等二次搬迁、移机服务（含数据迁移，如有），及搬迁、移机后再次安装、调试等部署服务产生的费用。】。</w:t>
      </w:r>
    </w:p>
    <w:p w14:paraId="37C42A83">
      <w:pPr>
        <w:pStyle w:val="23"/>
        <w:numPr>
          <w:ilvl w:val="255"/>
          <w:numId w:val="0"/>
        </w:numPr>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shd w:val="clear" w:color="auto" w:fill="FFFFFF"/>
        </w:rPr>
      </w:pPr>
      <w:r>
        <w:rPr>
          <w:rFonts w:hint="default" w:ascii="Times New Roman" w:hAnsi="Times New Roman" w:eastAsia="宋体" w:cs="Times New Roman"/>
          <w:color w:val="0F1115"/>
          <w:highlight w:val="none"/>
          <w:shd w:val="clear" w:color="auto" w:fill="FFFFFF"/>
        </w:rPr>
        <w:t>二次搬迁或移机后，</w:t>
      </w:r>
      <w:r>
        <w:rPr>
          <w:rFonts w:hint="default" w:ascii="Times New Roman" w:hAnsi="Times New Roman" w:eastAsia="宋体" w:cs="Times New Roman"/>
          <w:highlight w:val="none"/>
        </w:rPr>
        <w:t>中标人</w:t>
      </w:r>
      <w:r>
        <w:rPr>
          <w:rFonts w:hint="default" w:ascii="Times New Roman" w:hAnsi="Times New Roman" w:eastAsia="宋体" w:cs="Times New Roman"/>
          <w:color w:val="0F1115"/>
          <w:highlight w:val="none"/>
          <w:shd w:val="clear" w:color="auto" w:fill="FFFFFF"/>
        </w:rPr>
        <w:t>必须依照招标文件的要求和投标文件的承诺，将设备、系统安装并调试至正常运行的最佳状态。</w:t>
      </w:r>
    </w:p>
    <w:p w14:paraId="37049F97">
      <w:pPr>
        <w:rPr>
          <w:rFonts w:hint="default" w:ascii="Times New Roman" w:hAnsi="Times New Roman" w:eastAsia="宋体" w:cs="Times New Roman"/>
          <w:highlight w:val="none"/>
        </w:rPr>
      </w:pPr>
    </w:p>
    <w:p w14:paraId="4A372209">
      <w:pPr>
        <w:pStyle w:val="6"/>
        <w:spacing w:line="360" w:lineRule="auto"/>
        <w:jc w:val="both"/>
        <w:outlineLvl w:val="3"/>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（五）验收要求</w:t>
      </w:r>
    </w:p>
    <w:p w14:paraId="74A909CA">
      <w:pPr>
        <w:pStyle w:val="23"/>
        <w:shd w:val="clear" w:color="auto" w:fill="FFFFFF"/>
        <w:spacing w:before="0" w:beforeAutospacing="0" w:after="0" w:afterAutospacing="0" w:line="360" w:lineRule="auto"/>
        <w:ind w:firstLine="482" w:firstLineChars="200"/>
        <w:jc w:val="both"/>
        <w:rPr>
          <w:rFonts w:hint="default" w:ascii="Times New Roman" w:hAnsi="Times New Roman" w:eastAsia="宋体" w:cs="Times New Roman"/>
          <w:color w:val="0F1115"/>
          <w:highlight w:val="none"/>
        </w:rPr>
      </w:pPr>
      <w:r>
        <w:rPr>
          <w:rStyle w:val="31"/>
          <w:rFonts w:hint="default" w:ascii="Times New Roman" w:hAnsi="Times New Roman" w:eastAsia="宋体" w:cs="Times New Roman"/>
          <w:color w:val="0F1115"/>
          <w:highlight w:val="none"/>
          <w:shd w:val="clear" w:color="auto" w:fill="FFFFFF"/>
        </w:rPr>
        <w:t>1、现场开箱验收</w:t>
      </w:r>
    </w:p>
    <w:p w14:paraId="3E75C460">
      <w:pPr>
        <w:pStyle w:val="23"/>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rPr>
      </w:pPr>
      <w:r>
        <w:rPr>
          <w:rFonts w:hint="default" w:ascii="Times New Roman" w:hAnsi="Times New Roman" w:eastAsia="宋体" w:cs="Times New Roman"/>
          <w:color w:val="0F1115"/>
          <w:highlight w:val="none"/>
          <w:shd w:val="clear" w:color="auto" w:fill="FFFFFF"/>
        </w:rPr>
        <w:t>投标人应按采购人认可的计划时间，将货物运到安装现场，交货内容如下：</w:t>
      </w:r>
    </w:p>
    <w:p w14:paraId="235564C0">
      <w:pPr>
        <w:pStyle w:val="23"/>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shd w:val="clear" w:color="auto" w:fill="FFFFFF"/>
        </w:rPr>
      </w:pPr>
      <w:r>
        <w:rPr>
          <w:rFonts w:hint="default" w:ascii="Times New Roman" w:hAnsi="Times New Roman" w:eastAsia="宋体" w:cs="Times New Roman"/>
          <w:color w:val="0F1115"/>
          <w:highlight w:val="none"/>
          <w:shd w:val="clear" w:color="auto" w:fill="FFFFFF"/>
        </w:rPr>
        <w:t>（1）按本项目合同约定的定制货物及配套的技术资料，包括：设备硬件产品、设备控制软件、产品合格证、维保说明书、产品使用说明书、测试报告、随机配件及工具、设备总体设计图纸、关键部件工艺规程、外购件合格证、装配作业指导书、精度检验单/校准证书或报告，设备制造过程中及完工后的检查、检验、实验记录等数据和资料等。</w:t>
      </w:r>
    </w:p>
    <w:p w14:paraId="62EA8974">
      <w:pPr>
        <w:pStyle w:val="23"/>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rPr>
      </w:pPr>
      <w:r>
        <w:rPr>
          <w:rFonts w:hint="default" w:ascii="Times New Roman" w:hAnsi="Times New Roman" w:eastAsia="宋体" w:cs="Times New Roman"/>
          <w:color w:val="0F1115"/>
          <w:highlight w:val="none"/>
          <w:shd w:val="clear" w:color="auto" w:fill="FFFFFF"/>
        </w:rPr>
        <w:t>（2）按本项目合同约定的定制货物控制系统或软件及配套的技术资料，包括：设备控制软件、系统用户操作手册、软件安装程序U盘、软件相关技术文档，包括设备接口文件，通讯协议说明文档，涉及关联调用的应提供调用规范和相关技术说明。</w:t>
      </w:r>
    </w:p>
    <w:p w14:paraId="5D7CCB6A">
      <w:pPr>
        <w:pStyle w:val="23"/>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rPr>
      </w:pPr>
      <w:r>
        <w:rPr>
          <w:rFonts w:hint="default" w:ascii="Times New Roman" w:hAnsi="Times New Roman" w:eastAsia="宋体" w:cs="Times New Roman"/>
          <w:color w:val="0F1115"/>
          <w:highlight w:val="none"/>
          <w:shd w:val="clear" w:color="auto" w:fill="FFFFFF"/>
        </w:rPr>
        <w:t>（3）开箱前，投标人应向采购人或采购人指定的验收团队申请开箱，经同意由各方到场开箱，依据有关规定、合同、装箱清单，对到货的规格、数量、表面状况、装箱资料等进行到货检验，并在开箱记录上记录并签字。</w:t>
      </w:r>
    </w:p>
    <w:p w14:paraId="2C011BEE">
      <w:pPr>
        <w:pStyle w:val="23"/>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rPr>
      </w:pPr>
      <w:r>
        <w:rPr>
          <w:rFonts w:hint="default" w:ascii="Times New Roman" w:hAnsi="Times New Roman" w:eastAsia="宋体" w:cs="Times New Roman"/>
          <w:color w:val="0F1115"/>
          <w:highlight w:val="none"/>
          <w:shd w:val="clear" w:color="auto" w:fill="FFFFFF"/>
        </w:rPr>
        <w:t>（4）设备开箱后，在后续总装集成、安装调试和系统联调期间直至保修期结束前发现任何设备和材料的问题，投标人需承担相应责任，相关费用包含在本项目报价内。</w:t>
      </w:r>
    </w:p>
    <w:p w14:paraId="44EF4A41">
      <w:pPr>
        <w:pStyle w:val="23"/>
        <w:shd w:val="clear" w:color="auto" w:fill="FFFFFF"/>
        <w:spacing w:before="0" w:beforeAutospacing="0" w:after="0" w:afterAutospacing="0" w:line="360" w:lineRule="auto"/>
        <w:ind w:firstLine="482" w:firstLineChars="200"/>
        <w:jc w:val="both"/>
        <w:rPr>
          <w:rFonts w:hint="default" w:ascii="Times New Roman" w:hAnsi="Times New Roman" w:eastAsia="宋体" w:cs="Times New Roman"/>
          <w:color w:val="0F1115"/>
          <w:highlight w:val="none"/>
        </w:rPr>
      </w:pPr>
      <w:r>
        <w:rPr>
          <w:rStyle w:val="31"/>
          <w:rFonts w:hint="default" w:ascii="Times New Roman" w:hAnsi="Times New Roman" w:eastAsia="宋体" w:cs="Times New Roman"/>
          <w:color w:val="0F1115"/>
          <w:highlight w:val="none"/>
          <w:shd w:val="clear" w:color="auto" w:fill="FFFFFF"/>
          <w:lang w:val="en-US" w:eastAsia="zh-CN"/>
        </w:rPr>
        <w:t>2</w:t>
      </w:r>
      <w:r>
        <w:rPr>
          <w:rStyle w:val="31"/>
          <w:rFonts w:hint="default" w:ascii="Times New Roman" w:hAnsi="Times New Roman" w:eastAsia="宋体" w:cs="Times New Roman"/>
          <w:color w:val="0F1115"/>
          <w:highlight w:val="none"/>
          <w:shd w:val="clear" w:color="auto" w:fill="FFFFFF"/>
        </w:rPr>
        <w:t>、现场安装</w:t>
      </w:r>
    </w:p>
    <w:p w14:paraId="2C6108D9">
      <w:pPr>
        <w:pStyle w:val="23"/>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rPr>
      </w:pPr>
      <w:r>
        <w:rPr>
          <w:rFonts w:hint="default" w:ascii="Times New Roman" w:hAnsi="Times New Roman" w:eastAsia="宋体" w:cs="Times New Roman"/>
          <w:color w:val="0F1115"/>
          <w:highlight w:val="none"/>
          <w:shd w:val="clear" w:color="auto" w:fill="FFFFFF"/>
        </w:rPr>
        <w:t>投标人应在收到采购人关于安装、调试货物的通知之日起3天内委派技术人员到采购人的指定地点</w:t>
      </w:r>
      <w:r>
        <w:rPr>
          <w:rFonts w:hint="default" w:ascii="Times New Roman" w:hAnsi="Times New Roman" w:eastAsia="宋体" w:cs="Times New Roman"/>
          <w:color w:val="0F1115"/>
          <w:highlight w:val="none"/>
          <w:shd w:val="clear" w:color="auto" w:fill="FFFFFF"/>
          <w:lang w:val="en-US" w:eastAsia="zh-CN"/>
        </w:rPr>
        <w:t>负责</w:t>
      </w:r>
      <w:r>
        <w:rPr>
          <w:rFonts w:hint="default" w:ascii="Times New Roman" w:hAnsi="Times New Roman" w:eastAsia="宋体" w:cs="Times New Roman"/>
          <w:color w:val="0F1115"/>
          <w:highlight w:val="none"/>
          <w:shd w:val="clear" w:color="auto" w:fill="FFFFFF"/>
        </w:rPr>
        <w:t>现场安装、调试工作，并提供定制货物安装调试的一切技术支持以及安装调试过程中所需使用的试剂、耗材以及相关配件等，所产生费用包含在本项目投标报价内。</w:t>
      </w:r>
    </w:p>
    <w:p w14:paraId="0D89E11E">
      <w:pPr>
        <w:pStyle w:val="23"/>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rPr>
      </w:pPr>
      <w:r>
        <w:rPr>
          <w:rFonts w:hint="default" w:ascii="Times New Roman" w:hAnsi="Times New Roman" w:eastAsia="宋体" w:cs="Times New Roman"/>
          <w:color w:val="0F1115"/>
          <w:highlight w:val="none"/>
          <w:shd w:val="clear" w:color="auto" w:fill="FFFFFF"/>
        </w:rPr>
        <w:t>（1）投标人安装前需编制安装方案，报采购人或采购人指定的验收团队批准后执行。</w:t>
      </w:r>
    </w:p>
    <w:p w14:paraId="53AAE60A">
      <w:pPr>
        <w:pStyle w:val="23"/>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rPr>
      </w:pPr>
      <w:r>
        <w:rPr>
          <w:rFonts w:hint="default" w:ascii="Times New Roman" w:hAnsi="Times New Roman" w:eastAsia="宋体" w:cs="Times New Roman"/>
          <w:color w:val="0F1115"/>
          <w:highlight w:val="none"/>
          <w:shd w:val="clear" w:color="auto" w:fill="FFFFFF"/>
        </w:rPr>
        <w:t>（2）</w:t>
      </w:r>
      <w:r>
        <w:rPr>
          <w:rFonts w:hint="default" w:ascii="Times New Roman" w:hAnsi="Times New Roman" w:eastAsia="宋体" w:cs="Times New Roman"/>
          <w:color w:val="0F1115"/>
          <w:highlight w:val="none"/>
          <w:shd w:val="clear" w:color="auto" w:fill="FFFFFF"/>
          <w:lang w:val="en-US" w:eastAsia="zh-CN"/>
        </w:rPr>
        <w:t>安装调试过程中，由</w:t>
      </w:r>
      <w:r>
        <w:rPr>
          <w:rFonts w:hint="default" w:ascii="Times New Roman" w:hAnsi="Times New Roman" w:eastAsia="宋体" w:cs="Times New Roman"/>
          <w:color w:val="0F1115"/>
          <w:highlight w:val="none"/>
          <w:shd w:val="clear" w:color="auto" w:fill="FFFFFF"/>
        </w:rPr>
        <w:t>投标人负责对本项目采购人现有设备、系统进行保护，现场实施前需与采购人签署安全责任书。</w:t>
      </w:r>
    </w:p>
    <w:p w14:paraId="0FED5289">
      <w:pPr>
        <w:pStyle w:val="23"/>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rPr>
      </w:pPr>
      <w:r>
        <w:rPr>
          <w:rFonts w:hint="default" w:ascii="Times New Roman" w:hAnsi="Times New Roman" w:eastAsia="宋体" w:cs="Times New Roman"/>
          <w:color w:val="0F1115"/>
          <w:highlight w:val="none"/>
          <w:shd w:val="clear" w:color="auto" w:fill="FFFFFF"/>
        </w:rPr>
        <w:t>（3）安装调试过程所需相应资质及报审批资料应符合国家相应法律法规，并遵循采购人的要求，特别是中国特种设备检测研究院对压力容器相关检验、检测、注册、建设备案的要求。</w:t>
      </w:r>
    </w:p>
    <w:p w14:paraId="1D5715D9">
      <w:pPr>
        <w:pStyle w:val="23"/>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rPr>
      </w:pPr>
      <w:r>
        <w:rPr>
          <w:rFonts w:hint="default" w:ascii="Times New Roman" w:hAnsi="Times New Roman" w:eastAsia="宋体" w:cs="Times New Roman"/>
          <w:color w:val="0F1115"/>
          <w:highlight w:val="none"/>
          <w:shd w:val="clear" w:color="auto" w:fill="FFFFFF"/>
        </w:rPr>
        <w:t>（4）投标人应派出技术、商务人员参加采购人或采购人指定的验收团队召集的各种会议，包括但不限于定期例会、接口协调、进度控制、设计联络等会议，这些会议可能在供货厂家所在地或异地举行。</w:t>
      </w:r>
    </w:p>
    <w:p w14:paraId="5AE933F5">
      <w:pPr>
        <w:pStyle w:val="23"/>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rPr>
      </w:pPr>
      <w:r>
        <w:rPr>
          <w:rFonts w:hint="default" w:ascii="Times New Roman" w:hAnsi="Times New Roman" w:eastAsia="宋体" w:cs="Times New Roman"/>
          <w:color w:val="0F1115"/>
          <w:highlight w:val="none"/>
          <w:shd w:val="clear" w:color="auto" w:fill="FFFFFF"/>
        </w:rPr>
        <w:t>（</w:t>
      </w:r>
      <w:r>
        <w:rPr>
          <w:rFonts w:hint="default" w:ascii="Times New Roman" w:hAnsi="Times New Roman" w:eastAsia="宋体" w:cs="Times New Roman"/>
          <w:color w:val="0F1115"/>
          <w:highlight w:val="none"/>
          <w:shd w:val="clear" w:color="auto" w:fill="FFFFFF"/>
          <w:lang w:val="en-US" w:eastAsia="zh-CN"/>
        </w:rPr>
        <w:t>5</w:t>
      </w:r>
      <w:r>
        <w:rPr>
          <w:rFonts w:hint="default" w:ascii="Times New Roman" w:hAnsi="Times New Roman" w:eastAsia="宋体" w:cs="Times New Roman"/>
          <w:color w:val="0F1115"/>
          <w:highlight w:val="none"/>
          <w:shd w:val="clear" w:color="auto" w:fill="FFFFFF"/>
        </w:rPr>
        <w:t>）投标人负责范围内所有安装内容，包括对现有所有设备安装、电气仪表安装、现场安装等所有内容。</w:t>
      </w:r>
    </w:p>
    <w:p w14:paraId="63A9D263">
      <w:pPr>
        <w:pStyle w:val="23"/>
        <w:shd w:val="clear" w:color="auto" w:fill="FFFFFF"/>
        <w:spacing w:before="0" w:beforeAutospacing="0" w:after="0" w:afterAutospacing="0" w:line="360" w:lineRule="auto"/>
        <w:ind w:left="399" w:leftChars="190"/>
        <w:jc w:val="both"/>
        <w:rPr>
          <w:rFonts w:hint="default" w:ascii="Times New Roman" w:hAnsi="Times New Roman" w:eastAsia="宋体" w:cs="Times New Roman"/>
          <w:color w:val="0F1115"/>
          <w:highlight w:val="none"/>
          <w:shd w:val="clear" w:color="auto" w:fill="FFFFFF"/>
        </w:rPr>
      </w:pPr>
      <w:r>
        <w:rPr>
          <w:rFonts w:hint="default" w:ascii="Times New Roman" w:hAnsi="Times New Roman" w:eastAsia="宋体" w:cs="Times New Roman"/>
          <w:color w:val="0F1115"/>
          <w:highlight w:val="none"/>
          <w:shd w:val="clear" w:color="auto" w:fill="FFFFFF"/>
        </w:rPr>
        <w:t>（</w:t>
      </w:r>
      <w:r>
        <w:rPr>
          <w:rFonts w:hint="default" w:ascii="Times New Roman" w:hAnsi="Times New Roman" w:eastAsia="宋体" w:cs="Times New Roman"/>
          <w:color w:val="0F1115"/>
          <w:highlight w:val="none"/>
          <w:shd w:val="clear" w:color="auto" w:fill="FFFFFF"/>
          <w:lang w:val="en-US" w:eastAsia="zh-CN"/>
        </w:rPr>
        <w:t>6</w:t>
      </w:r>
      <w:r>
        <w:rPr>
          <w:rFonts w:hint="default" w:ascii="Times New Roman" w:hAnsi="Times New Roman" w:eastAsia="宋体" w:cs="Times New Roman"/>
          <w:color w:val="0F1115"/>
          <w:highlight w:val="none"/>
          <w:shd w:val="clear" w:color="auto" w:fill="FFFFFF"/>
        </w:rPr>
        <w:t>）项目安装完毕后应经质量验收合格，并满足以下观感质量要求：</w:t>
      </w:r>
    </w:p>
    <w:p w14:paraId="6F732287">
      <w:pPr>
        <w:pStyle w:val="23"/>
        <w:numPr>
          <w:ilvl w:val="0"/>
          <w:numId w:val="6"/>
        </w:numPr>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shd w:val="clear" w:color="auto" w:fill="FFFFFF"/>
        </w:rPr>
      </w:pPr>
      <w:r>
        <w:rPr>
          <w:rFonts w:hint="default" w:ascii="Times New Roman" w:hAnsi="Times New Roman" w:eastAsia="宋体" w:cs="Times New Roman"/>
          <w:color w:val="0F1115"/>
          <w:highlight w:val="none"/>
          <w:shd w:val="clear" w:color="auto" w:fill="FFFFFF"/>
        </w:rPr>
        <w:t>连接螺栓、螺母与垫圈应按设计配置齐全，紧固后螺栓应露出螺母或与螺母齐平，外露螺纹应无损伤，螺栓拧入方向除构造原因外应一致；</w:t>
      </w:r>
    </w:p>
    <w:p w14:paraId="22872C89">
      <w:pPr>
        <w:pStyle w:val="23"/>
        <w:numPr>
          <w:ilvl w:val="0"/>
          <w:numId w:val="6"/>
        </w:numPr>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shd w:val="clear" w:color="auto" w:fill="FFFFFF"/>
        </w:rPr>
      </w:pPr>
      <w:r>
        <w:rPr>
          <w:rFonts w:hint="default" w:ascii="Times New Roman" w:hAnsi="Times New Roman" w:eastAsia="宋体" w:cs="Times New Roman"/>
          <w:color w:val="0F1115"/>
          <w:highlight w:val="none"/>
          <w:shd w:val="clear" w:color="auto" w:fill="FFFFFF"/>
        </w:rPr>
        <w:t>密封状况应无明显漏油、漏水、漏气现象；</w:t>
      </w:r>
    </w:p>
    <w:p w14:paraId="33229756">
      <w:pPr>
        <w:pStyle w:val="23"/>
        <w:numPr>
          <w:ilvl w:val="0"/>
          <w:numId w:val="6"/>
        </w:numPr>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shd w:val="clear" w:color="auto" w:fill="FFFFFF"/>
        </w:rPr>
      </w:pPr>
      <w:r>
        <w:rPr>
          <w:rFonts w:hint="default" w:ascii="Times New Roman" w:hAnsi="Times New Roman" w:eastAsia="宋体" w:cs="Times New Roman"/>
          <w:color w:val="0F1115"/>
          <w:highlight w:val="none"/>
          <w:shd w:val="clear" w:color="auto" w:fill="FFFFFF"/>
        </w:rPr>
        <w:t>油漆涂层应均匀，无漏涂、脱皮、明显皱皮和气泡，色泽应基本一致；</w:t>
      </w:r>
    </w:p>
    <w:p w14:paraId="54D7B4BB">
      <w:pPr>
        <w:pStyle w:val="23"/>
        <w:numPr>
          <w:ilvl w:val="0"/>
          <w:numId w:val="6"/>
        </w:numPr>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shd w:val="clear" w:color="auto" w:fill="FFFFFF"/>
        </w:rPr>
      </w:pPr>
      <w:r>
        <w:rPr>
          <w:rFonts w:hint="default" w:ascii="Times New Roman" w:hAnsi="Times New Roman" w:eastAsia="宋体" w:cs="Times New Roman"/>
          <w:color w:val="0F1115"/>
          <w:highlight w:val="none"/>
          <w:shd w:val="clear" w:color="auto" w:fill="FFFFFF"/>
        </w:rPr>
        <w:t>设备应无缺损，裸露加工面应保护良好，设备地脚螺栓有防腐保护措施。</w:t>
      </w:r>
    </w:p>
    <w:p w14:paraId="6E9A0629">
      <w:pPr>
        <w:pStyle w:val="23"/>
        <w:numPr>
          <w:ilvl w:val="-1"/>
          <w:numId w:val="0"/>
        </w:numPr>
        <w:shd w:val="clear" w:color="auto" w:fill="FFFFFF"/>
        <w:spacing w:before="0" w:beforeAutospacing="0" w:after="0" w:afterAutospacing="0" w:line="360" w:lineRule="auto"/>
        <w:ind w:firstLine="482" w:firstLineChars="200"/>
        <w:jc w:val="both"/>
        <w:rPr>
          <w:rStyle w:val="31"/>
          <w:rFonts w:hint="default" w:ascii="Times New Roman" w:hAnsi="Times New Roman" w:eastAsia="宋体" w:cs="Times New Roman"/>
          <w:color w:val="0F1115"/>
          <w:highlight w:val="none"/>
          <w:shd w:val="clear" w:color="auto" w:fill="FFFFFF"/>
          <w:lang w:val="en-US" w:eastAsia="zh-CN"/>
        </w:rPr>
      </w:pPr>
      <w:r>
        <w:rPr>
          <w:rStyle w:val="31"/>
          <w:rFonts w:hint="default" w:ascii="Times New Roman" w:hAnsi="Times New Roman" w:eastAsia="宋体" w:cs="Times New Roman"/>
          <w:highlight w:val="none"/>
          <w:lang w:val="en-US" w:eastAsia="zh-CN"/>
        </w:rPr>
        <w:t>3、</w:t>
      </w:r>
      <w:r>
        <w:rPr>
          <w:rStyle w:val="31"/>
          <w:rFonts w:hint="default" w:ascii="Times New Roman" w:hAnsi="Times New Roman" w:eastAsia="宋体" w:cs="Times New Roman"/>
          <w:color w:val="0F1115"/>
          <w:highlight w:val="none"/>
          <w:shd w:val="clear" w:color="auto" w:fill="FFFFFF"/>
          <w:lang w:val="en-US"/>
        </w:rPr>
        <w:t>生物性样本测试</w:t>
      </w:r>
      <w:r>
        <w:rPr>
          <w:rStyle w:val="31"/>
          <w:rFonts w:hint="default" w:ascii="Times New Roman" w:hAnsi="Times New Roman" w:eastAsia="宋体" w:cs="Times New Roman"/>
          <w:color w:val="0F1115"/>
          <w:highlight w:val="none"/>
          <w:shd w:val="clear" w:color="auto" w:fill="FFFFFF"/>
          <w:lang w:val="en-US" w:eastAsia="zh-CN"/>
        </w:rPr>
        <w:t>要求</w:t>
      </w:r>
    </w:p>
    <w:p w14:paraId="2DD4ECAE">
      <w:pPr>
        <w:pStyle w:val="23"/>
        <w:numPr>
          <w:ilvl w:val="-1"/>
          <w:numId w:val="0"/>
        </w:numPr>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shd w:val="clear" w:color="auto" w:fill="FFFFFF"/>
          <w:lang w:val="en-US" w:eastAsia="zh-CN"/>
        </w:rPr>
      </w:pPr>
      <w:r>
        <w:rPr>
          <w:rFonts w:hint="default" w:ascii="Times New Roman" w:hAnsi="Times New Roman" w:eastAsia="宋体" w:cs="Times New Roman"/>
          <w:color w:val="0F1115"/>
          <w:highlight w:val="none"/>
          <w:shd w:val="clear" w:color="auto" w:fill="FFFFFF"/>
          <w:lang w:val="en-US" w:eastAsia="zh-CN"/>
        </w:rPr>
        <w:t>为</w:t>
      </w:r>
      <w:r>
        <w:rPr>
          <w:rFonts w:hint="default" w:ascii="Times New Roman" w:hAnsi="Times New Roman" w:eastAsia="宋体" w:cs="Times New Roman"/>
          <w:color w:val="0F1115"/>
          <w:highlight w:val="none"/>
          <w:shd w:val="clear" w:color="auto" w:fill="FFFFFF"/>
          <w:lang w:val="en-US"/>
        </w:rPr>
        <w:t>实现葛洪系统的稳定对接</w:t>
      </w:r>
      <w:r>
        <w:rPr>
          <w:rFonts w:hint="default" w:ascii="Times New Roman" w:hAnsi="Times New Roman" w:eastAsia="宋体" w:cs="Times New Roman"/>
          <w:color w:val="0F1115"/>
          <w:highlight w:val="none"/>
          <w:shd w:val="clear" w:color="auto" w:fill="FFFFFF"/>
          <w:lang w:val="en-US" w:eastAsia="zh-CN"/>
        </w:rPr>
        <w:t>，设备及配套软件综合验收前需进行生物样本检测，在开始检测前，投标人需制定测试方案，待采购人确认后，方可开始测试工作，具体要求如下：</w:t>
      </w:r>
    </w:p>
    <w:p w14:paraId="4A91466A">
      <w:pPr>
        <w:pStyle w:val="23"/>
        <w:numPr>
          <w:ilvl w:val="0"/>
          <w:numId w:val="7"/>
        </w:numPr>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shd w:val="clear" w:color="auto" w:fill="FFFFFF"/>
          <w:lang w:val="en-US" w:eastAsia="zh-CN"/>
        </w:rPr>
      </w:pPr>
      <w:r>
        <w:rPr>
          <w:rFonts w:hint="default" w:ascii="Times New Roman" w:hAnsi="Times New Roman" w:eastAsia="宋体" w:cs="Times New Roman"/>
          <w:color w:val="0F1115"/>
          <w:highlight w:val="none"/>
          <w:shd w:val="clear" w:color="auto" w:fill="FFFFFF"/>
          <w:lang w:val="en-US" w:eastAsia="zh-CN"/>
        </w:rPr>
        <w:t>测试目标：通过生物样本的全流程测试，验证系统从样本预处理、核酸提取到文库构建的全流程运行稳定性、数据一致性及设备可靠性。</w:t>
      </w:r>
    </w:p>
    <w:p w14:paraId="64068FEA">
      <w:pPr>
        <w:pStyle w:val="23"/>
        <w:numPr>
          <w:ilvl w:val="-1"/>
          <w:numId w:val="0"/>
        </w:numPr>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shd w:val="clear" w:color="auto" w:fill="FFFFFF"/>
          <w:lang w:val="en-US" w:eastAsia="zh-CN"/>
        </w:rPr>
      </w:pPr>
      <w:r>
        <w:rPr>
          <w:rFonts w:hint="default" w:ascii="Times New Roman" w:hAnsi="Times New Roman" w:eastAsia="宋体" w:cs="Times New Roman"/>
          <w:color w:val="0F1115"/>
          <w:highlight w:val="none"/>
          <w:shd w:val="clear" w:color="auto" w:fill="FFFFFF"/>
          <w:lang w:val="en-US" w:eastAsia="zh-CN"/>
        </w:rPr>
        <w:t>（2）测试要求：完成3轮生物样本测试，输出《生物样本测试报告》、检测结果、检测结论。</w:t>
      </w:r>
    </w:p>
    <w:p w14:paraId="27D8C2D6">
      <w:pPr>
        <w:pStyle w:val="23"/>
        <w:numPr>
          <w:ilvl w:val="-1"/>
          <w:numId w:val="0"/>
        </w:numPr>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shd w:val="clear" w:color="auto" w:fill="FFFFFF"/>
          <w:lang w:val="en-US" w:eastAsia="zh-CN"/>
        </w:rPr>
      </w:pPr>
      <w:r>
        <w:rPr>
          <w:rFonts w:hint="default" w:ascii="Times New Roman" w:hAnsi="Times New Roman" w:eastAsia="宋体" w:cs="Times New Roman"/>
          <w:color w:val="0F1115"/>
          <w:highlight w:val="none"/>
          <w:shd w:val="clear" w:color="auto" w:fill="FFFFFF"/>
          <w:lang w:val="en-US" w:eastAsia="zh-CN"/>
        </w:rPr>
        <w:t>（3）测试指标：</w:t>
      </w:r>
    </w:p>
    <w:p w14:paraId="3579F428">
      <w:pPr>
        <w:pStyle w:val="23"/>
        <w:numPr>
          <w:ilvl w:val="0"/>
          <w:numId w:val="8"/>
        </w:numPr>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shd w:val="clear" w:color="auto" w:fill="FFFFFF"/>
          <w:lang w:val="en-US" w:eastAsia="zh-CN"/>
        </w:rPr>
      </w:pPr>
      <w:r>
        <w:rPr>
          <w:rFonts w:hint="default" w:ascii="Times New Roman" w:hAnsi="Times New Roman" w:eastAsia="宋体" w:cs="Times New Roman"/>
          <w:color w:val="0F1115"/>
          <w:highlight w:val="none"/>
          <w:shd w:val="clear" w:color="auto" w:fill="FFFFFF"/>
          <w:lang w:val="en-US" w:eastAsia="zh-CN"/>
        </w:rPr>
        <w:t>提取指标</w:t>
      </w:r>
    </w:p>
    <w:p w14:paraId="752A951C">
      <w:pPr>
        <w:pStyle w:val="23"/>
        <w:numPr>
          <w:ilvl w:val="0"/>
          <w:numId w:val="9"/>
        </w:numPr>
        <w:shd w:val="clear" w:color="auto" w:fill="FFFFFF"/>
        <w:spacing w:before="0" w:beforeAutospacing="0" w:after="0" w:afterAutospacing="0" w:line="360" w:lineRule="auto"/>
        <w:ind w:left="0" w:firstLine="403" w:firstLineChars="0"/>
        <w:jc w:val="both"/>
        <w:rPr>
          <w:rFonts w:hint="default" w:ascii="Times New Roman" w:hAnsi="Times New Roman" w:eastAsia="宋体" w:cs="Times New Roman"/>
          <w:color w:val="0F1115"/>
          <w:highlight w:val="none"/>
          <w:shd w:val="clear" w:color="auto" w:fill="FFFFFF"/>
          <w:lang w:val="en-US" w:eastAsia="zh-CN"/>
        </w:rPr>
      </w:pPr>
      <w:r>
        <w:rPr>
          <w:rFonts w:hint="default" w:ascii="Times New Roman" w:hAnsi="Times New Roman" w:eastAsia="宋体" w:cs="Times New Roman"/>
          <w:color w:val="0F1115"/>
          <w:highlight w:val="none"/>
          <w:shd w:val="clear" w:color="auto" w:fill="FFFFFF"/>
          <w:lang w:val="en-US" w:eastAsia="zh-CN"/>
        </w:rPr>
        <w:t>手工与自动化平行对比：同一样本在板内设计一致，平均核酸浓度差异≤10%。</w:t>
      </w:r>
    </w:p>
    <w:p w14:paraId="1919341A">
      <w:pPr>
        <w:pStyle w:val="23"/>
        <w:numPr>
          <w:ilvl w:val="0"/>
          <w:numId w:val="9"/>
        </w:numPr>
        <w:shd w:val="clear" w:color="auto" w:fill="FFFFFF"/>
        <w:spacing w:before="0" w:beforeAutospacing="0" w:after="0" w:afterAutospacing="0" w:line="360" w:lineRule="auto"/>
        <w:ind w:left="0" w:firstLine="403" w:firstLineChars="0"/>
        <w:jc w:val="both"/>
        <w:rPr>
          <w:rFonts w:hint="default" w:ascii="Times New Roman" w:hAnsi="Times New Roman" w:eastAsia="宋体" w:cs="Times New Roman"/>
          <w:color w:val="0F1115"/>
          <w:highlight w:val="none"/>
          <w:shd w:val="clear" w:color="auto" w:fill="FFFFFF"/>
          <w:lang w:val="en-US" w:eastAsia="zh-CN"/>
        </w:rPr>
      </w:pPr>
      <w:r>
        <w:rPr>
          <w:rFonts w:hint="default" w:ascii="Times New Roman" w:hAnsi="Times New Roman" w:eastAsia="宋体" w:cs="Times New Roman"/>
          <w:color w:val="0F1115"/>
          <w:highlight w:val="none"/>
          <w:shd w:val="clear" w:color="auto" w:fill="FFFFFF"/>
          <w:lang w:val="en-US" w:eastAsia="zh-CN"/>
        </w:rPr>
        <w:t>板间结果对比：同批次下，同一样本在不同孔板间的平均核酸浓度差异≤10%。</w:t>
      </w:r>
    </w:p>
    <w:p w14:paraId="7E6AC409">
      <w:pPr>
        <w:pStyle w:val="23"/>
        <w:numPr>
          <w:ilvl w:val="0"/>
          <w:numId w:val="9"/>
        </w:numPr>
        <w:shd w:val="clear" w:color="auto" w:fill="FFFFFF"/>
        <w:spacing w:before="0" w:beforeAutospacing="0" w:after="0" w:afterAutospacing="0" w:line="360" w:lineRule="auto"/>
        <w:ind w:left="0" w:firstLine="403" w:firstLineChars="0"/>
        <w:jc w:val="both"/>
        <w:rPr>
          <w:rFonts w:hint="default" w:ascii="Times New Roman" w:hAnsi="Times New Roman" w:eastAsia="宋体" w:cs="Times New Roman"/>
          <w:color w:val="0F1115"/>
          <w:highlight w:val="none"/>
          <w:shd w:val="clear" w:color="auto" w:fill="FFFFFF"/>
          <w:lang w:val="en-US" w:eastAsia="zh-CN"/>
        </w:rPr>
      </w:pPr>
      <w:r>
        <w:rPr>
          <w:rFonts w:hint="default" w:ascii="Times New Roman" w:hAnsi="Times New Roman" w:eastAsia="宋体" w:cs="Times New Roman"/>
          <w:color w:val="0F1115"/>
          <w:highlight w:val="none"/>
          <w:shd w:val="clear" w:color="auto" w:fill="FFFFFF"/>
          <w:lang w:val="en-US" w:eastAsia="zh-CN"/>
        </w:rPr>
        <w:t>不同批次实验对比：同一样本在不同时间、不同孔板间的平均核酸浓度差异≤10%。</w:t>
      </w:r>
    </w:p>
    <w:p w14:paraId="5F0E63C3">
      <w:pPr>
        <w:pStyle w:val="23"/>
        <w:numPr>
          <w:ilvl w:val="-1"/>
          <w:numId w:val="0"/>
        </w:numPr>
        <w:shd w:val="clear" w:color="auto" w:fill="FFFFFF"/>
        <w:spacing w:before="0" w:beforeAutospacing="0" w:after="0" w:afterAutospacing="0" w:line="360" w:lineRule="auto"/>
        <w:ind w:left="0" w:firstLine="480" w:firstLineChars="200"/>
        <w:jc w:val="both"/>
        <w:rPr>
          <w:rFonts w:hint="default" w:ascii="Times New Roman" w:hAnsi="Times New Roman" w:eastAsia="宋体" w:cs="Times New Roman"/>
          <w:color w:val="0F1115"/>
          <w:highlight w:val="none"/>
          <w:shd w:val="clear" w:color="auto" w:fill="FFFFFF"/>
          <w:lang w:val="en-US" w:eastAsia="zh-CN"/>
        </w:rPr>
      </w:pPr>
      <w:r>
        <w:rPr>
          <w:rFonts w:hint="default" w:ascii="Times New Roman" w:hAnsi="Times New Roman" w:eastAsia="宋体" w:cs="Times New Roman"/>
          <w:color w:val="0F1115"/>
          <w:highlight w:val="none"/>
          <w:shd w:val="clear" w:color="auto" w:fill="FFFFFF"/>
          <w:lang w:val="en-US" w:eastAsia="zh-CN"/>
        </w:rPr>
        <w:t>2）建库指标</w:t>
      </w:r>
    </w:p>
    <w:p w14:paraId="741F07F4">
      <w:pPr>
        <w:pStyle w:val="23"/>
        <w:numPr>
          <w:ilvl w:val="0"/>
          <w:numId w:val="10"/>
        </w:numPr>
        <w:shd w:val="clear" w:color="auto" w:fill="FFFFFF"/>
        <w:spacing w:before="0" w:beforeAutospacing="0" w:after="0" w:afterAutospacing="0" w:line="360" w:lineRule="auto"/>
        <w:ind w:left="0" w:firstLine="403" w:firstLineChars="0"/>
        <w:jc w:val="both"/>
        <w:rPr>
          <w:rFonts w:hint="default" w:ascii="Times New Roman" w:hAnsi="Times New Roman" w:eastAsia="宋体" w:cs="Times New Roman"/>
          <w:color w:val="0F1115"/>
          <w:highlight w:val="none"/>
          <w:shd w:val="clear" w:color="auto" w:fill="FFFFFF"/>
          <w:lang w:val="en-US" w:eastAsia="zh-CN"/>
        </w:rPr>
      </w:pPr>
      <w:r>
        <w:rPr>
          <w:rFonts w:hint="default" w:ascii="Times New Roman" w:hAnsi="Times New Roman" w:eastAsia="宋体" w:cs="Times New Roman"/>
          <w:color w:val="0F1115"/>
          <w:highlight w:val="none"/>
          <w:shd w:val="clear" w:color="auto" w:fill="FFFFFF"/>
          <w:lang w:val="en-US" w:eastAsia="zh-CN"/>
        </w:rPr>
        <w:t>阳性标准品建库成功率≥98%（建库成功定义：阳性标准品文库总量&gt;50ng）</w:t>
      </w:r>
    </w:p>
    <w:p w14:paraId="23CC13B6">
      <w:pPr>
        <w:pStyle w:val="23"/>
        <w:numPr>
          <w:ilvl w:val="0"/>
          <w:numId w:val="10"/>
        </w:numPr>
        <w:shd w:val="clear" w:color="auto" w:fill="FFFFFF"/>
        <w:spacing w:before="0" w:beforeAutospacing="0" w:after="0" w:afterAutospacing="0" w:line="360" w:lineRule="auto"/>
        <w:ind w:left="0" w:firstLine="403" w:firstLineChars="0"/>
        <w:jc w:val="both"/>
        <w:rPr>
          <w:rFonts w:hint="default" w:ascii="Times New Roman" w:hAnsi="Times New Roman" w:eastAsia="宋体" w:cs="Times New Roman"/>
          <w:color w:val="0F1115"/>
          <w:highlight w:val="none"/>
          <w:shd w:val="clear" w:color="auto" w:fill="FFFFFF"/>
          <w:lang w:val="en-US" w:eastAsia="zh-CN"/>
        </w:rPr>
      </w:pPr>
      <w:r>
        <w:rPr>
          <w:rFonts w:hint="default" w:ascii="Times New Roman" w:hAnsi="Times New Roman" w:eastAsia="宋体" w:cs="Times New Roman"/>
          <w:color w:val="0F1115"/>
          <w:highlight w:val="none"/>
          <w:shd w:val="clear" w:color="auto" w:fill="FFFFFF"/>
          <w:lang w:val="en-US" w:eastAsia="zh-CN"/>
        </w:rPr>
        <w:t>针对合格样本，建库成功率&gt;95%（建库成功定义：文库总量&gt;40ng；合格样本是指提取核酸QC满足核酸总量m≥400ng且RIN值＞5的样本）</w:t>
      </w:r>
    </w:p>
    <w:p w14:paraId="24C50577">
      <w:pPr>
        <w:pStyle w:val="23"/>
        <w:numPr>
          <w:ilvl w:val="0"/>
          <w:numId w:val="10"/>
        </w:numPr>
        <w:shd w:val="clear" w:color="auto" w:fill="FFFFFF"/>
        <w:spacing w:before="0" w:beforeAutospacing="0" w:after="0" w:afterAutospacing="0" w:line="360" w:lineRule="auto"/>
        <w:ind w:left="0" w:firstLine="403" w:firstLineChars="0"/>
        <w:jc w:val="both"/>
        <w:rPr>
          <w:rFonts w:hint="default" w:ascii="Times New Roman" w:hAnsi="Times New Roman" w:eastAsia="宋体" w:cs="Times New Roman"/>
          <w:color w:val="0F1115"/>
          <w:highlight w:val="none"/>
          <w:shd w:val="clear" w:color="auto" w:fill="FFFFFF"/>
          <w:lang w:val="en-US" w:eastAsia="zh-CN"/>
        </w:rPr>
      </w:pPr>
      <w:r>
        <w:rPr>
          <w:rFonts w:hint="default" w:ascii="Times New Roman" w:hAnsi="Times New Roman" w:eastAsia="宋体" w:cs="Times New Roman"/>
          <w:color w:val="0F1115"/>
          <w:highlight w:val="none"/>
          <w:shd w:val="clear" w:color="auto" w:fill="FFFFFF"/>
          <w:lang w:val="en-US" w:eastAsia="zh-CN"/>
        </w:rPr>
        <w:t>设备运行稳定性：设备持续稳定运行3轮实验，OEE（可用率*性能率*良品率）＞90%</w:t>
      </w:r>
    </w:p>
    <w:p w14:paraId="6AC142ED">
      <w:pPr>
        <w:pStyle w:val="23"/>
        <w:shd w:val="clear" w:color="auto" w:fill="FFFFFF"/>
        <w:spacing w:before="0" w:beforeAutospacing="0" w:after="0" w:afterAutospacing="0" w:line="360" w:lineRule="auto"/>
        <w:ind w:firstLine="482" w:firstLineChars="200"/>
        <w:jc w:val="both"/>
        <w:rPr>
          <w:rFonts w:hint="default" w:ascii="Times New Roman" w:hAnsi="Times New Roman" w:eastAsia="宋体" w:cs="Times New Roman"/>
          <w:color w:val="0F1115"/>
          <w:highlight w:val="none"/>
        </w:rPr>
      </w:pPr>
      <w:r>
        <w:rPr>
          <w:rStyle w:val="31"/>
          <w:rFonts w:hint="default" w:ascii="Times New Roman" w:hAnsi="Times New Roman" w:eastAsia="宋体" w:cs="Times New Roman"/>
          <w:color w:val="0F1115"/>
          <w:highlight w:val="none"/>
          <w:shd w:val="clear" w:color="auto" w:fill="FFFFFF"/>
        </w:rPr>
        <w:t>★</w:t>
      </w:r>
      <w:r>
        <w:rPr>
          <w:rStyle w:val="31"/>
          <w:rFonts w:hint="default" w:ascii="Times New Roman" w:hAnsi="Times New Roman" w:eastAsia="宋体" w:cs="Times New Roman"/>
          <w:color w:val="0F1115"/>
          <w:highlight w:val="none"/>
          <w:shd w:val="clear" w:color="auto" w:fill="FFFFFF"/>
          <w:lang w:val="en-US" w:eastAsia="zh-CN"/>
        </w:rPr>
        <w:t>4</w:t>
      </w:r>
      <w:r>
        <w:rPr>
          <w:rStyle w:val="31"/>
          <w:rFonts w:hint="default" w:ascii="Times New Roman" w:hAnsi="Times New Roman" w:eastAsia="宋体" w:cs="Times New Roman"/>
          <w:color w:val="0F1115"/>
          <w:highlight w:val="none"/>
          <w:shd w:val="clear" w:color="auto" w:fill="FFFFFF"/>
        </w:rPr>
        <w:t>、综合验收</w:t>
      </w:r>
    </w:p>
    <w:p w14:paraId="751DD258">
      <w:pPr>
        <w:pStyle w:val="23"/>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shd w:val="clear" w:color="auto" w:fill="FFFFFF"/>
        </w:rPr>
      </w:pPr>
      <w:r>
        <w:rPr>
          <w:rFonts w:hint="default" w:ascii="Times New Roman" w:hAnsi="Times New Roman" w:eastAsia="宋体" w:cs="Times New Roman"/>
          <w:color w:val="0F1115"/>
          <w:highlight w:val="none"/>
          <w:shd w:val="clear" w:color="auto" w:fill="FFFFFF"/>
          <w:lang w:val="en-US" w:eastAsia="zh-CN"/>
        </w:rPr>
        <w:t>生物性样本检测符合要求的，中标人向采购人申请综合验收。</w:t>
      </w:r>
      <w:r>
        <w:rPr>
          <w:rFonts w:hint="default" w:ascii="Times New Roman" w:hAnsi="Times New Roman" w:eastAsia="宋体" w:cs="Times New Roman"/>
          <w:szCs w:val="22"/>
          <w:highlight w:val="none"/>
        </w:rPr>
        <w:t xml:space="preserve"> 综合验收方案</w:t>
      </w:r>
      <w:r>
        <w:rPr>
          <w:rFonts w:hint="default" w:ascii="Times New Roman" w:hAnsi="Times New Roman" w:eastAsia="宋体" w:cs="Times New Roman"/>
          <w:szCs w:val="22"/>
          <w:highlight w:val="none"/>
          <w:lang w:eastAsia="zh-CN"/>
        </w:rPr>
        <w:t>（</w:t>
      </w:r>
      <w:r>
        <w:rPr>
          <w:rFonts w:hint="default" w:ascii="Times New Roman" w:hAnsi="Times New Roman" w:eastAsia="宋体" w:cs="Times New Roman"/>
          <w:szCs w:val="22"/>
          <w:highlight w:val="none"/>
          <w:lang w:val="en-US" w:eastAsia="zh-CN"/>
        </w:rPr>
        <w:t>包括但不限于验收内容、项目、指标和方法</w:t>
      </w:r>
      <w:r>
        <w:rPr>
          <w:rFonts w:hint="default" w:ascii="Times New Roman" w:hAnsi="Times New Roman" w:eastAsia="宋体" w:cs="Times New Roman"/>
          <w:szCs w:val="22"/>
          <w:highlight w:val="none"/>
          <w:lang w:eastAsia="zh-CN"/>
        </w:rPr>
        <w:t>）</w:t>
      </w:r>
      <w:r>
        <w:rPr>
          <w:rFonts w:hint="default" w:ascii="Times New Roman" w:hAnsi="Times New Roman" w:eastAsia="宋体" w:cs="Times New Roman"/>
          <w:szCs w:val="22"/>
          <w:highlight w:val="none"/>
        </w:rPr>
        <w:t>由采购人</w:t>
      </w:r>
      <w:r>
        <w:rPr>
          <w:rFonts w:hint="default" w:ascii="Times New Roman" w:hAnsi="Times New Roman" w:eastAsia="宋体" w:cs="Times New Roman"/>
          <w:szCs w:val="22"/>
          <w:highlight w:val="none"/>
          <w:lang w:val="en-US" w:eastAsia="zh-CN"/>
        </w:rPr>
        <w:t>确定。</w:t>
      </w:r>
      <w:r>
        <w:rPr>
          <w:rFonts w:hint="default" w:ascii="Times New Roman" w:hAnsi="Times New Roman" w:eastAsia="宋体" w:cs="Times New Roman"/>
          <w:color w:val="0F1115"/>
          <w:highlight w:val="none"/>
          <w:shd w:val="clear" w:color="auto" w:fill="FFFFFF"/>
        </w:rPr>
        <w:t>投标人</w:t>
      </w:r>
      <w:r>
        <w:rPr>
          <w:rFonts w:hint="default" w:ascii="Times New Roman" w:hAnsi="Times New Roman" w:eastAsia="宋体" w:cs="Times New Roman"/>
          <w:color w:val="0F1115"/>
          <w:highlight w:val="none"/>
          <w:shd w:val="clear" w:color="auto" w:fill="FFFFFF"/>
          <w:lang w:val="en-US" w:eastAsia="zh-CN"/>
        </w:rPr>
        <w:t>应按采购人的要求提供验收材料</w:t>
      </w:r>
      <w:r>
        <w:rPr>
          <w:rFonts w:hint="default" w:ascii="Times New Roman" w:hAnsi="Times New Roman" w:eastAsia="宋体" w:cs="Times New Roman"/>
          <w:color w:val="0F1115"/>
          <w:highlight w:val="none"/>
          <w:shd w:val="clear" w:color="auto" w:fill="FFFFFF"/>
        </w:rPr>
        <w:t>及</w:t>
      </w:r>
      <w:r>
        <w:rPr>
          <w:rFonts w:hint="default" w:ascii="Times New Roman" w:hAnsi="Times New Roman" w:eastAsia="宋体" w:cs="Times New Roman"/>
          <w:color w:val="0F1115"/>
          <w:highlight w:val="none"/>
          <w:shd w:val="clear" w:color="auto" w:fill="FFFFFF"/>
          <w:lang w:val="en-US" w:eastAsia="zh-CN"/>
        </w:rPr>
        <w:t>生物性样本</w:t>
      </w:r>
      <w:r>
        <w:rPr>
          <w:rFonts w:hint="default" w:ascii="Times New Roman" w:hAnsi="Times New Roman" w:eastAsia="宋体" w:cs="Times New Roman"/>
          <w:color w:val="0F1115"/>
          <w:highlight w:val="none"/>
          <w:shd w:val="clear" w:color="auto" w:fill="FFFFFF"/>
        </w:rPr>
        <w:t>测试结果和报告，由采购人或者采购人委托第三方测试机构组织专家评审并形成评审意见，确认是否通过验收，验收通过后各项材料进行归档。</w:t>
      </w:r>
      <w:r>
        <w:rPr>
          <w:rFonts w:hint="default" w:ascii="Times New Roman" w:hAnsi="Times New Roman" w:eastAsia="宋体" w:cs="Times New Roman"/>
          <w:szCs w:val="21"/>
          <w:highlight w:val="none"/>
        </w:rPr>
        <w:t>若验收未通过，中标人须在</w:t>
      </w:r>
      <w:r>
        <w:rPr>
          <w:rFonts w:hint="default" w:ascii="Times New Roman" w:hAnsi="Times New Roman" w:eastAsia="宋体" w:cs="Times New Roman"/>
          <w:szCs w:val="21"/>
          <w:highlight w:val="none"/>
          <w:lang w:val="en-US" w:eastAsia="zh-CN"/>
        </w:rPr>
        <w:t>30</w:t>
      </w:r>
      <w:r>
        <w:rPr>
          <w:rFonts w:hint="default" w:ascii="Times New Roman" w:hAnsi="Times New Roman" w:eastAsia="宋体" w:cs="Times New Roman"/>
          <w:szCs w:val="21"/>
          <w:highlight w:val="none"/>
        </w:rPr>
        <w:t>日内完成整改并重新提交验收申请直至通过验收或采购人解除合同。未能一次通过验收的，以最终综合验收通过之日视为实际完成交付</w:t>
      </w:r>
      <w:r>
        <w:rPr>
          <w:rFonts w:hint="default" w:ascii="Times New Roman" w:hAnsi="Times New Roman" w:eastAsia="宋体" w:cs="Times New Roman"/>
          <w:szCs w:val="21"/>
          <w:highlight w:val="none"/>
          <w:lang w:eastAsia="zh-CN"/>
        </w:rPr>
        <w:t>、</w:t>
      </w:r>
      <w:r>
        <w:rPr>
          <w:rFonts w:hint="default" w:ascii="Times New Roman" w:hAnsi="Times New Roman" w:eastAsia="宋体" w:cs="Times New Roman"/>
          <w:szCs w:val="21"/>
          <w:highlight w:val="none"/>
        </w:rPr>
        <w:t>安装、调试</w:t>
      </w:r>
      <w:r>
        <w:rPr>
          <w:rFonts w:hint="default" w:ascii="Times New Roman" w:hAnsi="Times New Roman" w:eastAsia="宋体" w:cs="Times New Roman"/>
          <w:color w:val="0F1115"/>
          <w:highlight w:val="none"/>
          <w:shd w:val="clear" w:color="auto" w:fill="FFFFFF"/>
          <w:lang w:val="en-US" w:eastAsia="zh-CN"/>
        </w:rPr>
        <w:t>与设备</w:t>
      </w:r>
      <w:r>
        <w:rPr>
          <w:rFonts w:hint="default" w:ascii="Times New Roman" w:hAnsi="Times New Roman" w:eastAsia="宋体" w:cs="Times New Roman"/>
          <w:color w:val="0F1115"/>
          <w:highlight w:val="none"/>
          <w:shd w:val="clear" w:color="auto" w:fill="FFFFFF"/>
          <w:lang w:val="en-US"/>
        </w:rPr>
        <w:t>生物性样本测试，实现葛洪系统的稳定对接</w:t>
      </w:r>
      <w:r>
        <w:rPr>
          <w:rFonts w:hint="default" w:ascii="Times New Roman" w:hAnsi="Times New Roman" w:eastAsia="宋体" w:cs="Times New Roman"/>
          <w:szCs w:val="21"/>
          <w:highlight w:val="none"/>
        </w:rPr>
        <w:t>之日。</w:t>
      </w:r>
      <w:r>
        <w:rPr>
          <w:rFonts w:hint="default" w:ascii="Times New Roman" w:hAnsi="Times New Roman" w:eastAsia="宋体" w:cs="Times New Roman"/>
          <w:color w:val="0F1115"/>
          <w:highlight w:val="none"/>
          <w:shd w:val="clear" w:color="auto" w:fill="FFFFFF"/>
        </w:rPr>
        <w:t>验收产生的全部费用由投标人负责</w:t>
      </w:r>
      <w:r>
        <w:rPr>
          <w:rFonts w:hint="default" w:ascii="Times New Roman" w:hAnsi="Times New Roman" w:eastAsia="宋体" w:cs="Times New Roman"/>
          <w:color w:val="0F1115"/>
          <w:highlight w:val="none"/>
          <w:shd w:val="clear" w:color="auto" w:fill="FFFFFF"/>
          <w:lang w:eastAsia="zh-CN"/>
        </w:rPr>
        <w:t>。</w:t>
      </w:r>
      <w:r>
        <w:rPr>
          <w:rFonts w:hint="default" w:ascii="Times New Roman" w:hAnsi="Times New Roman" w:eastAsia="宋体" w:cs="Times New Roman"/>
          <w:color w:val="0F1115"/>
          <w:highlight w:val="none"/>
          <w:shd w:val="clear" w:color="auto" w:fill="FFFFFF"/>
        </w:rPr>
        <w:t>综合验收通过后，如采购人需对设备移机、软件数据迁移及对本项目设备及系统应用场景相关的实验平台进行整体联合调试的，投标人还应按采购人要求与期限完成移机、迁移并配合整体联合调试。</w:t>
      </w:r>
    </w:p>
    <w:p w14:paraId="48FA5BA2">
      <w:pPr>
        <w:pStyle w:val="23"/>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shd w:val="clear" w:color="auto" w:fill="FFFFFF"/>
        </w:rPr>
      </w:pPr>
      <w:r>
        <w:rPr>
          <w:rFonts w:hint="default" w:ascii="Times New Roman" w:hAnsi="Times New Roman" w:eastAsia="宋体" w:cs="Times New Roman"/>
          <w:color w:val="0F1115"/>
          <w:highlight w:val="none"/>
          <w:shd w:val="clear" w:color="auto" w:fill="FFFFFF"/>
        </w:rPr>
        <w:t>本招标项目</w:t>
      </w:r>
      <w:r>
        <w:rPr>
          <w:rFonts w:hint="default" w:ascii="Times New Roman" w:hAnsi="Times New Roman" w:eastAsia="宋体" w:cs="Times New Roman"/>
          <w:color w:val="0F1115"/>
          <w:highlight w:val="none"/>
          <w:shd w:val="clear" w:color="auto" w:fill="FFFFFF"/>
          <w:lang w:val="en-US" w:eastAsia="zh-CN"/>
        </w:rPr>
        <w:t>综合</w:t>
      </w:r>
      <w:r>
        <w:rPr>
          <w:rFonts w:hint="default" w:ascii="Times New Roman" w:hAnsi="Times New Roman" w:eastAsia="宋体" w:cs="Times New Roman"/>
          <w:color w:val="0F1115"/>
          <w:highlight w:val="none"/>
          <w:shd w:val="clear" w:color="auto" w:fill="FFFFFF"/>
        </w:rPr>
        <w:t>验收时，依据采购人验收内容中技术文档</w:t>
      </w:r>
      <w:r>
        <w:rPr>
          <w:rFonts w:hint="default" w:ascii="Times New Roman" w:hAnsi="Times New Roman" w:eastAsia="宋体" w:cs="Times New Roman"/>
          <w:color w:val="0F1115"/>
          <w:highlight w:val="none"/>
          <w:shd w:val="clear" w:color="auto" w:fill="FFFFFF"/>
          <w:lang w:eastAsia="zh-CN"/>
        </w:rPr>
        <w:t>的</w:t>
      </w:r>
      <w:r>
        <w:rPr>
          <w:rFonts w:hint="default" w:ascii="Times New Roman" w:hAnsi="Times New Roman" w:eastAsia="宋体" w:cs="Times New Roman"/>
          <w:color w:val="0F1115"/>
          <w:highlight w:val="none"/>
          <w:shd w:val="clear" w:color="auto" w:fill="FFFFFF"/>
        </w:rPr>
        <w:t>要求，投标人应提交对应的硬件和软件相关技术文档，并确保交付档案资料的真实性、完整性。技术文档验收是本项目</w:t>
      </w:r>
      <w:r>
        <w:rPr>
          <w:rFonts w:hint="default" w:ascii="Times New Roman" w:hAnsi="Times New Roman" w:eastAsia="宋体" w:cs="Times New Roman"/>
          <w:color w:val="0F1115"/>
          <w:highlight w:val="none"/>
          <w:shd w:val="clear" w:color="auto" w:fill="FFFFFF"/>
          <w:lang w:val="en-US" w:eastAsia="zh-CN"/>
        </w:rPr>
        <w:t>综合</w:t>
      </w:r>
      <w:r>
        <w:rPr>
          <w:rFonts w:hint="default" w:ascii="Times New Roman" w:hAnsi="Times New Roman" w:eastAsia="宋体" w:cs="Times New Roman"/>
          <w:color w:val="0F1115"/>
          <w:highlight w:val="none"/>
          <w:shd w:val="clear" w:color="auto" w:fill="FFFFFF"/>
        </w:rPr>
        <w:t>验收的一部分，</w:t>
      </w:r>
      <w:r>
        <w:rPr>
          <w:rFonts w:hint="default" w:ascii="Times New Roman" w:hAnsi="Times New Roman" w:eastAsia="宋体" w:cs="Times New Roman"/>
          <w:color w:val="0F1115"/>
          <w:highlight w:val="none"/>
          <w:shd w:val="clear" w:color="auto" w:fill="FFFFFF"/>
          <w:lang w:val="en-US" w:eastAsia="zh-CN"/>
        </w:rPr>
        <w:t>技术文档</w:t>
      </w:r>
      <w:r>
        <w:rPr>
          <w:rFonts w:hint="default" w:ascii="Times New Roman" w:hAnsi="Times New Roman" w:eastAsia="宋体" w:cs="Times New Roman"/>
          <w:color w:val="0F1115"/>
          <w:highlight w:val="none"/>
          <w:shd w:val="clear" w:color="auto" w:fill="FFFFFF"/>
        </w:rPr>
        <w:t>验收不通过，视为本项目</w:t>
      </w:r>
      <w:r>
        <w:rPr>
          <w:rFonts w:hint="default" w:ascii="Times New Roman" w:hAnsi="Times New Roman" w:eastAsia="宋体" w:cs="Times New Roman"/>
          <w:color w:val="0F1115"/>
          <w:highlight w:val="none"/>
          <w:shd w:val="clear" w:color="auto" w:fill="FFFFFF"/>
          <w:lang w:val="en-US" w:eastAsia="zh-CN"/>
        </w:rPr>
        <w:t>综合</w:t>
      </w:r>
      <w:r>
        <w:rPr>
          <w:rFonts w:hint="default" w:ascii="Times New Roman" w:hAnsi="Times New Roman" w:eastAsia="宋体" w:cs="Times New Roman"/>
          <w:color w:val="0F1115"/>
          <w:highlight w:val="none"/>
          <w:shd w:val="clear" w:color="auto" w:fill="FFFFFF"/>
        </w:rPr>
        <w:t>验收不通过</w:t>
      </w:r>
      <w:r>
        <w:rPr>
          <w:rFonts w:hint="default" w:ascii="Times New Roman" w:hAnsi="Times New Roman" w:eastAsia="宋体" w:cs="Times New Roman"/>
          <w:color w:val="0F1115"/>
          <w:highlight w:val="none"/>
          <w:shd w:val="clear" w:color="auto" w:fill="FFFFFF"/>
          <w:lang w:eastAsia="zh-CN"/>
        </w:rPr>
        <w:t>。</w:t>
      </w:r>
    </w:p>
    <w:p w14:paraId="6FCDC419">
      <w:pPr>
        <w:pStyle w:val="23"/>
        <w:shd w:val="clear" w:color="auto" w:fill="FFFFFF"/>
        <w:spacing w:before="0" w:beforeAutospacing="0" w:after="0" w:afterAutospacing="0" w:line="360" w:lineRule="auto"/>
        <w:ind w:firstLine="482" w:firstLineChars="200"/>
        <w:jc w:val="both"/>
        <w:rPr>
          <w:rFonts w:hint="default" w:ascii="Times New Roman" w:hAnsi="Times New Roman" w:eastAsia="宋体" w:cs="Times New Roman"/>
          <w:color w:val="0F1115"/>
          <w:highlight w:val="none"/>
        </w:rPr>
      </w:pPr>
      <w:r>
        <w:rPr>
          <w:rStyle w:val="31"/>
          <w:rFonts w:hint="default" w:ascii="Times New Roman" w:hAnsi="Times New Roman" w:eastAsia="宋体" w:cs="Times New Roman"/>
          <w:color w:val="0F1115"/>
          <w:highlight w:val="none"/>
          <w:shd w:val="clear" w:color="auto" w:fill="FFFFFF"/>
        </w:rPr>
        <w:t>★</w:t>
      </w:r>
      <w:r>
        <w:rPr>
          <w:rStyle w:val="31"/>
          <w:rFonts w:hint="default" w:ascii="Times New Roman" w:hAnsi="Times New Roman" w:eastAsia="宋体" w:cs="Times New Roman"/>
          <w:color w:val="0F1115"/>
          <w:highlight w:val="none"/>
          <w:shd w:val="clear" w:color="auto" w:fill="FFFFFF"/>
          <w:lang w:val="en-US" w:eastAsia="zh-CN"/>
        </w:rPr>
        <w:t>5</w:t>
      </w:r>
      <w:r>
        <w:rPr>
          <w:rStyle w:val="31"/>
          <w:rFonts w:hint="default" w:ascii="Times New Roman" w:hAnsi="Times New Roman" w:eastAsia="宋体" w:cs="Times New Roman"/>
          <w:color w:val="0F1115"/>
          <w:highlight w:val="none"/>
          <w:shd w:val="clear" w:color="auto" w:fill="FFFFFF"/>
        </w:rPr>
        <w:t>、与本项目设备及系统应用场景相关的实验平台整体联合调试服务</w:t>
      </w:r>
    </w:p>
    <w:p w14:paraId="40E32CDD">
      <w:pPr>
        <w:pStyle w:val="23"/>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rPr>
      </w:pPr>
      <w:r>
        <w:rPr>
          <w:rFonts w:hint="default" w:ascii="Times New Roman" w:hAnsi="Times New Roman" w:eastAsia="宋体" w:cs="Times New Roman"/>
          <w:color w:val="0F1115"/>
          <w:kern w:val="0"/>
          <w:highlight w:val="none"/>
          <w:shd w:val="clear" w:color="auto" w:fill="FFFFFF"/>
        </w:rPr>
        <w:t>中标人</w:t>
      </w:r>
      <w:r>
        <w:rPr>
          <w:rFonts w:hint="default" w:ascii="Times New Roman" w:hAnsi="Times New Roman" w:eastAsia="宋体" w:cs="Times New Roman"/>
          <w:color w:val="0F1115"/>
          <w:kern w:val="0"/>
          <w:highlight w:val="none"/>
          <w:shd w:val="clear" w:color="auto" w:fill="FFFFFF"/>
          <w:lang w:val="en-US" w:eastAsia="zh-CN"/>
        </w:rPr>
        <w:t>应</w:t>
      </w:r>
      <w:r>
        <w:rPr>
          <w:rFonts w:hint="default" w:ascii="Times New Roman" w:hAnsi="Times New Roman" w:eastAsia="宋体" w:cs="Times New Roman"/>
          <w:color w:val="0F1115"/>
          <w:kern w:val="0"/>
          <w:highlight w:val="none"/>
          <w:shd w:val="clear" w:color="auto" w:fill="FFFFFF"/>
        </w:rPr>
        <w:t>清楚知悉，采购人委托其定制的货物是相关平台项目众多子系统的一部分。在各部分子系统完成开发、研制后，采购人需将全部子系统进行整合、集成。为支持采购人的建设任务，中标人应按采购人的要求，配合采购人进行相关平台项目的整体联合调试服务。因整体联合调试产生的</w:t>
      </w:r>
      <w:r>
        <w:rPr>
          <w:rFonts w:hint="default" w:ascii="Times New Roman" w:hAnsi="Times New Roman" w:eastAsia="宋体" w:cs="Times New Roman"/>
          <w:color w:val="0F1115"/>
          <w:highlight w:val="none"/>
          <w:shd w:val="clear" w:color="auto" w:fill="FFFFFF"/>
          <w:lang w:eastAsia="zh-CN"/>
        </w:rPr>
        <w:t>投标人服务内容</w:t>
      </w:r>
      <w:r>
        <w:rPr>
          <w:rFonts w:hint="default" w:ascii="Times New Roman" w:hAnsi="Times New Roman" w:eastAsia="宋体" w:cs="Times New Roman"/>
          <w:color w:val="0F1115"/>
          <w:highlight w:val="none"/>
          <w:shd w:val="clear" w:color="auto" w:fill="FFFFFF"/>
          <w:lang w:val="en-US" w:eastAsia="zh-CN"/>
        </w:rPr>
        <w:t>的</w:t>
      </w:r>
      <w:r>
        <w:rPr>
          <w:rFonts w:hint="default" w:ascii="Times New Roman" w:hAnsi="Times New Roman" w:eastAsia="宋体" w:cs="Times New Roman"/>
          <w:color w:val="0F1115"/>
          <w:kern w:val="0"/>
          <w:highlight w:val="none"/>
          <w:shd w:val="clear" w:color="auto" w:fill="FFFFFF"/>
        </w:rPr>
        <w:t>相关费用由中标人负责。</w:t>
      </w:r>
    </w:p>
    <w:p w14:paraId="0D57D6FA">
      <w:pPr>
        <w:pStyle w:val="23"/>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rPr>
      </w:pPr>
      <w:r>
        <w:rPr>
          <w:rFonts w:hint="default" w:ascii="Times New Roman" w:hAnsi="Times New Roman" w:eastAsia="宋体" w:cs="Times New Roman"/>
          <w:color w:val="0F1115"/>
          <w:highlight w:val="none"/>
          <w:shd w:val="clear" w:color="auto" w:fill="FFFFFF"/>
        </w:rPr>
        <w:t>（1）投标人应按照采购人档案管理的要求，提交本合同履行过程中产生的档案资料等文件。</w:t>
      </w:r>
    </w:p>
    <w:p w14:paraId="207FF308">
      <w:pPr>
        <w:pStyle w:val="23"/>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rPr>
      </w:pPr>
      <w:r>
        <w:rPr>
          <w:rFonts w:hint="default" w:ascii="Times New Roman" w:hAnsi="Times New Roman" w:eastAsia="宋体" w:cs="Times New Roman"/>
          <w:color w:val="0F1115"/>
          <w:highlight w:val="none"/>
          <w:shd w:val="clear" w:color="auto" w:fill="FFFFFF"/>
        </w:rPr>
        <w:t>（2）投标人配合采购人进行与本项目设备及系统应用场景相关的实验平台整体联合调试时，应按照质量控制计划制定检验规程并建立质量跟踪档案，所有检验和测量结果应如实记录在质量跟踪档案中，待项目整体联合调试完成后，将质量跟踪档案的原件交付给采购人。</w:t>
      </w:r>
    </w:p>
    <w:p w14:paraId="551977AD">
      <w:pPr>
        <w:pStyle w:val="23"/>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rPr>
      </w:pPr>
      <w:r>
        <w:rPr>
          <w:rFonts w:hint="default" w:ascii="Times New Roman" w:hAnsi="Times New Roman" w:eastAsia="宋体" w:cs="Times New Roman"/>
          <w:color w:val="0F1115"/>
          <w:highlight w:val="none"/>
          <w:shd w:val="clear" w:color="auto" w:fill="FFFFFF"/>
        </w:rPr>
        <w:t>（3）投标人应当</w:t>
      </w:r>
      <w:r>
        <w:rPr>
          <w:rFonts w:hint="default" w:ascii="Times New Roman" w:hAnsi="Times New Roman" w:eastAsia="宋体" w:cs="Times New Roman"/>
          <w:color w:val="0F1115"/>
          <w:highlight w:val="none"/>
          <w:shd w:val="clear" w:color="auto" w:fill="FFFFFF"/>
          <w:lang w:val="en-US" w:eastAsia="zh-CN"/>
        </w:rPr>
        <w:t>按照合同</w:t>
      </w:r>
      <w:r>
        <w:rPr>
          <w:rFonts w:hint="default" w:ascii="Times New Roman" w:hAnsi="Times New Roman" w:eastAsia="宋体" w:cs="Times New Roman"/>
          <w:color w:val="0F1115"/>
          <w:highlight w:val="none"/>
          <w:shd w:val="clear" w:color="auto" w:fill="FFFFFF"/>
        </w:rPr>
        <w:t>要求为采购人完整开放本合同项下的设备/软件系统的应用程序编程接口（以下简称“API接口”），API接口开放须通过采购人的验收及相关测试，交付资料包括但不限于接口规范、技术文档、软件开发工具包及其他必要技术资料、配置集合文件，确保采购人技术人员能独立、高效地完成系统对接、二次开发与运维工作。投标人保证其开放的API接口及技术资料不侵犯任何第三方合法权益，且采购人应获得一项永久、不可撤销、免许可费的全球使用许可和API接口更新后的免许可费的许可。</w:t>
      </w:r>
    </w:p>
    <w:p w14:paraId="6235F523">
      <w:pPr>
        <w:pStyle w:val="23"/>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shd w:val="clear" w:color="auto" w:fill="FFFFFF"/>
        </w:rPr>
      </w:pPr>
      <w:r>
        <w:rPr>
          <w:rFonts w:hint="default" w:ascii="Times New Roman" w:hAnsi="Times New Roman" w:eastAsia="宋体" w:cs="Times New Roman"/>
          <w:color w:val="0F1115"/>
          <w:highlight w:val="none"/>
          <w:shd w:val="clear" w:color="auto" w:fill="FFFFFF"/>
        </w:rPr>
        <w:t>（4）投标人应按采购人的要求，配合采购人进行与本项目设备及系统应用场景相关的实验平台的整体联合调试服务，包括但不限于：</w:t>
      </w:r>
    </w:p>
    <w:p w14:paraId="6662324D">
      <w:pPr>
        <w:pStyle w:val="23"/>
        <w:numPr>
          <w:ilvl w:val="0"/>
          <w:numId w:val="11"/>
        </w:numPr>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shd w:val="clear" w:color="auto" w:fill="FFFFFF"/>
        </w:rPr>
      </w:pPr>
      <w:r>
        <w:rPr>
          <w:rFonts w:hint="default" w:ascii="Times New Roman" w:hAnsi="Times New Roman" w:eastAsia="宋体" w:cs="Times New Roman"/>
          <w:color w:val="0F1115"/>
          <w:highlight w:val="none"/>
          <w:shd w:val="clear" w:color="auto" w:fill="FFFFFF"/>
        </w:rPr>
        <w:t>按照采购人的要求，及时提供系统集成所需的完整技术文档、接口规范及必要的技术支持，确保集成工作顺利进行；</w:t>
      </w:r>
    </w:p>
    <w:p w14:paraId="681DA508">
      <w:pPr>
        <w:pStyle w:val="23"/>
        <w:numPr>
          <w:ilvl w:val="0"/>
          <w:numId w:val="11"/>
        </w:numPr>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rPr>
      </w:pPr>
      <w:r>
        <w:rPr>
          <w:rFonts w:hint="default" w:ascii="Times New Roman" w:hAnsi="Times New Roman" w:eastAsia="宋体" w:cs="Times New Roman"/>
          <w:color w:val="0F1115"/>
          <w:highlight w:val="none"/>
          <w:shd w:val="clear" w:color="auto" w:fill="FFFFFF"/>
        </w:rPr>
        <w:t>指派专门技术人员配合采购人完成系统对接、联调测试等工作；</w:t>
      </w:r>
    </w:p>
    <w:p w14:paraId="4693570A">
      <w:pPr>
        <w:pStyle w:val="23"/>
        <w:numPr>
          <w:ilvl w:val="0"/>
          <w:numId w:val="11"/>
        </w:numPr>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rPr>
      </w:pPr>
      <w:r>
        <w:rPr>
          <w:rFonts w:hint="default" w:ascii="Times New Roman" w:hAnsi="Times New Roman" w:eastAsia="宋体" w:cs="Times New Roman"/>
          <w:color w:val="0F1115"/>
          <w:highlight w:val="none"/>
          <w:shd w:val="clear" w:color="auto" w:fill="FFFFFF"/>
        </w:rPr>
        <w:t>如采购人委托投标人进行二次搬迁，则投标人需配合定制货物二次搬迁、移机及安装、调试等部署服务，所需费用均应包含在报价中；</w:t>
      </w:r>
    </w:p>
    <w:p w14:paraId="0FC8C056">
      <w:pPr>
        <w:pStyle w:val="23"/>
        <w:numPr>
          <w:ilvl w:val="0"/>
          <w:numId w:val="11"/>
        </w:numPr>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rPr>
      </w:pPr>
      <w:r>
        <w:rPr>
          <w:rFonts w:hint="default" w:ascii="Times New Roman" w:hAnsi="Times New Roman" w:eastAsia="宋体" w:cs="Times New Roman"/>
          <w:color w:val="0F1115"/>
          <w:highlight w:val="none"/>
          <w:shd w:val="clear" w:color="auto" w:fill="FFFFFF"/>
        </w:rPr>
        <w:t>联调测试责任：提供测试环境所需的系统访问权限和必要数据，配合采购人制定详细的联调测试方案，及时响应并解决测试过程中发现的接口问题，参与测试结果评估和问题修复。</w:t>
      </w:r>
    </w:p>
    <w:p w14:paraId="1459BEA6">
      <w:pPr>
        <w:pStyle w:val="23"/>
        <w:shd w:val="clear" w:color="auto" w:fill="FFFFFF"/>
        <w:spacing w:before="0" w:beforeAutospacing="0" w:after="0" w:afterAutospacing="0" w:line="360" w:lineRule="auto"/>
        <w:ind w:firstLine="482" w:firstLineChars="200"/>
        <w:jc w:val="both"/>
        <w:rPr>
          <w:rFonts w:hint="default" w:ascii="Times New Roman" w:hAnsi="Times New Roman" w:eastAsia="宋体" w:cs="Times New Roman"/>
          <w:color w:val="0F1115"/>
          <w:highlight w:val="none"/>
        </w:rPr>
      </w:pPr>
      <w:r>
        <w:rPr>
          <w:rStyle w:val="31"/>
          <w:rFonts w:hint="default" w:ascii="Times New Roman" w:hAnsi="Times New Roman" w:eastAsia="宋体" w:cs="Times New Roman"/>
          <w:color w:val="0F1115"/>
          <w:highlight w:val="none"/>
          <w:shd w:val="clear" w:color="auto" w:fill="FFFFFF"/>
          <w:lang w:val="en-US" w:eastAsia="zh-CN"/>
        </w:rPr>
        <w:t>6</w:t>
      </w:r>
      <w:r>
        <w:rPr>
          <w:rStyle w:val="31"/>
          <w:rFonts w:hint="default" w:ascii="Times New Roman" w:hAnsi="Times New Roman" w:eastAsia="宋体" w:cs="Times New Roman"/>
          <w:color w:val="0F1115"/>
          <w:highlight w:val="none"/>
          <w:shd w:val="clear" w:color="auto" w:fill="FFFFFF"/>
        </w:rPr>
        <w:t>、备品备件与耗材要求</w:t>
      </w:r>
    </w:p>
    <w:p w14:paraId="514E686E">
      <w:pPr>
        <w:pStyle w:val="23"/>
        <w:shd w:val="clear" w:color="auto" w:fill="FFFFFF"/>
        <w:spacing w:before="0" w:beforeAutospacing="0" w:after="0" w:afterAutospacing="0" w:line="360" w:lineRule="auto"/>
        <w:ind w:left="399" w:leftChars="190"/>
        <w:jc w:val="both"/>
        <w:rPr>
          <w:rFonts w:hint="default" w:ascii="Times New Roman" w:hAnsi="Times New Roman" w:eastAsia="宋体" w:cs="Times New Roman"/>
          <w:color w:val="0F1115"/>
          <w:highlight w:val="none"/>
          <w:shd w:val="clear" w:color="auto" w:fill="FFFFFF"/>
        </w:rPr>
      </w:pPr>
      <w:r>
        <w:rPr>
          <w:rFonts w:hint="default" w:ascii="Times New Roman" w:hAnsi="Times New Roman" w:eastAsia="宋体" w:cs="Times New Roman"/>
          <w:color w:val="0F1115"/>
          <w:highlight w:val="none"/>
          <w:shd w:val="clear" w:color="auto" w:fill="FFFFFF"/>
        </w:rPr>
        <w:t>投标人应提供不少于5年的备品备件供应保障承诺，并随设备提供以下资料：</w:t>
      </w:r>
    </w:p>
    <w:p w14:paraId="486885B0">
      <w:pPr>
        <w:pStyle w:val="23"/>
        <w:numPr>
          <w:ilvl w:val="0"/>
          <w:numId w:val="12"/>
        </w:numPr>
        <w:shd w:val="clear" w:color="auto" w:fill="FFFFFF"/>
        <w:spacing w:before="0" w:beforeAutospacing="0" w:after="0" w:afterAutospacing="0" w:line="360" w:lineRule="auto"/>
        <w:ind w:left="399" w:leftChars="190"/>
        <w:jc w:val="both"/>
        <w:rPr>
          <w:rFonts w:hint="default" w:ascii="Times New Roman" w:hAnsi="Times New Roman" w:eastAsia="宋体" w:cs="Times New Roman"/>
          <w:color w:val="0F1115"/>
          <w:highlight w:val="none"/>
          <w:shd w:val="clear" w:color="auto" w:fill="FFFFFF"/>
        </w:rPr>
      </w:pPr>
      <w:r>
        <w:rPr>
          <w:rFonts w:hint="default" w:ascii="Times New Roman" w:hAnsi="Times New Roman" w:eastAsia="宋体" w:cs="Times New Roman"/>
          <w:color w:val="0F1115"/>
          <w:highlight w:val="none"/>
          <w:shd w:val="clear" w:color="auto" w:fill="FFFFFF"/>
        </w:rPr>
        <w:t>易损件清单（含名称、型号、规格、预估寿命、更换周期）；</w:t>
      </w:r>
      <w:r>
        <w:rPr>
          <w:rFonts w:hint="default" w:ascii="Times New Roman" w:hAnsi="Times New Roman" w:eastAsia="宋体" w:cs="Times New Roman"/>
          <w:color w:val="0F1115"/>
          <w:highlight w:val="none"/>
          <w:shd w:val="clear" w:color="auto" w:fill="FFFFFF"/>
        </w:rPr>
        <w:br w:type="textWrapping"/>
      </w:r>
      <w:r>
        <w:rPr>
          <w:rFonts w:hint="default" w:ascii="Times New Roman" w:hAnsi="Times New Roman" w:eastAsia="宋体" w:cs="Times New Roman"/>
          <w:color w:val="0F1115"/>
          <w:highlight w:val="none"/>
          <w:shd w:val="clear" w:color="auto" w:fill="FFFFFF"/>
        </w:rPr>
        <w:t>（2）关键耗材清单及采购渠道；</w:t>
      </w:r>
      <w:r>
        <w:rPr>
          <w:rFonts w:hint="default" w:ascii="Times New Roman" w:hAnsi="Times New Roman" w:eastAsia="宋体" w:cs="Times New Roman"/>
          <w:color w:val="0F1115"/>
          <w:highlight w:val="none"/>
          <w:shd w:val="clear" w:color="auto" w:fill="FFFFFF"/>
        </w:rPr>
        <w:br w:type="textWrapping"/>
      </w:r>
      <w:r>
        <w:rPr>
          <w:rFonts w:hint="default" w:ascii="Times New Roman" w:hAnsi="Times New Roman" w:eastAsia="宋体" w:cs="Times New Roman"/>
          <w:color w:val="0F1115"/>
          <w:highlight w:val="none"/>
          <w:shd w:val="clear" w:color="auto" w:fill="FFFFFF"/>
        </w:rPr>
        <w:t>（3）备品备件报价单（保修期外维修参考）。</w:t>
      </w:r>
    </w:p>
    <w:p w14:paraId="431B3E5F">
      <w:pPr>
        <w:pStyle w:val="23"/>
        <w:numPr>
          <w:ilvl w:val="255"/>
          <w:numId w:val="0"/>
        </w:numPr>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rPr>
      </w:pPr>
      <w:r>
        <w:rPr>
          <w:rFonts w:hint="default" w:ascii="Times New Roman" w:hAnsi="Times New Roman" w:eastAsia="宋体" w:cs="Times New Roman"/>
          <w:color w:val="0F1115"/>
          <w:highlight w:val="none"/>
          <w:shd w:val="clear" w:color="auto" w:fill="FFFFFF"/>
        </w:rPr>
        <w:t>投标人应在设备生命周期内保证备品备件供应，如</w:t>
      </w:r>
      <w:r>
        <w:rPr>
          <w:rFonts w:hint="default" w:ascii="Times New Roman" w:hAnsi="Times New Roman" w:eastAsia="宋体" w:cs="Times New Roman"/>
          <w:color w:val="0F1115"/>
          <w:highlight w:val="none"/>
          <w:shd w:val="clear" w:color="auto" w:fill="FFFFFF"/>
          <w:lang w:val="en-US" w:eastAsia="zh-CN"/>
        </w:rPr>
        <w:t>将</w:t>
      </w:r>
      <w:r>
        <w:rPr>
          <w:rFonts w:hint="default" w:ascii="Times New Roman" w:hAnsi="Times New Roman" w:eastAsia="宋体" w:cs="Times New Roman"/>
          <w:color w:val="0F1115"/>
          <w:highlight w:val="none"/>
          <w:shd w:val="clear" w:color="auto" w:fill="FFFFFF"/>
        </w:rPr>
        <w:t>停产</w:t>
      </w:r>
      <w:r>
        <w:rPr>
          <w:rFonts w:hint="default" w:ascii="Times New Roman" w:hAnsi="Times New Roman" w:eastAsia="宋体" w:cs="Times New Roman"/>
          <w:color w:val="0F1115"/>
          <w:highlight w:val="none"/>
          <w:shd w:val="clear" w:color="auto" w:fill="FFFFFF"/>
          <w:lang w:eastAsia="zh-CN"/>
        </w:rPr>
        <w:t>的，</w:t>
      </w:r>
      <w:r>
        <w:rPr>
          <w:rFonts w:hint="default" w:ascii="Times New Roman" w:hAnsi="Times New Roman" w:eastAsia="宋体" w:cs="Times New Roman"/>
          <w:color w:val="0F1115"/>
          <w:highlight w:val="none"/>
          <w:shd w:val="clear" w:color="auto" w:fill="FFFFFF"/>
        </w:rPr>
        <w:t>应提前6个月书面通知采购人，并提供替代方案。</w:t>
      </w:r>
    </w:p>
    <w:p w14:paraId="4F7339FA">
      <w:pPr>
        <w:pStyle w:val="23"/>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shd w:val="clear" w:color="auto" w:fill="FFFFFF"/>
        </w:rPr>
      </w:pPr>
    </w:p>
    <w:p w14:paraId="2F819DDC">
      <w:pPr>
        <w:pStyle w:val="23"/>
        <w:shd w:val="clear" w:color="auto" w:fill="FFFFFF"/>
        <w:spacing w:before="0" w:beforeAutospacing="0" w:after="0" w:afterAutospacing="0" w:line="360" w:lineRule="auto"/>
        <w:jc w:val="both"/>
        <w:outlineLvl w:val="3"/>
        <w:rPr>
          <w:rFonts w:hint="default" w:ascii="Times New Roman" w:hAnsi="Times New Roman" w:eastAsia="宋体" w:cs="Times New Roman"/>
          <w:color w:val="0F1115"/>
          <w:highlight w:val="none"/>
          <w:shd w:val="clear" w:color="auto" w:fill="FFFFFF"/>
        </w:rPr>
      </w:pPr>
      <w:r>
        <w:rPr>
          <w:rFonts w:hint="default" w:ascii="Times New Roman" w:hAnsi="Times New Roman" w:eastAsia="宋体" w:cs="Times New Roman"/>
          <w:color w:val="0F1115"/>
          <w:highlight w:val="none"/>
          <w:shd w:val="clear" w:color="auto" w:fill="FFFFFF"/>
        </w:rPr>
        <w:t>★（六）档案资料</w:t>
      </w:r>
    </w:p>
    <w:p w14:paraId="7259008F">
      <w:pPr>
        <w:pStyle w:val="23"/>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shd w:val="clear" w:color="auto" w:fill="FFFFFF"/>
        </w:rPr>
      </w:pPr>
      <w:r>
        <w:rPr>
          <w:rFonts w:hint="default" w:ascii="Times New Roman" w:hAnsi="Times New Roman" w:eastAsia="宋体" w:cs="Times New Roman"/>
          <w:color w:val="0F1115"/>
          <w:highlight w:val="none"/>
          <w:shd w:val="clear" w:color="auto" w:fill="FFFFFF"/>
        </w:rPr>
        <w:t>1、定制货物综合验收时，投标人应按照采购人档案管理的要求，提交合同履行过程中产生的档案资料等文件，投标人无正当理由拒不提交的，采购人有权暂不组织对本合同货物验收且不视为采购人违约；</w:t>
      </w:r>
    </w:p>
    <w:p w14:paraId="14CCCBFF">
      <w:pPr>
        <w:pStyle w:val="23"/>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shd w:val="clear" w:color="auto" w:fill="FFFFFF"/>
        </w:rPr>
      </w:pPr>
      <w:r>
        <w:rPr>
          <w:rFonts w:hint="default" w:ascii="Times New Roman" w:hAnsi="Times New Roman" w:eastAsia="宋体" w:cs="Times New Roman"/>
          <w:color w:val="0F1115"/>
          <w:highlight w:val="none"/>
          <w:shd w:val="clear" w:color="auto" w:fill="FFFFFF"/>
        </w:rPr>
        <w:t>2、投标人配合采购人进行相关平台项目整体联合调试时，应按照质量控制计划制定检验规程并建立质量跟踪档案。所有检验和测量结果应如实记录在质量跟踪档案中。待项目整体联合调试完成后，将质量跟踪档案的原件交付给采购人。</w:t>
      </w:r>
    </w:p>
    <w:p w14:paraId="252E70F5">
      <w:pPr>
        <w:pStyle w:val="23"/>
        <w:shd w:val="clear" w:color="auto" w:fill="FFFFFF"/>
        <w:spacing w:before="0" w:beforeAutospacing="0" w:after="0" w:afterAutospacing="0" w:line="360" w:lineRule="auto"/>
        <w:jc w:val="both"/>
        <w:outlineLvl w:val="3"/>
        <w:rPr>
          <w:rFonts w:hint="default" w:ascii="Times New Roman" w:hAnsi="Times New Roman" w:eastAsia="宋体" w:cs="Times New Roman"/>
          <w:color w:val="0F1115"/>
          <w:highlight w:val="none"/>
          <w:shd w:val="clear" w:color="auto" w:fill="FFFFFF"/>
        </w:rPr>
      </w:pPr>
      <w:r>
        <w:rPr>
          <w:rFonts w:hint="default" w:ascii="Times New Roman" w:hAnsi="Times New Roman" w:eastAsia="宋体" w:cs="Times New Roman"/>
          <w:color w:val="0F1115"/>
          <w:highlight w:val="none"/>
          <w:shd w:val="clear" w:color="auto" w:fill="FFFFFF"/>
        </w:rPr>
        <w:t>★（七）预付款保函</w:t>
      </w:r>
    </w:p>
    <w:p w14:paraId="6C9B8FEA">
      <w:pPr>
        <w:pStyle w:val="23"/>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shd w:val="clear" w:color="auto" w:fill="FFFFFF"/>
          <w:lang w:val="en-US" w:eastAsia="zh-CN"/>
        </w:rPr>
      </w:pPr>
      <w:r>
        <w:rPr>
          <w:rFonts w:hint="default" w:ascii="Times New Roman" w:hAnsi="Times New Roman" w:eastAsia="宋体" w:cs="Times New Roman"/>
          <w:color w:val="0F1115"/>
          <w:highlight w:val="none"/>
          <w:shd w:val="clear" w:color="auto" w:fill="FFFFFF"/>
        </w:rPr>
        <w:t>1、投标人应按采购人的要求，在采购人支付预付款前向采购人出具同等金额、不可撤销、见索即付的预付款保函，预付款保函应由银行开具，保函格式应采用采购人认可的格式，开具保函所产生的费用由投标人承担。</w:t>
      </w:r>
      <w:r>
        <w:rPr>
          <w:rFonts w:hint="default" w:ascii="Times New Roman" w:hAnsi="Times New Roman" w:eastAsia="宋体" w:cs="Times New Roman"/>
          <w:color w:val="0F1115"/>
          <w:highlight w:val="none"/>
          <w:shd w:val="clear" w:color="auto" w:fill="FFFFFF"/>
          <w:lang w:val="en-US" w:eastAsia="zh-CN"/>
        </w:rPr>
        <w:t>保函应担保投标人所有的违约责任、对采购人损失的赔偿款或补偿款以及采购人对投标人的索赔。</w:t>
      </w:r>
    </w:p>
    <w:p w14:paraId="70A55970">
      <w:pPr>
        <w:pStyle w:val="23"/>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shd w:val="clear" w:color="auto" w:fill="FFFFFF"/>
        </w:rPr>
      </w:pPr>
      <w:r>
        <w:rPr>
          <w:rFonts w:hint="default" w:ascii="Times New Roman" w:hAnsi="Times New Roman" w:eastAsia="宋体" w:cs="Times New Roman"/>
          <w:color w:val="0F1115"/>
          <w:highlight w:val="none"/>
          <w:shd w:val="clear" w:color="auto" w:fill="FFFFFF"/>
        </w:rPr>
        <w:t>2、预付款保函的有效期须至所有货物、服务综合验收合格为止</w:t>
      </w:r>
      <w:r>
        <w:rPr>
          <w:rFonts w:hint="default" w:ascii="Times New Roman" w:hAnsi="Times New Roman" w:eastAsia="宋体" w:cs="Times New Roman"/>
          <w:color w:val="0F1115"/>
          <w:kern w:val="0"/>
          <w:sz w:val="24"/>
          <w:szCs w:val="24"/>
          <w:highlight w:val="none"/>
          <w:shd w:val="clear" w:color="auto" w:fill="FFFFFF"/>
          <w:lang w:eastAsia="zh"/>
        </w:rPr>
        <w:t>(如货物、服务涉及二次搬迁或者相关平台联合调试工作的，则</w:t>
      </w:r>
      <w:r>
        <w:rPr>
          <w:rFonts w:hint="default" w:ascii="Times New Roman" w:hAnsi="Times New Roman" w:eastAsia="宋体" w:cs="Times New Roman"/>
          <w:color w:val="0F1115"/>
          <w:kern w:val="0"/>
          <w:sz w:val="24"/>
          <w:szCs w:val="24"/>
          <w:highlight w:val="none"/>
          <w:shd w:val="clear" w:color="auto" w:fill="FFFFFF"/>
          <w:lang w:val="en-US" w:eastAsia="zh-CN"/>
        </w:rPr>
        <w:t>预付款</w:t>
      </w:r>
      <w:r>
        <w:rPr>
          <w:rFonts w:hint="default" w:ascii="Times New Roman" w:hAnsi="Times New Roman" w:eastAsia="宋体" w:cs="Times New Roman"/>
          <w:color w:val="0F1115"/>
          <w:kern w:val="0"/>
          <w:sz w:val="24"/>
          <w:szCs w:val="24"/>
          <w:highlight w:val="none"/>
          <w:shd w:val="clear" w:color="auto" w:fill="FFFFFF"/>
          <w:lang w:eastAsia="zh"/>
        </w:rPr>
        <w:t>保函的有效期须至中标人完成货物、服务的二次搬迁或相关平台联合调试工作并经采购人书面确认时为止）</w:t>
      </w:r>
      <w:r>
        <w:rPr>
          <w:rFonts w:hint="default" w:ascii="Times New Roman" w:hAnsi="Times New Roman" w:eastAsia="宋体" w:cs="Times New Roman"/>
          <w:color w:val="0F1115"/>
          <w:highlight w:val="none"/>
          <w:shd w:val="clear" w:color="auto" w:fill="FFFFFF"/>
        </w:rPr>
        <w:t>。如预付款保函的有效期在</w:t>
      </w:r>
      <w:r>
        <w:rPr>
          <w:rFonts w:hint="default" w:ascii="Times New Roman" w:hAnsi="Times New Roman" w:eastAsia="宋体" w:cs="Times New Roman"/>
          <w:color w:val="0F1115"/>
          <w:highlight w:val="none"/>
          <w:shd w:val="clear" w:color="auto" w:fill="FFFFFF"/>
          <w:lang w:val="en-US" w:eastAsia="zh-CN"/>
        </w:rPr>
        <w:t>上述期限</w:t>
      </w:r>
      <w:r>
        <w:rPr>
          <w:rFonts w:hint="default" w:ascii="Times New Roman" w:hAnsi="Times New Roman" w:eastAsia="宋体" w:cs="Times New Roman"/>
          <w:color w:val="0F1115"/>
          <w:highlight w:val="none"/>
          <w:shd w:val="clear" w:color="auto" w:fill="FFFFFF"/>
        </w:rPr>
        <w:t>前到期的，投标人应在到期前提前30天向银行申请换开同等效力的预付款保函，费用由投标人承担。</w:t>
      </w:r>
    </w:p>
    <w:p w14:paraId="7CA9D552">
      <w:pPr>
        <w:pStyle w:val="23"/>
        <w:shd w:val="clear" w:color="auto" w:fill="FFFFFF"/>
        <w:spacing w:before="0" w:beforeAutospacing="0" w:after="0" w:afterAutospacing="0" w:line="360" w:lineRule="auto"/>
        <w:ind w:firstLine="480" w:firstLineChars="200"/>
        <w:jc w:val="both"/>
        <w:rPr>
          <w:rFonts w:hint="default" w:ascii="Times New Roman" w:hAnsi="Times New Roman" w:eastAsia="宋体" w:cs="Times New Roman"/>
          <w:color w:val="0F1115"/>
          <w:highlight w:val="none"/>
          <w:shd w:val="clear" w:color="auto" w:fill="FFFFFF"/>
          <w:lang w:val="en-US" w:eastAsia="zh-CN"/>
        </w:rPr>
      </w:pPr>
      <w:r>
        <w:rPr>
          <w:rFonts w:hint="default" w:ascii="Times New Roman" w:hAnsi="Times New Roman" w:eastAsia="宋体" w:cs="Times New Roman"/>
          <w:color w:val="0F1115"/>
          <w:highlight w:val="none"/>
          <w:shd w:val="clear" w:color="auto" w:fill="FFFFFF"/>
        </w:rPr>
        <w:t>3、若投标人未能按时提交符合约定的预付款保函</w:t>
      </w:r>
      <w:r>
        <w:rPr>
          <w:rFonts w:hint="default" w:ascii="Times New Roman" w:hAnsi="Times New Roman" w:eastAsia="宋体" w:cs="Times New Roman"/>
          <w:kern w:val="0"/>
          <w:highlight w:val="none"/>
          <w:lang w:val="en-US" w:eastAsia="zh-CN"/>
        </w:rPr>
        <w:t>或</w:t>
      </w:r>
      <w:r>
        <w:rPr>
          <w:rFonts w:hint="default" w:ascii="Times New Roman" w:hAnsi="Times New Roman" w:eastAsia="宋体" w:cs="Times New Roman"/>
          <w:kern w:val="0"/>
          <w:highlight w:val="none"/>
          <w:lang w:eastAsia="zh"/>
        </w:rPr>
        <w:t>有效期届满未按约定换开保函</w:t>
      </w:r>
      <w:r>
        <w:rPr>
          <w:rFonts w:hint="default" w:ascii="Times New Roman" w:hAnsi="Times New Roman" w:eastAsia="宋体" w:cs="Times New Roman"/>
          <w:color w:val="0F1115"/>
          <w:highlight w:val="none"/>
          <w:shd w:val="clear" w:color="auto" w:fill="FFFFFF"/>
        </w:rPr>
        <w:t>，采购人有权顺延支付预付款</w:t>
      </w:r>
      <w:r>
        <w:rPr>
          <w:rFonts w:hint="default" w:ascii="Times New Roman" w:hAnsi="Times New Roman" w:eastAsia="宋体" w:cs="Times New Roman"/>
          <w:color w:val="0F1115"/>
          <w:highlight w:val="none"/>
          <w:shd w:val="clear" w:color="auto" w:fill="FFFFFF"/>
          <w:lang w:val="en-US" w:eastAsia="zh-CN"/>
        </w:rPr>
        <w:t>或其他款项</w:t>
      </w:r>
      <w:r>
        <w:rPr>
          <w:rFonts w:hint="default" w:ascii="Times New Roman" w:hAnsi="Times New Roman" w:eastAsia="宋体" w:cs="Times New Roman"/>
          <w:color w:val="0F1115"/>
          <w:highlight w:val="none"/>
          <w:shd w:val="clear" w:color="auto" w:fill="FFFFFF"/>
        </w:rPr>
        <w:t>且不视为违约；同时，采购人有权追究乙方违约责任。</w:t>
      </w:r>
    </w:p>
    <w:p w14:paraId="159B7303">
      <w:pPr>
        <w:pStyle w:val="23"/>
        <w:shd w:val="clear" w:color="auto" w:fill="FFFFFF"/>
        <w:spacing w:before="0" w:after="0" w:line="360" w:lineRule="auto"/>
        <w:jc w:val="both"/>
        <w:outlineLvl w:val="3"/>
        <w:rPr>
          <w:rFonts w:hint="default" w:ascii="Times New Roman" w:hAnsi="Times New Roman" w:eastAsia="宋体" w:cs="Times New Roman"/>
          <w:color w:val="0F1115"/>
          <w:highlight w:val="none"/>
          <w:shd w:val="clear" w:color="auto" w:fill="FFFFFF"/>
        </w:rPr>
      </w:pPr>
      <w:r>
        <w:rPr>
          <w:rFonts w:hint="default" w:ascii="Times New Roman" w:hAnsi="Times New Roman" w:eastAsia="宋体" w:cs="Times New Roman"/>
          <w:color w:val="0F1115"/>
          <w:highlight w:val="none"/>
          <w:shd w:val="clear" w:color="auto" w:fill="FFFFFF"/>
        </w:rPr>
        <w:t>★（</w:t>
      </w:r>
      <w:r>
        <w:rPr>
          <w:rFonts w:hint="default" w:ascii="Times New Roman" w:hAnsi="Times New Roman" w:eastAsia="宋体" w:cs="Times New Roman"/>
          <w:color w:val="0F1115"/>
          <w:highlight w:val="none"/>
          <w:shd w:val="clear" w:color="auto" w:fill="FFFFFF"/>
          <w:lang w:val="en-US" w:eastAsia="zh-CN"/>
        </w:rPr>
        <w:t>八</w:t>
      </w:r>
      <w:r>
        <w:rPr>
          <w:rFonts w:hint="default" w:ascii="Times New Roman" w:hAnsi="Times New Roman" w:eastAsia="宋体" w:cs="Times New Roman"/>
          <w:color w:val="0F1115"/>
          <w:highlight w:val="none"/>
          <w:shd w:val="clear" w:color="auto" w:fill="FFFFFF"/>
        </w:rPr>
        <w:t>）付款方式</w:t>
      </w:r>
    </w:p>
    <w:p w14:paraId="53CEB106">
      <w:pPr>
        <w:spacing w:line="360" w:lineRule="auto"/>
        <w:ind w:firstLine="480" w:firstLineChars="200"/>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1、分期付款：</w:t>
      </w:r>
    </w:p>
    <w:p w14:paraId="43595898">
      <w:pPr>
        <w:numPr>
          <w:ilvl w:val="255"/>
          <w:numId w:val="0"/>
        </w:numPr>
        <w:spacing w:line="360" w:lineRule="auto"/>
        <w:ind w:firstLine="480" w:firstLineChars="200"/>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（1）合同</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成立并生效之日起</w:t>
      </w:r>
      <w:bookmarkStart w:id="17" w:name="OLE_LINK22"/>
      <w:bookmarkStart w:id="18" w:name="OLE_LINK23"/>
      <w:r>
        <w:rPr>
          <w:rFonts w:hint="default" w:ascii="Times New Roman" w:hAnsi="Times New Roman" w:eastAsia="宋体" w:cs="Times New Roman"/>
          <w:color w:val="000000" w:themeColor="text1"/>
          <w:sz w:val="24"/>
          <w:szCs w:val="24"/>
          <w:highlight w:val="none"/>
          <w14:textFill>
            <w14:solidFill>
              <w14:schemeClr w14:val="tx1"/>
            </w14:solidFill>
          </w14:textFill>
        </w:rPr>
        <w:t>1</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5</w:t>
      </w:r>
      <w:r>
        <w:rPr>
          <w:rFonts w:hint="default" w:ascii="Times New Roman" w:hAnsi="Times New Roman" w:eastAsia="宋体" w:cs="Times New Roman"/>
          <w:color w:val="000000" w:themeColor="text1"/>
          <w:sz w:val="24"/>
          <w:szCs w:val="24"/>
          <w:highlight w:val="none"/>
          <w14:textFill>
            <w14:solidFill>
              <w14:schemeClr w14:val="tx1"/>
            </w14:solidFill>
          </w14:textFill>
        </w:rPr>
        <w:t>个工作日内</w:t>
      </w:r>
      <w:bookmarkEnd w:id="17"/>
      <w:bookmarkEnd w:id="18"/>
      <w:r>
        <w:rPr>
          <w:rFonts w:hint="default" w:ascii="Times New Roman" w:hAnsi="Times New Roman" w:eastAsia="宋体" w:cs="Times New Roman"/>
          <w:color w:val="000000" w:themeColor="text1"/>
          <w:sz w:val="24"/>
          <w:szCs w:val="24"/>
          <w:highlight w:val="none"/>
          <w14:textFill>
            <w14:solidFill>
              <w14:schemeClr w14:val="tx1"/>
            </w14:solidFill>
          </w14:textFill>
        </w:rPr>
        <w:t>，投标人向采购人提供合同总金额30%的预付款银行保函，</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并提交相应金额的有效发票后10个工作日内，</w:t>
      </w:r>
      <w:r>
        <w:rPr>
          <w:rFonts w:hint="default" w:ascii="Times New Roman" w:hAnsi="Times New Roman" w:eastAsia="宋体" w:cs="Times New Roman"/>
          <w:color w:val="000000" w:themeColor="text1"/>
          <w:sz w:val="24"/>
          <w:szCs w:val="24"/>
          <w:highlight w:val="none"/>
          <w14:textFill>
            <w14:solidFill>
              <w14:schemeClr w14:val="tx1"/>
            </w14:solidFill>
          </w14:textFill>
        </w:rPr>
        <w:t>采购人向投标人支付合同总额30 %的预付款。</w:t>
      </w:r>
    </w:p>
    <w:p w14:paraId="4B8494DF">
      <w:pPr>
        <w:numPr>
          <w:ilvl w:val="255"/>
          <w:numId w:val="0"/>
        </w:numPr>
        <w:spacing w:line="360" w:lineRule="auto"/>
        <w:ind w:firstLine="480" w:firstLineChars="200"/>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2</w:t>
      </w:r>
      <w:r>
        <w:rPr>
          <w:rFonts w:hint="default" w:ascii="Times New Roman" w:hAnsi="Times New Roman" w:eastAsia="宋体" w:cs="Times New Roman"/>
          <w:color w:val="000000" w:themeColor="text1"/>
          <w:sz w:val="24"/>
          <w:szCs w:val="24"/>
          <w:highlight w:val="none"/>
          <w14:textFill>
            <w14:solidFill>
              <w14:schemeClr w14:val="tx1"/>
            </w14:solidFill>
          </w14:textFill>
        </w:rPr>
        <w:t>）</w:t>
      </w:r>
      <w:bookmarkStart w:id="19" w:name="OLE_LINK2"/>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投标人完成样本预处理工作站、全自动提取模块单机等合同项下所有货物、软件的交付</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w:t>
      </w:r>
      <w:bookmarkStart w:id="20" w:name="OLE_LINK9"/>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并经采购人确认和提交相应金额的有效发票后10个工作日内，</w:t>
      </w:r>
      <w:bookmarkEnd w:id="20"/>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采购人支付合同总金额50%的货款</w:t>
      </w:r>
      <w:r>
        <w:rPr>
          <w:rFonts w:hint="default" w:ascii="Times New Roman" w:hAnsi="Times New Roman" w:eastAsia="宋体" w:cs="Times New Roman"/>
          <w:color w:val="000000" w:themeColor="text1"/>
          <w:sz w:val="24"/>
          <w:szCs w:val="24"/>
          <w:highlight w:val="none"/>
          <w14:textFill>
            <w14:solidFill>
              <w14:schemeClr w14:val="tx1"/>
            </w14:solidFill>
          </w14:textFill>
        </w:rPr>
        <w:t>。</w:t>
      </w:r>
    </w:p>
    <w:bookmarkEnd w:id="19"/>
    <w:p w14:paraId="15E1C85F">
      <w:pPr>
        <w:numPr>
          <w:ilvl w:val="255"/>
          <w:numId w:val="0"/>
        </w:numPr>
        <w:spacing w:line="360" w:lineRule="auto"/>
        <w:ind w:firstLine="480" w:firstLineChars="200"/>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3</w:t>
      </w:r>
      <w:r>
        <w:rPr>
          <w:rFonts w:hint="default" w:ascii="Times New Roman" w:hAnsi="Times New Roman" w:eastAsia="宋体" w:cs="Times New Roman"/>
          <w:color w:val="000000" w:themeColor="text1"/>
          <w:sz w:val="24"/>
          <w:szCs w:val="24"/>
          <w:highlight w:val="none"/>
          <w14:textFill>
            <w14:solidFill>
              <w14:schemeClr w14:val="tx1"/>
            </w14:solidFill>
          </w14:textFill>
        </w:rPr>
        <w:t>）</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投标人完成所有设备、软件系统的联调、生物性样本测试，并通过综合验收和提交相应金额的发票后10个工作日内，</w:t>
      </w:r>
      <w:r>
        <w:rPr>
          <w:rFonts w:hint="default" w:ascii="Times New Roman" w:hAnsi="Times New Roman" w:eastAsia="宋体" w:cs="Times New Roman"/>
          <w:color w:val="000000" w:themeColor="text1"/>
          <w:sz w:val="24"/>
          <w:szCs w:val="24"/>
          <w:highlight w:val="none"/>
          <w14:textFill>
            <w14:solidFill>
              <w14:schemeClr w14:val="tx1"/>
            </w14:solidFill>
          </w14:textFill>
        </w:rPr>
        <w:t>采购人向投标人支付合同总额</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10</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 %的</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货款</w:t>
      </w:r>
      <w:r>
        <w:rPr>
          <w:rFonts w:hint="default" w:ascii="Times New Roman" w:hAnsi="Times New Roman" w:eastAsia="宋体" w:cs="Times New Roman"/>
          <w:color w:val="000000" w:themeColor="text1"/>
          <w:sz w:val="24"/>
          <w:szCs w:val="24"/>
          <w:highlight w:val="none"/>
          <w14:textFill>
            <w14:solidFill>
              <w14:schemeClr w14:val="tx1"/>
            </w14:solidFill>
          </w14:textFill>
        </w:rPr>
        <w:t>。</w:t>
      </w:r>
    </w:p>
    <w:p w14:paraId="5AE730BB">
      <w:pPr>
        <w:numPr>
          <w:ilvl w:val="-1"/>
          <w:numId w:val="0"/>
        </w:numPr>
        <w:spacing w:line="360" w:lineRule="auto"/>
        <w:ind w:firstLine="480" w:firstLineChars="200"/>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4</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w:t>
      </w:r>
      <w:r>
        <w:rPr>
          <w:rFonts w:hint="default" w:ascii="Times New Roman" w:hAnsi="Times New Roman" w:eastAsia="宋体" w:cs="Times New Roman"/>
          <w:color w:val="000000" w:themeColor="text1"/>
          <w:sz w:val="24"/>
          <w:szCs w:val="24"/>
          <w:highlight w:val="none"/>
          <w14:textFill>
            <w14:solidFill>
              <w14:schemeClr w14:val="tx1"/>
            </w14:solidFill>
          </w14:textFill>
        </w:rPr>
        <w:t>在投标人按采购人的要求提供定制货物二次搬迁、移机、安装、调试工作（如有），并按采购人要求完成</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相关项目</w:t>
      </w:r>
      <w:r>
        <w:rPr>
          <w:rFonts w:hint="default" w:ascii="Times New Roman" w:hAnsi="Times New Roman" w:eastAsia="宋体" w:cs="Times New Roman"/>
          <w:color w:val="000000" w:themeColor="text1"/>
          <w:sz w:val="24"/>
          <w:szCs w:val="24"/>
          <w:highlight w:val="none"/>
          <w14:textFill>
            <w14:solidFill>
              <w14:schemeClr w14:val="tx1"/>
            </w14:solidFill>
          </w14:textFill>
        </w:rPr>
        <w:t>整体联合调试服务且经采购人书面确认后10个工作日内，采购人支付合同总额10%的尾款。</w:t>
      </w:r>
    </w:p>
    <w:p w14:paraId="2D6856F5">
      <w:pPr>
        <w:numPr>
          <w:ilvl w:val="255"/>
          <w:numId w:val="0"/>
        </w:numPr>
        <w:spacing w:line="360" w:lineRule="auto"/>
        <w:ind w:firstLine="480" w:firstLineChars="200"/>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2、发票：采购人每次付款前，投标人应开具相应金额的有效发票给采购人。否则，采购人有权将付款期限顺延且不构成违约。</w:t>
      </w:r>
    </w:p>
    <w:p w14:paraId="16BD2A33">
      <w:pPr>
        <w:numPr>
          <w:ilvl w:val="255"/>
          <w:numId w:val="0"/>
        </w:numPr>
        <w:spacing w:line="360" w:lineRule="auto"/>
        <w:ind w:firstLine="480" w:firstLineChars="200"/>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3、支付方式：采用支票、银行汇付（含电汇）、银行转账等形式。</w:t>
      </w:r>
    </w:p>
    <w:p w14:paraId="39226F1F">
      <w:pPr>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color w:val="000000" w:themeColor="text1"/>
          <w:sz w:val="24"/>
          <w:szCs w:val="24"/>
          <w:highlight w:val="none"/>
          <w14:textFill>
            <w14:solidFill>
              <w14:schemeClr w14:val="tx1"/>
            </w14:solidFill>
          </w14:textFill>
        </w:rPr>
        <w:t>4、付款顺延：若采购人支付当期款项的期限届满时，相关财政资金尚未获得正式批复，采购人可顺延支付该笔款项，顺延期限以资金批复到位时间为准，采购人不承担因此产生的逾期支付违约责任。</w:t>
      </w:r>
    </w:p>
    <w:p w14:paraId="681961B0">
      <w:pPr>
        <w:numPr>
          <w:ilvl w:val="255"/>
          <w:numId w:val="0"/>
        </w:numPr>
        <w:spacing w:line="360" w:lineRule="auto"/>
        <w:outlineLvl w:val="3"/>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w:t>
      </w:r>
      <w:r>
        <w:rPr>
          <w:rFonts w:hint="default" w:ascii="Times New Roman" w:hAnsi="Times New Roman" w:eastAsia="宋体" w:cs="Times New Roman"/>
          <w:sz w:val="24"/>
          <w:szCs w:val="24"/>
          <w:highlight w:val="none"/>
          <w:lang w:val="en-US" w:eastAsia="zh-CN"/>
        </w:rPr>
        <w:t>九</w:t>
      </w:r>
      <w:r>
        <w:rPr>
          <w:rFonts w:hint="default" w:ascii="Times New Roman" w:hAnsi="Times New Roman" w:eastAsia="宋体" w:cs="Times New Roman"/>
          <w:sz w:val="24"/>
          <w:szCs w:val="24"/>
          <w:highlight w:val="none"/>
        </w:rPr>
        <w:t>）知识产权要求</w:t>
      </w:r>
    </w:p>
    <w:p w14:paraId="70883510">
      <w:pPr>
        <w:spacing w:line="360" w:lineRule="auto"/>
        <w:ind w:firstLine="480" w:firstLineChars="200"/>
        <w:rPr>
          <w:rFonts w:hint="default" w:ascii="Times New Roman" w:hAnsi="Times New Roman" w:eastAsia="宋体" w:cs="Times New Roman"/>
          <w:color w:val="000000" w:themeColor="text1"/>
          <w:sz w:val="24"/>
          <w:highlight w:val="none"/>
          <w14:textFill>
            <w14:solidFill>
              <w14:schemeClr w14:val="tx1"/>
            </w14:solidFill>
          </w14:textFill>
        </w:rPr>
      </w:pPr>
      <w:bookmarkStart w:id="21" w:name="OLE_LINK12"/>
      <w:r>
        <w:rPr>
          <w:rFonts w:hint="default" w:ascii="Times New Roman" w:hAnsi="Times New Roman" w:eastAsia="宋体" w:cs="Times New Roman"/>
          <w:color w:val="000000" w:themeColor="text1"/>
          <w:sz w:val="24"/>
          <w:highlight w:val="none"/>
          <w14:textFill>
            <w14:solidFill>
              <w14:schemeClr w14:val="tx1"/>
            </w14:solidFill>
          </w14:textFill>
        </w:rPr>
        <w:t>1、</w:t>
      </w: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投标人</w:t>
      </w:r>
      <w:r>
        <w:rPr>
          <w:rFonts w:hint="default" w:ascii="Times New Roman" w:hAnsi="Times New Roman" w:eastAsia="宋体" w:cs="Times New Roman"/>
          <w:color w:val="000000" w:themeColor="text1"/>
          <w:sz w:val="24"/>
          <w:highlight w:val="none"/>
          <w14:textFill>
            <w14:solidFill>
              <w14:schemeClr w14:val="tx1"/>
            </w14:solidFill>
          </w14:textFill>
        </w:rPr>
        <w:t>应保证本项目技术、货物、服务或其任何一部分（含配套软件系统）不会产生因第三方提出侵犯其专利权、商标权或其他知识产权而引起的法律和经济纠纷。</w:t>
      </w: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投标人</w:t>
      </w:r>
      <w:r>
        <w:rPr>
          <w:rFonts w:hint="default" w:ascii="Times New Roman" w:hAnsi="Times New Roman" w:eastAsia="宋体" w:cs="Times New Roman"/>
          <w:color w:val="000000" w:themeColor="text1"/>
          <w:sz w:val="24"/>
          <w:highlight w:val="none"/>
          <w14:textFill>
            <w14:solidFill>
              <w14:schemeClr w14:val="tx1"/>
            </w14:solidFill>
          </w14:textFill>
        </w:rPr>
        <w:t>保证采购人有权根据本项目约定使用</w:t>
      </w:r>
      <w:r>
        <w:rPr>
          <w:rFonts w:hint="default" w:ascii="Times New Roman" w:hAnsi="Times New Roman" w:eastAsia="宋体" w:cs="Times New Roman"/>
          <w:color w:val="000000" w:themeColor="text1"/>
          <w:sz w:val="24"/>
          <w:highlight w:val="none"/>
          <w:lang w:eastAsia="zh-CN"/>
          <w14:textFill>
            <w14:solidFill>
              <w14:schemeClr w14:val="tx1"/>
            </w14:solidFill>
          </w14:textFill>
        </w:rPr>
        <w:t>投标人</w:t>
      </w:r>
      <w:r>
        <w:rPr>
          <w:rFonts w:hint="default" w:ascii="Times New Roman" w:hAnsi="Times New Roman" w:eastAsia="宋体" w:cs="Times New Roman"/>
          <w:color w:val="000000" w:themeColor="text1"/>
          <w:sz w:val="24"/>
          <w:highlight w:val="none"/>
          <w14:textFill>
            <w14:solidFill>
              <w14:schemeClr w14:val="tx1"/>
            </w14:solidFill>
          </w14:textFill>
        </w:rPr>
        <w:t>提交的定制货物（含配套软件系统）及服务。如因此导致第三方向采购人主张权利或</w:t>
      </w: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采购人</w:t>
      </w:r>
      <w:r>
        <w:rPr>
          <w:rFonts w:hint="default" w:ascii="Times New Roman" w:hAnsi="Times New Roman" w:eastAsia="宋体" w:cs="Times New Roman"/>
          <w:color w:val="000000" w:themeColor="text1"/>
          <w:sz w:val="24"/>
          <w:highlight w:val="none"/>
          <w14:textFill>
            <w14:solidFill>
              <w14:schemeClr w14:val="tx1"/>
            </w14:solidFill>
          </w14:textFill>
        </w:rPr>
        <w:t>被行政机关作出处罚的，</w:t>
      </w: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投标人</w:t>
      </w:r>
      <w:r>
        <w:rPr>
          <w:rFonts w:hint="default" w:ascii="Times New Roman" w:hAnsi="Times New Roman" w:eastAsia="宋体" w:cs="Times New Roman"/>
          <w:color w:val="000000" w:themeColor="text1"/>
          <w:sz w:val="24"/>
          <w:highlight w:val="none"/>
          <w14:textFill>
            <w14:solidFill>
              <w14:schemeClr w14:val="tx1"/>
            </w14:solidFill>
          </w14:textFill>
        </w:rPr>
        <w:t>承担全部法律责任，包括但不限于负责赔偿采购人因此支付的赔偿款、罚款及产生的损失，且采购人有权立即解除合同并要求</w:t>
      </w:r>
      <w:r>
        <w:rPr>
          <w:rFonts w:hint="default" w:ascii="Times New Roman" w:hAnsi="Times New Roman" w:eastAsia="宋体" w:cs="Times New Roman"/>
          <w:color w:val="000000" w:themeColor="text1"/>
          <w:sz w:val="24"/>
          <w:highlight w:val="none"/>
          <w:lang w:eastAsia="zh-CN"/>
          <w14:textFill>
            <w14:solidFill>
              <w14:schemeClr w14:val="tx1"/>
            </w14:solidFill>
          </w14:textFill>
        </w:rPr>
        <w:t>投标人</w:t>
      </w:r>
      <w:r>
        <w:rPr>
          <w:rFonts w:hint="default" w:ascii="Times New Roman" w:hAnsi="Times New Roman" w:eastAsia="宋体" w:cs="Times New Roman"/>
          <w:color w:val="000000" w:themeColor="text1"/>
          <w:sz w:val="24"/>
          <w:highlight w:val="none"/>
          <w14:textFill>
            <w14:solidFill>
              <w14:schemeClr w14:val="tx1"/>
            </w14:solidFill>
          </w14:textFill>
        </w:rPr>
        <w:t>全额返还采购人已支付的服务费用。</w:t>
      </w:r>
    </w:p>
    <w:p w14:paraId="78918906">
      <w:pPr>
        <w:spacing w:line="360" w:lineRule="auto"/>
        <w:ind w:firstLine="480" w:firstLineChars="200"/>
        <w:rPr>
          <w:rStyle w:val="36"/>
          <w:rFonts w:hint="default" w:ascii="Times New Roman" w:hAnsi="Times New Roman" w:eastAsia="宋体" w:cs="Times New Roman"/>
          <w:highlight w:val="none"/>
        </w:rPr>
      </w:pPr>
      <w:r>
        <w:rPr>
          <w:rFonts w:hint="default" w:ascii="Times New Roman" w:hAnsi="Times New Roman" w:eastAsia="宋体" w:cs="Times New Roman"/>
          <w:color w:val="000000" w:themeColor="text1"/>
          <w:sz w:val="24"/>
          <w:highlight w:val="none"/>
          <w14:textFill>
            <w14:solidFill>
              <w14:schemeClr w14:val="tx1"/>
            </w14:solidFill>
          </w14:textFill>
        </w:rPr>
        <w:t>2、</w:t>
      </w: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投标人</w:t>
      </w:r>
      <w:r>
        <w:rPr>
          <w:rFonts w:hint="default" w:ascii="Times New Roman" w:hAnsi="Times New Roman" w:eastAsia="宋体" w:cs="Times New Roman"/>
          <w:color w:val="000000" w:themeColor="text1"/>
          <w:sz w:val="24"/>
          <w:highlight w:val="none"/>
          <w14:textFill>
            <w14:solidFill>
              <w14:schemeClr w14:val="tx1"/>
            </w14:solidFill>
          </w14:textFill>
        </w:rPr>
        <w:t>在履行本项目过程中使用的自有背景知识产权、技术成果等，应免费授权采购人在本项目设备、仪器及本项目设备的维护升级中永久、不可撤销地使用。</w:t>
      </w:r>
    </w:p>
    <w:p w14:paraId="08252FBF">
      <w:pPr>
        <w:spacing w:line="360" w:lineRule="auto"/>
        <w:ind w:firstLine="480" w:firstLineChars="200"/>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3、采购人向</w:t>
      </w: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投标人</w:t>
      </w:r>
      <w:r>
        <w:rPr>
          <w:rFonts w:hint="default" w:ascii="Times New Roman" w:hAnsi="Times New Roman" w:eastAsia="宋体" w:cs="Times New Roman"/>
          <w:color w:val="000000" w:themeColor="text1"/>
          <w:sz w:val="24"/>
          <w:highlight w:val="none"/>
          <w14:textFill>
            <w14:solidFill>
              <w14:schemeClr w14:val="tx1"/>
            </w14:solidFill>
          </w14:textFill>
        </w:rPr>
        <w:t>提供使用的素材、技术资料、设计方案、图纸等；双方或任一方为检测设备性能所形成的测试结果、成果及相关过程资料，包括但不限于实验过程数据记录、照片、视频、各类实验测试结果、设备性能测试结果、试运行数据和结果等；以及采购人在使用设备过程中形成的资料，包括但不限于实验过程、实验数据、使用信息、实验照片、实验结果、报告、设计方案、图纸等，其知识产权、使用权及相关权益均归采购人所有。未经采购人书面授权，</w:t>
      </w: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投标人</w:t>
      </w:r>
      <w:r>
        <w:rPr>
          <w:rFonts w:hint="default" w:ascii="Times New Roman" w:hAnsi="Times New Roman" w:eastAsia="宋体" w:cs="Times New Roman"/>
          <w:color w:val="000000" w:themeColor="text1"/>
          <w:sz w:val="24"/>
          <w:highlight w:val="none"/>
          <w14:textFill>
            <w14:solidFill>
              <w14:schemeClr w14:val="tx1"/>
            </w14:solidFill>
          </w14:textFill>
        </w:rPr>
        <w:t>不得以任何形式对上述材料、数据、结果及资料进行使用。除为履行本项目目的所必需外，</w:t>
      </w: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投标人</w:t>
      </w:r>
      <w:r>
        <w:rPr>
          <w:rFonts w:hint="default" w:ascii="Times New Roman" w:hAnsi="Times New Roman" w:eastAsia="宋体" w:cs="Times New Roman"/>
          <w:color w:val="000000" w:themeColor="text1"/>
          <w:sz w:val="24"/>
          <w:highlight w:val="none"/>
          <w14:textFill>
            <w14:solidFill>
              <w14:schemeClr w14:val="tx1"/>
            </w14:solidFill>
          </w14:textFill>
        </w:rPr>
        <w:t>不得复制、使用、披露、转让，亦不得以任何方式向任何第三方提供。采购人向</w:t>
      </w: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投标人</w:t>
      </w:r>
      <w:r>
        <w:rPr>
          <w:rFonts w:hint="default" w:ascii="Times New Roman" w:hAnsi="Times New Roman" w:eastAsia="宋体" w:cs="Times New Roman"/>
          <w:color w:val="000000" w:themeColor="text1"/>
          <w:sz w:val="24"/>
          <w:highlight w:val="none"/>
          <w14:textFill>
            <w14:solidFill>
              <w14:schemeClr w14:val="tx1"/>
            </w14:solidFill>
          </w14:textFill>
        </w:rPr>
        <w:t>披露任何技术信息或技术秘密，均不应视为采购人向</w:t>
      </w:r>
      <w:r>
        <w:rPr>
          <w:rFonts w:hint="default" w:ascii="Times New Roman" w:hAnsi="Times New Roman" w:eastAsia="宋体" w:cs="Times New Roman"/>
          <w:color w:val="000000" w:themeColor="text1"/>
          <w:sz w:val="24"/>
          <w:highlight w:val="none"/>
          <w:lang w:eastAsia="zh-CN"/>
          <w14:textFill>
            <w14:solidFill>
              <w14:schemeClr w14:val="tx1"/>
            </w14:solidFill>
          </w14:textFill>
        </w:rPr>
        <w:t>投标人</w:t>
      </w:r>
      <w:r>
        <w:rPr>
          <w:rFonts w:hint="default" w:ascii="Times New Roman" w:hAnsi="Times New Roman" w:eastAsia="宋体" w:cs="Times New Roman"/>
          <w:color w:val="000000" w:themeColor="text1"/>
          <w:sz w:val="24"/>
          <w:highlight w:val="none"/>
          <w14:textFill>
            <w14:solidFill>
              <w14:schemeClr w14:val="tx1"/>
            </w14:solidFill>
          </w14:textFill>
        </w:rPr>
        <w:t>转让、许可或授予其对该等商业秘密、专利、技术秘密或其他任何知识产权享有所有权、使用权或其他权益。未经采购人书面授权，</w:t>
      </w: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投标人</w:t>
      </w:r>
      <w:r>
        <w:rPr>
          <w:rFonts w:hint="default" w:ascii="Times New Roman" w:hAnsi="Times New Roman" w:eastAsia="宋体" w:cs="Times New Roman"/>
          <w:color w:val="000000" w:themeColor="text1"/>
          <w:sz w:val="24"/>
          <w:highlight w:val="none"/>
          <w14:textFill>
            <w14:solidFill>
              <w14:schemeClr w14:val="tx1"/>
            </w14:solidFill>
          </w14:textFill>
        </w:rPr>
        <w:t>不得以任何形式使用采购人的技术信息或技术秘密。本条约定同样适用于采购人向</w:t>
      </w: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投标人</w:t>
      </w:r>
      <w:r>
        <w:rPr>
          <w:rFonts w:hint="default" w:ascii="Times New Roman" w:hAnsi="Times New Roman" w:eastAsia="宋体" w:cs="Times New Roman"/>
          <w:color w:val="000000" w:themeColor="text1"/>
          <w:sz w:val="24"/>
          <w:highlight w:val="none"/>
          <w14:textFill>
            <w14:solidFill>
              <w14:schemeClr w14:val="tx1"/>
            </w14:solidFill>
          </w14:textFill>
        </w:rPr>
        <w:t>披露的尚未注册或尚未获得知识产权保护的技术方案、技术文件及其他技术信息。</w:t>
      </w:r>
    </w:p>
    <w:p w14:paraId="7E93C1DE">
      <w:pPr>
        <w:spacing w:line="360" w:lineRule="auto"/>
        <w:ind w:firstLine="480" w:firstLineChars="200"/>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投标人应按照采购人的要求，将全部技术资料（包括但不限于3D图等各项图纸、设计方案、工艺参数等等）交付给采购人。未经采购人书面同意，投标人不得将本项目研发形成的各项技术图纸等全部技术资料出租、出借、转让或许可以及其他方式提供给任何第三方使用，亦不得利用相同或实质性相同的技术图纸，为第三方生产本合同项下产品或与本合同产品规格、功能、用途实质相同或相似的产品。</w:t>
      </w:r>
    </w:p>
    <w:p w14:paraId="2DBE2C4A">
      <w:pPr>
        <w:numPr>
          <w:ilvl w:val="0"/>
          <w:numId w:val="13"/>
        </w:numPr>
        <w:spacing w:line="360" w:lineRule="auto"/>
        <w:ind w:firstLine="480" w:firstLineChars="200"/>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除背景知识产权外，基于履行本项目所产生的、无论由一方单独完成或双方共同完成的与货物（含软件）、服务事项有关的成果及相关知识产权，以及采购人利用</w:t>
      </w: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投标人</w:t>
      </w:r>
      <w:r>
        <w:rPr>
          <w:rFonts w:hint="default" w:ascii="Times New Roman" w:hAnsi="Times New Roman" w:eastAsia="宋体" w:cs="Times New Roman"/>
          <w:color w:val="000000" w:themeColor="text1"/>
          <w:sz w:val="24"/>
          <w:highlight w:val="none"/>
          <w14:textFill>
            <w14:solidFill>
              <w14:schemeClr w14:val="tx1"/>
            </w14:solidFill>
          </w14:textFill>
        </w:rPr>
        <w:t>交付的定制货物（含软件）及服务所完成的新的技术成果，其权利归属和全部权益均归采购人所有。采购人有权自行决定发表、修改、使用并取得相应收益。未经采购人书面同意，</w:t>
      </w: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投标人</w:t>
      </w:r>
      <w:r>
        <w:rPr>
          <w:rFonts w:hint="default" w:ascii="Times New Roman" w:hAnsi="Times New Roman" w:eastAsia="宋体" w:cs="Times New Roman"/>
          <w:color w:val="000000" w:themeColor="text1"/>
          <w:sz w:val="24"/>
          <w:highlight w:val="none"/>
          <w14:textFill>
            <w14:solidFill>
              <w14:schemeClr w14:val="tx1"/>
            </w14:solidFill>
          </w14:textFill>
        </w:rPr>
        <w:t>不得对该等成果及知识产权进行任何形式的使用、处分或收益，包括但不限于自行实施、申请知识产权、授权、转让、许可、披露、发表、出版或委托第三方使用。</w:t>
      </w: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投标人</w:t>
      </w:r>
      <w:r>
        <w:rPr>
          <w:rFonts w:hint="default" w:ascii="Times New Roman" w:hAnsi="Times New Roman" w:eastAsia="宋体" w:cs="Times New Roman"/>
          <w:color w:val="000000" w:themeColor="text1"/>
          <w:sz w:val="24"/>
          <w:highlight w:val="none"/>
          <w14:textFill>
            <w14:solidFill>
              <w14:schemeClr w14:val="tx1"/>
            </w14:solidFill>
          </w14:textFill>
        </w:rPr>
        <w:t>不得以自己名义、与第三方共同名义，或以任何其他方式就上述成果申请专利、著作权登记、商标注册或其他知识产权。该等权利包括但不限于商标权、著作权、专利申请权、专利权、技术秘密所有权及其他知识产权。</w:t>
      </w:r>
    </w:p>
    <w:p w14:paraId="358F94A1">
      <w:pPr>
        <w:spacing w:line="360" w:lineRule="auto"/>
        <w:ind w:firstLine="480" w:firstLineChars="200"/>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5、针对本项目软件系统：</w:t>
      </w:r>
    </w:p>
    <w:p w14:paraId="07041770">
      <w:pPr>
        <w:spacing w:line="360" w:lineRule="auto"/>
        <w:ind w:firstLine="480" w:firstLineChars="200"/>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1）投标人承诺：拥有作为背景技术支持的合同所涉软件系统现有部分的全部知识产权，或者已经获得权利人的相应授权，包括但不限于专利、商标、版权及商业秘密。投标人按合同约定开发、交付的软件系统不侵犯任何第三方的著作权、商标权、专利权、商业秘密（包含技术秘密）等知识产权、技术秘密及商业秘密等；也不违反投标人（包括投标人开发人员）与任何第三方的保密义务或有关知识产权约定。如采购人因采购、使用投标人开发、交付的软件被第三方主张侵权赔偿、承担法律责任或被行政机关作出处罚的，投标人应赔偿采购人因此支付的赔偿款、罚款及产生的损失。并且投标人应当选择下列措施之一进行补救：</w:t>
      </w:r>
    </w:p>
    <w:p w14:paraId="06AE11A0">
      <w:pPr>
        <w:numPr>
          <w:ilvl w:val="0"/>
          <w:numId w:val="14"/>
        </w:numPr>
        <w:spacing w:line="360" w:lineRule="auto"/>
        <w:ind w:left="0" w:leftChars="0" w:firstLine="480" w:firstLineChars="200"/>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取得第三方的许可并自行承担相关费用。</w:t>
      </w:r>
    </w:p>
    <w:p w14:paraId="2A60CF72">
      <w:pPr>
        <w:numPr>
          <w:ilvl w:val="0"/>
          <w:numId w:val="14"/>
        </w:numPr>
        <w:spacing w:line="360" w:lineRule="auto"/>
        <w:ind w:firstLine="480" w:firstLineChars="200"/>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免费修改或更换开发软件使其不侵权。</w:t>
      </w:r>
    </w:p>
    <w:p w14:paraId="63769CC3">
      <w:pPr>
        <w:spacing w:line="360" w:lineRule="auto"/>
        <w:ind w:firstLine="480" w:firstLineChars="200"/>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2）投标人履行本项目所产生的前景知识产权（即本合同履行过程因开发软件所产生的知识产权），包括但不限于著作权、专利权、商标权、技术秘密及其他、保密技术信息等均归采购人所有，未经采购人书面同意，投标人不得全部或部分使用，不得授权、转让、许可、委托第三方使用。该等权利包括但不限于商标、著作权、软件著作权、专利申请权、专利权、技术秘密专有所有权益以及其它知识产权。投标人不得以自己名义、与第三方共同名义，或以任何其他方式就上述成果申请专利、著作权登记、商标注册或其他知识产权。投标人不得以自己或第三方名义提出权利主张、申请、注册或备案等。投标人提交的开发成果如涉及投标人的背景知识产权（即在合同生效前就已经存在的或者在独立于本项目之外获得的知识产权），为确保采购人有权利用开发成果，投标人应就所涉背景知识产权给予采购人非排他的、不可转让的、永久的、不可撤销的、全世界范围内的、免费的、拥有分许可权的许可，但所述许可仅限于采购人利用开发成果所必须。</w:t>
      </w:r>
    </w:p>
    <w:p w14:paraId="3EE3ACF2">
      <w:pPr>
        <w:spacing w:line="360" w:lineRule="auto"/>
        <w:ind w:firstLine="480" w:firstLineChars="200"/>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 xml:space="preserve">（3）合同履行过程中采购人向投标人提供的或投标人获悉的采购人任何文件、信息和数据（包括但不限于开发需求与规格）均不构成向投标人转让任何采购人的背景知识产权或许可投标人以商业利用为目的使用任何采购人背景知识产权。投标人只能将采购人提供或在履行合同过程中获悉的采购人文件、信息和数据（包括但不限于开发需求与规格），用于本项目的设计、开发、测试和使用，不得用于其他用途。   </w:t>
      </w:r>
    </w:p>
    <w:p w14:paraId="41F5D7CA">
      <w:pPr>
        <w:spacing w:line="360" w:lineRule="auto"/>
        <w:ind w:firstLine="480" w:firstLineChars="200"/>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（4）软件系统建设、运行、维护期间所产生的数据和相应权益，全部归采购人所有。</w:t>
      </w:r>
    </w:p>
    <w:p w14:paraId="6D50BA88">
      <w:pPr>
        <w:spacing w:line="360" w:lineRule="auto"/>
        <w:ind w:firstLine="480" w:firstLineChars="200"/>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5）关于软件系统的开发文档和源代码：投标人交付软件系统时，对属于前景知识产权部分的源代码和开发文档应一并交付采购人；如因投标人经营情况发生重大变化（如股权变化、经营不善、被收购、解散清算、破产等）无法继续按照合同约定为采购人提供升级、维护或服务的，投标人应自采购人提出申请后20个工作日内向采购人免费提供本合同项下开发的软件系统的所有开发文档和源代码及过往维护或者升级记录等技术资料，以便采购人可以委托第三方继续进行产品的维护和升级，保证本系统的正常运行。</w:t>
      </w:r>
    </w:p>
    <w:p w14:paraId="4AD7A50E">
      <w:pPr>
        <w:spacing w:line="360" w:lineRule="auto"/>
        <w:ind w:left="479" w:leftChars="228" w:firstLine="0" w:firstLineChars="0"/>
        <w:rPr>
          <w:rFonts w:hint="default" w:ascii="Times New Roman" w:hAnsi="Times New Roman" w:eastAsia="宋体" w:cs="Times New Roman"/>
          <w:sz w:val="24"/>
          <w:szCs w:val="24"/>
          <w:highlight w:val="none"/>
        </w:rPr>
      </w:pP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6、本项目研发的硬件产品及软件控制系统，知识产权均为采购人唯一拥有。</w:t>
      </w:r>
      <w:r>
        <w:rPr>
          <w:rFonts w:hint="default" w:ascii="Times New Roman" w:hAnsi="Times New Roman" w:eastAsia="宋体" w:cs="Times New Roman"/>
          <w:highlight w:val="none"/>
        </w:rPr>
        <w:t xml:space="preserve"> </w:t>
      </w:r>
      <w:r>
        <w:rPr>
          <w:rFonts w:hint="default" w:ascii="Times New Roman" w:hAnsi="Times New Roman" w:eastAsia="宋体" w:cs="Times New Roman"/>
          <w:sz w:val="24"/>
          <w:szCs w:val="24"/>
          <w:highlight w:val="none"/>
          <w:lang w:val="en-US" w:eastAsia="zh-CN"/>
        </w:rPr>
        <w:t>7</w:t>
      </w:r>
      <w:r>
        <w:rPr>
          <w:rFonts w:hint="default" w:ascii="Times New Roman" w:hAnsi="Times New Roman" w:eastAsia="宋体" w:cs="Times New Roman"/>
          <w:sz w:val="24"/>
          <w:szCs w:val="24"/>
          <w:highlight w:val="none"/>
        </w:rPr>
        <w:t>、专利及软件著作权申请义务：</w:t>
      </w:r>
    </w:p>
    <w:p w14:paraId="0F93E0B4">
      <w:pPr>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lang w:eastAsia="zh-CN"/>
        </w:rPr>
        <w:t>投标人</w:t>
      </w:r>
      <w:r>
        <w:rPr>
          <w:rFonts w:hint="default" w:ascii="Times New Roman" w:hAnsi="Times New Roman" w:eastAsia="宋体" w:cs="Times New Roman"/>
          <w:sz w:val="24"/>
          <w:szCs w:val="24"/>
          <w:highlight w:val="none"/>
        </w:rPr>
        <w:t>在履行合同期间，应配合采购人完成本项目相关发明专利、实用新型专利的申请或软件著作权的登记。专利内容应基于本项目产生的技术成果（如控制方法、样本处理工艺等），专利申请权及授权后的专利权归采购人所有，</w:t>
      </w:r>
      <w:r>
        <w:rPr>
          <w:rFonts w:hint="default" w:ascii="Times New Roman" w:hAnsi="Times New Roman" w:eastAsia="宋体" w:cs="Times New Roman"/>
          <w:sz w:val="24"/>
          <w:szCs w:val="24"/>
          <w:highlight w:val="none"/>
          <w:lang w:eastAsia="zh-CN"/>
        </w:rPr>
        <w:t>投标人</w:t>
      </w:r>
      <w:r>
        <w:rPr>
          <w:rFonts w:hint="default" w:ascii="Times New Roman" w:hAnsi="Times New Roman" w:eastAsia="宋体" w:cs="Times New Roman"/>
          <w:sz w:val="24"/>
          <w:szCs w:val="24"/>
          <w:highlight w:val="none"/>
        </w:rPr>
        <w:t>应提供必要的技术交底材料并协助完成申请文件撰写。软件著作权基于本项目交付的设备控制软件，著作权归采购人所有，</w:t>
      </w:r>
      <w:r>
        <w:rPr>
          <w:rFonts w:hint="default" w:ascii="Times New Roman" w:hAnsi="Times New Roman" w:eastAsia="宋体" w:cs="Times New Roman"/>
          <w:sz w:val="24"/>
          <w:szCs w:val="24"/>
          <w:highlight w:val="none"/>
          <w:lang w:eastAsia="zh-CN"/>
        </w:rPr>
        <w:t>投标人</w:t>
      </w:r>
      <w:r>
        <w:rPr>
          <w:rFonts w:hint="default" w:ascii="Times New Roman" w:hAnsi="Times New Roman" w:eastAsia="宋体" w:cs="Times New Roman"/>
          <w:sz w:val="24"/>
          <w:szCs w:val="24"/>
          <w:highlight w:val="none"/>
        </w:rPr>
        <w:t>应提供必要的申请材料。</w:t>
      </w:r>
    </w:p>
    <w:p w14:paraId="11C723AE">
      <w:pPr>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lang w:val="en-US" w:eastAsia="zh-CN"/>
        </w:rPr>
        <w:t>8</w:t>
      </w:r>
      <w:r>
        <w:rPr>
          <w:rFonts w:hint="default" w:ascii="Times New Roman" w:hAnsi="Times New Roman" w:eastAsia="宋体" w:cs="Times New Roman"/>
          <w:sz w:val="24"/>
          <w:szCs w:val="24"/>
          <w:highlight w:val="none"/>
        </w:rPr>
        <w:t>.若</w:t>
      </w:r>
      <w:r>
        <w:rPr>
          <w:rFonts w:hint="default" w:ascii="Times New Roman" w:hAnsi="Times New Roman" w:eastAsia="宋体" w:cs="Times New Roman"/>
          <w:sz w:val="24"/>
          <w:szCs w:val="24"/>
          <w:highlight w:val="none"/>
          <w:lang w:eastAsia="zh-CN"/>
        </w:rPr>
        <w:t>投标人</w:t>
      </w:r>
      <w:r>
        <w:rPr>
          <w:rFonts w:hint="default" w:ascii="Times New Roman" w:hAnsi="Times New Roman" w:eastAsia="宋体" w:cs="Times New Roman"/>
          <w:sz w:val="24"/>
          <w:szCs w:val="24"/>
          <w:highlight w:val="none"/>
        </w:rPr>
        <w:t>违反本条第3、4</w:t>
      </w:r>
      <w:r>
        <w:rPr>
          <w:rFonts w:hint="default" w:ascii="Times New Roman" w:hAnsi="Times New Roman" w:eastAsia="宋体" w:cs="Times New Roman"/>
          <w:sz w:val="24"/>
          <w:szCs w:val="24"/>
          <w:highlight w:val="none"/>
          <w:lang w:eastAsia="zh-CN"/>
        </w:rPr>
        <w:t>、</w:t>
      </w:r>
      <w:r>
        <w:rPr>
          <w:rFonts w:hint="default" w:ascii="Times New Roman" w:hAnsi="Times New Roman" w:eastAsia="宋体" w:cs="Times New Roman"/>
          <w:sz w:val="24"/>
          <w:szCs w:val="24"/>
          <w:highlight w:val="none"/>
          <w:lang w:val="en-US" w:eastAsia="zh-CN"/>
        </w:rPr>
        <w:t>5</w:t>
      </w:r>
      <w:r>
        <w:rPr>
          <w:rFonts w:hint="default" w:ascii="Times New Roman" w:hAnsi="Times New Roman" w:eastAsia="宋体" w:cs="Times New Roman"/>
          <w:sz w:val="24"/>
          <w:szCs w:val="24"/>
          <w:highlight w:val="none"/>
        </w:rPr>
        <w:t>款约定，采购人有权要求投标人立即停止违约行为，采取必要措施防止损失扩大。同时，</w:t>
      </w:r>
      <w:r>
        <w:rPr>
          <w:rFonts w:hint="default" w:ascii="Times New Roman" w:hAnsi="Times New Roman" w:eastAsia="宋体" w:cs="Times New Roman"/>
          <w:sz w:val="24"/>
          <w:szCs w:val="24"/>
          <w:highlight w:val="none"/>
          <w:lang w:eastAsia="zh-CN"/>
        </w:rPr>
        <w:t>投标人</w:t>
      </w:r>
      <w:r>
        <w:rPr>
          <w:rFonts w:hint="default" w:ascii="Times New Roman" w:hAnsi="Times New Roman" w:eastAsia="宋体" w:cs="Times New Roman"/>
          <w:sz w:val="24"/>
          <w:szCs w:val="24"/>
          <w:highlight w:val="none"/>
        </w:rPr>
        <w:t>应按合同总金额的30%向采购人支付违约金；若该违约金不足以弥补采购人因此遭受的全部损失，采购人有权要求</w:t>
      </w:r>
      <w:r>
        <w:rPr>
          <w:rFonts w:hint="default" w:ascii="Times New Roman" w:hAnsi="Times New Roman" w:eastAsia="宋体" w:cs="Times New Roman"/>
          <w:sz w:val="24"/>
          <w:szCs w:val="24"/>
          <w:highlight w:val="none"/>
          <w:lang w:eastAsia="zh-CN"/>
        </w:rPr>
        <w:t>投标人</w:t>
      </w:r>
      <w:r>
        <w:rPr>
          <w:rFonts w:hint="default" w:ascii="Times New Roman" w:hAnsi="Times New Roman" w:eastAsia="宋体" w:cs="Times New Roman"/>
          <w:sz w:val="24"/>
          <w:szCs w:val="24"/>
          <w:highlight w:val="none"/>
        </w:rPr>
        <w:t>就差额部分予以补足。若经采购人通知后投标人未在15天内纠正其违约行为，采购人有权单方解除合同。</w:t>
      </w:r>
    </w:p>
    <w:p w14:paraId="3CE473F1">
      <w:pPr>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lang w:val="en-US" w:eastAsia="zh-CN"/>
        </w:rPr>
        <w:t>9</w:t>
      </w:r>
      <w:r>
        <w:rPr>
          <w:rFonts w:hint="default" w:ascii="Times New Roman" w:hAnsi="Times New Roman" w:eastAsia="宋体" w:cs="Times New Roman"/>
          <w:sz w:val="24"/>
          <w:szCs w:val="24"/>
          <w:highlight w:val="none"/>
        </w:rPr>
        <w:t>.若</w:t>
      </w:r>
      <w:r>
        <w:rPr>
          <w:rFonts w:hint="default" w:ascii="Times New Roman" w:hAnsi="Times New Roman" w:eastAsia="宋体" w:cs="Times New Roman"/>
          <w:sz w:val="24"/>
          <w:szCs w:val="24"/>
          <w:highlight w:val="none"/>
          <w:lang w:eastAsia="zh-CN"/>
        </w:rPr>
        <w:t>投标人</w:t>
      </w:r>
      <w:r>
        <w:rPr>
          <w:rFonts w:hint="default" w:ascii="Times New Roman" w:hAnsi="Times New Roman" w:eastAsia="宋体" w:cs="Times New Roman"/>
          <w:sz w:val="24"/>
          <w:szCs w:val="24"/>
          <w:highlight w:val="none"/>
        </w:rPr>
        <w:t>违反本条第7款约定，每违反一次应按合同总额的3‰向采购人支付违约金，且采购人有权自行委托第三方提供采购人所需要的技术支持和服务，所发生的费用由</w:t>
      </w:r>
      <w:r>
        <w:rPr>
          <w:rFonts w:hint="default" w:ascii="Times New Roman" w:hAnsi="Times New Roman" w:eastAsia="宋体" w:cs="Times New Roman"/>
          <w:sz w:val="24"/>
          <w:szCs w:val="24"/>
          <w:highlight w:val="none"/>
          <w:lang w:eastAsia="zh-CN"/>
        </w:rPr>
        <w:t>投标人</w:t>
      </w:r>
      <w:r>
        <w:rPr>
          <w:rFonts w:hint="default" w:ascii="Times New Roman" w:hAnsi="Times New Roman" w:eastAsia="宋体" w:cs="Times New Roman"/>
          <w:sz w:val="24"/>
          <w:szCs w:val="24"/>
          <w:highlight w:val="none"/>
        </w:rPr>
        <w:t>承担，如因此造成采购人损失的，</w:t>
      </w:r>
      <w:r>
        <w:rPr>
          <w:rFonts w:hint="default" w:ascii="Times New Roman" w:hAnsi="Times New Roman" w:eastAsia="宋体" w:cs="Times New Roman"/>
          <w:sz w:val="24"/>
          <w:szCs w:val="24"/>
          <w:highlight w:val="none"/>
          <w:lang w:eastAsia="zh-CN"/>
        </w:rPr>
        <w:t>投标人</w:t>
      </w:r>
      <w:r>
        <w:rPr>
          <w:rFonts w:hint="default" w:ascii="Times New Roman" w:hAnsi="Times New Roman" w:eastAsia="宋体" w:cs="Times New Roman"/>
          <w:sz w:val="24"/>
          <w:szCs w:val="24"/>
          <w:highlight w:val="none"/>
        </w:rPr>
        <w:t>应承担赔偿责任。</w:t>
      </w:r>
    </w:p>
    <w:bookmarkEnd w:id="21"/>
    <w:p w14:paraId="03ED1985">
      <w:pPr>
        <w:spacing w:line="360" w:lineRule="auto"/>
        <w:ind w:firstLine="480" w:firstLineChars="200"/>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p>
    <w:p w14:paraId="42EC8C29">
      <w:pPr>
        <w:numPr>
          <w:ilvl w:val="255"/>
          <w:numId w:val="0"/>
        </w:numPr>
        <w:spacing w:line="360" w:lineRule="auto"/>
        <w:outlineLvl w:val="3"/>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★（十）保密要求</w:t>
      </w:r>
    </w:p>
    <w:p w14:paraId="29F68E86">
      <w:pPr>
        <w:pStyle w:val="23"/>
        <w:numPr>
          <w:ilvl w:val="255"/>
          <w:numId w:val="0"/>
        </w:numPr>
        <w:shd w:val="clear" w:color="auto" w:fill="FFFFFF"/>
        <w:spacing w:before="0" w:beforeAutospacing="0" w:after="0" w:afterAutospacing="0" w:line="360" w:lineRule="auto"/>
        <w:ind w:firstLine="480" w:firstLineChars="200"/>
        <w:jc w:val="both"/>
        <w:rPr>
          <w:rStyle w:val="31"/>
          <w:rFonts w:hint="default" w:ascii="Times New Roman" w:hAnsi="Times New Roman" w:eastAsia="宋体" w:cs="Times New Roman"/>
          <w:b w:val="0"/>
          <w:bCs w:val="0"/>
          <w:color w:val="0F1115"/>
          <w:kern w:val="2"/>
          <w:highlight w:val="none"/>
          <w:shd w:val="clear" w:color="auto" w:fill="FFFFFF"/>
        </w:rPr>
      </w:pPr>
      <w:r>
        <w:rPr>
          <w:rStyle w:val="31"/>
          <w:rFonts w:hint="default" w:ascii="Times New Roman" w:hAnsi="Times New Roman" w:eastAsia="宋体" w:cs="Times New Roman"/>
          <w:b w:val="0"/>
          <w:bCs w:val="0"/>
          <w:color w:val="0F1115"/>
          <w:kern w:val="2"/>
          <w:highlight w:val="none"/>
          <w:shd w:val="clear" w:color="auto" w:fill="FFFFFF"/>
          <w:lang w:val="en-US" w:eastAsia="zh-CN"/>
        </w:rPr>
        <w:t>1</w:t>
      </w:r>
      <w:r>
        <w:rPr>
          <w:rStyle w:val="31"/>
          <w:rFonts w:hint="default" w:ascii="Times New Roman" w:hAnsi="Times New Roman" w:eastAsia="宋体" w:cs="Times New Roman"/>
          <w:b w:val="0"/>
          <w:bCs w:val="0"/>
          <w:color w:val="0F1115"/>
          <w:kern w:val="2"/>
          <w:highlight w:val="none"/>
          <w:shd w:val="clear" w:color="auto" w:fill="FFFFFF"/>
        </w:rPr>
        <w:t>、双方在合作过程中，投标人从采购人获得的商业信息、数据和技术资料均被视为采购人的保密信息，</w:t>
      </w:r>
      <w:r>
        <w:rPr>
          <w:rFonts w:hint="default" w:ascii="Times New Roman" w:hAnsi="Times New Roman" w:eastAsia="宋体" w:cs="Times New Roman"/>
          <w:kern w:val="2"/>
          <w:sz w:val="24"/>
          <w:highlight w:val="none"/>
        </w:rPr>
        <w:t>无论其以书面、口头、电子或其他任何形式提供</w:t>
      </w:r>
      <w:r>
        <w:rPr>
          <w:rFonts w:hint="default" w:ascii="Times New Roman" w:hAnsi="Times New Roman" w:eastAsia="宋体" w:cs="Times New Roman"/>
          <w:kern w:val="2"/>
          <w:sz w:val="24"/>
          <w:highlight w:val="none"/>
          <w:lang w:eastAsia="zh-CN"/>
        </w:rPr>
        <w:t>，</w:t>
      </w:r>
      <w:r>
        <w:rPr>
          <w:rStyle w:val="31"/>
          <w:rFonts w:hint="default" w:ascii="Times New Roman" w:hAnsi="Times New Roman" w:eastAsia="宋体" w:cs="Times New Roman"/>
          <w:b w:val="0"/>
          <w:bCs w:val="0"/>
          <w:color w:val="0F1115"/>
          <w:kern w:val="2"/>
          <w:highlight w:val="none"/>
          <w:shd w:val="clear" w:color="auto" w:fill="FFFFFF"/>
        </w:rPr>
        <w:t>其所有权属于采购人</w:t>
      </w:r>
      <w:r>
        <w:rPr>
          <w:rStyle w:val="31"/>
          <w:rFonts w:hint="default" w:ascii="Times New Roman" w:hAnsi="Times New Roman" w:eastAsia="宋体" w:cs="Times New Roman"/>
          <w:b w:val="0"/>
          <w:bCs w:val="0"/>
          <w:color w:val="0F1115"/>
          <w:kern w:val="2"/>
          <w:highlight w:val="none"/>
          <w:shd w:val="clear" w:color="auto" w:fill="FFFFFF"/>
          <w:lang w:eastAsia="zh-CN"/>
        </w:rPr>
        <w:t>。</w:t>
      </w:r>
      <w:r>
        <w:rPr>
          <w:rStyle w:val="31"/>
          <w:rFonts w:hint="default" w:ascii="Times New Roman" w:hAnsi="Times New Roman" w:eastAsia="宋体" w:cs="Times New Roman"/>
          <w:b w:val="0"/>
          <w:bCs w:val="0"/>
          <w:color w:val="0F1115"/>
          <w:kern w:val="2"/>
          <w:highlight w:val="none"/>
          <w:shd w:val="clear" w:color="auto" w:fill="FFFFFF"/>
          <w:lang w:val="en-US" w:eastAsia="zh-CN"/>
        </w:rPr>
        <w:t>投标人</w:t>
      </w:r>
      <w:r>
        <w:rPr>
          <w:rStyle w:val="31"/>
          <w:rFonts w:hint="default" w:ascii="Times New Roman" w:hAnsi="Times New Roman" w:eastAsia="宋体" w:cs="Times New Roman"/>
          <w:b w:val="0"/>
          <w:bCs w:val="0"/>
          <w:color w:val="0F1115"/>
          <w:kern w:val="2"/>
          <w:highlight w:val="none"/>
          <w:shd w:val="clear" w:color="auto" w:fill="FFFFFF"/>
        </w:rPr>
        <w:t>保证该保密信息仅用于本协议的合作项目并予以保密，并至少采取与对自己的保密信息同样的保护措施和审慎程度进行保密。</w:t>
      </w:r>
      <w:r>
        <w:rPr>
          <w:rStyle w:val="31"/>
          <w:rFonts w:hint="default" w:ascii="Times New Roman" w:hAnsi="Times New Roman" w:eastAsia="宋体" w:cs="Times New Roman"/>
          <w:b w:val="0"/>
          <w:bCs w:val="0"/>
          <w:color w:val="0F1115"/>
          <w:kern w:val="2"/>
          <w:highlight w:val="none"/>
          <w:shd w:val="clear" w:color="auto" w:fill="FFFFFF"/>
          <w:lang w:val="en-US" w:eastAsia="zh-CN"/>
        </w:rPr>
        <w:t>投标人</w:t>
      </w:r>
      <w:r>
        <w:rPr>
          <w:rStyle w:val="31"/>
          <w:rFonts w:hint="default" w:ascii="Times New Roman" w:hAnsi="Times New Roman" w:eastAsia="宋体" w:cs="Times New Roman"/>
          <w:b w:val="0"/>
          <w:bCs w:val="0"/>
          <w:color w:val="0F1115"/>
          <w:kern w:val="2"/>
          <w:highlight w:val="none"/>
          <w:shd w:val="clear" w:color="auto" w:fill="FFFFFF"/>
        </w:rPr>
        <w:t>为执行本协议的需要</w:t>
      </w:r>
      <w:r>
        <w:rPr>
          <w:rStyle w:val="31"/>
          <w:rFonts w:hint="default" w:ascii="Times New Roman" w:hAnsi="Times New Roman" w:eastAsia="宋体" w:cs="Times New Roman"/>
          <w:b w:val="0"/>
          <w:bCs w:val="0"/>
          <w:color w:val="0F1115"/>
          <w:kern w:val="2"/>
          <w:highlight w:val="none"/>
          <w:shd w:val="clear" w:color="auto" w:fill="FFFFFF"/>
          <w:lang w:eastAsia="zh-CN"/>
        </w:rPr>
        <w:t>，</w:t>
      </w:r>
      <w:r>
        <w:rPr>
          <w:rStyle w:val="31"/>
          <w:rFonts w:hint="default" w:ascii="Times New Roman" w:hAnsi="Times New Roman" w:eastAsia="宋体" w:cs="Times New Roman"/>
          <w:b w:val="0"/>
          <w:bCs w:val="0"/>
          <w:color w:val="0F1115"/>
          <w:kern w:val="2"/>
          <w:highlight w:val="none"/>
          <w:shd w:val="clear" w:color="auto" w:fill="FFFFFF"/>
        </w:rPr>
        <w:t>有权将保密信息披露给指定的雇员或其他组织、人员，</w:t>
      </w:r>
      <w:r>
        <w:rPr>
          <w:rStyle w:val="31"/>
          <w:rFonts w:hint="default" w:ascii="Times New Roman" w:hAnsi="Times New Roman" w:eastAsia="宋体" w:cs="Times New Roman"/>
          <w:b w:val="0"/>
          <w:bCs w:val="0"/>
          <w:color w:val="0F1115"/>
          <w:kern w:val="2"/>
          <w:highlight w:val="none"/>
          <w:shd w:val="clear" w:color="auto" w:fill="FFFFFF"/>
          <w:lang w:val="en-US" w:eastAsia="zh-CN"/>
        </w:rPr>
        <w:t>但应</w:t>
      </w:r>
      <w:r>
        <w:rPr>
          <w:rStyle w:val="31"/>
          <w:rFonts w:hint="default" w:ascii="Times New Roman" w:hAnsi="Times New Roman" w:eastAsia="宋体" w:cs="Times New Roman"/>
          <w:b w:val="0"/>
          <w:bCs w:val="0"/>
          <w:color w:val="0F1115"/>
          <w:kern w:val="2"/>
          <w:highlight w:val="none"/>
          <w:shd w:val="clear" w:color="auto" w:fill="FFFFFF"/>
        </w:rPr>
        <w:t>保证该等组织、人员均了解并同意遵从本保密约定。</w:t>
      </w:r>
    </w:p>
    <w:p w14:paraId="650081FC">
      <w:pPr>
        <w:pStyle w:val="23"/>
        <w:numPr>
          <w:ilvl w:val="255"/>
          <w:numId w:val="0"/>
        </w:numPr>
        <w:shd w:val="clear" w:color="auto" w:fill="FFFFFF"/>
        <w:spacing w:before="0" w:beforeAutospacing="0" w:after="0" w:afterAutospacing="0" w:line="360" w:lineRule="auto"/>
        <w:ind w:firstLine="480" w:firstLineChars="200"/>
        <w:jc w:val="both"/>
        <w:rPr>
          <w:rStyle w:val="31"/>
          <w:rFonts w:hint="default" w:ascii="Times New Roman" w:hAnsi="Times New Roman" w:eastAsia="宋体" w:cs="Times New Roman"/>
          <w:b w:val="0"/>
          <w:bCs w:val="0"/>
          <w:color w:val="0F1115"/>
          <w:kern w:val="2"/>
          <w:highlight w:val="none"/>
          <w:shd w:val="clear" w:color="auto" w:fill="FFFFFF"/>
        </w:rPr>
      </w:pPr>
      <w:r>
        <w:rPr>
          <w:rStyle w:val="31"/>
          <w:rFonts w:hint="default" w:ascii="Times New Roman" w:hAnsi="Times New Roman" w:eastAsia="宋体" w:cs="Times New Roman"/>
          <w:b w:val="0"/>
          <w:bCs w:val="0"/>
          <w:color w:val="0F1115"/>
          <w:kern w:val="2"/>
          <w:highlight w:val="none"/>
          <w:shd w:val="clear" w:color="auto" w:fill="FFFFFF"/>
          <w:lang w:val="en-US" w:eastAsia="zh-CN"/>
        </w:rPr>
        <w:t>2</w:t>
      </w:r>
      <w:r>
        <w:rPr>
          <w:rStyle w:val="31"/>
          <w:rFonts w:hint="default" w:ascii="Times New Roman" w:hAnsi="Times New Roman" w:eastAsia="宋体" w:cs="Times New Roman"/>
          <w:b w:val="0"/>
          <w:bCs w:val="0"/>
          <w:color w:val="0F1115"/>
          <w:kern w:val="2"/>
          <w:highlight w:val="none"/>
          <w:shd w:val="clear" w:color="auto" w:fill="FFFFFF"/>
        </w:rPr>
        <w:t>、经采购人提出要求，投标人应按照采购人的指示将含有保密信息的所有文件或其它资料归还给采购人，或者按照采购人的指示予以销毁。</w:t>
      </w:r>
    </w:p>
    <w:p w14:paraId="45E9C173">
      <w:pPr>
        <w:pStyle w:val="23"/>
        <w:numPr>
          <w:ilvl w:val="255"/>
          <w:numId w:val="0"/>
        </w:numPr>
        <w:shd w:val="clear" w:color="auto" w:fill="FFFFFF"/>
        <w:spacing w:before="0" w:beforeAutospacing="0" w:after="0" w:afterAutospacing="0" w:line="360" w:lineRule="auto"/>
        <w:ind w:firstLine="480" w:firstLineChars="200"/>
        <w:jc w:val="both"/>
        <w:rPr>
          <w:rStyle w:val="31"/>
          <w:rFonts w:hint="default" w:ascii="Times New Roman" w:hAnsi="Times New Roman" w:eastAsia="宋体" w:cs="Times New Roman"/>
          <w:b w:val="0"/>
          <w:bCs w:val="0"/>
          <w:color w:val="0F1115"/>
          <w:kern w:val="2"/>
          <w:highlight w:val="none"/>
          <w:shd w:val="clear" w:color="auto" w:fill="FFFFFF"/>
        </w:rPr>
      </w:pPr>
      <w:r>
        <w:rPr>
          <w:rStyle w:val="31"/>
          <w:rFonts w:hint="default" w:ascii="Times New Roman" w:hAnsi="Times New Roman" w:eastAsia="宋体" w:cs="Times New Roman"/>
          <w:b w:val="0"/>
          <w:bCs w:val="0"/>
          <w:color w:val="0F1115"/>
          <w:kern w:val="2"/>
          <w:highlight w:val="none"/>
          <w:shd w:val="clear" w:color="auto" w:fill="FFFFFF"/>
          <w:lang w:val="en-US" w:eastAsia="zh-CN"/>
        </w:rPr>
        <w:t>3</w:t>
      </w:r>
      <w:r>
        <w:rPr>
          <w:rStyle w:val="31"/>
          <w:rFonts w:hint="default" w:ascii="Times New Roman" w:hAnsi="Times New Roman" w:eastAsia="宋体" w:cs="Times New Roman"/>
          <w:b w:val="0"/>
          <w:bCs w:val="0"/>
          <w:color w:val="0F1115"/>
          <w:kern w:val="2"/>
          <w:highlight w:val="none"/>
          <w:shd w:val="clear" w:color="auto" w:fill="FFFFFF"/>
        </w:rPr>
        <w:t>、鉴于采购人保密规定，除非双方合作产出的重大成果获采购人书面的宣传许可，否则投标人不得通过任何方式使用采购人的名称、商标、商号，或以采购人、采购人某科学家、“相关实验平台”的名义用于任何用途和目的。按法规要求和上市公司需公告情况的除外，但需事前告知采购人并取得采购人书面同意。</w:t>
      </w:r>
    </w:p>
    <w:p w14:paraId="76FBB18C">
      <w:pPr>
        <w:pStyle w:val="23"/>
        <w:numPr>
          <w:ilvl w:val="255"/>
          <w:numId w:val="0"/>
        </w:numPr>
        <w:shd w:val="clear" w:color="auto" w:fill="FFFFFF"/>
        <w:spacing w:before="0" w:beforeAutospacing="0" w:after="0" w:afterAutospacing="0" w:line="360" w:lineRule="auto"/>
        <w:ind w:firstLine="480" w:firstLineChars="200"/>
        <w:jc w:val="both"/>
        <w:rPr>
          <w:rStyle w:val="31"/>
          <w:rFonts w:hint="default" w:ascii="Times New Roman" w:hAnsi="Times New Roman" w:eastAsia="宋体" w:cs="Times New Roman"/>
          <w:b w:val="0"/>
          <w:bCs w:val="0"/>
          <w:color w:val="0F1115"/>
          <w:highlight w:val="none"/>
          <w:shd w:val="clear" w:color="auto" w:fill="FFFFFF"/>
        </w:rPr>
      </w:pPr>
      <w:r>
        <w:rPr>
          <w:rStyle w:val="31"/>
          <w:rFonts w:hint="default" w:ascii="Times New Roman" w:hAnsi="Times New Roman" w:eastAsia="宋体" w:cs="Times New Roman"/>
          <w:b w:val="0"/>
          <w:bCs w:val="0"/>
          <w:color w:val="0F1115"/>
          <w:kern w:val="2"/>
          <w:highlight w:val="none"/>
          <w:shd w:val="clear" w:color="auto" w:fill="FFFFFF"/>
          <w:lang w:val="en-US" w:eastAsia="zh-CN"/>
        </w:rPr>
        <w:t>4、</w:t>
      </w:r>
      <w:r>
        <w:rPr>
          <w:rStyle w:val="31"/>
          <w:rFonts w:hint="default" w:ascii="Times New Roman" w:hAnsi="Times New Roman" w:eastAsia="宋体" w:cs="Times New Roman"/>
          <w:b w:val="0"/>
          <w:bCs w:val="0"/>
          <w:color w:val="0F1115"/>
          <w:highlight w:val="none"/>
          <w:shd w:val="clear" w:color="auto" w:fill="FFFFFF"/>
        </w:rPr>
        <w:t>如保密信息中包含个人信息（含个人敏感信息）等，中标供应商承诺将遵守《中华人民共和国个人信息保护法》《中华人民共和国数据安全法》等法律法规，建立并维护个人信息安全影响评估、泄露通知、合规审计等机制，确保数据处理活动合法合规，否则，由此给采购人造成的任何损失中标供应商应当进行赔偿。</w:t>
      </w:r>
    </w:p>
    <w:p w14:paraId="5434CB0D">
      <w:pPr>
        <w:pStyle w:val="23"/>
        <w:numPr>
          <w:ilvl w:val="255"/>
          <w:numId w:val="0"/>
        </w:numPr>
        <w:shd w:val="clear" w:color="auto" w:fill="FFFFFF"/>
        <w:spacing w:before="0" w:beforeAutospacing="0" w:after="0" w:afterAutospacing="0" w:line="360" w:lineRule="auto"/>
        <w:ind w:firstLine="480" w:firstLineChars="200"/>
        <w:jc w:val="both"/>
        <w:rPr>
          <w:rStyle w:val="31"/>
          <w:rFonts w:hint="default" w:ascii="Times New Roman" w:hAnsi="Times New Roman" w:eastAsia="宋体" w:cs="Times New Roman"/>
          <w:b w:val="0"/>
          <w:bCs w:val="0"/>
          <w:color w:val="0F1115"/>
          <w:kern w:val="2"/>
          <w:highlight w:val="none"/>
          <w:shd w:val="clear" w:color="auto" w:fill="FFFFFF"/>
        </w:rPr>
      </w:pPr>
      <w:r>
        <w:rPr>
          <w:rStyle w:val="31"/>
          <w:rFonts w:hint="default" w:ascii="Times New Roman" w:hAnsi="Times New Roman" w:eastAsia="宋体" w:cs="Times New Roman"/>
          <w:b w:val="0"/>
          <w:bCs w:val="0"/>
          <w:color w:val="0F1115"/>
          <w:highlight w:val="none"/>
          <w:shd w:val="clear" w:color="auto" w:fill="FFFFFF"/>
        </w:rPr>
        <w:t>5、</w:t>
      </w:r>
      <w:r>
        <w:rPr>
          <w:rStyle w:val="31"/>
          <w:rFonts w:hint="default" w:ascii="Times New Roman" w:hAnsi="Times New Roman" w:eastAsia="宋体" w:cs="Times New Roman"/>
          <w:b w:val="0"/>
          <w:bCs w:val="0"/>
          <w:color w:val="0F1115"/>
          <w:kern w:val="2"/>
          <w:highlight w:val="none"/>
          <w:shd w:val="clear" w:color="auto" w:fill="FFFFFF"/>
        </w:rPr>
        <w:t>本保密</w:t>
      </w:r>
      <w:r>
        <w:rPr>
          <w:rStyle w:val="31"/>
          <w:rFonts w:hint="default" w:ascii="Times New Roman" w:hAnsi="Times New Roman" w:eastAsia="宋体" w:cs="Times New Roman"/>
          <w:b w:val="0"/>
          <w:bCs w:val="0"/>
          <w:color w:val="0F1115"/>
          <w:kern w:val="2"/>
          <w:highlight w:val="none"/>
          <w:shd w:val="clear" w:color="auto" w:fill="FFFFFF"/>
          <w:lang w:val="en-US" w:eastAsia="zh-CN"/>
        </w:rPr>
        <w:t>要求项下的条款</w:t>
      </w:r>
      <w:r>
        <w:rPr>
          <w:rStyle w:val="31"/>
          <w:rFonts w:hint="default" w:ascii="Times New Roman" w:hAnsi="Times New Roman" w:eastAsia="宋体" w:cs="Times New Roman"/>
          <w:b w:val="0"/>
          <w:bCs w:val="0"/>
          <w:color w:val="0F1115"/>
          <w:kern w:val="2"/>
          <w:highlight w:val="none"/>
          <w:shd w:val="clear" w:color="auto" w:fill="FFFFFF"/>
        </w:rPr>
        <w:t>自合同签订生效之日起永久有效，不受</w:t>
      </w:r>
      <w:r>
        <w:rPr>
          <w:rStyle w:val="31"/>
          <w:rFonts w:hint="default" w:ascii="Times New Roman" w:hAnsi="Times New Roman" w:eastAsia="宋体" w:cs="Times New Roman"/>
          <w:b w:val="0"/>
          <w:bCs w:val="0"/>
          <w:color w:val="0F1115"/>
          <w:kern w:val="2"/>
          <w:highlight w:val="none"/>
          <w:shd w:val="clear" w:color="auto" w:fill="FFFFFF"/>
          <w:lang w:val="en-US" w:eastAsia="zh-CN"/>
        </w:rPr>
        <w:t>采购合同终止或效力变更的</w:t>
      </w:r>
      <w:r>
        <w:rPr>
          <w:rStyle w:val="31"/>
          <w:rFonts w:hint="default" w:ascii="Times New Roman" w:hAnsi="Times New Roman" w:eastAsia="宋体" w:cs="Times New Roman"/>
          <w:b w:val="0"/>
          <w:bCs w:val="0"/>
          <w:color w:val="0F1115"/>
          <w:kern w:val="2"/>
          <w:highlight w:val="none"/>
          <w:shd w:val="clear" w:color="auto" w:fill="FFFFFF"/>
        </w:rPr>
        <w:t>影响。</w:t>
      </w:r>
    </w:p>
    <w:p w14:paraId="1CBCC9A0">
      <w:pPr>
        <w:numPr>
          <w:ilvl w:val="255"/>
          <w:numId w:val="0"/>
        </w:numPr>
        <w:spacing w:line="360" w:lineRule="auto"/>
        <w:outlineLvl w:val="3"/>
        <w:rPr>
          <w:rFonts w:hint="default" w:ascii="Times New Roman" w:hAnsi="Times New Roman" w:eastAsia="宋体" w:cs="Times New Roman"/>
          <w:sz w:val="24"/>
          <w:szCs w:val="24"/>
          <w:highlight w:val="none"/>
          <w:lang w:val="zh-CN"/>
        </w:rPr>
      </w:pPr>
      <w:r>
        <w:rPr>
          <w:rFonts w:hint="default" w:ascii="Times New Roman" w:hAnsi="Times New Roman" w:eastAsia="宋体" w:cs="Times New Roman"/>
          <w:sz w:val="24"/>
          <w:szCs w:val="24"/>
          <w:highlight w:val="none"/>
          <w:lang w:val="zh-CN"/>
        </w:rPr>
        <w:t>★（</w:t>
      </w:r>
      <w:r>
        <w:rPr>
          <w:rFonts w:hint="default" w:ascii="Times New Roman" w:hAnsi="Times New Roman" w:eastAsia="宋体" w:cs="Times New Roman"/>
          <w:sz w:val="24"/>
          <w:szCs w:val="24"/>
          <w:highlight w:val="none"/>
        </w:rPr>
        <w:t>十</w:t>
      </w:r>
      <w:r>
        <w:rPr>
          <w:rFonts w:hint="default" w:ascii="Times New Roman" w:hAnsi="Times New Roman" w:eastAsia="宋体" w:cs="Times New Roman"/>
          <w:sz w:val="24"/>
          <w:szCs w:val="24"/>
          <w:highlight w:val="none"/>
          <w:lang w:val="en-US" w:eastAsia="zh-CN"/>
        </w:rPr>
        <w:t>一</w:t>
      </w:r>
      <w:r>
        <w:rPr>
          <w:rFonts w:hint="default" w:ascii="Times New Roman" w:hAnsi="Times New Roman" w:eastAsia="宋体" w:cs="Times New Roman"/>
          <w:sz w:val="24"/>
          <w:szCs w:val="24"/>
          <w:highlight w:val="none"/>
          <w:lang w:val="zh-CN"/>
        </w:rPr>
        <w:t>）报价方式及要求：</w:t>
      </w:r>
    </w:p>
    <w:p w14:paraId="5A5CF19F">
      <w:pPr>
        <w:tabs>
          <w:tab w:val="left" w:pos="420"/>
        </w:tabs>
        <w:autoSpaceDE w:val="0"/>
        <w:autoSpaceDN w:val="0"/>
        <w:spacing w:line="360" w:lineRule="auto"/>
        <w:ind w:firstLine="480" w:firstLineChars="200"/>
        <w:rPr>
          <w:rFonts w:hint="default" w:ascii="Times New Roman" w:hAnsi="Times New Roman" w:eastAsia="宋体" w:cs="Times New Roman"/>
          <w:color w:val="000000"/>
          <w:sz w:val="24"/>
          <w:highlight w:val="none"/>
          <w:lang w:val="zh-CN"/>
        </w:rPr>
      </w:pPr>
      <w:r>
        <w:rPr>
          <w:rFonts w:hint="default" w:ascii="Times New Roman" w:hAnsi="Times New Roman" w:eastAsia="宋体" w:cs="Times New Roman"/>
          <w:color w:val="000000"/>
          <w:sz w:val="24"/>
          <w:highlight w:val="none"/>
          <w:lang w:val="zh-CN"/>
        </w:rPr>
        <w:t>（</w:t>
      </w:r>
      <w:r>
        <w:rPr>
          <w:rFonts w:hint="default" w:ascii="Times New Roman" w:hAnsi="Times New Roman" w:eastAsia="宋体" w:cs="Times New Roman"/>
          <w:color w:val="000000"/>
          <w:sz w:val="24"/>
          <w:highlight w:val="none"/>
        </w:rPr>
        <w:t>1</w:t>
      </w:r>
      <w:r>
        <w:rPr>
          <w:rFonts w:hint="default" w:ascii="Times New Roman" w:hAnsi="Times New Roman" w:eastAsia="宋体" w:cs="Times New Roman"/>
          <w:color w:val="000000"/>
          <w:sz w:val="24"/>
          <w:highlight w:val="none"/>
          <w:lang w:val="zh-CN"/>
        </w:rPr>
        <w:t>）</w:t>
      </w:r>
      <w:r>
        <w:rPr>
          <w:rFonts w:hint="default" w:ascii="Times New Roman" w:hAnsi="Times New Roman" w:eastAsia="宋体" w:cs="Times New Roman"/>
          <w:color w:val="000000"/>
          <w:sz w:val="24"/>
          <w:highlight w:val="none"/>
        </w:rPr>
        <w:t>本项目</w:t>
      </w:r>
      <w:r>
        <w:rPr>
          <w:rFonts w:hint="default" w:ascii="Times New Roman" w:hAnsi="Times New Roman" w:eastAsia="宋体" w:cs="Times New Roman"/>
          <w:color w:val="000000"/>
          <w:sz w:val="24"/>
          <w:highlight w:val="none"/>
          <w:lang w:val="en-US" w:eastAsia="zh-CN"/>
        </w:rPr>
        <w:t>不</w:t>
      </w:r>
      <w:r>
        <w:rPr>
          <w:rFonts w:hint="default" w:ascii="Times New Roman" w:hAnsi="Times New Roman" w:eastAsia="宋体" w:cs="Times New Roman"/>
          <w:color w:val="000000"/>
          <w:sz w:val="24"/>
          <w:highlight w:val="none"/>
        </w:rPr>
        <w:t>允许采购进口产品参与投标（进口产品是指通过中国海关报关验放进入中国境内且产自关境外的产品）。</w:t>
      </w:r>
    </w:p>
    <w:p w14:paraId="7E6A241C">
      <w:pPr>
        <w:tabs>
          <w:tab w:val="left" w:pos="420"/>
        </w:tabs>
        <w:autoSpaceDE w:val="0"/>
        <w:autoSpaceDN w:val="0"/>
        <w:spacing w:line="360" w:lineRule="auto"/>
        <w:ind w:firstLine="480" w:firstLineChars="200"/>
        <w:rPr>
          <w:rFonts w:hint="default" w:ascii="Times New Roman" w:hAnsi="Times New Roman" w:eastAsia="宋体" w:cs="Times New Roman"/>
          <w:color w:val="000000"/>
          <w:sz w:val="24"/>
          <w:highlight w:val="none"/>
          <w:lang w:val="zh-CN"/>
        </w:rPr>
      </w:pPr>
      <w:r>
        <w:rPr>
          <w:rFonts w:hint="default" w:ascii="Times New Roman" w:hAnsi="Times New Roman" w:eastAsia="宋体" w:cs="Times New Roman"/>
          <w:color w:val="000000"/>
          <w:sz w:val="24"/>
          <w:highlight w:val="none"/>
          <w:lang w:val="zh-CN"/>
        </w:rPr>
        <w:t>（</w:t>
      </w:r>
      <w:r>
        <w:rPr>
          <w:rFonts w:hint="default" w:ascii="Times New Roman" w:hAnsi="Times New Roman" w:eastAsia="宋体" w:cs="Times New Roman"/>
          <w:color w:val="000000"/>
          <w:sz w:val="24"/>
          <w:highlight w:val="none"/>
        </w:rPr>
        <w:t>2</w:t>
      </w:r>
      <w:r>
        <w:rPr>
          <w:rFonts w:hint="default" w:ascii="Times New Roman" w:hAnsi="Times New Roman" w:eastAsia="宋体" w:cs="Times New Roman"/>
          <w:color w:val="000000"/>
          <w:sz w:val="24"/>
          <w:highlight w:val="none"/>
          <w:lang w:val="zh-CN"/>
        </w:rPr>
        <w:t>）</w:t>
      </w:r>
      <w:r>
        <w:rPr>
          <w:rFonts w:hint="default" w:ascii="Times New Roman" w:hAnsi="Times New Roman" w:eastAsia="宋体" w:cs="Times New Roman"/>
          <w:sz w:val="24"/>
          <w:highlight w:val="none"/>
        </w:rPr>
        <w:t>国产产品与服务报项目现场交货人民币</w:t>
      </w:r>
      <w:r>
        <w:rPr>
          <w:rFonts w:hint="default" w:ascii="Times New Roman" w:hAnsi="Times New Roman" w:eastAsia="宋体" w:cs="Times New Roman"/>
          <w:sz w:val="24"/>
          <w:highlight w:val="none"/>
          <w:lang w:eastAsia="zh"/>
        </w:rPr>
        <w:t>含税</w:t>
      </w:r>
      <w:r>
        <w:rPr>
          <w:rFonts w:hint="default" w:ascii="Times New Roman" w:hAnsi="Times New Roman" w:eastAsia="宋体" w:cs="Times New Roman"/>
          <w:sz w:val="24"/>
          <w:highlight w:val="none"/>
        </w:rPr>
        <w:t>价。</w:t>
      </w:r>
    </w:p>
    <w:p w14:paraId="3D56EFA7">
      <w:pPr>
        <w:tabs>
          <w:tab w:val="left" w:pos="420"/>
        </w:tabs>
        <w:autoSpaceDE w:val="0"/>
        <w:autoSpaceDN w:val="0"/>
        <w:adjustRightInd w:val="0"/>
        <w:spacing w:line="360" w:lineRule="auto"/>
        <w:ind w:firstLine="480" w:firstLineChars="200"/>
        <w:rPr>
          <w:rFonts w:hint="default" w:ascii="Times New Roman" w:hAnsi="Times New Roman" w:eastAsia="宋体" w:cs="Times New Roman"/>
          <w:color w:val="000000"/>
          <w:sz w:val="24"/>
          <w:highlight w:val="none"/>
          <w:lang w:val="zh-CN"/>
        </w:rPr>
      </w:pPr>
      <w:r>
        <w:rPr>
          <w:rFonts w:hint="default" w:ascii="Times New Roman" w:hAnsi="Times New Roman" w:eastAsia="宋体" w:cs="Times New Roman"/>
          <w:b w:val="0"/>
          <w:kern w:val="0"/>
          <w:sz w:val="24"/>
          <w:szCs w:val="24"/>
          <w:highlight w:val="none"/>
          <w:lang w:eastAsia="en-US"/>
        </w:rPr>
        <w:t>投标报价应为完成采购人委托定制货物的包干价，包括但不限于货物的定制费、运输费、保险费、装卸费、存储费、配套资料费、系统软件费、系统软件升级费、安装调试费、系统集成费、试剂耗材费、培训费以及售后服务费、二次移机费、项目整体联合调试费，以及接洽、对接、物料、人工、差旅、税费、评审费、专家验收费、场</w:t>
      </w:r>
      <w:r>
        <w:rPr>
          <w:rFonts w:hint="default" w:ascii="Times New Roman" w:hAnsi="Times New Roman" w:eastAsia="宋体" w:cs="Times New Roman"/>
          <w:b w:val="0"/>
          <w:kern w:val="0"/>
          <w:sz w:val="24"/>
          <w:szCs w:val="24"/>
          <w:highlight w:val="none"/>
          <w:lang w:val="en-US" w:eastAsia="zh-CN"/>
        </w:rPr>
        <w:t>地</w:t>
      </w:r>
      <w:r>
        <w:rPr>
          <w:rFonts w:hint="default" w:ascii="Times New Roman" w:hAnsi="Times New Roman" w:eastAsia="宋体" w:cs="Times New Roman"/>
          <w:b w:val="0"/>
          <w:kern w:val="0"/>
          <w:sz w:val="24"/>
          <w:szCs w:val="24"/>
          <w:highlight w:val="none"/>
          <w:lang w:eastAsia="en-US"/>
        </w:rPr>
        <w:t>改造费、测试费、验证费等投标人为履行本合同定制货物的一切费用；另外如果采购人对设备测试结果内容有异议，采购人有权委托第三方检测机构测试，费用由投标人承担；除</w:t>
      </w:r>
      <w:r>
        <w:rPr>
          <w:rFonts w:hint="default" w:ascii="Times New Roman" w:hAnsi="Times New Roman" w:eastAsia="宋体" w:cs="Times New Roman"/>
          <w:b w:val="0"/>
          <w:kern w:val="0"/>
          <w:sz w:val="24"/>
          <w:szCs w:val="24"/>
          <w:highlight w:val="none"/>
          <w:lang w:val="en-US" w:eastAsia="zh-CN"/>
        </w:rPr>
        <w:t>招标文件或采购合同</w:t>
      </w:r>
      <w:r>
        <w:rPr>
          <w:rFonts w:hint="default" w:ascii="Times New Roman" w:hAnsi="Times New Roman" w:eastAsia="宋体" w:cs="Times New Roman"/>
          <w:b w:val="0"/>
          <w:kern w:val="0"/>
          <w:sz w:val="24"/>
          <w:szCs w:val="24"/>
          <w:highlight w:val="none"/>
          <w:lang w:eastAsia="en-US"/>
        </w:rPr>
        <w:t>明确约定</w:t>
      </w:r>
      <w:r>
        <w:rPr>
          <w:rFonts w:hint="default" w:ascii="Times New Roman" w:hAnsi="Times New Roman" w:eastAsia="宋体" w:cs="Times New Roman"/>
          <w:b w:val="0"/>
          <w:kern w:val="0"/>
          <w:sz w:val="24"/>
          <w:szCs w:val="24"/>
          <w:highlight w:val="none"/>
          <w:lang w:val="en-US" w:eastAsia="zh-CN"/>
        </w:rPr>
        <w:t>采购人需另行支付</w:t>
      </w:r>
      <w:r>
        <w:rPr>
          <w:rFonts w:hint="default" w:ascii="Times New Roman" w:hAnsi="Times New Roman" w:eastAsia="宋体" w:cs="Times New Roman"/>
          <w:b w:val="0"/>
          <w:kern w:val="0"/>
          <w:sz w:val="24"/>
          <w:szCs w:val="24"/>
          <w:highlight w:val="none"/>
          <w:lang w:eastAsia="en-US"/>
        </w:rPr>
        <w:t>的</w:t>
      </w:r>
      <w:r>
        <w:rPr>
          <w:rFonts w:hint="default" w:ascii="Times New Roman" w:hAnsi="Times New Roman" w:eastAsia="宋体" w:cs="Times New Roman"/>
          <w:b w:val="0"/>
          <w:kern w:val="0"/>
          <w:sz w:val="24"/>
          <w:szCs w:val="24"/>
          <w:highlight w:val="none"/>
          <w:lang w:val="en-US" w:eastAsia="zh-CN"/>
        </w:rPr>
        <w:t>费用</w:t>
      </w:r>
      <w:r>
        <w:rPr>
          <w:rFonts w:hint="default" w:ascii="Times New Roman" w:hAnsi="Times New Roman" w:eastAsia="宋体" w:cs="Times New Roman"/>
          <w:b w:val="0"/>
          <w:kern w:val="0"/>
          <w:sz w:val="24"/>
          <w:szCs w:val="24"/>
          <w:highlight w:val="none"/>
          <w:lang w:eastAsia="en-US"/>
        </w:rPr>
        <w:t>外，采购人无需再向投标人支付其他任何价款或费用。</w:t>
      </w:r>
    </w:p>
    <w:p w14:paraId="66F9DB67">
      <w:pPr>
        <w:tabs>
          <w:tab w:val="left" w:pos="420"/>
        </w:tabs>
        <w:autoSpaceDE w:val="0"/>
        <w:autoSpaceDN w:val="0"/>
        <w:adjustRightInd w:val="0"/>
        <w:spacing w:line="360" w:lineRule="auto"/>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lang w:eastAsia="zh-CN"/>
        </w:rPr>
        <w:t>（</w:t>
      </w:r>
      <w:r>
        <w:rPr>
          <w:rFonts w:hint="default" w:ascii="Times New Roman" w:hAnsi="Times New Roman" w:eastAsia="宋体" w:cs="Times New Roman"/>
          <w:sz w:val="24"/>
          <w:highlight w:val="none"/>
          <w:lang w:val="en-US" w:eastAsia="zh-CN"/>
        </w:rPr>
        <w:t>3</w:t>
      </w:r>
      <w:r>
        <w:rPr>
          <w:rFonts w:hint="default" w:ascii="Times New Roman" w:hAnsi="Times New Roman" w:eastAsia="宋体" w:cs="Times New Roman"/>
          <w:sz w:val="24"/>
          <w:highlight w:val="none"/>
          <w:lang w:eastAsia="zh-CN"/>
        </w:rPr>
        <w:t>）</w:t>
      </w:r>
      <w:r>
        <w:rPr>
          <w:rFonts w:hint="default" w:ascii="Times New Roman" w:hAnsi="Times New Roman" w:eastAsia="宋体" w:cs="Times New Roman"/>
          <w:sz w:val="24"/>
          <w:highlight w:val="none"/>
        </w:rPr>
        <w:t>在中国境内的海关特殊监管区域内生产或加工销往境内其他地区的产品，不视为政府采购项下的进口产品，但报价要求同</w:t>
      </w:r>
      <w:r>
        <w:rPr>
          <w:rFonts w:hint="default" w:ascii="Times New Roman" w:hAnsi="Times New Roman" w:eastAsia="宋体" w:cs="Times New Roman"/>
          <w:sz w:val="24"/>
          <w:highlight w:val="none"/>
          <w:lang w:eastAsia="zh-CN"/>
        </w:rPr>
        <w:t>（</w:t>
      </w:r>
      <w:r>
        <w:rPr>
          <w:rFonts w:hint="default" w:ascii="Times New Roman" w:hAnsi="Times New Roman" w:eastAsia="宋体" w:cs="Times New Roman"/>
          <w:sz w:val="24"/>
          <w:highlight w:val="none"/>
          <w:lang w:val="en-US" w:eastAsia="zh-CN"/>
        </w:rPr>
        <w:t>2</w:t>
      </w:r>
      <w:r>
        <w:rPr>
          <w:rFonts w:hint="default" w:ascii="Times New Roman" w:hAnsi="Times New Roman" w:eastAsia="宋体" w:cs="Times New Roman"/>
          <w:sz w:val="24"/>
          <w:highlight w:val="none"/>
          <w:lang w:eastAsia="zh-CN"/>
        </w:rPr>
        <w:t>）</w:t>
      </w:r>
      <w:r>
        <w:rPr>
          <w:rFonts w:hint="default" w:ascii="Times New Roman" w:hAnsi="Times New Roman" w:eastAsia="宋体" w:cs="Times New Roman"/>
          <w:sz w:val="24"/>
          <w:highlight w:val="none"/>
        </w:rPr>
        <w:t>。</w:t>
      </w:r>
    </w:p>
    <w:p w14:paraId="67BA7AAB">
      <w:pPr>
        <w:tabs>
          <w:tab w:val="left" w:pos="420"/>
        </w:tabs>
        <w:autoSpaceDE w:val="0"/>
        <w:autoSpaceDN w:val="0"/>
        <w:adjustRightInd w:val="0"/>
        <w:spacing w:line="360" w:lineRule="auto"/>
        <w:ind w:firstLine="480" w:firstLineChars="200"/>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rPr>
        <w:t>（</w:t>
      </w:r>
      <w:r>
        <w:rPr>
          <w:rFonts w:hint="default" w:ascii="Times New Roman" w:hAnsi="Times New Roman" w:eastAsia="宋体" w:cs="Times New Roman"/>
          <w:color w:val="000000"/>
          <w:sz w:val="24"/>
          <w:highlight w:val="none"/>
          <w:lang w:val="en-US" w:eastAsia="zh-CN"/>
        </w:rPr>
        <w:t>4</w:t>
      </w:r>
      <w:r>
        <w:rPr>
          <w:rFonts w:hint="default" w:ascii="Times New Roman" w:hAnsi="Times New Roman" w:eastAsia="宋体" w:cs="Times New Roman"/>
          <w:color w:val="000000"/>
          <w:sz w:val="24"/>
          <w:highlight w:val="none"/>
        </w:rPr>
        <w:t>）投标人报价明显低于其他通过符合性审查投标人报价的，有可能影响产品质量或者不能诚信履约的，评标委员会可以要求其在规定的时间内提供书面说明，必要时提交相关证明材料；投标人不能证明其报价合理性的，评标委员会有权将其作为无效投标处理。</w:t>
      </w:r>
    </w:p>
    <w:p w14:paraId="01A82BA0">
      <w:pPr>
        <w:widowControl/>
        <w:tabs>
          <w:tab w:val="left" w:pos="900"/>
        </w:tabs>
        <w:spacing w:line="360" w:lineRule="auto"/>
        <w:ind w:firstLine="480" w:firstLineChars="200"/>
        <w:jc w:val="left"/>
        <w:rPr>
          <w:rFonts w:hint="default" w:ascii="Times New Roman" w:hAnsi="Times New Roman" w:eastAsia="宋体" w:cs="Times New Roman"/>
          <w:sz w:val="24"/>
          <w:highlight w:val="none"/>
        </w:rPr>
      </w:pPr>
      <w:r>
        <w:rPr>
          <w:rFonts w:hint="default" w:ascii="Times New Roman" w:hAnsi="Times New Roman" w:eastAsia="宋体" w:cs="Times New Roman"/>
          <w:color w:val="000000"/>
          <w:sz w:val="24"/>
          <w:highlight w:val="none"/>
        </w:rPr>
        <w:t>（</w:t>
      </w:r>
      <w:r>
        <w:rPr>
          <w:rFonts w:hint="default" w:ascii="Times New Roman" w:hAnsi="Times New Roman" w:eastAsia="宋体" w:cs="Times New Roman"/>
          <w:color w:val="000000"/>
          <w:sz w:val="24"/>
          <w:highlight w:val="none"/>
          <w:lang w:val="en-US" w:eastAsia="zh-CN"/>
        </w:rPr>
        <w:t>5</w:t>
      </w:r>
      <w:r>
        <w:rPr>
          <w:rFonts w:hint="default" w:ascii="Times New Roman" w:hAnsi="Times New Roman" w:eastAsia="宋体" w:cs="Times New Roman"/>
          <w:color w:val="000000"/>
          <w:sz w:val="24"/>
          <w:highlight w:val="none"/>
        </w:rPr>
        <w:t>）投标</w:t>
      </w:r>
      <w:r>
        <w:rPr>
          <w:rFonts w:hint="default" w:ascii="Times New Roman" w:hAnsi="Times New Roman" w:eastAsia="宋体" w:cs="Times New Roman"/>
          <w:sz w:val="24"/>
          <w:highlight w:val="none"/>
        </w:rPr>
        <w:t>报价不得超过采购预算（如有最高限价则不得超出最高限价）。</w:t>
      </w:r>
    </w:p>
    <w:p w14:paraId="4EA5FD6A">
      <w:pPr>
        <w:pStyle w:val="27"/>
        <w:ind w:firstLine="0" w:firstLineChars="0"/>
        <w:jc w:val="both"/>
        <w:rPr>
          <w:rFonts w:hint="default" w:ascii="Times New Roman" w:hAnsi="Times New Roman" w:eastAsia="宋体" w:cs="Times New Roman"/>
          <w:sz w:val="24"/>
          <w:highlight w:val="none"/>
        </w:rPr>
      </w:pPr>
      <w:r>
        <w:rPr>
          <w:rFonts w:hint="default" w:ascii="Times New Roman" w:hAnsi="Times New Roman" w:eastAsia="宋体" w:cs="Times New Roman"/>
          <w:highlight w:val="none"/>
        </w:rPr>
        <w:br w:type="page"/>
      </w:r>
    </w:p>
    <w:p w14:paraId="0F289FAE">
      <w:pPr>
        <w:pStyle w:val="27"/>
        <w:ind w:firstLine="560"/>
        <w:jc w:val="both"/>
        <w:rPr>
          <w:rFonts w:hint="default" w:ascii="Times New Roman" w:hAnsi="Times New Roman" w:eastAsia="宋体" w:cs="Times New Roman"/>
          <w:highlight w:val="none"/>
        </w:rPr>
      </w:pPr>
    </w:p>
    <w:p w14:paraId="2221C009">
      <w:pPr>
        <w:rPr>
          <w:rFonts w:hint="default" w:ascii="Times New Roman" w:hAnsi="Times New Roman" w:eastAsia="宋体" w:cs="Times New Roman"/>
          <w:b/>
          <w:bCs/>
          <w:kern w:val="0"/>
          <w:sz w:val="44"/>
          <w:szCs w:val="44"/>
          <w:highlight w:val="none"/>
          <w:lang w:val="zh-CN"/>
        </w:rPr>
      </w:pPr>
    </w:p>
    <w:p w14:paraId="19D2E5C8">
      <w:pPr>
        <w:jc w:val="center"/>
        <w:outlineLvl w:val="0"/>
        <w:rPr>
          <w:rFonts w:hint="default" w:ascii="Times New Roman" w:hAnsi="Times New Roman" w:eastAsia="宋体" w:cs="Times New Roman"/>
          <w:b/>
          <w:bCs/>
          <w:kern w:val="0"/>
          <w:sz w:val="44"/>
          <w:szCs w:val="44"/>
          <w:highlight w:val="none"/>
        </w:rPr>
      </w:pPr>
      <w:r>
        <w:rPr>
          <w:rFonts w:hint="default" w:ascii="Times New Roman" w:hAnsi="Times New Roman" w:eastAsia="宋体" w:cs="Times New Roman"/>
          <w:b/>
          <w:bCs/>
          <w:kern w:val="0"/>
          <w:sz w:val="44"/>
          <w:szCs w:val="44"/>
          <w:highlight w:val="none"/>
          <w:lang w:val="zh-CN"/>
        </w:rPr>
        <w:t>第五章 拟签订的合同文本</w:t>
      </w:r>
      <w:r>
        <w:rPr>
          <w:rFonts w:hint="default" w:ascii="Times New Roman" w:hAnsi="Times New Roman" w:eastAsia="宋体" w:cs="Times New Roman"/>
          <w:b/>
          <w:bCs/>
          <w:kern w:val="0"/>
          <w:sz w:val="44"/>
          <w:szCs w:val="44"/>
          <w:highlight w:val="none"/>
        </w:rPr>
        <w:t>（</w:t>
      </w:r>
      <w:r>
        <w:rPr>
          <w:rFonts w:hint="default" w:ascii="Times New Roman" w:hAnsi="Times New Roman" w:eastAsia="宋体" w:cs="Times New Roman"/>
          <w:b/>
          <w:bCs/>
          <w:kern w:val="0"/>
          <w:sz w:val="44"/>
          <w:szCs w:val="44"/>
          <w:highlight w:val="none"/>
          <w:lang w:val="zh-CN"/>
        </w:rPr>
        <w:t>范本</w:t>
      </w:r>
      <w:r>
        <w:rPr>
          <w:rFonts w:hint="default" w:ascii="Times New Roman" w:hAnsi="Times New Roman" w:eastAsia="宋体" w:cs="Times New Roman"/>
          <w:b/>
          <w:bCs/>
          <w:kern w:val="0"/>
          <w:sz w:val="44"/>
          <w:szCs w:val="44"/>
          <w:highlight w:val="none"/>
        </w:rPr>
        <w:t>）</w:t>
      </w:r>
    </w:p>
    <w:p w14:paraId="2764AC98">
      <w:pPr>
        <w:spacing w:line="495" w:lineRule="exact"/>
        <w:rPr>
          <w:rFonts w:hint="default" w:ascii="Times New Roman" w:hAnsi="Times New Roman" w:eastAsia="宋体" w:cs="Times New Roman"/>
          <w:b/>
          <w:bCs/>
          <w:sz w:val="36"/>
          <w:szCs w:val="36"/>
          <w:highlight w:val="none"/>
        </w:rPr>
      </w:pPr>
    </w:p>
    <w:p w14:paraId="7D3AA41A">
      <w:pPr>
        <w:spacing w:line="495" w:lineRule="exact"/>
        <w:rPr>
          <w:rFonts w:hint="default" w:ascii="Times New Roman" w:hAnsi="Times New Roman" w:eastAsia="宋体" w:cs="Times New Roman"/>
          <w:b/>
          <w:bCs/>
          <w:sz w:val="36"/>
          <w:szCs w:val="36"/>
          <w:highlight w:val="none"/>
        </w:rPr>
      </w:pPr>
    </w:p>
    <w:p w14:paraId="7E61957A">
      <w:pPr>
        <w:rPr>
          <w:rFonts w:hint="default" w:ascii="Times New Roman" w:hAnsi="Times New Roman" w:eastAsia="宋体" w:cs="Times New Roman"/>
          <w:b/>
          <w:bCs/>
          <w:sz w:val="36"/>
          <w:szCs w:val="36"/>
          <w:highlight w:val="none"/>
        </w:rPr>
      </w:pPr>
      <w:r>
        <w:rPr>
          <w:rFonts w:hint="default" w:ascii="Times New Roman" w:hAnsi="Times New Roman" w:eastAsia="宋体" w:cs="Times New Roman"/>
          <w:b/>
          <w:bCs/>
          <w:sz w:val="36"/>
          <w:szCs w:val="36"/>
          <w:highlight w:val="none"/>
        </w:rPr>
        <w:br w:type="page"/>
      </w:r>
    </w:p>
    <w:p w14:paraId="09B3ADF7">
      <w:pPr>
        <w:tabs>
          <w:tab w:val="left" w:pos="720"/>
        </w:tabs>
        <w:spacing w:line="400" w:lineRule="exact"/>
        <w:ind w:firstLine="480" w:firstLineChars="200"/>
        <w:jc w:val="left"/>
        <w:rPr>
          <w:rFonts w:hint="default" w:ascii="Times New Roman" w:hAnsi="Times New Roman" w:eastAsia="宋体" w:cs="Times New Roman"/>
          <w:b w:val="0"/>
          <w:bCs/>
          <w:sz w:val="24"/>
          <w:szCs w:val="22"/>
          <w:highlight w:val="none"/>
        </w:rPr>
      </w:pPr>
      <w:r>
        <w:rPr>
          <w:rFonts w:hint="default" w:ascii="Times New Roman" w:hAnsi="Times New Roman" w:eastAsia="宋体" w:cs="Times New Roman"/>
          <w:b w:val="0"/>
          <w:bCs/>
          <w:sz w:val="24"/>
          <w:szCs w:val="22"/>
          <w:highlight w:val="none"/>
        </w:rPr>
        <w:t>注:采购人与中标人应根据本章节提供的合同文本内容签订合同书。本项目所有文件(包括招标文件、投标文件、合同文本等)共同组成一个整体，互为补充。当合同条款与“采购需求”部分的规定不一致时，应以“采购需求”部分的规定为准。当“采购需求”部分未作规定的，以合同条款约定为准。)</w:t>
      </w:r>
    </w:p>
    <w:p w14:paraId="5C19CFC6">
      <w:pPr>
        <w:jc w:val="center"/>
        <w:outlineLvl w:val="9"/>
        <w:rPr>
          <w:rFonts w:hint="default" w:ascii="Times New Roman" w:hAnsi="Times New Roman" w:eastAsia="宋体" w:cs="Times New Roman"/>
          <w:b/>
          <w:bCs/>
          <w:sz w:val="32"/>
          <w:szCs w:val="32"/>
          <w:highlight w:val="none"/>
        </w:rPr>
      </w:pPr>
    </w:p>
    <w:p w14:paraId="21262F12">
      <w:pPr>
        <w:jc w:val="center"/>
        <w:outlineLvl w:val="0"/>
        <w:rPr>
          <w:rFonts w:hint="default" w:ascii="Times New Roman" w:hAnsi="Times New Roman" w:eastAsia="宋体" w:cs="Times New Roman"/>
          <w:b/>
          <w:bCs/>
          <w:sz w:val="32"/>
          <w:szCs w:val="32"/>
          <w:highlight w:val="none"/>
        </w:rPr>
      </w:pPr>
      <w:r>
        <w:rPr>
          <w:rFonts w:hint="default" w:ascii="Times New Roman" w:hAnsi="Times New Roman" w:eastAsia="宋体" w:cs="Times New Roman"/>
          <w:b/>
          <w:bCs/>
          <w:sz w:val="32"/>
          <w:szCs w:val="32"/>
          <w:highlight w:val="none"/>
        </w:rPr>
        <w:t>委托定制</w:t>
      </w:r>
      <w:permStart w:id="1" w:edGrp="everyone"/>
      <w:r>
        <w:rPr>
          <w:rFonts w:hint="default" w:ascii="Times New Roman" w:hAnsi="Times New Roman" w:eastAsia="宋体" w:cs="Times New Roman"/>
          <w:b/>
          <w:bCs/>
          <w:sz w:val="32"/>
          <w:szCs w:val="32"/>
          <w:highlight w:val="none"/>
          <w:u w:val="single"/>
        </w:rPr>
        <w:t xml:space="preserve">      </w:t>
      </w:r>
      <w:permEnd w:id="1"/>
      <w:r>
        <w:rPr>
          <w:rFonts w:hint="default" w:ascii="Times New Roman" w:hAnsi="Times New Roman" w:eastAsia="宋体" w:cs="Times New Roman"/>
          <w:b/>
          <w:bCs/>
          <w:sz w:val="32"/>
          <w:szCs w:val="32"/>
          <w:highlight w:val="none"/>
        </w:rPr>
        <w:t>货物</w:t>
      </w:r>
      <w:r>
        <w:rPr>
          <w:rFonts w:hint="default" w:ascii="Times New Roman" w:hAnsi="Times New Roman" w:eastAsia="宋体" w:cs="Times New Roman"/>
          <w:b/>
          <w:sz w:val="32"/>
          <w:szCs w:val="32"/>
          <w:highlight w:val="none"/>
        </w:rPr>
        <w:t>采购合同</w:t>
      </w:r>
    </w:p>
    <w:p w14:paraId="55FCBF7C">
      <w:pPr>
        <w:spacing w:line="400" w:lineRule="exact"/>
        <w:ind w:firstLine="5040" w:firstLineChars="2100"/>
        <w:rPr>
          <w:rFonts w:hint="default" w:ascii="Times New Roman" w:hAnsi="Times New Roman" w:eastAsia="宋体" w:cs="Times New Roman"/>
          <w:bCs/>
          <w:sz w:val="24"/>
          <w:highlight w:val="none"/>
        </w:rPr>
      </w:pPr>
    </w:p>
    <w:p w14:paraId="5CDF1C13">
      <w:pPr>
        <w:spacing w:line="400" w:lineRule="exact"/>
        <w:ind w:firstLine="5520" w:firstLineChars="2300"/>
        <w:rPr>
          <w:rFonts w:hint="default" w:ascii="Times New Roman" w:hAnsi="Times New Roman" w:eastAsia="宋体" w:cs="Times New Roman"/>
          <w:bCs/>
          <w:sz w:val="24"/>
          <w:highlight w:val="none"/>
          <w:u w:val="single"/>
        </w:rPr>
      </w:pPr>
      <w:r>
        <w:rPr>
          <w:rFonts w:hint="default" w:ascii="Times New Roman" w:hAnsi="Times New Roman" w:eastAsia="宋体" w:cs="Times New Roman"/>
          <w:bCs/>
          <w:sz w:val="24"/>
          <w:highlight w:val="none"/>
        </w:rPr>
        <w:t>甲方合同编号：</w:t>
      </w:r>
      <w:permStart w:id="2" w:edGrp="everyone"/>
      <w:r>
        <w:rPr>
          <w:rFonts w:hint="default" w:ascii="Times New Roman" w:hAnsi="Times New Roman" w:eastAsia="宋体" w:cs="Times New Roman"/>
          <w:bCs/>
          <w:sz w:val="24"/>
          <w:highlight w:val="none"/>
          <w:u w:val="single"/>
        </w:rPr>
        <w:t xml:space="preserve">            </w:t>
      </w:r>
      <w:permEnd w:id="2"/>
    </w:p>
    <w:p w14:paraId="064F33DA">
      <w:pPr>
        <w:spacing w:line="400" w:lineRule="exact"/>
        <w:ind w:firstLine="3787" w:firstLineChars="1578"/>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 xml:space="preserve">              签订地点：</w:t>
      </w:r>
      <w:r>
        <w:rPr>
          <w:rFonts w:hint="default" w:ascii="Times New Roman" w:hAnsi="Times New Roman" w:eastAsia="宋体" w:cs="Times New Roman"/>
          <w:bCs/>
          <w:sz w:val="24"/>
          <w:highlight w:val="none"/>
          <w:u w:val="single"/>
        </w:rPr>
        <w:t>广州市黄埔区</w:t>
      </w:r>
    </w:p>
    <w:p w14:paraId="4B54DBF8">
      <w:pPr>
        <w:pStyle w:val="27"/>
        <w:spacing w:line="400" w:lineRule="exact"/>
        <w:ind w:firstLine="0" w:firstLineChars="0"/>
        <w:jc w:val="both"/>
        <w:rPr>
          <w:rFonts w:hint="default" w:ascii="Times New Roman" w:hAnsi="Times New Roman" w:eastAsia="宋体" w:cs="Times New Roman"/>
          <w:sz w:val="24"/>
          <w:highlight w:val="none"/>
        </w:rPr>
      </w:pPr>
    </w:p>
    <w:p w14:paraId="32168D2E">
      <w:pPr>
        <w:tabs>
          <w:tab w:val="left" w:pos="720"/>
        </w:tabs>
        <w:spacing w:line="400" w:lineRule="exact"/>
        <w:ind w:firstLine="480" w:firstLineChars="200"/>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 xml:space="preserve">甲方： </w:t>
      </w:r>
    </w:p>
    <w:p w14:paraId="0F8D6563">
      <w:pPr>
        <w:tabs>
          <w:tab w:val="left" w:pos="720"/>
        </w:tabs>
        <w:spacing w:line="400" w:lineRule="exact"/>
        <w:ind w:firstLine="480" w:firstLineChars="200"/>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联系地址：广东省广州市黄埔区国际生物岛环岛北路9号</w:t>
      </w:r>
    </w:p>
    <w:p w14:paraId="733C5E65">
      <w:pPr>
        <w:tabs>
          <w:tab w:val="left" w:pos="720"/>
        </w:tabs>
        <w:spacing w:line="400" w:lineRule="exact"/>
        <w:ind w:firstLine="480" w:firstLineChars="200"/>
        <w:rPr>
          <w:rFonts w:hint="default" w:ascii="Times New Roman" w:hAnsi="Times New Roman" w:eastAsia="宋体" w:cs="Times New Roman"/>
          <w:bCs/>
          <w:sz w:val="24"/>
          <w:highlight w:val="none"/>
        </w:rPr>
      </w:pPr>
      <w:permStart w:id="3" w:edGrp="everyone"/>
      <w:r>
        <w:rPr>
          <w:rFonts w:hint="default" w:ascii="Times New Roman" w:hAnsi="Times New Roman" w:eastAsia="宋体" w:cs="Times New Roman"/>
          <w:bCs/>
          <w:sz w:val="24"/>
          <w:highlight w:val="none"/>
        </w:rPr>
        <w:t>联系人：</w:t>
      </w:r>
    </w:p>
    <w:p w14:paraId="3426174D">
      <w:pPr>
        <w:tabs>
          <w:tab w:val="left" w:pos="720"/>
        </w:tabs>
        <w:spacing w:line="400" w:lineRule="exact"/>
        <w:ind w:firstLine="480" w:firstLineChars="200"/>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 xml:space="preserve">联系电话： </w:t>
      </w:r>
    </w:p>
    <w:permEnd w:id="3"/>
    <w:p w14:paraId="07C9D374">
      <w:pPr>
        <w:tabs>
          <w:tab w:val="left" w:pos="720"/>
        </w:tabs>
        <w:spacing w:line="400" w:lineRule="exact"/>
        <w:ind w:firstLine="480" w:firstLineChars="200"/>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 xml:space="preserve">      </w:t>
      </w:r>
    </w:p>
    <w:p w14:paraId="589E3B10">
      <w:pPr>
        <w:tabs>
          <w:tab w:val="left" w:pos="720"/>
        </w:tabs>
        <w:spacing w:line="400" w:lineRule="exact"/>
        <w:ind w:firstLine="480" w:firstLineChars="200"/>
        <w:rPr>
          <w:rFonts w:hint="default" w:ascii="Times New Roman" w:hAnsi="Times New Roman" w:eastAsia="宋体" w:cs="Times New Roman"/>
          <w:bCs/>
          <w:sz w:val="24"/>
          <w:highlight w:val="none"/>
        </w:rPr>
      </w:pPr>
      <w:permStart w:id="4" w:edGrp="everyone"/>
      <w:r>
        <w:rPr>
          <w:rFonts w:hint="default" w:ascii="Times New Roman" w:hAnsi="Times New Roman" w:eastAsia="宋体" w:cs="Times New Roman"/>
          <w:bCs/>
          <w:sz w:val="24"/>
          <w:highlight w:val="none"/>
        </w:rPr>
        <w:t>乙方：</w:t>
      </w:r>
      <w:r>
        <w:rPr>
          <w:rFonts w:hint="default" w:ascii="Times New Roman" w:hAnsi="Times New Roman" w:eastAsia="宋体" w:cs="Times New Roman"/>
          <w:b/>
          <w:bCs/>
          <w:sz w:val="24"/>
          <w:highlight w:val="none"/>
          <w:u w:val="single"/>
        </w:rPr>
        <w:t xml:space="preserve">                            </w:t>
      </w:r>
    </w:p>
    <w:p w14:paraId="4E449B2E">
      <w:pPr>
        <w:tabs>
          <w:tab w:val="left" w:pos="720"/>
        </w:tabs>
        <w:spacing w:line="400" w:lineRule="exact"/>
        <w:ind w:firstLine="480" w:firstLineChars="200"/>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联系地址：</w:t>
      </w:r>
    </w:p>
    <w:p w14:paraId="27EECC3A">
      <w:pPr>
        <w:tabs>
          <w:tab w:val="left" w:pos="720"/>
        </w:tabs>
        <w:spacing w:line="400" w:lineRule="exact"/>
        <w:ind w:firstLine="480" w:firstLineChars="200"/>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联系人：</w:t>
      </w:r>
    </w:p>
    <w:p w14:paraId="1946CEEF">
      <w:pPr>
        <w:tabs>
          <w:tab w:val="left" w:pos="720"/>
        </w:tabs>
        <w:spacing w:line="400" w:lineRule="exact"/>
        <w:ind w:firstLine="480" w:firstLineChars="200"/>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联系电话：</w:t>
      </w:r>
    </w:p>
    <w:permEnd w:id="4"/>
    <w:p w14:paraId="72AC70B5">
      <w:pPr>
        <w:spacing w:line="400" w:lineRule="exact"/>
        <w:rPr>
          <w:rFonts w:hint="default" w:ascii="Times New Roman" w:hAnsi="Times New Roman" w:eastAsia="宋体" w:cs="Times New Roman"/>
          <w:sz w:val="24"/>
          <w:highlight w:val="none"/>
        </w:rPr>
      </w:pPr>
    </w:p>
    <w:p w14:paraId="6512EF30">
      <w:pPr>
        <w:spacing w:line="400" w:lineRule="exact"/>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甲乙双方经过平等协商，在真实、充分地表达各自意愿的基础上，根据《中华人民共和国民法典》的规定，就甲方委托乙方定制货物事宜，达成如下合同，并由双方共同恪守。</w:t>
      </w:r>
    </w:p>
    <w:p w14:paraId="7EC3A062">
      <w:pPr>
        <w:spacing w:line="400" w:lineRule="exact"/>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此项目是否通过招标：</w:t>
      </w:r>
    </w:p>
    <w:p w14:paraId="20959F97">
      <w:pPr>
        <w:pStyle w:val="13"/>
        <w:spacing w:line="400" w:lineRule="exact"/>
        <w:ind w:firstLine="480" w:firstLineChars="200"/>
        <w:rPr>
          <w:rFonts w:hint="default" w:ascii="Times New Roman" w:hAnsi="Times New Roman" w:eastAsia="宋体" w:cs="Times New Roman"/>
          <w:bCs/>
          <w:sz w:val="24"/>
          <w:highlight w:val="none"/>
        </w:rPr>
      </w:pPr>
      <w:permStart w:id="5" w:edGrp="everyone"/>
      <w:r>
        <w:rPr>
          <w:rFonts w:hint="default" w:ascii="Times New Roman" w:hAnsi="Times New Roman" w:eastAsia="宋体" w:cs="Times New Roman"/>
          <w:bCs/>
          <w:sz w:val="24"/>
          <w:highlight w:val="none"/>
        </w:rPr>
        <w:sym w:font="Wingdings 2" w:char="00A3"/>
      </w:r>
      <w:r>
        <w:rPr>
          <w:rFonts w:hint="default" w:ascii="Times New Roman" w:hAnsi="Times New Roman" w:eastAsia="宋体" w:cs="Times New Roman"/>
          <w:bCs/>
          <w:sz w:val="24"/>
          <w:highlight w:val="none"/>
        </w:rPr>
        <w:t>是</w:t>
      </w:r>
      <w:r>
        <w:rPr>
          <w:rFonts w:hint="default" w:ascii="Times New Roman" w:hAnsi="Times New Roman" w:eastAsia="宋体" w:cs="Times New Roman"/>
          <w:bCs/>
          <w:sz w:val="24"/>
          <w:szCs w:val="24"/>
          <w:highlight w:val="none"/>
        </w:rPr>
        <w:t>。根据</w:t>
      </w:r>
      <w:r>
        <w:rPr>
          <w:rFonts w:hint="default" w:ascii="Times New Roman" w:hAnsi="Times New Roman" w:eastAsia="宋体" w:cs="Times New Roman"/>
          <w:bCs/>
          <w:sz w:val="24"/>
          <w:szCs w:val="24"/>
          <w:highlight w:val="none"/>
          <w:u w:val="single"/>
        </w:rPr>
        <w:t xml:space="preserve">         </w:t>
      </w:r>
      <w:r>
        <w:rPr>
          <w:rFonts w:hint="default" w:ascii="Times New Roman" w:hAnsi="Times New Roman" w:eastAsia="宋体" w:cs="Times New Roman"/>
          <w:bCs/>
          <w:sz w:val="24"/>
          <w:szCs w:val="24"/>
          <w:highlight w:val="none"/>
        </w:rPr>
        <w:t>招标文件（项目编号：</w:t>
      </w:r>
      <w:r>
        <w:rPr>
          <w:rFonts w:hint="default" w:ascii="Times New Roman" w:hAnsi="Times New Roman" w:eastAsia="宋体" w:cs="Times New Roman"/>
          <w:bCs/>
          <w:sz w:val="24"/>
          <w:szCs w:val="24"/>
          <w:highlight w:val="none"/>
          <w:u w:val="single"/>
        </w:rPr>
        <w:t xml:space="preserve">           </w:t>
      </w:r>
      <w:r>
        <w:rPr>
          <w:rFonts w:hint="default" w:ascii="Times New Roman" w:hAnsi="Times New Roman" w:eastAsia="宋体" w:cs="Times New Roman"/>
          <w:bCs/>
          <w:sz w:val="24"/>
          <w:szCs w:val="24"/>
          <w:highlight w:val="none"/>
        </w:rPr>
        <w:t>）。招标代理公司：</w:t>
      </w:r>
      <w:r>
        <w:rPr>
          <w:rFonts w:hint="default" w:ascii="Times New Roman" w:hAnsi="Times New Roman" w:eastAsia="宋体" w:cs="Times New Roman"/>
          <w:bCs/>
          <w:sz w:val="24"/>
          <w:szCs w:val="24"/>
          <w:highlight w:val="none"/>
          <w:u w:val="single"/>
        </w:rPr>
        <w:t xml:space="preserve">            </w:t>
      </w:r>
      <w:r>
        <w:rPr>
          <w:rFonts w:hint="default" w:ascii="Times New Roman" w:hAnsi="Times New Roman" w:eastAsia="宋体" w:cs="Times New Roman"/>
          <w:bCs/>
          <w:sz w:val="24"/>
          <w:szCs w:val="24"/>
          <w:highlight w:val="none"/>
        </w:rPr>
        <w:t>。</w:t>
      </w:r>
    </w:p>
    <w:p w14:paraId="4E12D792">
      <w:pPr>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sym w:font="Wingdings 2" w:char="00A3"/>
      </w:r>
      <w:r>
        <w:rPr>
          <w:rFonts w:hint="default" w:ascii="Times New Roman" w:hAnsi="Times New Roman" w:eastAsia="宋体" w:cs="Times New Roman"/>
          <w:sz w:val="24"/>
          <w:highlight w:val="none"/>
        </w:rPr>
        <w:t>否</w:t>
      </w:r>
      <w:permEnd w:id="5"/>
      <w:r>
        <w:rPr>
          <w:rFonts w:hint="default" w:ascii="Times New Roman" w:hAnsi="Times New Roman" w:eastAsia="宋体" w:cs="Times New Roman"/>
          <w:sz w:val="24"/>
          <w:highlight w:val="none"/>
        </w:rPr>
        <w:t>。</w:t>
      </w:r>
    </w:p>
    <w:p w14:paraId="475EEF47">
      <w:pPr>
        <w:spacing w:line="400" w:lineRule="exact"/>
        <w:ind w:firstLine="482" w:firstLineChars="200"/>
        <w:rPr>
          <w:rFonts w:hint="default" w:ascii="Times New Roman" w:hAnsi="Times New Roman" w:eastAsia="宋体" w:cs="Times New Roman"/>
          <w:b/>
          <w:bCs/>
          <w:sz w:val="24"/>
          <w:highlight w:val="none"/>
        </w:rPr>
      </w:pPr>
      <w:r>
        <w:rPr>
          <w:rFonts w:hint="default" w:ascii="Times New Roman" w:hAnsi="Times New Roman" w:eastAsia="宋体" w:cs="Times New Roman"/>
          <w:b/>
          <w:bCs/>
          <w:sz w:val="24"/>
          <w:highlight w:val="none"/>
        </w:rPr>
        <w:t>一、委托定制货物内容</w:t>
      </w:r>
    </w:p>
    <w:p w14:paraId="50950541">
      <w:pPr>
        <w:spacing w:line="400" w:lineRule="exact"/>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1.委托定制货物目标：</w:t>
      </w:r>
      <w:permStart w:id="6" w:edGrp="everyone"/>
      <w:r>
        <w:rPr>
          <w:rFonts w:hint="default" w:ascii="Times New Roman" w:hAnsi="Times New Roman" w:eastAsia="宋体" w:cs="Times New Roman"/>
          <w:sz w:val="24"/>
          <w:highlight w:val="none"/>
          <w:u w:val="single"/>
        </w:rPr>
        <w:t xml:space="preserve">                                          </w:t>
      </w:r>
      <w:permEnd w:id="6"/>
      <w:r>
        <w:rPr>
          <w:rFonts w:hint="default" w:ascii="Times New Roman" w:hAnsi="Times New Roman" w:eastAsia="宋体" w:cs="Times New Roman"/>
          <w:sz w:val="24"/>
          <w:highlight w:val="none"/>
        </w:rPr>
        <w:t>。</w:t>
      </w:r>
    </w:p>
    <w:p w14:paraId="2386515D">
      <w:pPr>
        <w:spacing w:line="400" w:lineRule="exact"/>
        <w:ind w:firstLine="480" w:firstLineChars="200"/>
        <w:rPr>
          <w:rFonts w:hint="default" w:ascii="Times New Roman" w:hAnsi="Times New Roman" w:eastAsia="宋体" w:cs="Times New Roman"/>
          <w:iCs/>
          <w:sz w:val="24"/>
          <w:highlight w:val="none"/>
          <w:u w:val="single"/>
        </w:rPr>
      </w:pPr>
      <w:r>
        <w:rPr>
          <w:rFonts w:hint="default" w:ascii="Times New Roman" w:hAnsi="Times New Roman" w:eastAsia="宋体" w:cs="Times New Roman"/>
          <w:sz w:val="24"/>
          <w:highlight w:val="none"/>
        </w:rPr>
        <w:t>2.委托定制货物内容：</w:t>
      </w:r>
    </w:p>
    <w:p w14:paraId="11B1359D">
      <w:pPr>
        <w:pStyle w:val="27"/>
        <w:spacing w:line="400" w:lineRule="exact"/>
        <w:jc w:val="both"/>
        <w:rPr>
          <w:rFonts w:hint="default" w:ascii="Times New Roman" w:hAnsi="Times New Roman" w:eastAsia="宋体" w:cs="Times New Roman"/>
          <w:iCs/>
          <w:sz w:val="24"/>
          <w:highlight w:val="none"/>
          <w:u w:val="single"/>
        </w:rPr>
      </w:pPr>
      <w:permStart w:id="7" w:edGrp="everyone"/>
      <w:r>
        <w:rPr>
          <w:rFonts w:hint="default" w:ascii="Times New Roman" w:hAnsi="Times New Roman" w:eastAsia="宋体" w:cs="Times New Roman"/>
          <w:iCs/>
          <w:sz w:val="24"/>
          <w:highlight w:val="none"/>
          <w:u w:val="single"/>
        </w:rPr>
        <w:t>（1）A：（具体要求1.2.3）。</w:t>
      </w:r>
    </w:p>
    <w:p w14:paraId="5977B66F">
      <w:pPr>
        <w:pStyle w:val="27"/>
        <w:spacing w:line="400" w:lineRule="exact"/>
        <w:jc w:val="both"/>
        <w:rPr>
          <w:rFonts w:hint="default" w:ascii="Times New Roman" w:hAnsi="Times New Roman" w:eastAsia="宋体" w:cs="Times New Roman"/>
          <w:iCs/>
          <w:sz w:val="24"/>
          <w:highlight w:val="none"/>
          <w:u w:val="single"/>
        </w:rPr>
      </w:pPr>
      <w:r>
        <w:rPr>
          <w:rFonts w:hint="default" w:ascii="Times New Roman" w:hAnsi="Times New Roman" w:eastAsia="宋体" w:cs="Times New Roman"/>
          <w:iCs/>
          <w:sz w:val="24"/>
          <w:highlight w:val="none"/>
          <w:u w:val="single"/>
        </w:rPr>
        <w:t>（2）B：（具体要求1.2.3）。</w:t>
      </w:r>
    </w:p>
    <w:permEnd w:id="7"/>
    <w:p w14:paraId="30A1EE55">
      <w:pPr>
        <w:spacing w:line="400" w:lineRule="exact"/>
        <w:ind w:firstLine="480" w:firstLineChars="200"/>
        <w:rPr>
          <w:rFonts w:hint="default" w:ascii="Times New Roman" w:hAnsi="Times New Roman" w:eastAsia="宋体" w:cs="Times New Roman"/>
          <w:iCs/>
          <w:sz w:val="24"/>
          <w:highlight w:val="none"/>
          <w:u w:val="single"/>
        </w:rPr>
      </w:pPr>
      <w:r>
        <w:rPr>
          <w:rFonts w:hint="default" w:ascii="Times New Roman" w:hAnsi="Times New Roman" w:eastAsia="宋体" w:cs="Times New Roman"/>
          <w:sz w:val="24"/>
          <w:highlight w:val="none"/>
        </w:rPr>
        <w:t>3.方式：</w:t>
      </w:r>
      <w:r>
        <w:rPr>
          <w:rFonts w:hint="default" w:ascii="Times New Roman" w:hAnsi="Times New Roman" w:eastAsia="宋体" w:cs="Times New Roman"/>
          <w:iCs/>
          <w:sz w:val="24"/>
          <w:highlight w:val="none"/>
          <w:u w:val="single"/>
        </w:rPr>
        <w:t>委托定制</w:t>
      </w:r>
    </w:p>
    <w:p w14:paraId="1029C882">
      <w:pPr>
        <w:spacing w:line="400" w:lineRule="exact"/>
        <w:ind w:firstLine="482" w:firstLineChars="200"/>
        <w:rPr>
          <w:rFonts w:hint="default" w:ascii="Times New Roman" w:hAnsi="Times New Roman" w:eastAsia="宋体" w:cs="Times New Roman"/>
          <w:b/>
          <w:bCs/>
          <w:sz w:val="24"/>
          <w:highlight w:val="none"/>
        </w:rPr>
      </w:pPr>
      <w:r>
        <w:rPr>
          <w:rFonts w:hint="default" w:ascii="Times New Roman" w:hAnsi="Times New Roman" w:eastAsia="宋体" w:cs="Times New Roman"/>
          <w:b/>
          <w:bCs/>
          <w:sz w:val="24"/>
          <w:highlight w:val="none"/>
        </w:rPr>
        <w:t>二、交货地点、日期、技术参数及性能指标、质量要求</w:t>
      </w:r>
    </w:p>
    <w:p w14:paraId="579CEA4E">
      <w:pPr>
        <w:spacing w:line="495" w:lineRule="exact"/>
        <w:ind w:left="19" w:leftChars="9" w:firstLine="458" w:firstLineChars="191"/>
        <w:rPr>
          <w:rFonts w:hint="default" w:ascii="Times New Roman" w:hAnsi="Times New Roman" w:eastAsia="宋体" w:cs="Times New Roman"/>
          <w:bCs/>
          <w:color w:val="000000" w:themeColor="text1"/>
          <w:sz w:val="24"/>
          <w:highlight w:val="none"/>
          <w:u w:val="single"/>
          <w14:textFill>
            <w14:solidFill>
              <w14:schemeClr w14:val="tx1"/>
            </w14:solidFill>
          </w14:textFill>
        </w:rPr>
      </w:pPr>
      <w:r>
        <w:rPr>
          <w:rFonts w:hint="default" w:ascii="Times New Roman" w:hAnsi="Times New Roman" w:eastAsia="宋体" w:cs="Times New Roman"/>
          <w:sz w:val="24"/>
          <w:highlight w:val="none"/>
        </w:rPr>
        <w:t>1.交货地点：</w:t>
      </w:r>
      <w:r>
        <w:rPr>
          <w:rFonts w:hint="default" w:ascii="Times New Roman" w:hAnsi="Times New Roman" w:eastAsia="宋体" w:cs="Times New Roman"/>
          <w:bCs/>
          <w:color w:val="000000" w:themeColor="text1"/>
          <w:sz w:val="24"/>
          <w:highlight w:val="none"/>
          <w14:textFill>
            <w14:solidFill>
              <w14:schemeClr w14:val="tx1"/>
            </w14:solidFill>
          </w14:textFill>
        </w:rPr>
        <w:t>乙方应在合同约定期限内在甲方指定地点交货</w:t>
      </w:r>
      <w:r>
        <w:rPr>
          <w:rFonts w:hint="default" w:ascii="Times New Roman" w:hAnsi="Times New Roman" w:eastAsia="宋体" w:cs="Times New Roman"/>
          <w:bCs/>
          <w:color w:val="000000" w:themeColor="text1"/>
          <w:sz w:val="24"/>
          <w:highlight w:val="none"/>
          <w:u w:val="single"/>
          <w14:textFill>
            <w14:solidFill>
              <w14:schemeClr w14:val="tx1"/>
            </w14:solidFill>
          </w14:textFill>
        </w:rPr>
        <w:t>：</w:t>
      </w:r>
      <w:permStart w:id="8" w:edGrp="everyone"/>
      <w:r>
        <w:rPr>
          <w:rFonts w:hint="default" w:ascii="Times New Roman" w:hAnsi="Times New Roman" w:eastAsia="宋体" w:cs="Times New Roman"/>
          <w:bCs/>
          <w:color w:val="000000" w:themeColor="text1"/>
          <w:sz w:val="24"/>
          <w:highlight w:val="none"/>
          <w:u w:val="single"/>
          <w14:textFill>
            <w14:solidFill>
              <w14:schemeClr w14:val="tx1"/>
            </w14:solidFill>
          </w14:textFill>
        </w:rPr>
        <w:t>广东省广州市黄埔区生物岛环岛北路9号 （具体交货地点以甲方的书面通知为准</w:t>
      </w:r>
      <w:permEnd w:id="8"/>
      <w:r>
        <w:rPr>
          <w:rFonts w:hint="default" w:ascii="Times New Roman" w:hAnsi="Times New Roman" w:eastAsia="宋体" w:cs="Times New Roman"/>
          <w:bCs/>
          <w:color w:val="000000" w:themeColor="text1"/>
          <w:sz w:val="24"/>
          <w:highlight w:val="none"/>
          <w:u w:val="single"/>
          <w14:textFill>
            <w14:solidFill>
              <w14:schemeClr w14:val="tx1"/>
            </w14:solidFill>
          </w14:textFill>
        </w:rPr>
        <w:t>）</w:t>
      </w:r>
      <w:r>
        <w:rPr>
          <w:rFonts w:hint="default" w:ascii="Times New Roman" w:hAnsi="Times New Roman" w:eastAsia="宋体" w:cs="Times New Roman"/>
          <w:bCs/>
          <w:color w:val="000000" w:themeColor="text1"/>
          <w:sz w:val="24"/>
          <w:highlight w:val="none"/>
          <w14:textFill>
            <w14:solidFill>
              <w14:schemeClr w14:val="tx1"/>
            </w14:solidFill>
          </w14:textFill>
        </w:rPr>
        <w:t>。</w:t>
      </w:r>
    </w:p>
    <w:p w14:paraId="11FF7F80">
      <w:pPr>
        <w:spacing w:line="400" w:lineRule="exact"/>
        <w:ind w:firstLine="480" w:firstLineChars="200"/>
        <w:rPr>
          <w:rFonts w:hint="default" w:ascii="Times New Roman" w:hAnsi="Times New Roman" w:eastAsia="宋体" w:cs="Times New Roman"/>
          <w:iCs/>
          <w:sz w:val="24"/>
          <w:highlight w:val="none"/>
          <w:u w:val="single"/>
        </w:rPr>
      </w:pPr>
      <w:r>
        <w:rPr>
          <w:rFonts w:hint="default" w:ascii="Times New Roman" w:hAnsi="Times New Roman" w:eastAsia="宋体" w:cs="Times New Roman"/>
          <w:sz w:val="24"/>
          <w:highlight w:val="none"/>
        </w:rPr>
        <w:t>2.交货日期：</w:t>
      </w:r>
      <w:bookmarkStart w:id="22" w:name="_Hlk63260047"/>
      <w:r>
        <w:rPr>
          <w:rFonts w:hint="default" w:ascii="Times New Roman" w:hAnsi="Times New Roman" w:eastAsia="宋体" w:cs="Times New Roman"/>
          <w:bCs/>
          <w:sz w:val="24"/>
          <w:highlight w:val="none"/>
        </w:rPr>
        <w:t>乙方应在（</w:t>
      </w:r>
      <w:permStart w:id="9" w:edGrp="everyone"/>
      <w:r>
        <w:rPr>
          <w:rFonts w:hint="default" w:ascii="Times New Roman" w:hAnsi="Times New Roman" w:eastAsia="宋体" w:cs="Times New Roman"/>
          <w:bCs/>
          <w:sz w:val="24"/>
          <w:highlight w:val="none"/>
        </w:rPr>
        <w:sym w:font="Wingdings 2" w:char="00A3"/>
      </w:r>
      <w:r>
        <w:rPr>
          <w:rFonts w:hint="default" w:ascii="Times New Roman" w:hAnsi="Times New Roman" w:eastAsia="宋体" w:cs="Times New Roman"/>
          <w:bCs/>
          <w:sz w:val="24"/>
          <w:highlight w:val="none"/>
        </w:rPr>
        <w:t>收到甲方通知/</w:t>
      </w:r>
      <w:r>
        <w:rPr>
          <w:rFonts w:hint="default" w:ascii="Times New Roman" w:hAnsi="Times New Roman" w:eastAsia="宋体" w:cs="Times New Roman"/>
          <w:bCs/>
          <w:sz w:val="24"/>
          <w:highlight w:val="none"/>
        </w:rPr>
        <w:sym w:font="Wingdings 2" w:char="00A3"/>
      </w:r>
      <w:r>
        <w:rPr>
          <w:rFonts w:hint="default" w:ascii="Times New Roman" w:hAnsi="Times New Roman" w:eastAsia="宋体" w:cs="Times New Roman"/>
          <w:bCs/>
          <w:sz w:val="24"/>
          <w:highlight w:val="none"/>
        </w:rPr>
        <w:t>合同签订)之日起</w:t>
      </w:r>
      <w:r>
        <w:rPr>
          <w:rFonts w:hint="default" w:ascii="Times New Roman" w:hAnsi="Times New Roman" w:eastAsia="宋体" w:cs="Times New Roman"/>
          <w:bCs/>
          <w:sz w:val="24"/>
          <w:highlight w:val="none"/>
          <w:u w:val="single"/>
        </w:rPr>
        <w:t xml:space="preserve">    </w:t>
      </w:r>
      <w:r>
        <w:rPr>
          <w:rFonts w:hint="default" w:ascii="Times New Roman" w:hAnsi="Times New Roman" w:eastAsia="宋体" w:cs="Times New Roman"/>
          <w:bCs/>
          <w:sz w:val="24"/>
          <w:highlight w:val="none"/>
        </w:rPr>
        <w:t>天</w:t>
      </w:r>
      <w:permEnd w:id="9"/>
      <w:r>
        <w:rPr>
          <w:rFonts w:hint="default" w:ascii="Times New Roman" w:hAnsi="Times New Roman" w:eastAsia="宋体" w:cs="Times New Roman"/>
          <w:bCs/>
          <w:sz w:val="24"/>
          <w:highlight w:val="none"/>
        </w:rPr>
        <w:t>内将符合合同约定的定制货物交货到甲方指定地点。</w:t>
      </w:r>
      <w:bookmarkEnd w:id="22"/>
    </w:p>
    <w:p w14:paraId="2F0488E5">
      <w:pPr>
        <w:spacing w:line="400" w:lineRule="exact"/>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3.技术参数及性能指标、质量要求、安全要求</w:t>
      </w:r>
    </w:p>
    <w:p w14:paraId="4A6E38B4">
      <w:pPr>
        <w:spacing w:line="400" w:lineRule="exact"/>
        <w:ind w:firstLine="480" w:firstLineChars="200"/>
        <w:rPr>
          <w:rFonts w:hint="default" w:ascii="Times New Roman" w:hAnsi="Times New Roman" w:eastAsia="宋体" w:cs="Times New Roman"/>
          <w:iCs/>
          <w:sz w:val="24"/>
          <w:highlight w:val="none"/>
          <w:u w:val="single"/>
        </w:rPr>
      </w:pPr>
      <w:r>
        <w:rPr>
          <w:rFonts w:hint="default" w:ascii="Times New Roman" w:hAnsi="Times New Roman" w:eastAsia="宋体" w:cs="Times New Roman"/>
          <w:iCs/>
          <w:sz w:val="24"/>
          <w:highlight w:val="none"/>
        </w:rPr>
        <w:t>（1）技术参数及性能指标：</w:t>
      </w:r>
      <w:permStart w:id="10" w:edGrp="everyone"/>
      <w:r>
        <w:rPr>
          <w:rFonts w:hint="default" w:ascii="Times New Roman" w:hAnsi="Times New Roman" w:eastAsia="宋体" w:cs="Times New Roman"/>
          <w:iCs/>
          <w:sz w:val="24"/>
          <w:highlight w:val="none"/>
          <w:u w:val="single"/>
        </w:rPr>
        <w:t>详见附件*</w:t>
      </w:r>
      <w:permEnd w:id="10"/>
      <w:r>
        <w:rPr>
          <w:rFonts w:hint="default" w:ascii="Times New Roman" w:hAnsi="Times New Roman" w:eastAsia="宋体" w:cs="Times New Roman"/>
          <w:iCs/>
          <w:sz w:val="24"/>
          <w:highlight w:val="none"/>
          <w:u w:val="single"/>
        </w:rPr>
        <w:t>。</w:t>
      </w:r>
    </w:p>
    <w:p w14:paraId="2A260117">
      <w:pPr>
        <w:pStyle w:val="102"/>
        <w:spacing w:line="400" w:lineRule="exact"/>
        <w:ind w:left="400" w:firstLine="0" w:firstLineChars="0"/>
        <w:rPr>
          <w:rFonts w:hint="default" w:ascii="Times New Roman" w:hAnsi="Times New Roman" w:eastAsia="宋体" w:cs="Times New Roman"/>
          <w:iCs/>
          <w:sz w:val="24"/>
          <w:highlight w:val="none"/>
          <w:u w:val="single"/>
        </w:rPr>
      </w:pPr>
      <w:r>
        <w:rPr>
          <w:rFonts w:hint="default" w:ascii="Times New Roman" w:hAnsi="Times New Roman" w:eastAsia="宋体" w:cs="Times New Roman"/>
          <w:iCs/>
          <w:sz w:val="24"/>
          <w:highlight w:val="none"/>
        </w:rPr>
        <w:t>（2）质量要求：</w:t>
      </w:r>
      <w:permStart w:id="11" w:edGrp="everyone"/>
      <w:r>
        <w:rPr>
          <w:rFonts w:hint="default" w:ascii="Times New Roman" w:hAnsi="Times New Roman" w:eastAsia="宋体" w:cs="Times New Roman"/>
          <w:iCs/>
          <w:sz w:val="24"/>
          <w:highlight w:val="none"/>
          <w:u w:val="single"/>
        </w:rPr>
        <w:t>详见附件*</w:t>
      </w:r>
      <w:permEnd w:id="11"/>
      <w:r>
        <w:rPr>
          <w:rFonts w:hint="default" w:ascii="Times New Roman" w:hAnsi="Times New Roman" w:eastAsia="宋体" w:cs="Times New Roman"/>
          <w:iCs/>
          <w:sz w:val="24"/>
          <w:highlight w:val="none"/>
          <w:u w:val="single"/>
        </w:rPr>
        <w:t>。</w:t>
      </w:r>
    </w:p>
    <w:p w14:paraId="2AB783C6">
      <w:pPr>
        <w:pStyle w:val="102"/>
        <w:spacing w:line="400" w:lineRule="exact"/>
        <w:ind w:firstLine="480"/>
        <w:rPr>
          <w:rFonts w:hint="default" w:ascii="Times New Roman" w:hAnsi="Times New Roman" w:eastAsia="宋体" w:cs="Times New Roman"/>
          <w:iCs/>
          <w:sz w:val="24"/>
          <w:highlight w:val="none"/>
          <w:u w:val="single"/>
        </w:rPr>
      </w:pPr>
      <w:r>
        <w:rPr>
          <w:rFonts w:hint="default" w:ascii="Times New Roman" w:hAnsi="Times New Roman" w:eastAsia="宋体" w:cs="Times New Roman"/>
          <w:iCs/>
          <w:sz w:val="24"/>
          <w:highlight w:val="none"/>
        </w:rPr>
        <w:t>（3）</w:t>
      </w:r>
      <w:bookmarkStart w:id="23" w:name="OLE_LINK5"/>
      <w:r>
        <w:rPr>
          <w:rFonts w:hint="default" w:ascii="Times New Roman" w:hAnsi="Times New Roman" w:eastAsia="宋体" w:cs="Times New Roman"/>
          <w:iCs/>
          <w:sz w:val="24"/>
          <w:highlight w:val="none"/>
        </w:rPr>
        <w:t>安全要求：</w:t>
      </w:r>
      <w:r>
        <w:rPr>
          <w:rFonts w:hint="default" w:ascii="Times New Roman" w:hAnsi="Times New Roman" w:eastAsia="宋体" w:cs="Times New Roman"/>
          <w:iCs/>
          <w:sz w:val="24"/>
          <w:highlight w:val="none"/>
          <w:lang w:val="en-US" w:eastAsia="zh-CN"/>
        </w:rPr>
        <w:t>核心产品智能交付系统</w:t>
      </w:r>
      <w:r>
        <w:rPr>
          <w:rFonts w:hint="default" w:ascii="Times New Roman" w:hAnsi="Times New Roman" w:eastAsia="宋体" w:cs="Times New Roman"/>
          <w:sz w:val="24"/>
          <w:highlight w:val="none"/>
        </w:rPr>
        <w:t>必须符合《信息安全技术网络安全等级保护基本要求》中要求的备案和测评要求，所属等级为</w:t>
      </w:r>
      <w:permStart w:id="12" w:edGrp="everyone"/>
      <w:r>
        <w:rPr>
          <w:rFonts w:hint="default" w:ascii="Times New Roman" w:hAnsi="Times New Roman" w:eastAsia="宋体" w:cs="Times New Roman"/>
          <w:sz w:val="24"/>
          <w:highlight w:val="none"/>
          <w:u w:val="single"/>
        </w:rPr>
        <w:t xml:space="preserve"> </w:t>
      </w:r>
      <w:r>
        <w:rPr>
          <w:rFonts w:hint="default" w:ascii="Times New Roman" w:hAnsi="Times New Roman" w:eastAsia="宋体" w:cs="Times New Roman"/>
          <w:sz w:val="24"/>
          <w:highlight w:val="none"/>
          <w:u w:val="single"/>
          <w:lang w:val="en-US" w:eastAsia="zh-CN"/>
        </w:rPr>
        <w:t>3</w:t>
      </w:r>
      <w:r>
        <w:rPr>
          <w:rFonts w:hint="default" w:ascii="Times New Roman" w:hAnsi="Times New Roman" w:eastAsia="宋体" w:cs="Times New Roman"/>
          <w:sz w:val="24"/>
          <w:highlight w:val="none"/>
          <w:u w:val="single"/>
        </w:rPr>
        <w:t xml:space="preserve">  </w:t>
      </w:r>
      <w:permEnd w:id="12"/>
      <w:r>
        <w:rPr>
          <w:rFonts w:hint="default" w:ascii="Times New Roman" w:hAnsi="Times New Roman" w:eastAsia="宋体" w:cs="Times New Roman"/>
          <w:sz w:val="24"/>
          <w:highlight w:val="none"/>
        </w:rPr>
        <w:t>级，如不符合，乙方应无条件免费负责配合整改完成。</w:t>
      </w:r>
      <w:bookmarkEnd w:id="23"/>
    </w:p>
    <w:p w14:paraId="2DFBFC7A">
      <w:pPr>
        <w:pStyle w:val="27"/>
        <w:spacing w:line="400" w:lineRule="exact"/>
        <w:ind w:firstLine="0" w:firstLineChars="0"/>
        <w:jc w:val="both"/>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 xml:space="preserve">     4.乙方服务团队要求</w:t>
      </w:r>
    </w:p>
    <w:p w14:paraId="76BE5E64">
      <w:pPr>
        <w:pStyle w:val="27"/>
        <w:spacing w:line="400" w:lineRule="exact"/>
        <w:jc w:val="both"/>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（1）乙方需为本项目配备足够的研发和评估技术力量，具有国内本地化的服务团队（</w:t>
      </w:r>
      <w:permStart w:id="13" w:edGrp="everyone"/>
      <w:r>
        <w:rPr>
          <w:rFonts w:hint="default" w:ascii="Times New Roman" w:hAnsi="Times New Roman" w:eastAsia="宋体" w:cs="Times New Roman"/>
          <w:iCs/>
          <w:sz w:val="24"/>
          <w:highlight w:val="none"/>
          <w:u w:val="single"/>
        </w:rPr>
        <w:t>详见附件*</w:t>
      </w:r>
      <w:permEnd w:id="13"/>
      <w:r>
        <w:rPr>
          <w:rFonts w:hint="default" w:ascii="Times New Roman" w:hAnsi="Times New Roman" w:eastAsia="宋体" w:cs="Times New Roman"/>
          <w:iCs/>
          <w:sz w:val="24"/>
          <w:highlight w:val="none"/>
          <w:u w:val="single"/>
        </w:rPr>
        <w:t>）</w:t>
      </w:r>
      <w:r>
        <w:rPr>
          <w:rFonts w:hint="default" w:ascii="Times New Roman" w:hAnsi="Times New Roman" w:eastAsia="宋体" w:cs="Times New Roman"/>
          <w:sz w:val="24"/>
          <w:highlight w:val="none"/>
        </w:rPr>
        <w:t>。乙方团队人员应具有完成本项目所必需的技术职称、资质、技术能力及项目经验。为保证服务质量，在合同履行期间，乙方团队人员应保持稳定，未经甲方事先书面同意，乙方不得擅自变更团队成员，如确需变更的，则应提前</w:t>
      </w:r>
      <w:permStart w:id="14" w:edGrp="everyone"/>
      <w:r>
        <w:rPr>
          <w:rFonts w:hint="default" w:ascii="Times New Roman" w:hAnsi="Times New Roman" w:eastAsia="宋体" w:cs="Times New Roman"/>
          <w:sz w:val="24"/>
          <w:highlight w:val="none"/>
          <w:u w:val="single"/>
          <w:lang w:val="en-US" w:eastAsia="zh-CN"/>
        </w:rPr>
        <w:t>30</w:t>
      </w:r>
      <w:permEnd w:id="14"/>
      <w:r>
        <w:rPr>
          <w:rFonts w:hint="default" w:ascii="Times New Roman" w:hAnsi="Times New Roman" w:eastAsia="宋体" w:cs="Times New Roman"/>
          <w:sz w:val="24"/>
          <w:highlight w:val="none"/>
        </w:rPr>
        <w:t>日向甲方提出申请，并提供拟更换人员的详细简历、资质证明、项目经验等材料供甲方审核。更换人员的资质、能力、经验不应低于被更换的人员。</w:t>
      </w:r>
    </w:p>
    <w:p w14:paraId="0106EC6F">
      <w:pPr>
        <w:pStyle w:val="27"/>
        <w:spacing w:line="400" w:lineRule="exact"/>
        <w:jc w:val="both"/>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（2）乙方需在项目开展期间与甲方密切沟通，积极解决在项目执行过程中遇到的问题，保证项目的顺利开展。</w:t>
      </w:r>
    </w:p>
    <w:p w14:paraId="45F3A322">
      <w:pPr>
        <w:pStyle w:val="27"/>
        <w:spacing w:line="400" w:lineRule="exact"/>
        <w:jc w:val="both"/>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（3）乙方需提供其各个团队的技术负责人电话和邮箱，</w:t>
      </w:r>
      <w:permStart w:id="15" w:edGrp="everyone"/>
      <w:r>
        <w:rPr>
          <w:rFonts w:hint="default" w:ascii="Times New Roman" w:hAnsi="Times New Roman" w:eastAsia="宋体" w:cs="Times New Roman"/>
          <w:sz w:val="24"/>
          <w:highlight w:val="none"/>
          <w:lang w:val="en-US" w:eastAsia="zh-CN"/>
        </w:rPr>
        <w:t>7</w:t>
      </w:r>
      <w:r>
        <w:rPr>
          <w:rFonts w:hint="default" w:ascii="Times New Roman" w:hAnsi="Times New Roman" w:eastAsia="宋体" w:cs="Times New Roman"/>
          <w:sz w:val="24"/>
          <w:highlight w:val="none"/>
        </w:rPr>
        <w:t>×</w:t>
      </w:r>
      <w:r>
        <w:rPr>
          <w:rFonts w:hint="default" w:ascii="Times New Roman" w:hAnsi="Times New Roman" w:eastAsia="宋体" w:cs="Times New Roman"/>
          <w:sz w:val="24"/>
          <w:highlight w:val="none"/>
          <w:lang w:val="en-US" w:eastAsia="zh-CN"/>
        </w:rPr>
        <w:t>24</w:t>
      </w:r>
      <w:permEnd w:id="15"/>
      <w:r>
        <w:rPr>
          <w:rFonts w:hint="default" w:ascii="Times New Roman" w:hAnsi="Times New Roman" w:eastAsia="宋体" w:cs="Times New Roman"/>
          <w:sz w:val="24"/>
          <w:highlight w:val="none"/>
        </w:rPr>
        <w:t>小时响应，以保证项目的及时沟通。</w:t>
      </w:r>
    </w:p>
    <w:p w14:paraId="34040271">
      <w:pPr>
        <w:spacing w:line="400" w:lineRule="exact"/>
        <w:ind w:firstLine="482" w:firstLineChars="200"/>
        <w:rPr>
          <w:rFonts w:hint="default" w:ascii="Times New Roman" w:hAnsi="Times New Roman" w:eastAsia="宋体" w:cs="Times New Roman"/>
          <w:b/>
          <w:bCs/>
          <w:sz w:val="24"/>
          <w:highlight w:val="none"/>
        </w:rPr>
      </w:pPr>
      <w:r>
        <w:rPr>
          <w:rFonts w:hint="default" w:ascii="Times New Roman" w:hAnsi="Times New Roman" w:eastAsia="宋体" w:cs="Times New Roman"/>
          <w:b/>
          <w:bCs/>
          <w:sz w:val="24"/>
          <w:highlight w:val="none"/>
        </w:rPr>
        <w:t>三、技术资料及工作条件</w:t>
      </w:r>
    </w:p>
    <w:p w14:paraId="1CF3920A">
      <w:pPr>
        <w:spacing w:line="400" w:lineRule="exact"/>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1.甲方提供的技术资料：</w:t>
      </w:r>
      <w:permStart w:id="16" w:edGrp="everyone"/>
      <w:r>
        <w:rPr>
          <w:rFonts w:hint="default" w:ascii="Times New Roman" w:hAnsi="Times New Roman" w:eastAsia="宋体" w:cs="Times New Roman"/>
          <w:sz w:val="24"/>
          <w:highlight w:val="none"/>
          <w:u w:val="single"/>
        </w:rPr>
        <w:t>详见附件</w:t>
      </w:r>
      <w:r>
        <w:rPr>
          <w:rFonts w:hint="default" w:ascii="Times New Roman" w:hAnsi="Times New Roman" w:eastAsia="宋体" w:cs="Times New Roman"/>
          <w:iCs/>
          <w:sz w:val="24"/>
          <w:highlight w:val="none"/>
          <w:u w:val="single"/>
        </w:rPr>
        <w:t>*</w:t>
      </w:r>
      <w:permEnd w:id="16"/>
      <w:r>
        <w:rPr>
          <w:rFonts w:hint="default" w:ascii="Times New Roman" w:hAnsi="Times New Roman" w:eastAsia="宋体" w:cs="Times New Roman"/>
          <w:iCs/>
          <w:sz w:val="24"/>
          <w:highlight w:val="none"/>
        </w:rPr>
        <w:t>。</w:t>
      </w:r>
      <w:r>
        <w:rPr>
          <w:rFonts w:hint="default" w:ascii="Times New Roman" w:hAnsi="Times New Roman" w:eastAsia="宋体" w:cs="Times New Roman"/>
          <w:sz w:val="24"/>
          <w:highlight w:val="none"/>
        </w:rPr>
        <w:t>本</w:t>
      </w:r>
      <w:r>
        <w:rPr>
          <w:rFonts w:hint="default" w:ascii="Times New Roman" w:hAnsi="Times New Roman" w:eastAsia="宋体" w:cs="Times New Roman"/>
          <w:iCs/>
          <w:sz w:val="24"/>
          <w:highlight w:val="none"/>
        </w:rPr>
        <w:t>合同生效后</w:t>
      </w:r>
      <w:permStart w:id="17" w:edGrp="everyone"/>
      <w:r>
        <w:rPr>
          <w:rFonts w:hint="default" w:ascii="Times New Roman" w:hAnsi="Times New Roman" w:eastAsia="宋体" w:cs="Times New Roman"/>
          <w:iCs/>
          <w:sz w:val="24"/>
          <w:highlight w:val="none"/>
          <w:u w:val="single"/>
        </w:rPr>
        <w:t xml:space="preserve">  </w:t>
      </w:r>
      <w:permEnd w:id="17"/>
      <w:r>
        <w:rPr>
          <w:rFonts w:hint="default" w:ascii="Times New Roman" w:hAnsi="Times New Roman" w:eastAsia="宋体" w:cs="Times New Roman"/>
          <w:iCs/>
          <w:sz w:val="24"/>
          <w:highlight w:val="none"/>
        </w:rPr>
        <w:t>日内甲方向乙方提供相关资料，乙方收到甲方提供的技术资料后应立即审查，如技术资料存在错误、遗漏、缺失等情况，应在收到技术资料之日起</w:t>
      </w:r>
      <w:permStart w:id="18" w:edGrp="everyone"/>
      <w:r>
        <w:rPr>
          <w:rFonts w:hint="default" w:ascii="Times New Roman" w:hAnsi="Times New Roman" w:eastAsia="宋体" w:cs="Times New Roman"/>
          <w:iCs/>
          <w:sz w:val="24"/>
          <w:highlight w:val="none"/>
          <w:u w:val="single"/>
        </w:rPr>
        <w:t>3</w:t>
      </w:r>
      <w:permEnd w:id="18"/>
      <w:r>
        <w:rPr>
          <w:rFonts w:hint="default" w:ascii="Times New Roman" w:hAnsi="Times New Roman" w:eastAsia="宋体" w:cs="Times New Roman"/>
          <w:iCs/>
          <w:sz w:val="24"/>
          <w:highlight w:val="none"/>
        </w:rPr>
        <w:t>日内向甲方书面反馈。乙方逾期审查或反馈的，视为甲方已提供乙方为完成货物定制服务所需的全部技术资料。如甲方延迟提供技术资料的，乙方履行时间可以相应顺延。</w:t>
      </w:r>
    </w:p>
    <w:p w14:paraId="4CAA678A">
      <w:pPr>
        <w:spacing w:line="400" w:lineRule="exact"/>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2.甲方提供工作条件：如需乙方提供现场服务的，甲方应当尽合理努力为乙方提供办公场所、网络等便利条件</w:t>
      </w:r>
      <w:r>
        <w:rPr>
          <w:rFonts w:hint="default" w:ascii="Times New Roman" w:hAnsi="Times New Roman" w:eastAsia="宋体" w:cs="Times New Roman"/>
          <w:iCs/>
          <w:sz w:val="24"/>
          <w:highlight w:val="none"/>
        </w:rPr>
        <w:t>。</w:t>
      </w:r>
    </w:p>
    <w:p w14:paraId="1A43E00C">
      <w:pPr>
        <w:pStyle w:val="27"/>
        <w:spacing w:line="400" w:lineRule="exact"/>
        <w:ind w:firstLine="482"/>
        <w:jc w:val="both"/>
        <w:rPr>
          <w:rFonts w:hint="default" w:ascii="Times New Roman" w:hAnsi="Times New Roman" w:eastAsia="宋体" w:cs="Times New Roman"/>
          <w:b/>
          <w:sz w:val="24"/>
          <w:highlight w:val="none"/>
        </w:rPr>
      </w:pPr>
      <w:r>
        <w:rPr>
          <w:rFonts w:hint="default" w:ascii="Times New Roman" w:hAnsi="Times New Roman" w:eastAsia="宋体" w:cs="Times New Roman"/>
          <w:b/>
          <w:bCs/>
          <w:sz w:val="24"/>
          <w:highlight w:val="none"/>
        </w:rPr>
        <w:t>四、定制</w:t>
      </w:r>
      <w:r>
        <w:rPr>
          <w:rFonts w:hint="default" w:ascii="Times New Roman" w:hAnsi="Times New Roman" w:eastAsia="宋体" w:cs="Times New Roman"/>
          <w:b/>
          <w:bCs/>
          <w:sz w:val="24"/>
          <w:highlight w:val="none"/>
          <w:lang w:val="en-US" w:eastAsia="zh-CN"/>
        </w:rPr>
        <w:t>货物合同总价</w:t>
      </w:r>
      <w:r>
        <w:rPr>
          <w:rFonts w:hint="default" w:ascii="Times New Roman" w:hAnsi="Times New Roman" w:eastAsia="宋体" w:cs="Times New Roman"/>
          <w:b/>
          <w:bCs/>
          <w:sz w:val="24"/>
          <w:highlight w:val="none"/>
        </w:rPr>
        <w:t>、支付方式、预付款保函及履约保证金</w:t>
      </w:r>
    </w:p>
    <w:p w14:paraId="376C7B23">
      <w:pPr>
        <w:pStyle w:val="23"/>
        <w:spacing w:before="0" w:beforeAutospacing="0" w:after="0" w:afterAutospacing="0" w:line="360" w:lineRule="auto"/>
        <w:ind w:firstLine="480" w:firstLineChars="200"/>
        <w:jc w:val="both"/>
        <w:rPr>
          <w:rFonts w:hint="default" w:ascii="Times New Roman" w:hAnsi="Times New Roman" w:eastAsia="宋体" w:cs="Times New Roman"/>
          <w:bCs/>
          <w:highlight w:val="none"/>
        </w:rPr>
      </w:pPr>
      <w:r>
        <w:rPr>
          <w:rFonts w:hint="default" w:ascii="Times New Roman" w:hAnsi="Times New Roman" w:eastAsia="宋体" w:cs="Times New Roman"/>
          <w:highlight w:val="none"/>
        </w:rPr>
        <w:t>1.委托定制货物总额（含税）为¥</w:t>
      </w:r>
      <w:permStart w:id="19" w:edGrp="everyone"/>
      <w:r>
        <w:rPr>
          <w:rFonts w:hint="default" w:ascii="Times New Roman" w:hAnsi="Times New Roman" w:eastAsia="宋体" w:cs="Times New Roman"/>
          <w:highlight w:val="none"/>
          <w:u w:val="single"/>
        </w:rPr>
        <w:t xml:space="preserve">         </w:t>
      </w:r>
      <w:r>
        <w:rPr>
          <w:rFonts w:hint="default" w:ascii="Times New Roman" w:hAnsi="Times New Roman" w:eastAsia="宋体" w:cs="Times New Roman"/>
          <w:highlight w:val="none"/>
        </w:rPr>
        <w:t>大写：人民币</w:t>
      </w:r>
      <w:r>
        <w:rPr>
          <w:rFonts w:hint="default" w:ascii="Times New Roman" w:hAnsi="Times New Roman" w:eastAsia="宋体" w:cs="Times New Roman"/>
          <w:highlight w:val="none"/>
          <w:u w:val="single"/>
        </w:rPr>
        <w:t xml:space="preserve">       </w:t>
      </w:r>
      <w:r>
        <w:rPr>
          <w:rFonts w:hint="default" w:ascii="Times New Roman" w:hAnsi="Times New Roman" w:eastAsia="宋体" w:cs="Times New Roman"/>
          <w:highlight w:val="none"/>
        </w:rPr>
        <w:t>元</w:t>
      </w:r>
      <w:permEnd w:id="19"/>
      <w:r>
        <w:rPr>
          <w:rFonts w:hint="default" w:ascii="Times New Roman" w:hAnsi="Times New Roman" w:eastAsia="宋体" w:cs="Times New Roman"/>
          <w:highlight w:val="none"/>
        </w:rPr>
        <w:t>整。</w:t>
      </w:r>
      <w:r>
        <w:rPr>
          <w:rFonts w:hint="default" w:ascii="Times New Roman" w:hAnsi="Times New Roman" w:eastAsia="宋体" w:cs="Times New Roman"/>
          <w:bCs/>
          <w:highlight w:val="none"/>
        </w:rPr>
        <w:t>该总额为乙方完成甲方委托定制货物的包干价，已包括但不限于货物的定制费、</w:t>
      </w:r>
      <w:r>
        <w:rPr>
          <w:rFonts w:hint="default" w:ascii="Times New Roman" w:hAnsi="Times New Roman" w:eastAsia="宋体" w:cs="Times New Roman"/>
          <w:bCs/>
          <w:color w:val="000000" w:themeColor="text1"/>
          <w:highlight w:val="none"/>
          <w14:textFill>
            <w14:solidFill>
              <w14:schemeClr w14:val="tx1"/>
            </w14:solidFill>
          </w14:textFill>
        </w:rPr>
        <w:t>运输费、保险费、包装费、装卸费、报关费、存储费、仓储费、配套资料费、系统软件费、系统软件升级费、安装调试费、系统集成费、培训费以及售后服务费、二次移机费（如有）、数据迁移费（如有）、</w:t>
      </w:r>
      <w:permStart w:id="20" w:edGrp="everyone"/>
      <w:r>
        <w:rPr>
          <w:rFonts w:hint="default" w:ascii="Times New Roman" w:hAnsi="Times New Roman" w:eastAsia="宋体" w:cs="Times New Roman"/>
          <w:bCs/>
          <w:color w:val="000000" w:themeColor="text1"/>
          <w:highlight w:val="none"/>
          <w14:textFill>
            <w14:solidFill>
              <w14:schemeClr w14:val="tx1"/>
            </w14:solidFill>
          </w14:textFill>
        </w:rPr>
        <w:t>“相关平台”</w:t>
      </w:r>
      <w:permEnd w:id="20"/>
      <w:r>
        <w:rPr>
          <w:rFonts w:hint="default" w:ascii="Times New Roman" w:hAnsi="Times New Roman" w:eastAsia="宋体" w:cs="Times New Roman"/>
          <w:bCs/>
          <w:color w:val="000000" w:themeColor="text1"/>
          <w:highlight w:val="none"/>
          <w14:textFill>
            <w14:solidFill>
              <w14:schemeClr w14:val="tx1"/>
            </w14:solidFill>
          </w14:textFill>
        </w:rPr>
        <w:t>整体联合调试费、增值税和其他税费</w:t>
      </w:r>
      <w:r>
        <w:rPr>
          <w:rFonts w:hint="default" w:ascii="Times New Roman" w:hAnsi="Times New Roman" w:eastAsia="宋体" w:cs="Times New Roman"/>
          <w:bCs/>
          <w:highlight w:val="none"/>
        </w:rPr>
        <w:t>，以及接洽、对接、物料、人工、差旅、税费、评审费、专家验收费等乙方为履行本合同定制货物的一切费用，除</w:t>
      </w:r>
      <w:r>
        <w:rPr>
          <w:rFonts w:hint="default" w:ascii="Times New Roman" w:hAnsi="Times New Roman" w:eastAsia="宋体" w:cs="Times New Roman"/>
          <w:bCs/>
          <w:highlight w:val="none"/>
          <w:lang w:val="en-US" w:eastAsia="zh-CN"/>
        </w:rPr>
        <w:t>招标文件和</w:t>
      </w:r>
      <w:r>
        <w:rPr>
          <w:rFonts w:hint="default" w:ascii="Times New Roman" w:hAnsi="Times New Roman" w:eastAsia="宋体" w:cs="Times New Roman"/>
          <w:bCs/>
          <w:highlight w:val="none"/>
        </w:rPr>
        <w:t>本合同明确约定</w:t>
      </w:r>
      <w:r>
        <w:rPr>
          <w:rFonts w:hint="default" w:ascii="Times New Roman" w:hAnsi="Times New Roman" w:eastAsia="宋体" w:cs="Times New Roman"/>
          <w:bCs/>
          <w:highlight w:val="none"/>
          <w:lang w:val="en-US" w:eastAsia="zh-CN"/>
        </w:rPr>
        <w:t>需甲方另行支付</w:t>
      </w:r>
      <w:r>
        <w:rPr>
          <w:rFonts w:hint="default" w:ascii="Times New Roman" w:hAnsi="Times New Roman" w:eastAsia="宋体" w:cs="Times New Roman"/>
          <w:bCs/>
          <w:highlight w:val="none"/>
        </w:rPr>
        <w:t>的</w:t>
      </w:r>
      <w:r>
        <w:rPr>
          <w:rFonts w:hint="default" w:ascii="Times New Roman" w:hAnsi="Times New Roman" w:eastAsia="宋体" w:cs="Times New Roman"/>
          <w:bCs/>
          <w:highlight w:val="none"/>
          <w:lang w:val="en-US" w:eastAsia="zh-CN"/>
        </w:rPr>
        <w:t>费用</w:t>
      </w:r>
      <w:r>
        <w:rPr>
          <w:rFonts w:hint="default" w:ascii="Times New Roman" w:hAnsi="Times New Roman" w:eastAsia="宋体" w:cs="Times New Roman"/>
          <w:bCs/>
          <w:highlight w:val="none"/>
        </w:rPr>
        <w:t>外，甲方无需再向乙方支付其他任何价款或费用。</w:t>
      </w:r>
    </w:p>
    <w:p w14:paraId="7EE3E44F">
      <w:pPr>
        <w:wordWrap w:val="0"/>
        <w:autoSpaceDE w:val="0"/>
        <w:autoSpaceDN w:val="0"/>
        <w:spacing w:line="400" w:lineRule="exact"/>
        <w:ind w:firstLine="480" w:firstLineChars="200"/>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以上</w:t>
      </w:r>
      <w:r>
        <w:rPr>
          <w:rFonts w:hint="default" w:ascii="Times New Roman" w:hAnsi="Times New Roman" w:eastAsia="宋体" w:cs="Times New Roman"/>
          <w:bCs/>
          <w:sz w:val="24"/>
          <w:highlight w:val="none"/>
          <w:lang w:val="en-US" w:eastAsia="zh-CN"/>
        </w:rPr>
        <w:t>合同</w:t>
      </w:r>
      <w:r>
        <w:rPr>
          <w:rFonts w:hint="default" w:ascii="Times New Roman" w:hAnsi="Times New Roman" w:eastAsia="宋体" w:cs="Times New Roman"/>
          <w:bCs/>
          <w:sz w:val="24"/>
          <w:highlight w:val="none"/>
        </w:rPr>
        <w:t>总额具体构成如下：</w:t>
      </w:r>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35"/>
        <w:gridCol w:w="2025"/>
        <w:gridCol w:w="2131"/>
        <w:gridCol w:w="2131"/>
      </w:tblGrid>
      <w:tr w14:paraId="6A740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tcPr>
          <w:p w14:paraId="66C3CADD">
            <w:pPr>
              <w:wordWrap w:val="0"/>
              <w:autoSpaceDE w:val="0"/>
              <w:autoSpaceDN w:val="0"/>
              <w:spacing w:line="400" w:lineRule="exact"/>
              <w:rPr>
                <w:rFonts w:hint="default" w:ascii="Times New Roman" w:hAnsi="Times New Roman" w:eastAsia="宋体" w:cs="Times New Roman"/>
                <w:bCs/>
                <w:sz w:val="24"/>
                <w:highlight w:val="none"/>
              </w:rPr>
            </w:pPr>
            <w:permStart w:id="21" w:edGrp="everyone" w:colFirst="0" w:colLast="0"/>
            <w:permStart w:id="22" w:edGrp="everyone" w:colFirst="1" w:colLast="1"/>
            <w:permStart w:id="23" w:edGrp="everyone" w:colFirst="2" w:colLast="2"/>
            <w:permStart w:id="24" w:edGrp="everyone" w:colFirst="3" w:colLast="3"/>
            <w:r>
              <w:rPr>
                <w:rFonts w:hint="default" w:ascii="Times New Roman" w:hAnsi="Times New Roman" w:eastAsia="宋体" w:cs="Times New Roman"/>
                <w:bCs/>
                <w:sz w:val="24"/>
                <w:highlight w:val="none"/>
              </w:rPr>
              <w:t>委托定制货物内容</w:t>
            </w:r>
          </w:p>
        </w:tc>
        <w:tc>
          <w:tcPr>
            <w:tcW w:w="2025" w:type="dxa"/>
          </w:tcPr>
          <w:p w14:paraId="00129C3A">
            <w:pPr>
              <w:wordWrap w:val="0"/>
              <w:autoSpaceDE w:val="0"/>
              <w:autoSpaceDN w:val="0"/>
              <w:spacing w:line="400" w:lineRule="exact"/>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单价</w:t>
            </w:r>
          </w:p>
        </w:tc>
        <w:tc>
          <w:tcPr>
            <w:tcW w:w="2131" w:type="dxa"/>
          </w:tcPr>
          <w:p w14:paraId="127327D0">
            <w:pPr>
              <w:wordWrap w:val="0"/>
              <w:autoSpaceDE w:val="0"/>
              <w:autoSpaceDN w:val="0"/>
              <w:spacing w:line="400" w:lineRule="exact"/>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总价</w:t>
            </w:r>
          </w:p>
        </w:tc>
        <w:tc>
          <w:tcPr>
            <w:tcW w:w="2131" w:type="dxa"/>
          </w:tcPr>
          <w:p w14:paraId="4BE5C8F9">
            <w:pPr>
              <w:wordWrap w:val="0"/>
              <w:autoSpaceDE w:val="0"/>
              <w:autoSpaceDN w:val="0"/>
              <w:spacing w:line="400" w:lineRule="exact"/>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备注</w:t>
            </w:r>
          </w:p>
        </w:tc>
      </w:tr>
      <w:permEnd w:id="21"/>
      <w:permEnd w:id="22"/>
      <w:permEnd w:id="23"/>
      <w:permEnd w:id="24"/>
      <w:tr w14:paraId="24263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tcPr>
          <w:p w14:paraId="0A3D1707">
            <w:pPr>
              <w:wordWrap w:val="0"/>
              <w:autoSpaceDE w:val="0"/>
              <w:autoSpaceDN w:val="0"/>
              <w:spacing w:line="400" w:lineRule="exact"/>
              <w:rPr>
                <w:rFonts w:hint="default" w:ascii="Times New Roman" w:hAnsi="Times New Roman" w:eastAsia="宋体" w:cs="Times New Roman"/>
                <w:bCs/>
                <w:sz w:val="24"/>
                <w:highlight w:val="none"/>
              </w:rPr>
            </w:pPr>
            <w:permStart w:id="25" w:edGrp="everyone" w:colFirst="0" w:colLast="0"/>
            <w:permStart w:id="26" w:edGrp="everyone" w:colFirst="1" w:colLast="1"/>
            <w:permStart w:id="27" w:edGrp="everyone" w:colFirst="2" w:colLast="2"/>
            <w:permStart w:id="28" w:edGrp="everyone" w:colFirst="3" w:colLast="3"/>
            <w:r>
              <w:rPr>
                <w:rFonts w:hint="default" w:ascii="Times New Roman" w:hAnsi="Times New Roman" w:eastAsia="宋体" w:cs="Times New Roman"/>
                <w:bCs/>
                <w:sz w:val="24"/>
                <w:highlight w:val="none"/>
              </w:rPr>
              <w:t>A</w:t>
            </w:r>
          </w:p>
        </w:tc>
        <w:tc>
          <w:tcPr>
            <w:tcW w:w="2025" w:type="dxa"/>
          </w:tcPr>
          <w:p w14:paraId="41A1FC1E">
            <w:pPr>
              <w:wordWrap w:val="0"/>
              <w:autoSpaceDE w:val="0"/>
              <w:autoSpaceDN w:val="0"/>
              <w:spacing w:line="400" w:lineRule="exact"/>
              <w:rPr>
                <w:rFonts w:hint="default" w:ascii="Times New Roman" w:hAnsi="Times New Roman" w:eastAsia="宋体" w:cs="Times New Roman"/>
                <w:bCs/>
                <w:sz w:val="24"/>
                <w:highlight w:val="none"/>
              </w:rPr>
            </w:pPr>
          </w:p>
        </w:tc>
        <w:tc>
          <w:tcPr>
            <w:tcW w:w="2131" w:type="dxa"/>
          </w:tcPr>
          <w:p w14:paraId="5EA3B4AF">
            <w:pPr>
              <w:wordWrap w:val="0"/>
              <w:autoSpaceDE w:val="0"/>
              <w:autoSpaceDN w:val="0"/>
              <w:spacing w:line="400" w:lineRule="exact"/>
              <w:rPr>
                <w:rFonts w:hint="default" w:ascii="Times New Roman" w:hAnsi="Times New Roman" w:eastAsia="宋体" w:cs="Times New Roman"/>
                <w:bCs/>
                <w:sz w:val="24"/>
                <w:highlight w:val="none"/>
              </w:rPr>
            </w:pPr>
          </w:p>
        </w:tc>
        <w:tc>
          <w:tcPr>
            <w:tcW w:w="2131" w:type="dxa"/>
          </w:tcPr>
          <w:p w14:paraId="35DE9583">
            <w:pPr>
              <w:wordWrap w:val="0"/>
              <w:autoSpaceDE w:val="0"/>
              <w:autoSpaceDN w:val="0"/>
              <w:spacing w:line="400" w:lineRule="exact"/>
              <w:rPr>
                <w:rFonts w:hint="default" w:ascii="Times New Roman" w:hAnsi="Times New Roman" w:eastAsia="宋体" w:cs="Times New Roman"/>
                <w:bCs/>
                <w:sz w:val="24"/>
                <w:highlight w:val="none"/>
              </w:rPr>
            </w:pPr>
          </w:p>
        </w:tc>
      </w:tr>
      <w:permEnd w:id="25"/>
      <w:permEnd w:id="26"/>
      <w:permEnd w:id="27"/>
      <w:permEnd w:id="28"/>
      <w:tr w14:paraId="65FA0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tcPr>
          <w:p w14:paraId="5096DB1D">
            <w:pPr>
              <w:wordWrap w:val="0"/>
              <w:autoSpaceDE w:val="0"/>
              <w:autoSpaceDN w:val="0"/>
              <w:spacing w:line="400" w:lineRule="exact"/>
              <w:rPr>
                <w:rFonts w:hint="default" w:ascii="Times New Roman" w:hAnsi="Times New Roman" w:eastAsia="宋体" w:cs="Times New Roman"/>
                <w:bCs/>
                <w:sz w:val="24"/>
                <w:highlight w:val="none"/>
              </w:rPr>
            </w:pPr>
            <w:permStart w:id="29" w:edGrp="everyone" w:colFirst="0" w:colLast="0"/>
            <w:permStart w:id="30" w:edGrp="everyone" w:colFirst="1" w:colLast="1"/>
            <w:permStart w:id="31" w:edGrp="everyone" w:colFirst="2" w:colLast="2"/>
            <w:permStart w:id="32" w:edGrp="everyone" w:colFirst="3" w:colLast="3"/>
            <w:r>
              <w:rPr>
                <w:rFonts w:hint="default" w:ascii="Times New Roman" w:hAnsi="Times New Roman" w:eastAsia="宋体" w:cs="Times New Roman"/>
                <w:bCs/>
                <w:sz w:val="24"/>
                <w:highlight w:val="none"/>
              </w:rPr>
              <w:t>B</w:t>
            </w:r>
          </w:p>
        </w:tc>
        <w:tc>
          <w:tcPr>
            <w:tcW w:w="2025" w:type="dxa"/>
          </w:tcPr>
          <w:p w14:paraId="000167C2">
            <w:pPr>
              <w:wordWrap w:val="0"/>
              <w:autoSpaceDE w:val="0"/>
              <w:autoSpaceDN w:val="0"/>
              <w:spacing w:line="400" w:lineRule="exact"/>
              <w:rPr>
                <w:rFonts w:hint="default" w:ascii="Times New Roman" w:hAnsi="Times New Roman" w:eastAsia="宋体" w:cs="Times New Roman"/>
                <w:bCs/>
                <w:sz w:val="24"/>
                <w:highlight w:val="none"/>
              </w:rPr>
            </w:pPr>
          </w:p>
        </w:tc>
        <w:tc>
          <w:tcPr>
            <w:tcW w:w="2131" w:type="dxa"/>
          </w:tcPr>
          <w:p w14:paraId="0638B5C5">
            <w:pPr>
              <w:wordWrap w:val="0"/>
              <w:autoSpaceDE w:val="0"/>
              <w:autoSpaceDN w:val="0"/>
              <w:spacing w:line="400" w:lineRule="exact"/>
              <w:rPr>
                <w:rFonts w:hint="default" w:ascii="Times New Roman" w:hAnsi="Times New Roman" w:eastAsia="宋体" w:cs="Times New Roman"/>
                <w:bCs/>
                <w:sz w:val="24"/>
                <w:highlight w:val="none"/>
              </w:rPr>
            </w:pPr>
          </w:p>
        </w:tc>
        <w:tc>
          <w:tcPr>
            <w:tcW w:w="2131" w:type="dxa"/>
          </w:tcPr>
          <w:p w14:paraId="55D2A9BD">
            <w:pPr>
              <w:wordWrap w:val="0"/>
              <w:autoSpaceDE w:val="0"/>
              <w:autoSpaceDN w:val="0"/>
              <w:spacing w:line="400" w:lineRule="exact"/>
              <w:rPr>
                <w:rFonts w:hint="default" w:ascii="Times New Roman" w:hAnsi="Times New Roman" w:eastAsia="宋体" w:cs="Times New Roman"/>
                <w:bCs/>
                <w:sz w:val="24"/>
                <w:highlight w:val="none"/>
              </w:rPr>
            </w:pPr>
          </w:p>
        </w:tc>
      </w:tr>
      <w:permEnd w:id="29"/>
      <w:permEnd w:id="30"/>
      <w:permEnd w:id="31"/>
      <w:permEnd w:id="32"/>
    </w:tbl>
    <w:p w14:paraId="14D4E09C">
      <w:pPr>
        <w:pStyle w:val="49"/>
        <w:numPr>
          <w:ilvl w:val="0"/>
          <w:numId w:val="15"/>
        </w:numPr>
        <w:spacing w:line="400" w:lineRule="exact"/>
        <w:ind w:firstLine="480" w:firstLineChars="200"/>
        <w:rPr>
          <w:rFonts w:hint="default" w:ascii="Times New Roman" w:hAnsi="Times New Roman" w:eastAsia="宋体" w:cs="Times New Roman"/>
          <w:bCs/>
          <w:szCs w:val="24"/>
          <w:highlight w:val="none"/>
        </w:rPr>
      </w:pPr>
      <w:r>
        <w:rPr>
          <w:rFonts w:hint="default" w:ascii="Times New Roman" w:hAnsi="Times New Roman" w:eastAsia="宋体" w:cs="Times New Roman"/>
          <w:bCs/>
          <w:szCs w:val="24"/>
          <w:highlight w:val="none"/>
          <w:lang w:val="en-US" w:eastAsia="zh-CN"/>
        </w:rPr>
        <w:t>合同</w:t>
      </w:r>
      <w:r>
        <w:rPr>
          <w:rFonts w:hint="default" w:ascii="Times New Roman" w:hAnsi="Times New Roman" w:eastAsia="宋体" w:cs="Times New Roman"/>
          <w:bCs/>
          <w:szCs w:val="24"/>
          <w:highlight w:val="none"/>
        </w:rPr>
        <w:t>总额由甲方</w:t>
      </w:r>
      <w:permStart w:id="33" w:edGrp="everyone"/>
      <w:r>
        <w:rPr>
          <w:rFonts w:hint="default" w:ascii="Times New Roman" w:hAnsi="Times New Roman" w:eastAsia="宋体" w:cs="Times New Roman"/>
          <w:bCs/>
          <w:szCs w:val="24"/>
          <w:highlight w:val="none"/>
          <w:u w:val="single"/>
        </w:rPr>
        <w:t>分期</w:t>
      </w:r>
      <w:permEnd w:id="33"/>
      <w:r>
        <w:rPr>
          <w:rFonts w:hint="default" w:ascii="Times New Roman" w:hAnsi="Times New Roman" w:eastAsia="宋体" w:cs="Times New Roman"/>
          <w:bCs/>
          <w:szCs w:val="24"/>
          <w:highlight w:val="none"/>
        </w:rPr>
        <w:t>支付给乙方，具体支付方式和时间如下：</w:t>
      </w:r>
    </w:p>
    <w:p w14:paraId="505682B2">
      <w:pPr>
        <w:pStyle w:val="49"/>
        <w:numPr>
          <w:ilvl w:val="255"/>
          <w:numId w:val="0"/>
        </w:numPr>
        <w:spacing w:line="400" w:lineRule="exact"/>
        <w:rPr>
          <w:rFonts w:hint="default" w:ascii="Times New Roman" w:hAnsi="Times New Roman" w:eastAsia="宋体" w:cs="Times New Roman"/>
          <w:bCs/>
          <w:szCs w:val="24"/>
          <w:highlight w:val="none"/>
        </w:rPr>
      </w:pPr>
      <w:r>
        <w:rPr>
          <w:rFonts w:hint="default" w:ascii="Times New Roman" w:hAnsi="Times New Roman" w:eastAsia="宋体" w:cs="Times New Roman"/>
          <w:bCs/>
          <w:szCs w:val="24"/>
          <w:highlight w:val="none"/>
        </w:rPr>
        <w:t xml:space="preserve">    </w:t>
      </w:r>
      <w:r>
        <w:rPr>
          <w:rFonts w:hint="default" w:ascii="Times New Roman" w:hAnsi="Times New Roman" w:eastAsia="宋体" w:cs="Times New Roman"/>
          <w:bCs/>
          <w:highlight w:val="none"/>
        </w:rPr>
        <w:sym w:font="Wingdings" w:char="00A8"/>
      </w:r>
      <w:r>
        <w:rPr>
          <w:rFonts w:hint="default" w:ascii="Times New Roman" w:hAnsi="Times New Roman" w:eastAsia="宋体" w:cs="Times New Roman"/>
          <w:bCs/>
          <w:highlight w:val="none"/>
        </w:rPr>
        <w:t>一次性付款。经甲方综合验收合格，且乙方按甲方的要求提供定制货物</w:t>
      </w:r>
      <w:r>
        <w:rPr>
          <w:rFonts w:hint="default" w:ascii="Times New Roman" w:hAnsi="Times New Roman" w:eastAsia="宋体" w:cs="Times New Roman"/>
          <w:bCs/>
          <w:color w:val="000000" w:themeColor="text1"/>
          <w:highlight w:val="none"/>
          <w14:textFill>
            <w14:solidFill>
              <w14:schemeClr w14:val="tx1"/>
            </w14:solidFill>
          </w14:textFill>
        </w:rPr>
        <w:t>二次搬迁、移机（含数据迁移，如有）、安装、调试工作（如有），并配合甲方完成“相关平台”项目的整体联合调试服务（如有）且经甲方书面确认后</w:t>
      </w:r>
      <w:r>
        <w:rPr>
          <w:rFonts w:hint="default" w:ascii="Times New Roman" w:hAnsi="Times New Roman" w:eastAsia="宋体" w:cs="Times New Roman"/>
          <w:bCs/>
          <w:highlight w:val="none"/>
          <w:u w:val="single"/>
        </w:rPr>
        <w:t xml:space="preserve">   </w:t>
      </w:r>
      <w:r>
        <w:rPr>
          <w:rFonts w:hint="default" w:ascii="Times New Roman" w:hAnsi="Times New Roman" w:eastAsia="宋体" w:cs="Times New Roman"/>
          <w:bCs/>
          <w:highlight w:val="none"/>
        </w:rPr>
        <w:t xml:space="preserve">天内，甲方支付合同服务费全款，即人民币 </w:t>
      </w:r>
      <w:r>
        <w:rPr>
          <w:rFonts w:hint="default" w:ascii="Times New Roman" w:hAnsi="Times New Roman" w:eastAsia="宋体" w:cs="Times New Roman"/>
          <w:bCs/>
          <w:highlight w:val="none"/>
          <w:u w:val="single"/>
        </w:rPr>
        <w:t xml:space="preserve"> ¥           （大写：       ）</w:t>
      </w:r>
    </w:p>
    <w:p w14:paraId="1048FDDB">
      <w:pPr>
        <w:pStyle w:val="49"/>
        <w:spacing w:line="400" w:lineRule="exact"/>
        <w:ind w:firstLine="480" w:firstLineChars="200"/>
        <w:rPr>
          <w:rFonts w:hint="default" w:ascii="Times New Roman" w:hAnsi="Times New Roman" w:eastAsia="宋体" w:cs="Times New Roman"/>
          <w:bCs/>
          <w:highlight w:val="none"/>
        </w:rPr>
      </w:pPr>
      <w:permStart w:id="34" w:edGrp="everyone"/>
      <w:r>
        <w:rPr>
          <w:rFonts w:hint="default" w:ascii="Times New Roman" w:hAnsi="Times New Roman" w:eastAsia="宋体" w:cs="Times New Roman"/>
          <w:bCs/>
          <w:highlight w:val="none"/>
        </w:rPr>
        <w:sym w:font="Wingdings" w:char="00A8"/>
      </w:r>
      <w:r>
        <w:rPr>
          <w:rFonts w:hint="default" w:ascii="Times New Roman" w:hAnsi="Times New Roman" w:eastAsia="宋体" w:cs="Times New Roman"/>
          <w:bCs/>
          <w:highlight w:val="none"/>
        </w:rPr>
        <w:t>分期付款。</w:t>
      </w:r>
    </w:p>
    <w:p w14:paraId="2C11EBF6">
      <w:pPr>
        <w:pStyle w:val="49"/>
        <w:spacing w:line="400" w:lineRule="exact"/>
        <w:ind w:firstLine="480" w:firstLineChars="200"/>
        <w:rPr>
          <w:rFonts w:hint="default" w:ascii="Times New Roman" w:hAnsi="Times New Roman" w:eastAsia="宋体" w:cs="Times New Roman"/>
          <w:bCs/>
          <w:szCs w:val="24"/>
          <w:highlight w:val="none"/>
        </w:rPr>
      </w:pPr>
      <w:r>
        <w:rPr>
          <w:rFonts w:hint="default" w:ascii="Times New Roman" w:hAnsi="Times New Roman" w:eastAsia="宋体" w:cs="Times New Roman"/>
          <w:bCs/>
          <w:szCs w:val="24"/>
          <w:highlight w:val="none"/>
        </w:rPr>
        <w:t>（1）预付款：</w:t>
      </w:r>
      <w:r>
        <w:rPr>
          <w:rFonts w:hint="default" w:ascii="Times New Roman" w:hAnsi="Times New Roman" w:eastAsia="宋体" w:cs="Times New Roman"/>
          <w:highlight w:val="none"/>
        </w:rPr>
        <w:t>在本合同签订并生效且甲方收到乙方提交的符合本条约定的预付款保函后[  ]天内或</w:t>
      </w:r>
      <w:r>
        <w:rPr>
          <w:rFonts w:hint="default" w:ascii="Times New Roman" w:hAnsi="Times New Roman" w:eastAsia="宋体" w:cs="Times New Roman"/>
          <w:bCs/>
          <w:highlight w:val="none"/>
        </w:rPr>
        <w:t>本合同签订并生效后[</w:t>
      </w:r>
      <w:r>
        <w:rPr>
          <w:rFonts w:hint="default" w:ascii="Times New Roman" w:hAnsi="Times New Roman" w:eastAsia="宋体" w:cs="Times New Roman"/>
          <w:bCs/>
          <w:highlight w:val="none"/>
          <w:u w:val="single"/>
        </w:rPr>
        <w:t xml:space="preserve">   ]</w:t>
      </w:r>
      <w:r>
        <w:rPr>
          <w:rFonts w:hint="default" w:ascii="Times New Roman" w:hAnsi="Times New Roman" w:eastAsia="宋体" w:cs="Times New Roman"/>
          <w:bCs/>
          <w:highlight w:val="none"/>
        </w:rPr>
        <w:t>天内</w:t>
      </w:r>
      <w:r>
        <w:rPr>
          <w:rFonts w:hint="default" w:ascii="Times New Roman" w:hAnsi="Times New Roman" w:eastAsia="宋体" w:cs="Times New Roman"/>
          <w:highlight w:val="none"/>
        </w:rPr>
        <w:t>（请依据是否需要乙方出具预付款保函的实际情况,在[  ]中进行二选一并填写时间，未选择的请在[  ]中用“/”表示）</w:t>
      </w:r>
      <w:r>
        <w:rPr>
          <w:rFonts w:hint="default" w:ascii="Times New Roman" w:hAnsi="Times New Roman" w:eastAsia="宋体" w:cs="Times New Roman"/>
          <w:bCs/>
          <w:szCs w:val="24"/>
          <w:highlight w:val="none"/>
        </w:rPr>
        <w:t>，甲方向乙方支付合同总额的</w:t>
      </w:r>
      <w:r>
        <w:rPr>
          <w:rFonts w:hint="default" w:ascii="Times New Roman" w:hAnsi="Times New Roman" w:eastAsia="宋体" w:cs="Times New Roman"/>
          <w:bCs/>
          <w:szCs w:val="24"/>
          <w:highlight w:val="none"/>
          <w:u w:val="single"/>
        </w:rPr>
        <w:t xml:space="preserve">   </w:t>
      </w:r>
      <w:r>
        <w:rPr>
          <w:rFonts w:hint="default" w:ascii="Times New Roman" w:hAnsi="Times New Roman" w:eastAsia="宋体" w:cs="Times New Roman"/>
          <w:bCs/>
          <w:szCs w:val="24"/>
          <w:highlight w:val="none"/>
        </w:rPr>
        <w:t>%的预付款</w:t>
      </w:r>
      <w:r>
        <w:rPr>
          <w:rFonts w:hint="default" w:ascii="Times New Roman" w:hAnsi="Times New Roman" w:eastAsia="宋体" w:cs="Times New Roman"/>
          <w:highlight w:val="none"/>
        </w:rPr>
        <w:t>，即</w:t>
      </w:r>
      <w:r>
        <w:rPr>
          <w:rFonts w:hint="default" w:ascii="Times New Roman" w:hAnsi="Times New Roman" w:eastAsia="宋体" w:cs="Times New Roman"/>
          <w:szCs w:val="24"/>
          <w:highlight w:val="none"/>
        </w:rPr>
        <w:t>¥</w:t>
      </w:r>
      <w:r>
        <w:rPr>
          <w:rFonts w:hint="default" w:ascii="Times New Roman" w:hAnsi="Times New Roman" w:eastAsia="宋体" w:cs="Times New Roman"/>
          <w:szCs w:val="24"/>
          <w:highlight w:val="none"/>
          <w:u w:val="single"/>
        </w:rPr>
        <w:t xml:space="preserve">            </w:t>
      </w:r>
      <w:r>
        <w:rPr>
          <w:rFonts w:hint="default" w:ascii="Times New Roman" w:hAnsi="Times New Roman" w:eastAsia="宋体" w:cs="Times New Roman"/>
          <w:szCs w:val="24"/>
          <w:highlight w:val="none"/>
        </w:rPr>
        <w:t>（大写：人民币</w:t>
      </w:r>
      <w:r>
        <w:rPr>
          <w:rFonts w:hint="default" w:ascii="Times New Roman" w:hAnsi="Times New Roman" w:eastAsia="宋体" w:cs="Times New Roman"/>
          <w:szCs w:val="24"/>
          <w:highlight w:val="none"/>
          <w:u w:val="single"/>
        </w:rPr>
        <w:t xml:space="preserve">            </w:t>
      </w:r>
      <w:r>
        <w:rPr>
          <w:rFonts w:hint="default" w:ascii="Times New Roman" w:hAnsi="Times New Roman" w:eastAsia="宋体" w:cs="Times New Roman"/>
          <w:szCs w:val="24"/>
          <w:highlight w:val="none"/>
        </w:rPr>
        <w:t>元）</w:t>
      </w:r>
      <w:r>
        <w:rPr>
          <w:rFonts w:hint="default" w:ascii="Times New Roman" w:hAnsi="Times New Roman" w:eastAsia="宋体" w:cs="Times New Roman"/>
          <w:bCs/>
          <w:szCs w:val="24"/>
          <w:highlight w:val="none"/>
        </w:rPr>
        <w:t>。</w:t>
      </w:r>
    </w:p>
    <w:p w14:paraId="665519B7">
      <w:pPr>
        <w:pStyle w:val="49"/>
        <w:spacing w:line="400" w:lineRule="exact"/>
        <w:ind w:firstLine="480" w:firstLineChars="200"/>
        <w:rPr>
          <w:rFonts w:hint="default" w:ascii="Times New Roman" w:hAnsi="Times New Roman" w:eastAsia="宋体" w:cs="Times New Roman"/>
          <w:bCs/>
          <w:szCs w:val="24"/>
          <w:highlight w:val="none"/>
        </w:rPr>
      </w:pPr>
      <w:r>
        <w:rPr>
          <w:rFonts w:hint="default" w:ascii="Times New Roman" w:hAnsi="Times New Roman" w:eastAsia="宋体" w:cs="Times New Roman"/>
          <w:bCs/>
          <w:szCs w:val="24"/>
          <w:highlight w:val="none"/>
        </w:rPr>
        <w:t>（2）进度款：乙方完成并向甲方交付</w:t>
      </w:r>
      <w:r>
        <w:rPr>
          <w:rFonts w:hint="default" w:ascii="Times New Roman" w:hAnsi="Times New Roman" w:eastAsia="宋体" w:cs="Times New Roman"/>
          <w:bCs/>
          <w:szCs w:val="24"/>
          <w:highlight w:val="none"/>
          <w:u w:val="single"/>
        </w:rPr>
        <w:t xml:space="preserve">        </w:t>
      </w:r>
      <w:r>
        <w:rPr>
          <w:rFonts w:hint="default" w:ascii="Times New Roman" w:hAnsi="Times New Roman" w:eastAsia="宋体" w:cs="Times New Roman"/>
          <w:bCs/>
          <w:szCs w:val="24"/>
          <w:highlight w:val="none"/>
        </w:rPr>
        <w:t>，并经甲方确认后</w:t>
      </w:r>
      <w:r>
        <w:rPr>
          <w:rFonts w:hint="default" w:ascii="Times New Roman" w:hAnsi="Times New Roman" w:eastAsia="宋体" w:cs="Times New Roman"/>
          <w:bCs/>
          <w:szCs w:val="24"/>
          <w:highlight w:val="none"/>
          <w:u w:val="single"/>
        </w:rPr>
        <w:t xml:space="preserve">   </w:t>
      </w:r>
      <w:r>
        <w:rPr>
          <w:rFonts w:hint="default" w:ascii="Times New Roman" w:hAnsi="Times New Roman" w:eastAsia="宋体" w:cs="Times New Roman"/>
          <w:bCs/>
          <w:szCs w:val="24"/>
          <w:highlight w:val="none"/>
        </w:rPr>
        <w:t>天内，甲方支付合同总额</w:t>
      </w:r>
      <w:r>
        <w:rPr>
          <w:rFonts w:hint="default" w:ascii="Times New Roman" w:hAnsi="Times New Roman" w:eastAsia="宋体" w:cs="Times New Roman"/>
          <w:bCs/>
          <w:szCs w:val="24"/>
          <w:highlight w:val="none"/>
          <w:u w:val="single"/>
        </w:rPr>
        <w:t xml:space="preserve">    </w:t>
      </w:r>
      <w:r>
        <w:rPr>
          <w:rFonts w:hint="default" w:ascii="Times New Roman" w:hAnsi="Times New Roman" w:eastAsia="宋体" w:cs="Times New Roman"/>
          <w:bCs/>
          <w:szCs w:val="24"/>
          <w:highlight w:val="none"/>
        </w:rPr>
        <w:t>%的进度款</w:t>
      </w:r>
      <w:r>
        <w:rPr>
          <w:rFonts w:hint="default" w:ascii="Times New Roman" w:hAnsi="Times New Roman" w:eastAsia="宋体" w:cs="Times New Roman"/>
          <w:highlight w:val="none"/>
        </w:rPr>
        <w:t>，即</w:t>
      </w:r>
      <w:r>
        <w:rPr>
          <w:rFonts w:hint="default" w:ascii="Times New Roman" w:hAnsi="Times New Roman" w:eastAsia="宋体" w:cs="Times New Roman"/>
          <w:szCs w:val="24"/>
          <w:highlight w:val="none"/>
        </w:rPr>
        <w:t>¥</w:t>
      </w:r>
      <w:r>
        <w:rPr>
          <w:rFonts w:hint="default" w:ascii="Times New Roman" w:hAnsi="Times New Roman" w:eastAsia="宋体" w:cs="Times New Roman"/>
          <w:szCs w:val="24"/>
          <w:highlight w:val="none"/>
          <w:u w:val="single"/>
        </w:rPr>
        <w:t xml:space="preserve">         </w:t>
      </w:r>
      <w:r>
        <w:rPr>
          <w:rFonts w:hint="default" w:ascii="Times New Roman" w:hAnsi="Times New Roman" w:eastAsia="宋体" w:cs="Times New Roman"/>
          <w:szCs w:val="24"/>
          <w:highlight w:val="none"/>
        </w:rPr>
        <w:t>（大写：人民币</w:t>
      </w:r>
      <w:r>
        <w:rPr>
          <w:rFonts w:hint="default" w:ascii="Times New Roman" w:hAnsi="Times New Roman" w:eastAsia="宋体" w:cs="Times New Roman"/>
          <w:szCs w:val="24"/>
          <w:highlight w:val="none"/>
          <w:u w:val="single"/>
        </w:rPr>
        <w:t xml:space="preserve">           </w:t>
      </w:r>
      <w:r>
        <w:rPr>
          <w:rFonts w:hint="default" w:ascii="Times New Roman" w:hAnsi="Times New Roman" w:eastAsia="宋体" w:cs="Times New Roman"/>
          <w:szCs w:val="24"/>
          <w:highlight w:val="none"/>
        </w:rPr>
        <w:t>元）。</w:t>
      </w:r>
    </w:p>
    <w:p w14:paraId="770BECE2">
      <w:pPr>
        <w:pStyle w:val="49"/>
        <w:spacing w:line="400" w:lineRule="exact"/>
        <w:ind w:firstLine="480" w:firstLineChars="200"/>
        <w:rPr>
          <w:rFonts w:hint="default" w:ascii="Times New Roman" w:hAnsi="Times New Roman" w:eastAsia="宋体" w:cs="Times New Roman"/>
          <w:szCs w:val="24"/>
          <w:highlight w:val="none"/>
        </w:rPr>
      </w:pPr>
      <w:r>
        <w:rPr>
          <w:rFonts w:hint="default" w:ascii="Times New Roman" w:hAnsi="Times New Roman" w:eastAsia="宋体" w:cs="Times New Roman"/>
          <w:bCs/>
          <w:szCs w:val="24"/>
          <w:highlight w:val="none"/>
        </w:rPr>
        <w:t>（3）验收款：乙方向甲方交付全部定制货物并经甲方综合验收合格后</w:t>
      </w:r>
      <w:r>
        <w:rPr>
          <w:rFonts w:hint="default" w:ascii="Times New Roman" w:hAnsi="Times New Roman" w:eastAsia="宋体" w:cs="Times New Roman"/>
          <w:bCs/>
          <w:szCs w:val="24"/>
          <w:highlight w:val="none"/>
          <w:u w:val="single"/>
        </w:rPr>
        <w:t xml:space="preserve"> 1</w:t>
      </w:r>
      <w:r>
        <w:rPr>
          <w:rFonts w:hint="default" w:ascii="Times New Roman" w:hAnsi="Times New Roman" w:eastAsia="宋体" w:cs="Times New Roman"/>
          <w:bCs/>
          <w:szCs w:val="24"/>
          <w:highlight w:val="none"/>
          <w:u w:val="single"/>
          <w:lang w:val="en-US" w:eastAsia="zh-CN"/>
        </w:rPr>
        <w:t>0</w:t>
      </w:r>
      <w:r>
        <w:rPr>
          <w:rFonts w:hint="default" w:ascii="Times New Roman" w:hAnsi="Times New Roman" w:eastAsia="宋体" w:cs="Times New Roman"/>
          <w:bCs/>
          <w:szCs w:val="24"/>
          <w:highlight w:val="none"/>
          <w:u w:val="single"/>
        </w:rPr>
        <w:t xml:space="preserve"> </w:t>
      </w:r>
      <w:r>
        <w:rPr>
          <w:rFonts w:hint="default" w:ascii="Times New Roman" w:hAnsi="Times New Roman" w:eastAsia="宋体" w:cs="Times New Roman"/>
          <w:highlight w:val="none"/>
          <w:lang w:val="en-US" w:eastAsia="zh-CN"/>
        </w:rPr>
        <w:t>个工作日</w:t>
      </w:r>
      <w:r>
        <w:rPr>
          <w:rFonts w:hint="default" w:ascii="Times New Roman" w:hAnsi="Times New Roman" w:eastAsia="宋体" w:cs="Times New Roman"/>
          <w:bCs/>
          <w:szCs w:val="24"/>
          <w:highlight w:val="none"/>
        </w:rPr>
        <w:t>内，甲方支付合同总额</w:t>
      </w:r>
      <w:r>
        <w:rPr>
          <w:rFonts w:hint="default" w:ascii="Times New Roman" w:hAnsi="Times New Roman" w:eastAsia="宋体" w:cs="Times New Roman"/>
          <w:bCs/>
          <w:szCs w:val="24"/>
          <w:highlight w:val="none"/>
          <w:u w:val="single"/>
        </w:rPr>
        <w:t xml:space="preserve">   </w:t>
      </w:r>
      <w:r>
        <w:rPr>
          <w:rFonts w:hint="default" w:ascii="Times New Roman" w:hAnsi="Times New Roman" w:eastAsia="宋体" w:cs="Times New Roman"/>
          <w:bCs/>
          <w:szCs w:val="24"/>
          <w:highlight w:val="none"/>
        </w:rPr>
        <w:t>%的验收款</w:t>
      </w:r>
      <w:r>
        <w:rPr>
          <w:rFonts w:hint="default" w:ascii="Times New Roman" w:hAnsi="Times New Roman" w:eastAsia="宋体" w:cs="Times New Roman"/>
          <w:highlight w:val="none"/>
        </w:rPr>
        <w:t>，即</w:t>
      </w:r>
      <w:r>
        <w:rPr>
          <w:rFonts w:hint="default" w:ascii="Times New Roman" w:hAnsi="Times New Roman" w:eastAsia="宋体" w:cs="Times New Roman"/>
          <w:szCs w:val="24"/>
          <w:highlight w:val="none"/>
        </w:rPr>
        <w:t>¥</w:t>
      </w:r>
      <w:r>
        <w:rPr>
          <w:rFonts w:hint="default" w:ascii="Times New Roman" w:hAnsi="Times New Roman" w:eastAsia="宋体" w:cs="Times New Roman"/>
          <w:szCs w:val="24"/>
          <w:highlight w:val="none"/>
          <w:u w:val="single"/>
        </w:rPr>
        <w:t xml:space="preserve">            </w:t>
      </w:r>
      <w:r>
        <w:rPr>
          <w:rFonts w:hint="default" w:ascii="Times New Roman" w:hAnsi="Times New Roman" w:eastAsia="宋体" w:cs="Times New Roman"/>
          <w:szCs w:val="24"/>
          <w:highlight w:val="none"/>
        </w:rPr>
        <w:t>（大写：人民币</w:t>
      </w:r>
    </w:p>
    <w:p w14:paraId="581AB15B">
      <w:pPr>
        <w:pStyle w:val="49"/>
        <w:spacing w:line="400" w:lineRule="exact"/>
        <w:rPr>
          <w:rFonts w:hint="default" w:ascii="Times New Roman" w:hAnsi="Times New Roman" w:eastAsia="宋体" w:cs="Times New Roman"/>
          <w:szCs w:val="24"/>
          <w:highlight w:val="none"/>
        </w:rPr>
      </w:pPr>
      <w:r>
        <w:rPr>
          <w:rFonts w:hint="default" w:ascii="Times New Roman" w:hAnsi="Times New Roman" w:eastAsia="宋体" w:cs="Times New Roman"/>
          <w:szCs w:val="24"/>
          <w:highlight w:val="none"/>
          <w:u w:val="single"/>
        </w:rPr>
        <w:t xml:space="preserve">                        </w:t>
      </w:r>
      <w:r>
        <w:rPr>
          <w:rFonts w:hint="default" w:ascii="Times New Roman" w:hAnsi="Times New Roman" w:eastAsia="宋体" w:cs="Times New Roman"/>
          <w:szCs w:val="24"/>
          <w:highlight w:val="none"/>
        </w:rPr>
        <w:t>元）</w:t>
      </w:r>
    </w:p>
    <w:p w14:paraId="07C71ACA">
      <w:pPr>
        <w:pStyle w:val="49"/>
        <w:spacing w:line="400" w:lineRule="exact"/>
        <w:ind w:firstLine="480" w:firstLineChars="200"/>
        <w:rPr>
          <w:rFonts w:hint="default" w:ascii="Times New Roman" w:hAnsi="Times New Roman" w:eastAsia="宋体" w:cs="Times New Roman"/>
          <w:szCs w:val="24"/>
          <w:highlight w:val="none"/>
        </w:rPr>
      </w:pPr>
      <w:r>
        <w:rPr>
          <w:rFonts w:hint="default" w:ascii="Times New Roman" w:hAnsi="Times New Roman" w:eastAsia="宋体" w:cs="Times New Roman"/>
          <w:bCs/>
          <w:highlight w:val="none"/>
        </w:rPr>
        <w:t>（4）尾款：在乙方按甲方的要求提供定制货物</w:t>
      </w:r>
      <w:r>
        <w:rPr>
          <w:rFonts w:hint="default" w:ascii="Times New Roman" w:hAnsi="Times New Roman" w:eastAsia="宋体" w:cs="Times New Roman"/>
          <w:bCs/>
          <w:color w:val="000000" w:themeColor="text1"/>
          <w:highlight w:val="none"/>
          <w14:textFill>
            <w14:solidFill>
              <w14:schemeClr w14:val="tx1"/>
            </w14:solidFill>
          </w14:textFill>
        </w:rPr>
        <w:t>二次搬迁、移机（含数据迁移，如有）、安装、调试工作（如有），并配合甲方完成“相关</w:t>
      </w:r>
      <w:r>
        <w:rPr>
          <w:rFonts w:hint="default" w:ascii="Times New Roman" w:hAnsi="Times New Roman" w:eastAsia="宋体" w:cs="Times New Roman"/>
          <w:bCs/>
          <w:color w:val="000000" w:themeColor="text1"/>
          <w:highlight w:val="none"/>
          <w:lang w:val="en-US" w:eastAsia="zh-CN"/>
          <w14:textFill>
            <w14:solidFill>
              <w14:schemeClr w14:val="tx1"/>
            </w14:solidFill>
          </w14:textFill>
        </w:rPr>
        <w:t>实验室</w:t>
      </w:r>
      <w:r>
        <w:rPr>
          <w:rFonts w:hint="default" w:ascii="Times New Roman" w:hAnsi="Times New Roman" w:eastAsia="宋体" w:cs="Times New Roman"/>
          <w:bCs/>
          <w:color w:val="000000" w:themeColor="text1"/>
          <w:highlight w:val="none"/>
          <w14:textFill>
            <w14:solidFill>
              <w14:schemeClr w14:val="tx1"/>
            </w14:solidFill>
          </w14:textFill>
        </w:rPr>
        <w:t>平台”项目的整体联合调试服务（如有）且经甲方书面确认后</w:t>
      </w:r>
      <w:r>
        <w:rPr>
          <w:rFonts w:hint="default" w:ascii="Times New Roman" w:hAnsi="Times New Roman" w:eastAsia="宋体" w:cs="Times New Roman"/>
          <w:bCs/>
          <w:highlight w:val="none"/>
          <w:u w:val="single"/>
        </w:rPr>
        <w:t xml:space="preserve">   </w:t>
      </w:r>
      <w:r>
        <w:rPr>
          <w:rFonts w:hint="default" w:ascii="Times New Roman" w:hAnsi="Times New Roman" w:eastAsia="宋体" w:cs="Times New Roman"/>
          <w:bCs/>
          <w:highlight w:val="none"/>
        </w:rPr>
        <w:t>天内</w:t>
      </w:r>
      <w:r>
        <w:rPr>
          <w:rFonts w:hint="default" w:ascii="Times New Roman" w:hAnsi="Times New Roman" w:eastAsia="宋体" w:cs="Times New Roman"/>
          <w:bCs/>
          <w:color w:val="000000" w:themeColor="text1"/>
          <w:highlight w:val="none"/>
          <w14:textFill>
            <w14:solidFill>
              <w14:schemeClr w14:val="tx1"/>
            </w14:solidFill>
          </w14:textFill>
        </w:rPr>
        <w:t>，甲方支付合同总</w:t>
      </w:r>
      <w:r>
        <w:rPr>
          <w:rFonts w:hint="default" w:ascii="Times New Roman" w:hAnsi="Times New Roman" w:eastAsia="宋体" w:cs="Times New Roman"/>
          <w:bCs/>
          <w:highlight w:val="none"/>
        </w:rPr>
        <w:t>额</w:t>
      </w:r>
      <w:r>
        <w:rPr>
          <w:rFonts w:hint="default" w:ascii="Times New Roman" w:hAnsi="Times New Roman" w:eastAsia="宋体" w:cs="Times New Roman"/>
          <w:bCs/>
          <w:highlight w:val="none"/>
          <w:u w:val="single"/>
        </w:rPr>
        <w:t xml:space="preserve">   </w:t>
      </w:r>
      <w:r>
        <w:rPr>
          <w:rFonts w:hint="default" w:ascii="Times New Roman" w:hAnsi="Times New Roman" w:eastAsia="宋体" w:cs="Times New Roman"/>
          <w:bCs/>
          <w:highlight w:val="none"/>
        </w:rPr>
        <w:t>%的尾款，即</w:t>
      </w:r>
      <w:r>
        <w:rPr>
          <w:rFonts w:hint="default" w:ascii="Times New Roman" w:hAnsi="Times New Roman" w:eastAsia="宋体" w:cs="Times New Roman"/>
          <w:szCs w:val="24"/>
          <w:highlight w:val="none"/>
        </w:rPr>
        <w:t>¥</w:t>
      </w:r>
      <w:r>
        <w:rPr>
          <w:rFonts w:hint="default" w:ascii="Times New Roman" w:hAnsi="Times New Roman" w:eastAsia="宋体" w:cs="Times New Roman"/>
          <w:szCs w:val="24"/>
          <w:highlight w:val="none"/>
          <w:u w:val="single"/>
        </w:rPr>
        <w:t xml:space="preserve">            </w:t>
      </w:r>
      <w:r>
        <w:rPr>
          <w:rFonts w:hint="default" w:ascii="Times New Roman" w:hAnsi="Times New Roman" w:eastAsia="宋体" w:cs="Times New Roman"/>
          <w:szCs w:val="24"/>
          <w:highlight w:val="none"/>
        </w:rPr>
        <w:t>（大写：人民币</w:t>
      </w:r>
      <w:r>
        <w:rPr>
          <w:rFonts w:hint="default" w:ascii="Times New Roman" w:hAnsi="Times New Roman" w:eastAsia="宋体" w:cs="Times New Roman"/>
          <w:szCs w:val="24"/>
          <w:highlight w:val="none"/>
          <w:u w:val="single"/>
        </w:rPr>
        <w:t xml:space="preserve">            </w:t>
      </w:r>
      <w:r>
        <w:rPr>
          <w:rFonts w:hint="default" w:ascii="Times New Roman" w:hAnsi="Times New Roman" w:eastAsia="宋体" w:cs="Times New Roman"/>
          <w:szCs w:val="24"/>
          <w:highlight w:val="none"/>
        </w:rPr>
        <w:t>元）</w:t>
      </w:r>
    </w:p>
    <w:permEnd w:id="34"/>
    <w:p w14:paraId="6830E282">
      <w:pPr>
        <w:pStyle w:val="49"/>
        <w:spacing w:line="360" w:lineRule="auto"/>
        <w:ind w:firstLine="480" w:firstLineChars="200"/>
        <w:rPr>
          <w:rFonts w:hint="default" w:ascii="Times New Roman" w:hAnsi="Times New Roman" w:eastAsia="宋体" w:cs="Times New Roman"/>
          <w:bCs/>
          <w:highlight w:val="none"/>
        </w:rPr>
      </w:pPr>
      <w:r>
        <w:rPr>
          <w:rFonts w:hint="default" w:ascii="Times New Roman" w:hAnsi="Times New Roman" w:eastAsia="宋体" w:cs="Times New Roman"/>
          <w:bCs/>
          <w:highlight w:val="none"/>
        </w:rPr>
        <w:t xml:space="preserve">乙方应在甲方每次付款前向甲方开具相应金额的合法有效增值税发票给甲方。否则，甲方有权将付款期限顺延且不构成违约。 </w:t>
      </w:r>
    </w:p>
    <w:p w14:paraId="34556A87">
      <w:pPr>
        <w:pStyle w:val="49"/>
        <w:spacing w:line="360" w:lineRule="auto"/>
        <w:ind w:firstLine="480" w:firstLineChars="200"/>
        <w:rPr>
          <w:rFonts w:hint="default" w:ascii="Times New Roman" w:hAnsi="Times New Roman" w:eastAsia="宋体" w:cs="Times New Roman"/>
          <w:bCs/>
          <w:highlight w:val="none"/>
        </w:rPr>
      </w:pPr>
      <w:r>
        <w:rPr>
          <w:rFonts w:hint="default" w:ascii="Times New Roman" w:hAnsi="Times New Roman" w:eastAsia="宋体" w:cs="Times New Roman"/>
          <w:bCs/>
          <w:highlight w:val="none"/>
        </w:rPr>
        <w:t>*3.保函条款</w:t>
      </w:r>
    </w:p>
    <w:p w14:paraId="3213F0A3">
      <w:pPr>
        <w:pStyle w:val="49"/>
        <w:spacing w:line="360" w:lineRule="auto"/>
        <w:ind w:firstLine="480" w:firstLineChars="200"/>
        <w:rPr>
          <w:rFonts w:hint="default" w:ascii="Times New Roman" w:hAnsi="Times New Roman" w:eastAsia="宋体" w:cs="Times New Roman"/>
          <w:bCs/>
          <w:highlight w:val="none"/>
        </w:rPr>
      </w:pPr>
      <w:r>
        <w:rPr>
          <w:rFonts w:hint="default" w:ascii="Times New Roman" w:hAnsi="Times New Roman" w:eastAsia="宋体" w:cs="Times New Roman"/>
          <w:bCs/>
          <w:highlight w:val="none"/>
        </w:rPr>
        <w:t>甲乙双方确认，本合同项下保函适用以下第</w:t>
      </w:r>
      <w:permStart w:id="35" w:edGrp="everyone"/>
      <w:r>
        <w:rPr>
          <w:rFonts w:hint="default" w:ascii="Times New Roman" w:hAnsi="Times New Roman" w:eastAsia="宋体" w:cs="Times New Roman"/>
          <w:bCs/>
          <w:highlight w:val="none"/>
          <w:u w:val="single"/>
        </w:rPr>
        <w:t xml:space="preserve">   </w:t>
      </w:r>
      <w:permEnd w:id="35"/>
      <w:r>
        <w:rPr>
          <w:rFonts w:hint="default" w:ascii="Times New Roman" w:hAnsi="Times New Roman" w:eastAsia="宋体" w:cs="Times New Roman"/>
          <w:bCs/>
          <w:highlight w:val="none"/>
        </w:rPr>
        <w:t>种方式（本合同未要求开具保函的，请用“</w:t>
      </w:r>
      <w:r>
        <w:rPr>
          <w:rFonts w:hint="default" w:ascii="Times New Roman" w:hAnsi="Times New Roman" w:eastAsia="宋体" w:cs="Times New Roman"/>
          <w:b/>
          <w:highlight w:val="none"/>
        </w:rPr>
        <w:t>/</w:t>
      </w:r>
      <w:r>
        <w:rPr>
          <w:rFonts w:hint="default" w:ascii="Times New Roman" w:hAnsi="Times New Roman" w:eastAsia="宋体" w:cs="Times New Roman"/>
          <w:bCs/>
          <w:highlight w:val="none"/>
        </w:rPr>
        <w:t>”表示）：</w:t>
      </w:r>
    </w:p>
    <w:p w14:paraId="792B93C1">
      <w:pPr>
        <w:pStyle w:val="49"/>
        <w:spacing w:line="360" w:lineRule="auto"/>
        <w:ind w:firstLine="482" w:firstLineChars="200"/>
        <w:rPr>
          <w:rFonts w:hint="default" w:ascii="Times New Roman" w:hAnsi="Times New Roman" w:eastAsia="宋体" w:cs="Times New Roman"/>
          <w:b/>
          <w:szCs w:val="24"/>
          <w:highlight w:val="none"/>
        </w:rPr>
      </w:pPr>
      <w:r>
        <w:rPr>
          <w:rFonts w:hint="default" w:ascii="Times New Roman" w:hAnsi="Times New Roman" w:eastAsia="宋体" w:cs="Times New Roman"/>
          <w:b/>
          <w:szCs w:val="24"/>
          <w:highlight w:val="none"/>
        </w:rPr>
        <w:t>（1）预付款保函</w:t>
      </w:r>
    </w:p>
    <w:p w14:paraId="42B8F29D">
      <w:pPr>
        <w:pStyle w:val="49"/>
        <w:spacing w:line="360" w:lineRule="auto"/>
        <w:ind w:firstLine="480" w:firstLineChars="200"/>
        <w:rPr>
          <w:rFonts w:hint="default" w:ascii="Times New Roman" w:hAnsi="Times New Roman" w:eastAsia="宋体" w:cs="Times New Roman"/>
          <w:bCs/>
          <w:szCs w:val="24"/>
          <w:highlight w:val="none"/>
        </w:rPr>
      </w:pPr>
      <w:r>
        <w:rPr>
          <w:rFonts w:hint="default" w:ascii="Times New Roman" w:hAnsi="Times New Roman" w:eastAsia="宋体" w:cs="Times New Roman"/>
          <w:bCs/>
          <w:szCs w:val="24"/>
          <w:highlight w:val="none"/>
        </w:rPr>
        <w:t>①乙方应按甲方的要求，在甲方支付预付款前向甲方出具同等金额、不可撤销、见索即付的预付款保函，预付款保函应由银行开具，保函格式应采用甲方认可的格式，开具保函所产生的费用由乙方承担。</w:t>
      </w:r>
    </w:p>
    <w:p w14:paraId="33381B1D">
      <w:pPr>
        <w:pStyle w:val="49"/>
        <w:spacing w:line="360" w:lineRule="auto"/>
        <w:ind w:firstLine="480" w:firstLineChars="200"/>
        <w:rPr>
          <w:rFonts w:hint="default" w:ascii="Times New Roman" w:hAnsi="Times New Roman" w:eastAsia="宋体" w:cs="Times New Roman"/>
          <w:bCs/>
          <w:szCs w:val="24"/>
          <w:highlight w:val="none"/>
        </w:rPr>
      </w:pPr>
      <w:r>
        <w:rPr>
          <w:rFonts w:hint="default" w:ascii="Times New Roman" w:hAnsi="Times New Roman" w:eastAsia="宋体" w:cs="Times New Roman"/>
          <w:bCs/>
          <w:szCs w:val="24"/>
          <w:highlight w:val="none"/>
        </w:rPr>
        <w:t>②预付款保函的有效期须至所有货物、服务综合验收合格为止。如预付款保函的有效期在所有货物、服务经综合验收合格前到期的，乙方应在到期前提前30天向银行申请换开同等效力的预付款保函，费用由乙方承担。</w:t>
      </w:r>
    </w:p>
    <w:p w14:paraId="2C9C577C">
      <w:pPr>
        <w:pStyle w:val="49"/>
        <w:spacing w:line="360" w:lineRule="auto"/>
        <w:ind w:firstLine="480" w:firstLineChars="200"/>
        <w:rPr>
          <w:rFonts w:hint="default" w:ascii="Times New Roman" w:hAnsi="Times New Roman" w:eastAsia="宋体" w:cs="Times New Roman"/>
          <w:bCs/>
          <w:highlight w:val="none"/>
        </w:rPr>
      </w:pPr>
      <w:r>
        <w:rPr>
          <w:rFonts w:hint="default" w:ascii="Times New Roman" w:hAnsi="Times New Roman" w:eastAsia="宋体" w:cs="Times New Roman"/>
          <w:bCs/>
          <w:highlight w:val="none"/>
        </w:rPr>
        <w:t>③若乙方未能按时提交符合约定的预付款保函，甲方有权顺延支付预付款且不视为违约；同时，甲方有权按照本合同第十一条第4款和第十一条第14款追究乙方违约责任。</w:t>
      </w:r>
    </w:p>
    <w:p w14:paraId="4F4B74F3">
      <w:pPr>
        <w:pStyle w:val="49"/>
        <w:spacing w:line="360" w:lineRule="auto"/>
        <w:ind w:firstLine="482" w:firstLineChars="200"/>
        <w:rPr>
          <w:rFonts w:hint="default" w:ascii="Times New Roman" w:hAnsi="Times New Roman" w:eastAsia="宋体" w:cs="Times New Roman"/>
          <w:b/>
          <w:highlight w:val="none"/>
        </w:rPr>
      </w:pPr>
      <w:r>
        <w:rPr>
          <w:rFonts w:hint="default" w:ascii="Times New Roman" w:hAnsi="Times New Roman" w:eastAsia="宋体" w:cs="Times New Roman"/>
          <w:b/>
          <w:highlight w:val="none"/>
        </w:rPr>
        <w:t>（2）履约保证金</w:t>
      </w:r>
    </w:p>
    <w:p w14:paraId="23B8DAF4">
      <w:pPr>
        <w:pStyle w:val="49"/>
        <w:spacing w:line="360" w:lineRule="auto"/>
        <w:ind w:firstLine="480" w:firstLineChars="200"/>
        <w:rPr>
          <w:rFonts w:hint="default" w:ascii="Times New Roman" w:hAnsi="Times New Roman" w:eastAsia="宋体" w:cs="Times New Roman"/>
          <w:bCs/>
          <w:szCs w:val="24"/>
          <w:highlight w:val="none"/>
        </w:rPr>
      </w:pPr>
      <w:r>
        <w:rPr>
          <w:rFonts w:hint="default" w:ascii="Times New Roman" w:hAnsi="Times New Roman" w:eastAsia="宋体" w:cs="Times New Roman"/>
          <w:bCs/>
          <w:szCs w:val="24"/>
          <w:highlight w:val="none"/>
        </w:rPr>
        <w:t>①乙方应按甲方的要求，在本合同签订并生效后</w:t>
      </w:r>
      <w:permStart w:id="36" w:edGrp="everyone"/>
      <w:r>
        <w:rPr>
          <w:rFonts w:hint="default" w:ascii="Times New Roman" w:hAnsi="Times New Roman" w:eastAsia="宋体" w:cs="Times New Roman"/>
          <w:bCs/>
          <w:szCs w:val="24"/>
          <w:highlight w:val="none"/>
        </w:rPr>
        <w:t xml:space="preserve">   </w:t>
      </w:r>
      <w:permEnd w:id="36"/>
      <w:r>
        <w:rPr>
          <w:rFonts w:hint="default" w:ascii="Times New Roman" w:hAnsi="Times New Roman" w:eastAsia="宋体" w:cs="Times New Roman"/>
          <w:bCs/>
          <w:szCs w:val="24"/>
          <w:highlight w:val="none"/>
        </w:rPr>
        <w:t>天内，向甲方提交金额为合同总价</w:t>
      </w:r>
      <w:permStart w:id="37" w:edGrp="everyone"/>
      <w:r>
        <w:rPr>
          <w:rFonts w:hint="default" w:ascii="Times New Roman" w:hAnsi="Times New Roman" w:eastAsia="宋体" w:cs="Times New Roman"/>
          <w:bCs/>
          <w:szCs w:val="24"/>
          <w:highlight w:val="none"/>
        </w:rPr>
        <w:t xml:space="preserve">   </w:t>
      </w:r>
      <w:permEnd w:id="37"/>
      <w:r>
        <w:rPr>
          <w:rFonts w:hint="default" w:ascii="Times New Roman" w:hAnsi="Times New Roman" w:eastAsia="宋体" w:cs="Times New Roman"/>
          <w:bCs/>
          <w:szCs w:val="24"/>
          <w:highlight w:val="none"/>
        </w:rPr>
        <w:t>%的履约保证金。履约保证金可以支票、汇票、本票或者金融机构、担保机构出具的保函等非现金形式提交。如乙方采取保函形式提交履约保证金的，则应提供不可撤销、见索即付的履约保函，履约保函应由银行等金融机构（或担保机构）开具，保函格式应采用甲方认可的格式，开具保函所产生的费用由乙方承担。</w:t>
      </w:r>
    </w:p>
    <w:p w14:paraId="14E3C51A">
      <w:pPr>
        <w:pStyle w:val="49"/>
        <w:spacing w:line="360" w:lineRule="auto"/>
        <w:ind w:firstLine="480" w:firstLineChars="200"/>
        <w:rPr>
          <w:rFonts w:hint="default" w:ascii="Times New Roman" w:hAnsi="Times New Roman" w:eastAsia="宋体" w:cs="Times New Roman"/>
          <w:bCs/>
          <w:szCs w:val="24"/>
          <w:highlight w:val="none"/>
        </w:rPr>
      </w:pPr>
      <w:r>
        <w:rPr>
          <w:rFonts w:hint="default" w:ascii="Times New Roman" w:hAnsi="Times New Roman" w:eastAsia="宋体" w:cs="Times New Roman"/>
          <w:bCs/>
          <w:szCs w:val="24"/>
          <w:highlight w:val="none"/>
        </w:rPr>
        <w:t>②乙方提供的履约保证金的有效期须至所有货物、服务综合验收合格时为止（如货物、服务涉及二次搬迁或者</w:t>
      </w:r>
      <w:r>
        <w:rPr>
          <w:rFonts w:hint="default" w:ascii="Times New Roman" w:hAnsi="Times New Roman" w:eastAsia="宋体" w:cs="Times New Roman"/>
          <w:bCs/>
          <w:color w:val="000000" w:themeColor="text1"/>
          <w:szCs w:val="24"/>
          <w:highlight w:val="none"/>
          <w14:textFill>
            <w14:solidFill>
              <w14:schemeClr w14:val="tx1"/>
            </w14:solidFill>
          </w14:textFill>
        </w:rPr>
        <w:t>“相关</w:t>
      </w:r>
      <w:r>
        <w:rPr>
          <w:rFonts w:hint="default" w:ascii="Times New Roman" w:hAnsi="Times New Roman" w:eastAsia="宋体" w:cs="Times New Roman"/>
          <w:bCs/>
          <w:color w:val="000000" w:themeColor="text1"/>
          <w:szCs w:val="24"/>
          <w:highlight w:val="none"/>
          <w:lang w:val="en-US" w:eastAsia="zh-CN"/>
          <w14:textFill>
            <w14:solidFill>
              <w14:schemeClr w14:val="tx1"/>
            </w14:solidFill>
          </w14:textFill>
        </w:rPr>
        <w:t>实验室</w:t>
      </w:r>
      <w:r>
        <w:rPr>
          <w:rFonts w:hint="default" w:ascii="Times New Roman" w:hAnsi="Times New Roman" w:eastAsia="宋体" w:cs="Times New Roman"/>
          <w:bCs/>
          <w:color w:val="000000" w:themeColor="text1"/>
          <w:szCs w:val="24"/>
          <w:highlight w:val="none"/>
          <w14:textFill>
            <w14:solidFill>
              <w14:schemeClr w14:val="tx1"/>
            </w14:solidFill>
          </w14:textFill>
        </w:rPr>
        <w:t>平台”项目联合调试工作</w:t>
      </w:r>
      <w:r>
        <w:rPr>
          <w:rFonts w:hint="default" w:ascii="Times New Roman" w:hAnsi="Times New Roman" w:eastAsia="宋体" w:cs="Times New Roman"/>
          <w:bCs/>
          <w:szCs w:val="24"/>
          <w:highlight w:val="none"/>
        </w:rPr>
        <w:t>的，则履约保函的有效期须至乙方完成货物、服务的二次搬迁或</w:t>
      </w:r>
      <w:r>
        <w:rPr>
          <w:rFonts w:hint="default" w:ascii="Times New Roman" w:hAnsi="Times New Roman" w:eastAsia="宋体" w:cs="Times New Roman"/>
          <w:bCs/>
          <w:color w:val="000000" w:themeColor="text1"/>
          <w:szCs w:val="24"/>
          <w:highlight w:val="none"/>
          <w14:textFill>
            <w14:solidFill>
              <w14:schemeClr w14:val="tx1"/>
            </w14:solidFill>
          </w14:textFill>
        </w:rPr>
        <w:t>“相关</w:t>
      </w:r>
      <w:r>
        <w:rPr>
          <w:rFonts w:hint="default" w:ascii="Times New Roman" w:hAnsi="Times New Roman" w:eastAsia="宋体" w:cs="Times New Roman"/>
          <w:bCs/>
          <w:color w:val="000000" w:themeColor="text1"/>
          <w:szCs w:val="24"/>
          <w:highlight w:val="none"/>
          <w:lang w:val="en-US" w:eastAsia="zh-CN"/>
          <w14:textFill>
            <w14:solidFill>
              <w14:schemeClr w14:val="tx1"/>
            </w14:solidFill>
          </w14:textFill>
        </w:rPr>
        <w:t>实验室</w:t>
      </w:r>
      <w:r>
        <w:rPr>
          <w:rFonts w:hint="default" w:ascii="Times New Roman" w:hAnsi="Times New Roman" w:eastAsia="宋体" w:cs="Times New Roman"/>
          <w:bCs/>
          <w:color w:val="000000" w:themeColor="text1"/>
          <w:szCs w:val="24"/>
          <w:highlight w:val="none"/>
          <w14:textFill>
            <w14:solidFill>
              <w14:schemeClr w14:val="tx1"/>
            </w14:solidFill>
          </w14:textFill>
        </w:rPr>
        <w:t>平台”项目联合调试工作</w:t>
      </w:r>
      <w:r>
        <w:rPr>
          <w:rFonts w:hint="default" w:ascii="Times New Roman" w:hAnsi="Times New Roman" w:eastAsia="宋体" w:cs="Times New Roman"/>
          <w:bCs/>
          <w:szCs w:val="24"/>
          <w:highlight w:val="none"/>
        </w:rPr>
        <w:t>并经甲方书面确认时为止）</w:t>
      </w:r>
      <w:r>
        <w:rPr>
          <w:rFonts w:hint="default" w:ascii="Times New Roman" w:hAnsi="Times New Roman" w:eastAsia="宋体" w:cs="Times New Roman"/>
          <w:szCs w:val="24"/>
          <w:highlight w:val="none"/>
        </w:rPr>
        <w:t>。</w:t>
      </w:r>
      <w:r>
        <w:rPr>
          <w:rFonts w:hint="default" w:ascii="Times New Roman" w:hAnsi="Times New Roman" w:eastAsia="宋体" w:cs="Times New Roman"/>
          <w:bCs/>
          <w:szCs w:val="24"/>
          <w:highlight w:val="none"/>
        </w:rPr>
        <w:t>如乙方采取保函等非现金形式提交履约保证金的，应在前述有效期届满前提前30天向履约保函开具的银行等金融机构(或担保机构)申请换开同等效力的履约保函并提交至甲方，费用由乙方承担。</w:t>
      </w:r>
    </w:p>
    <w:p w14:paraId="0278A900">
      <w:pPr>
        <w:pStyle w:val="49"/>
        <w:spacing w:line="360" w:lineRule="auto"/>
        <w:ind w:firstLine="480" w:firstLineChars="200"/>
        <w:rPr>
          <w:rFonts w:hint="default" w:ascii="Times New Roman" w:hAnsi="Times New Roman" w:eastAsia="宋体" w:cs="Times New Roman"/>
          <w:bCs/>
          <w:szCs w:val="24"/>
          <w:highlight w:val="none"/>
        </w:rPr>
      </w:pPr>
      <w:r>
        <w:rPr>
          <w:rFonts w:hint="default" w:ascii="Times New Roman" w:hAnsi="Times New Roman" w:eastAsia="宋体" w:cs="Times New Roman"/>
          <w:bCs/>
          <w:szCs w:val="24"/>
          <w:highlight w:val="none"/>
        </w:rPr>
        <w:t>③若乙方未能按本合同约定履行任何一项义务（包括但不限于交货、安装、调试、验收、二次移机（如有）、数据迁移（如有）、联合调试（如有）等），甲方有权根据其认定的乙方违约事实和程度，在通知乙方后，直接从履约保证金中兑取相应金额作为违约金或乙方应向甲方赔偿的款项。甲方行使此项权利并不影响其根据本合同和法律享有的其他权利。</w:t>
      </w:r>
    </w:p>
    <w:p w14:paraId="701026C8">
      <w:pPr>
        <w:pStyle w:val="49"/>
        <w:spacing w:line="360" w:lineRule="auto"/>
        <w:ind w:firstLine="480" w:firstLineChars="200"/>
        <w:rPr>
          <w:rFonts w:hint="default" w:ascii="Times New Roman" w:hAnsi="Times New Roman" w:eastAsia="宋体" w:cs="Times New Roman"/>
          <w:bCs/>
          <w:highlight w:val="none"/>
        </w:rPr>
      </w:pPr>
      <w:r>
        <w:rPr>
          <w:rFonts w:hint="default" w:ascii="Times New Roman" w:hAnsi="Times New Roman" w:eastAsia="宋体" w:cs="Times New Roman"/>
          <w:bCs/>
          <w:highlight w:val="none"/>
        </w:rPr>
        <w:t>④若乙方未能按时提交符合约定的履约保证金或者履约保函有效期届满未按约定换开保函，甲方有权中止付款且不视为违约；同时，甲方有权按照本合同第十一条第5款和第十一条第14款追究乙方违约责任。</w:t>
      </w:r>
    </w:p>
    <w:p w14:paraId="4CE804AC">
      <w:pPr>
        <w:pStyle w:val="27"/>
        <w:numPr>
          <w:ilvl w:val="255"/>
          <w:numId w:val="0"/>
        </w:numPr>
        <w:ind w:firstLine="480" w:firstLineChars="200"/>
        <w:jc w:val="both"/>
        <w:rPr>
          <w:rFonts w:hint="default" w:ascii="Times New Roman" w:hAnsi="Times New Roman" w:eastAsia="宋体" w:cs="Times New Roman"/>
          <w:bCs/>
          <w:sz w:val="24"/>
          <w:szCs w:val="20"/>
          <w:highlight w:val="none"/>
        </w:rPr>
      </w:pPr>
      <w:r>
        <w:rPr>
          <w:rFonts w:hint="default" w:ascii="Times New Roman" w:hAnsi="Times New Roman" w:eastAsia="宋体" w:cs="Times New Roman"/>
          <w:bCs/>
          <w:sz w:val="24"/>
          <w:szCs w:val="20"/>
          <w:highlight w:val="none"/>
        </w:rPr>
        <w:t>⑤合同履行完毕，乙方未发生违约行为或者履约保证金扣除乙方应支付的违约金、赔偿款后仍有余额的，甲方应在30日内以非现金形式无息向乙方退回履约保证金或剩余的履约保证金。如甲方逾期退回的，在乙方催告后甲方仍未退回的，甲方应以应退回的履约保证金金额为基数，按同期LPR向乙方支付违约金。因乙方自身原因导致保证金无法及时退还的，甲方不承担责任。</w:t>
      </w:r>
    </w:p>
    <w:p w14:paraId="50503139">
      <w:pPr>
        <w:pStyle w:val="49"/>
        <w:spacing w:line="400" w:lineRule="exact"/>
        <w:ind w:firstLine="480" w:firstLineChars="200"/>
        <w:rPr>
          <w:rFonts w:hint="default" w:ascii="Times New Roman" w:hAnsi="Times New Roman" w:eastAsia="宋体" w:cs="Times New Roman"/>
          <w:bCs/>
          <w:szCs w:val="24"/>
          <w:highlight w:val="none"/>
        </w:rPr>
      </w:pPr>
      <w:r>
        <w:rPr>
          <w:rFonts w:hint="default" w:ascii="Times New Roman" w:hAnsi="Times New Roman" w:eastAsia="宋体" w:cs="Times New Roman"/>
          <w:bCs/>
          <w:szCs w:val="24"/>
          <w:highlight w:val="none"/>
        </w:rPr>
        <w:t>4.甲方开票信息</w:t>
      </w:r>
    </w:p>
    <w:p w14:paraId="71F9E21F">
      <w:pPr>
        <w:pStyle w:val="49"/>
        <w:spacing w:line="400" w:lineRule="exact"/>
        <w:ind w:firstLine="480" w:firstLineChars="200"/>
        <w:rPr>
          <w:rFonts w:hint="default" w:ascii="Times New Roman" w:hAnsi="Times New Roman" w:eastAsia="宋体" w:cs="Times New Roman"/>
          <w:bCs/>
          <w:szCs w:val="24"/>
          <w:highlight w:val="none"/>
        </w:rPr>
      </w:pPr>
      <w:r>
        <w:rPr>
          <w:rFonts w:hint="default" w:ascii="Times New Roman" w:hAnsi="Times New Roman" w:eastAsia="宋体" w:cs="Times New Roman"/>
          <w:bCs/>
          <w:szCs w:val="24"/>
          <w:highlight w:val="none"/>
        </w:rPr>
        <w:t>单位名称：ZYCGR22011901</w:t>
      </w:r>
    </w:p>
    <w:p w14:paraId="27964539">
      <w:pPr>
        <w:pStyle w:val="49"/>
        <w:spacing w:line="400" w:lineRule="exact"/>
        <w:ind w:firstLine="480" w:firstLineChars="200"/>
        <w:rPr>
          <w:rFonts w:hint="default" w:ascii="Times New Roman" w:hAnsi="Times New Roman" w:eastAsia="宋体" w:cs="Times New Roman"/>
          <w:bCs/>
          <w:szCs w:val="24"/>
          <w:highlight w:val="none"/>
        </w:rPr>
      </w:pPr>
      <w:r>
        <w:rPr>
          <w:rFonts w:hint="default" w:ascii="Times New Roman" w:hAnsi="Times New Roman" w:eastAsia="宋体" w:cs="Times New Roman"/>
          <w:bCs/>
          <w:szCs w:val="24"/>
          <w:highlight w:val="none"/>
        </w:rPr>
        <w:t>纳税人识别号：12100000MB200163X7</w:t>
      </w:r>
    </w:p>
    <w:p w14:paraId="603E0FE8">
      <w:pPr>
        <w:pStyle w:val="49"/>
        <w:spacing w:line="400" w:lineRule="exact"/>
        <w:ind w:firstLine="480" w:firstLineChars="200"/>
        <w:rPr>
          <w:rFonts w:hint="default" w:ascii="Times New Roman" w:hAnsi="Times New Roman" w:eastAsia="宋体" w:cs="Times New Roman"/>
          <w:bCs/>
          <w:szCs w:val="24"/>
          <w:highlight w:val="none"/>
        </w:rPr>
      </w:pPr>
      <w:r>
        <w:rPr>
          <w:rFonts w:hint="default" w:ascii="Times New Roman" w:hAnsi="Times New Roman" w:eastAsia="宋体" w:cs="Times New Roman"/>
          <w:bCs/>
          <w:szCs w:val="24"/>
          <w:highlight w:val="none"/>
        </w:rPr>
        <w:t>地址：广东省广州市海珠区广州国际生物岛星岛环北路9号</w:t>
      </w:r>
    </w:p>
    <w:p w14:paraId="47C846EA">
      <w:pPr>
        <w:pStyle w:val="49"/>
        <w:spacing w:line="400" w:lineRule="exact"/>
        <w:ind w:firstLine="480" w:firstLineChars="200"/>
        <w:rPr>
          <w:rFonts w:hint="default" w:ascii="Times New Roman" w:hAnsi="Times New Roman" w:eastAsia="宋体" w:cs="Times New Roman"/>
          <w:bCs/>
          <w:szCs w:val="24"/>
          <w:highlight w:val="none"/>
        </w:rPr>
      </w:pPr>
      <w:r>
        <w:rPr>
          <w:rFonts w:hint="default" w:ascii="Times New Roman" w:hAnsi="Times New Roman" w:eastAsia="宋体" w:cs="Times New Roman"/>
          <w:bCs/>
          <w:szCs w:val="24"/>
          <w:highlight w:val="none"/>
        </w:rPr>
        <w:t>电话：020-62726279</w:t>
      </w:r>
    </w:p>
    <w:p w14:paraId="39CA6D83">
      <w:pPr>
        <w:pStyle w:val="49"/>
        <w:spacing w:line="400" w:lineRule="exact"/>
        <w:ind w:firstLine="480" w:firstLineChars="200"/>
        <w:rPr>
          <w:rFonts w:hint="default" w:ascii="Times New Roman" w:hAnsi="Times New Roman" w:eastAsia="宋体" w:cs="Times New Roman"/>
          <w:bCs/>
          <w:szCs w:val="24"/>
          <w:highlight w:val="none"/>
        </w:rPr>
      </w:pPr>
      <w:r>
        <w:rPr>
          <w:rFonts w:hint="default" w:ascii="Times New Roman" w:hAnsi="Times New Roman" w:eastAsia="宋体" w:cs="Times New Roman"/>
          <w:bCs/>
          <w:szCs w:val="24"/>
          <w:highlight w:val="none"/>
        </w:rPr>
        <w:t>开户行：中国银行股份有限公司广州国际生物岛科技支行</w:t>
      </w:r>
    </w:p>
    <w:p w14:paraId="64E1612B">
      <w:pPr>
        <w:pStyle w:val="49"/>
        <w:spacing w:line="400" w:lineRule="exact"/>
        <w:ind w:firstLine="480" w:firstLineChars="200"/>
        <w:rPr>
          <w:rFonts w:hint="default" w:ascii="Times New Roman" w:hAnsi="Times New Roman" w:eastAsia="宋体" w:cs="Times New Roman"/>
          <w:bCs/>
          <w:szCs w:val="24"/>
          <w:highlight w:val="none"/>
        </w:rPr>
      </w:pPr>
      <w:r>
        <w:rPr>
          <w:rFonts w:hint="default" w:ascii="Times New Roman" w:hAnsi="Times New Roman" w:eastAsia="宋体" w:cs="Times New Roman"/>
          <w:bCs/>
          <w:szCs w:val="24"/>
          <w:highlight w:val="none"/>
        </w:rPr>
        <w:t>开户行账号：741946614688</w:t>
      </w:r>
    </w:p>
    <w:p w14:paraId="1F06E9D6">
      <w:pPr>
        <w:pStyle w:val="49"/>
        <w:spacing w:line="400" w:lineRule="exact"/>
        <w:ind w:firstLine="480" w:firstLineChars="200"/>
        <w:rPr>
          <w:rFonts w:hint="default" w:ascii="Times New Roman" w:hAnsi="Times New Roman" w:eastAsia="宋体" w:cs="Times New Roman"/>
          <w:bCs/>
          <w:szCs w:val="24"/>
          <w:highlight w:val="none"/>
        </w:rPr>
      </w:pPr>
      <w:r>
        <w:rPr>
          <w:rFonts w:hint="default" w:ascii="Times New Roman" w:hAnsi="Times New Roman" w:eastAsia="宋体" w:cs="Times New Roman"/>
          <w:bCs/>
          <w:szCs w:val="24"/>
          <w:highlight w:val="none"/>
        </w:rPr>
        <w:t>5.乙方指定银行转账方式结算，且指定以下账户为唯一收款账户：</w:t>
      </w:r>
    </w:p>
    <w:p w14:paraId="651A4BAF">
      <w:pPr>
        <w:pStyle w:val="49"/>
        <w:spacing w:line="400" w:lineRule="exact"/>
        <w:ind w:firstLine="480" w:firstLineChars="200"/>
        <w:rPr>
          <w:rFonts w:hint="default" w:ascii="Times New Roman" w:hAnsi="Times New Roman" w:eastAsia="宋体" w:cs="Times New Roman"/>
          <w:bCs/>
          <w:szCs w:val="24"/>
          <w:highlight w:val="none"/>
        </w:rPr>
      </w:pPr>
      <w:r>
        <w:rPr>
          <w:rFonts w:hint="default" w:ascii="Times New Roman" w:hAnsi="Times New Roman" w:eastAsia="宋体" w:cs="Times New Roman"/>
          <w:bCs/>
          <w:szCs w:val="24"/>
          <w:highlight w:val="none"/>
        </w:rPr>
        <w:t>账户名称：</w:t>
      </w:r>
      <w:permStart w:id="38" w:edGrp="everyone"/>
      <w:r>
        <w:rPr>
          <w:rFonts w:hint="default" w:ascii="Times New Roman" w:hAnsi="Times New Roman" w:eastAsia="宋体" w:cs="Times New Roman"/>
          <w:bCs/>
          <w:szCs w:val="24"/>
          <w:highlight w:val="none"/>
          <w:u w:val="single"/>
        </w:rPr>
        <w:t xml:space="preserve">                                     </w:t>
      </w:r>
      <w:permEnd w:id="38"/>
      <w:r>
        <w:rPr>
          <w:rFonts w:hint="default" w:ascii="Times New Roman" w:hAnsi="Times New Roman" w:eastAsia="宋体" w:cs="Times New Roman"/>
          <w:bCs/>
          <w:szCs w:val="24"/>
          <w:highlight w:val="none"/>
        </w:rPr>
        <w:t xml:space="preserve">                                        </w:t>
      </w:r>
    </w:p>
    <w:p w14:paraId="39F2418D">
      <w:pPr>
        <w:pStyle w:val="49"/>
        <w:spacing w:line="400" w:lineRule="exact"/>
        <w:ind w:firstLine="480" w:firstLineChars="200"/>
        <w:rPr>
          <w:rFonts w:hint="default" w:ascii="Times New Roman" w:hAnsi="Times New Roman" w:eastAsia="宋体" w:cs="Times New Roman"/>
          <w:bCs/>
          <w:szCs w:val="24"/>
          <w:highlight w:val="none"/>
        </w:rPr>
      </w:pPr>
      <w:r>
        <w:rPr>
          <w:rFonts w:hint="default" w:ascii="Times New Roman" w:hAnsi="Times New Roman" w:eastAsia="宋体" w:cs="Times New Roman"/>
          <w:bCs/>
          <w:szCs w:val="24"/>
          <w:highlight w:val="none"/>
        </w:rPr>
        <w:t>开户银行：</w:t>
      </w:r>
      <w:permStart w:id="39" w:edGrp="everyone"/>
      <w:r>
        <w:rPr>
          <w:rFonts w:hint="default" w:ascii="Times New Roman" w:hAnsi="Times New Roman" w:eastAsia="宋体" w:cs="Times New Roman"/>
          <w:bCs/>
          <w:szCs w:val="24"/>
          <w:highlight w:val="none"/>
          <w:u w:val="single"/>
        </w:rPr>
        <w:t xml:space="preserve">                                     </w:t>
      </w:r>
      <w:permEnd w:id="39"/>
      <w:r>
        <w:rPr>
          <w:rFonts w:hint="default" w:ascii="Times New Roman" w:hAnsi="Times New Roman" w:eastAsia="宋体" w:cs="Times New Roman"/>
          <w:bCs/>
          <w:szCs w:val="24"/>
          <w:highlight w:val="none"/>
        </w:rPr>
        <w:t xml:space="preserve">                                           </w:t>
      </w:r>
    </w:p>
    <w:p w14:paraId="498E7206">
      <w:pPr>
        <w:pStyle w:val="49"/>
        <w:spacing w:line="400" w:lineRule="exact"/>
        <w:ind w:firstLine="480" w:firstLineChars="200"/>
        <w:rPr>
          <w:rFonts w:hint="default" w:ascii="Times New Roman" w:hAnsi="Times New Roman" w:eastAsia="宋体" w:cs="Times New Roman"/>
          <w:bCs/>
          <w:szCs w:val="24"/>
          <w:highlight w:val="none"/>
        </w:rPr>
      </w:pPr>
      <w:r>
        <w:rPr>
          <w:rFonts w:hint="default" w:ascii="Times New Roman" w:hAnsi="Times New Roman" w:eastAsia="宋体" w:cs="Times New Roman"/>
          <w:bCs/>
          <w:szCs w:val="24"/>
          <w:highlight w:val="none"/>
        </w:rPr>
        <w:t>银行账号：</w:t>
      </w:r>
      <w:permStart w:id="40" w:edGrp="everyone"/>
      <w:r>
        <w:rPr>
          <w:rFonts w:hint="default" w:ascii="Times New Roman" w:hAnsi="Times New Roman" w:eastAsia="宋体" w:cs="Times New Roman"/>
          <w:bCs/>
          <w:szCs w:val="24"/>
          <w:highlight w:val="none"/>
          <w:u w:val="single"/>
        </w:rPr>
        <w:t xml:space="preserve">                                     </w:t>
      </w:r>
      <w:permEnd w:id="40"/>
      <w:r>
        <w:rPr>
          <w:rFonts w:hint="default" w:ascii="Times New Roman" w:hAnsi="Times New Roman" w:eastAsia="宋体" w:cs="Times New Roman"/>
          <w:bCs/>
          <w:szCs w:val="24"/>
          <w:highlight w:val="none"/>
        </w:rPr>
        <w:t xml:space="preserve">                                           </w:t>
      </w:r>
    </w:p>
    <w:p w14:paraId="173D7A14">
      <w:pPr>
        <w:pStyle w:val="49"/>
        <w:spacing w:line="400" w:lineRule="exact"/>
        <w:ind w:firstLine="480" w:firstLineChars="200"/>
        <w:rPr>
          <w:rFonts w:hint="default" w:ascii="Times New Roman" w:hAnsi="Times New Roman" w:eastAsia="宋体" w:cs="Times New Roman"/>
          <w:bCs/>
          <w:szCs w:val="24"/>
          <w:highlight w:val="none"/>
        </w:rPr>
      </w:pPr>
      <w:r>
        <w:rPr>
          <w:rFonts w:hint="default" w:ascii="Times New Roman" w:hAnsi="Times New Roman" w:eastAsia="宋体" w:cs="Times New Roman"/>
          <w:bCs/>
          <w:szCs w:val="24"/>
          <w:highlight w:val="none"/>
        </w:rPr>
        <w:t>甲方向上述账户汇出款项后，即视为已履行付款义务，在汇款过程中，因乙方账户的原因（包括但不限于账号被注销、被冻结等）导致其无法收取款项的，由乙方承担相应后果。</w:t>
      </w:r>
    </w:p>
    <w:p w14:paraId="7B65FE8A">
      <w:pPr>
        <w:spacing w:line="400" w:lineRule="exact"/>
        <w:ind w:firstLine="482" w:firstLineChars="200"/>
        <w:rPr>
          <w:rFonts w:hint="default" w:ascii="Times New Roman" w:hAnsi="Times New Roman" w:eastAsia="宋体" w:cs="Times New Roman"/>
          <w:b/>
          <w:bCs/>
          <w:sz w:val="24"/>
          <w:highlight w:val="none"/>
        </w:rPr>
      </w:pPr>
      <w:r>
        <w:rPr>
          <w:rFonts w:hint="default" w:ascii="Times New Roman" w:hAnsi="Times New Roman" w:eastAsia="宋体" w:cs="Times New Roman"/>
          <w:b/>
          <w:bCs/>
          <w:sz w:val="24"/>
          <w:highlight w:val="none"/>
        </w:rPr>
        <w:t>五、合同的变更及权利义务转让</w:t>
      </w:r>
    </w:p>
    <w:p w14:paraId="47F8AB6E">
      <w:pPr>
        <w:pStyle w:val="49"/>
        <w:spacing w:line="400" w:lineRule="exact"/>
        <w:ind w:firstLine="480" w:firstLineChars="200"/>
        <w:rPr>
          <w:rFonts w:hint="default" w:ascii="Times New Roman" w:hAnsi="Times New Roman" w:eastAsia="宋体" w:cs="Times New Roman"/>
          <w:bCs/>
          <w:szCs w:val="24"/>
          <w:highlight w:val="none"/>
        </w:rPr>
      </w:pPr>
      <w:r>
        <w:rPr>
          <w:rFonts w:hint="default" w:ascii="Times New Roman" w:hAnsi="Times New Roman" w:eastAsia="宋体" w:cs="Times New Roman"/>
          <w:bCs/>
          <w:szCs w:val="24"/>
          <w:highlight w:val="none"/>
        </w:rPr>
        <w:t>1.本合同的变更必须由双方协商一致，并以书面形式确定。</w:t>
      </w:r>
    </w:p>
    <w:p w14:paraId="666340BC">
      <w:pPr>
        <w:spacing w:line="400" w:lineRule="exact"/>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2.除甲方事先书面同意外，乙方不得部分或全部转让\转委托其应履行的合同项下的权利和义务。</w:t>
      </w:r>
    </w:p>
    <w:p w14:paraId="6F947079">
      <w:pPr>
        <w:spacing w:line="400" w:lineRule="exact"/>
        <w:ind w:firstLine="480" w:firstLineChars="200"/>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3.本合同货物禁止转包；未经甲方书面同意，本合同货物乙方不得分包。</w:t>
      </w:r>
    </w:p>
    <w:p w14:paraId="762880B9">
      <w:pPr>
        <w:spacing w:line="400" w:lineRule="exact"/>
        <w:ind w:firstLine="482" w:firstLineChars="200"/>
        <w:rPr>
          <w:rFonts w:hint="default" w:ascii="Times New Roman" w:hAnsi="Times New Roman" w:eastAsia="宋体" w:cs="Times New Roman"/>
          <w:b/>
          <w:bCs/>
          <w:sz w:val="24"/>
          <w:highlight w:val="none"/>
        </w:rPr>
      </w:pPr>
      <w:r>
        <w:rPr>
          <w:rFonts w:hint="default" w:ascii="Times New Roman" w:hAnsi="Times New Roman" w:eastAsia="宋体" w:cs="Times New Roman"/>
          <w:b/>
          <w:bCs/>
          <w:sz w:val="24"/>
          <w:highlight w:val="none"/>
        </w:rPr>
        <w:t>六、交货内容、安装及调试、综合验收及培训、档案资料</w:t>
      </w:r>
    </w:p>
    <w:p w14:paraId="15719A52">
      <w:pPr>
        <w:spacing w:line="495" w:lineRule="exact"/>
        <w:ind w:firstLine="480" w:firstLineChars="200"/>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1.交货内容</w:t>
      </w:r>
    </w:p>
    <w:p w14:paraId="5D238590">
      <w:pPr>
        <w:spacing w:line="495" w:lineRule="exact"/>
        <w:ind w:firstLine="480" w:firstLineChars="200"/>
        <w:rPr>
          <w:rFonts w:hint="default" w:ascii="Times New Roman" w:hAnsi="Times New Roman" w:eastAsia="宋体" w:cs="Times New Roman"/>
          <w:color w:val="000000" w:themeColor="text1"/>
          <w:sz w:val="24"/>
          <w:highlight w:val="none"/>
          <w14:textFill>
            <w14:solidFill>
              <w14:schemeClr w14:val="tx1"/>
            </w14:solidFill>
          </w14:textFill>
        </w:rPr>
      </w:pPr>
      <w:permStart w:id="41" w:edGrp="everyone"/>
      <w:r>
        <w:rPr>
          <w:rFonts w:hint="default" w:ascii="Times New Roman" w:hAnsi="Times New Roman" w:eastAsia="宋体" w:cs="Times New Roman"/>
          <w:bCs/>
          <w:sz w:val="24"/>
          <w:highlight w:val="none"/>
        </w:rPr>
        <w:t>（1）本合同约定的定制货物硬件及配套的技术资料，</w:t>
      </w:r>
      <w:r>
        <w:rPr>
          <w:rFonts w:hint="default" w:ascii="Times New Roman" w:hAnsi="Times New Roman" w:eastAsia="宋体" w:cs="Times New Roman"/>
          <w:bCs/>
          <w:color w:val="000000" w:themeColor="text1"/>
          <w:sz w:val="24"/>
          <w:highlight w:val="none"/>
          <w14:textFill>
            <w14:solidFill>
              <w14:schemeClr w14:val="tx1"/>
            </w14:solidFill>
          </w14:textFill>
        </w:rPr>
        <w:t>包括：</w:t>
      </w:r>
      <w:r>
        <w:rPr>
          <w:rFonts w:hint="default" w:ascii="Times New Roman" w:hAnsi="Times New Roman" w:eastAsia="宋体" w:cs="Times New Roman"/>
          <w:color w:val="000000" w:themeColor="text1"/>
          <w:sz w:val="24"/>
          <w:highlight w:val="none"/>
          <w14:textFill>
            <w14:solidFill>
              <w14:schemeClr w14:val="tx1"/>
            </w14:solidFill>
          </w14:textFill>
        </w:rPr>
        <w:t>硬件产品、产品合格证、保修卡、硬件产品序列号、相关的技术文档和操作手册、随机配件及工具等；</w:t>
      </w:r>
    </w:p>
    <w:p w14:paraId="23C7727C">
      <w:pPr>
        <w:spacing w:line="495" w:lineRule="exact"/>
        <w:ind w:firstLine="480" w:firstLineChars="200"/>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（2）</w:t>
      </w:r>
      <w:r>
        <w:rPr>
          <w:rFonts w:hint="default" w:ascii="Times New Roman" w:hAnsi="Times New Roman" w:eastAsia="宋体" w:cs="Times New Roman"/>
          <w:bCs/>
          <w:sz w:val="24"/>
          <w:highlight w:val="none"/>
        </w:rPr>
        <w:t>本合同约定的定制货物</w:t>
      </w:r>
      <w:r>
        <w:rPr>
          <w:rFonts w:hint="default" w:ascii="Times New Roman" w:hAnsi="Times New Roman" w:eastAsia="宋体" w:cs="Times New Roman"/>
          <w:color w:val="000000" w:themeColor="text1"/>
          <w:sz w:val="24"/>
          <w:highlight w:val="none"/>
          <w14:textFill>
            <w14:solidFill>
              <w14:schemeClr w14:val="tx1"/>
            </w14:solidFill>
          </w14:textFill>
        </w:rPr>
        <w:t>信息系统或软件及配套的技术资料，包括：信息系统或软件产品、产品规格说明书、数据库设计说明书、系统管理员操作手册、系统用户操作手册、系统安装程序光盘（U盘）、相关技术文档和操作手册、涉及关联调用的应提供调用规范和相关技术说明。</w:t>
      </w:r>
    </w:p>
    <w:permEnd w:id="41"/>
    <w:p w14:paraId="6D237BBF">
      <w:pPr>
        <w:spacing w:line="495" w:lineRule="exact"/>
        <w:ind w:left="2" w:leftChars="1"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3）其他：乙方应当按照招标文件、本合同约定和甲方的要求为甲方完整开放本合同项下的设备/软件系统的应用程序编程接口（以下简称“API接口”），包括但不限于接口规范、技术文档、软件开发工具包及其他必要技术资料、配置集合文件，确保甲方技术人员能独立、高效地完成系统对接、二次开发与运维工作。乙方保证其开放的API接口及技术资料不侵犯任何第三方合法权益，且甲方应获得一项永久、不可撤销、免许可费的全球使用许可和 API 接口更新后的免许可费的许可。</w:t>
      </w:r>
    </w:p>
    <w:p w14:paraId="1B2722AA">
      <w:pPr>
        <w:spacing w:line="495" w:lineRule="exact"/>
        <w:ind w:left="2" w:leftChars="1"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到货时，甲方对定制货物进行初步验收，核对定制货物的数量、型号、包装及技术资料等，如发现定制货物存在包装损坏、货物损坏、数量短缺的，甲方有权通知乙方退、换货或补货或解除合同。乙方未提交相关技术资料的，甲方有权拒绝接收定制货物或拒绝组织对定制货物进行初步验收，并视为乙方未交付定制货物。</w:t>
      </w:r>
    </w:p>
    <w:p w14:paraId="7B1B0787">
      <w:pPr>
        <w:pStyle w:val="49"/>
        <w:spacing w:line="400" w:lineRule="exact"/>
        <w:ind w:firstLine="480" w:firstLineChars="200"/>
        <w:rPr>
          <w:rFonts w:hint="default" w:ascii="Times New Roman" w:hAnsi="Times New Roman" w:eastAsia="宋体" w:cs="Times New Roman"/>
          <w:bCs/>
          <w:szCs w:val="24"/>
          <w:highlight w:val="none"/>
        </w:rPr>
      </w:pPr>
      <w:r>
        <w:rPr>
          <w:rFonts w:hint="default" w:ascii="Times New Roman" w:hAnsi="Times New Roman" w:eastAsia="宋体" w:cs="Times New Roman"/>
          <w:bCs/>
          <w:szCs w:val="24"/>
          <w:highlight w:val="none"/>
        </w:rPr>
        <w:t>2.安装及调试</w:t>
      </w:r>
    </w:p>
    <w:p w14:paraId="66BE40E9">
      <w:pPr>
        <w:spacing w:line="495" w:lineRule="exact"/>
        <w:ind w:firstLine="480" w:firstLineChars="200"/>
        <w:rPr>
          <w:rFonts w:hint="default" w:ascii="Times New Roman" w:hAnsi="Times New Roman" w:eastAsia="宋体" w:cs="Times New Roman"/>
          <w:bCs/>
          <w:color w:val="000000" w:themeColor="text1"/>
          <w:sz w:val="24"/>
          <w:highlight w:val="none"/>
          <w14:textFill>
            <w14:solidFill>
              <w14:schemeClr w14:val="tx1"/>
            </w14:solidFill>
          </w14:textFill>
        </w:rPr>
      </w:pPr>
      <w:r>
        <w:rPr>
          <w:rFonts w:hint="default" w:ascii="Times New Roman" w:hAnsi="Times New Roman" w:eastAsia="宋体" w:cs="Times New Roman"/>
          <w:bCs/>
          <w:sz w:val="24"/>
          <w:highlight w:val="none"/>
        </w:rPr>
        <w:t>乙方应在委托定制货物交付给甲方后</w:t>
      </w:r>
      <w:permStart w:id="42" w:edGrp="everyone"/>
      <w:r>
        <w:rPr>
          <w:rFonts w:hint="default" w:ascii="Times New Roman" w:hAnsi="Times New Roman" w:eastAsia="宋体" w:cs="Times New Roman"/>
          <w:bCs/>
          <w:sz w:val="24"/>
          <w:highlight w:val="none"/>
          <w:u w:val="single"/>
        </w:rPr>
        <w:t xml:space="preserve">   </w:t>
      </w:r>
      <w:permEnd w:id="42"/>
      <w:r>
        <w:rPr>
          <w:rFonts w:hint="default" w:ascii="Times New Roman" w:hAnsi="Times New Roman" w:eastAsia="宋体" w:cs="Times New Roman"/>
          <w:bCs/>
          <w:sz w:val="24"/>
          <w:highlight w:val="none"/>
        </w:rPr>
        <w:t>天内或</w:t>
      </w:r>
      <w:r>
        <w:rPr>
          <w:rFonts w:hint="default" w:ascii="Times New Roman" w:hAnsi="Times New Roman" w:eastAsia="宋体" w:cs="Times New Roman"/>
          <w:bCs/>
          <w:color w:val="000000" w:themeColor="text1"/>
          <w:sz w:val="24"/>
          <w:highlight w:val="none"/>
          <w14:textFill>
            <w14:solidFill>
              <w14:schemeClr w14:val="tx1"/>
            </w14:solidFill>
          </w14:textFill>
        </w:rPr>
        <w:t>收到甲方关于安装、调试货物的通知之日起</w:t>
      </w:r>
      <w:permStart w:id="43" w:edGrp="everyone"/>
      <w:r>
        <w:rPr>
          <w:rFonts w:hint="default" w:ascii="Times New Roman" w:hAnsi="Times New Roman" w:eastAsia="宋体" w:cs="Times New Roman"/>
          <w:bCs/>
          <w:color w:val="000000" w:themeColor="text1"/>
          <w:sz w:val="24"/>
          <w:highlight w:val="none"/>
          <w:u w:val="single"/>
          <w14:textFill>
            <w14:solidFill>
              <w14:schemeClr w14:val="tx1"/>
            </w14:solidFill>
          </w14:textFill>
        </w:rPr>
        <w:t>3</w:t>
      </w:r>
      <w:permEnd w:id="43"/>
      <w:r>
        <w:rPr>
          <w:rFonts w:hint="default" w:ascii="Times New Roman" w:hAnsi="Times New Roman" w:eastAsia="宋体" w:cs="Times New Roman"/>
          <w:bCs/>
          <w:color w:val="000000" w:themeColor="text1"/>
          <w:sz w:val="24"/>
          <w:highlight w:val="none"/>
          <w14:textFill>
            <w14:solidFill>
              <w14:schemeClr w14:val="tx1"/>
            </w14:solidFill>
          </w14:textFill>
        </w:rPr>
        <w:t>天内委派技术人员到甲方的指定地点完成现场安装、调试工作，并免费提供定制货物安装调试的一切技术支持以及安装调试过程中所需使用的试剂、耗材以及相关配件等。</w:t>
      </w:r>
    </w:p>
    <w:p w14:paraId="02A32BE1">
      <w:pPr>
        <w:pStyle w:val="49"/>
        <w:spacing w:line="400" w:lineRule="exact"/>
        <w:ind w:firstLine="480" w:firstLineChars="200"/>
        <w:rPr>
          <w:rFonts w:hint="default" w:ascii="Times New Roman" w:hAnsi="Times New Roman" w:eastAsia="宋体" w:cs="Times New Roman"/>
          <w:bCs/>
          <w:szCs w:val="24"/>
          <w:highlight w:val="none"/>
        </w:rPr>
      </w:pPr>
      <w:r>
        <w:rPr>
          <w:rFonts w:hint="default" w:ascii="Times New Roman" w:hAnsi="Times New Roman" w:eastAsia="宋体" w:cs="Times New Roman"/>
          <w:bCs/>
          <w:szCs w:val="24"/>
          <w:highlight w:val="none"/>
        </w:rPr>
        <w:t>3.综合验收时间及地点</w:t>
      </w:r>
    </w:p>
    <w:p w14:paraId="65BAEA8A">
      <w:pPr>
        <w:spacing w:line="495" w:lineRule="exact"/>
        <w:ind w:firstLine="480" w:firstLineChars="200"/>
        <w:rPr>
          <w:rFonts w:hint="default" w:ascii="Times New Roman" w:hAnsi="Times New Roman" w:eastAsia="宋体" w:cs="Times New Roman"/>
          <w:bCs/>
          <w:color w:val="000000" w:themeColor="text1"/>
          <w:sz w:val="24"/>
          <w:highlight w:val="none"/>
          <w14:textFill>
            <w14:solidFill>
              <w14:schemeClr w14:val="tx1"/>
            </w14:solidFill>
          </w14:textFill>
        </w:rPr>
      </w:pPr>
      <w:r>
        <w:rPr>
          <w:rFonts w:hint="default" w:ascii="Times New Roman" w:hAnsi="Times New Roman" w:eastAsia="宋体" w:cs="Times New Roman"/>
          <w:bCs/>
          <w:color w:val="000000" w:themeColor="text1"/>
          <w:sz w:val="24"/>
          <w:highlight w:val="none"/>
          <w14:textFill>
            <w14:solidFill>
              <w14:schemeClr w14:val="tx1"/>
            </w14:solidFill>
          </w14:textFill>
        </w:rPr>
        <w:t>在定制货物安装、调试完毕</w:t>
      </w:r>
      <w:r>
        <w:rPr>
          <w:rFonts w:hint="default" w:ascii="Times New Roman" w:hAnsi="Times New Roman" w:eastAsia="宋体" w:cs="Times New Roman"/>
          <w:bCs/>
          <w:color w:val="000000" w:themeColor="text1"/>
          <w:sz w:val="24"/>
          <w:highlight w:val="none"/>
          <w:lang w:eastAsia="zh-CN"/>
          <w14:textFill>
            <w14:solidFill>
              <w14:schemeClr w14:val="tx1"/>
            </w14:solidFill>
          </w14:textFill>
        </w:rPr>
        <w:t>，</w:t>
      </w:r>
      <w:r>
        <w:rPr>
          <w:rFonts w:hint="default" w:ascii="Times New Roman" w:hAnsi="Times New Roman" w:eastAsia="宋体" w:cs="Times New Roman"/>
          <w:bCs/>
          <w:color w:val="000000" w:themeColor="text1"/>
          <w:sz w:val="24"/>
          <w:highlight w:val="none"/>
          <w:lang w:val="en-US" w:eastAsia="zh-CN"/>
          <w14:textFill>
            <w14:solidFill>
              <w14:schemeClr w14:val="tx1"/>
            </w14:solidFill>
          </w14:textFill>
        </w:rPr>
        <w:t>且生物性样本测试符合要求</w:t>
      </w:r>
      <w:r>
        <w:rPr>
          <w:rFonts w:hint="default" w:ascii="Times New Roman" w:hAnsi="Times New Roman" w:eastAsia="宋体" w:cs="Times New Roman"/>
          <w:bCs/>
          <w:color w:val="000000" w:themeColor="text1"/>
          <w:sz w:val="24"/>
          <w:highlight w:val="none"/>
          <w14:textFill>
            <w14:solidFill>
              <w14:schemeClr w14:val="tx1"/>
            </w14:solidFill>
          </w14:textFill>
        </w:rPr>
        <w:t>后，</w:t>
      </w:r>
      <w:r>
        <w:rPr>
          <w:rFonts w:hint="default" w:ascii="Times New Roman" w:hAnsi="Times New Roman" w:eastAsia="宋体" w:cs="Times New Roman"/>
          <w:bCs/>
          <w:sz w:val="24"/>
          <w:highlight w:val="none"/>
        </w:rPr>
        <w:t>乙方向甲方提交书面综合验收申请，</w:t>
      </w:r>
      <w:r>
        <w:rPr>
          <w:rFonts w:hint="default" w:ascii="Times New Roman" w:hAnsi="Times New Roman" w:eastAsia="宋体" w:cs="Times New Roman"/>
          <w:bCs/>
          <w:color w:val="000000" w:themeColor="text1"/>
          <w:sz w:val="24"/>
          <w:highlight w:val="none"/>
          <w14:textFill>
            <w14:solidFill>
              <w14:schemeClr w14:val="tx1"/>
            </w14:solidFill>
          </w14:textFill>
        </w:rPr>
        <w:t>甲方在</w:t>
      </w:r>
      <w:r>
        <w:rPr>
          <w:rFonts w:hint="default" w:ascii="Times New Roman" w:hAnsi="Times New Roman" w:eastAsia="宋体" w:cs="Times New Roman"/>
          <w:bCs/>
          <w:sz w:val="24"/>
          <w:highlight w:val="none"/>
        </w:rPr>
        <w:t>收到乙方书面申请</w:t>
      </w:r>
      <w:r>
        <w:rPr>
          <w:rFonts w:hint="default" w:ascii="Times New Roman" w:hAnsi="Times New Roman" w:eastAsia="宋体" w:cs="Times New Roman"/>
          <w:bCs/>
          <w:sz w:val="24"/>
          <w:highlight w:val="none"/>
          <w:lang w:val="en-US" w:eastAsia="zh-CN"/>
        </w:rPr>
        <w:t>和完整的验收相关资料</w:t>
      </w:r>
      <w:r>
        <w:rPr>
          <w:rFonts w:hint="default" w:ascii="Times New Roman" w:hAnsi="Times New Roman" w:eastAsia="宋体" w:cs="Times New Roman"/>
          <w:bCs/>
          <w:sz w:val="24"/>
          <w:highlight w:val="none"/>
        </w:rPr>
        <w:t>后</w:t>
      </w:r>
      <w:permStart w:id="44" w:edGrp="everyone"/>
      <w:r>
        <w:rPr>
          <w:rFonts w:hint="default" w:ascii="Times New Roman" w:hAnsi="Times New Roman" w:eastAsia="宋体" w:cs="Times New Roman"/>
          <w:bCs/>
          <w:sz w:val="24"/>
          <w:highlight w:val="none"/>
          <w:u w:val="single"/>
        </w:rPr>
        <w:t xml:space="preserve"> </w:t>
      </w:r>
      <w:r>
        <w:rPr>
          <w:rFonts w:hint="default" w:ascii="Times New Roman" w:hAnsi="Times New Roman" w:eastAsia="宋体" w:cs="Times New Roman"/>
          <w:bCs/>
          <w:color w:val="000000" w:themeColor="text1"/>
          <w:sz w:val="24"/>
          <w:highlight w:val="none"/>
          <w:u w:val="single"/>
          <w:lang w:val="en-US" w:eastAsia="zh-CN"/>
          <w14:textFill>
            <w14:solidFill>
              <w14:schemeClr w14:val="tx1"/>
            </w14:solidFill>
          </w14:textFill>
        </w:rPr>
        <w:t>30</w:t>
      </w:r>
      <w:r>
        <w:rPr>
          <w:rFonts w:hint="default" w:ascii="Times New Roman" w:hAnsi="Times New Roman" w:eastAsia="宋体" w:cs="Times New Roman"/>
          <w:bCs/>
          <w:color w:val="000000" w:themeColor="text1"/>
          <w:sz w:val="24"/>
          <w:highlight w:val="none"/>
          <w:u w:val="single"/>
          <w14:textFill>
            <w14:solidFill>
              <w14:schemeClr w14:val="tx1"/>
            </w14:solidFill>
          </w14:textFill>
        </w:rPr>
        <w:t xml:space="preserve"> </w:t>
      </w:r>
      <w:permEnd w:id="44"/>
      <w:r>
        <w:rPr>
          <w:rFonts w:hint="default" w:ascii="Times New Roman" w:hAnsi="Times New Roman" w:eastAsia="宋体" w:cs="Times New Roman"/>
          <w:bCs/>
          <w:color w:val="000000" w:themeColor="text1"/>
          <w:sz w:val="24"/>
          <w:highlight w:val="none"/>
          <w14:textFill>
            <w14:solidFill>
              <w14:schemeClr w14:val="tx1"/>
            </w14:solidFill>
          </w14:textFill>
        </w:rPr>
        <w:t>天内对货物进行综合验收，并在</w:t>
      </w:r>
      <w:permStart w:id="45" w:edGrp="everyone"/>
      <w:r>
        <w:rPr>
          <w:rFonts w:hint="default" w:ascii="Times New Roman" w:hAnsi="Times New Roman" w:eastAsia="宋体" w:cs="Times New Roman"/>
          <w:bCs/>
          <w:color w:val="000000" w:themeColor="text1"/>
          <w:sz w:val="24"/>
          <w:highlight w:val="none"/>
          <w:u w:val="single"/>
          <w14:textFill>
            <w14:solidFill>
              <w14:schemeClr w14:val="tx1"/>
            </w14:solidFill>
          </w14:textFill>
        </w:rPr>
        <w:t xml:space="preserve">  </w:t>
      </w:r>
      <w:r>
        <w:rPr>
          <w:rFonts w:hint="default" w:ascii="Times New Roman" w:hAnsi="Times New Roman" w:eastAsia="宋体" w:cs="Times New Roman"/>
          <w:bCs/>
          <w:color w:val="000000" w:themeColor="text1"/>
          <w:sz w:val="24"/>
          <w:highlight w:val="none"/>
          <w:u w:val="single"/>
          <w:lang w:val="en-US" w:eastAsia="zh-CN"/>
          <w14:textFill>
            <w14:solidFill>
              <w14:schemeClr w14:val="tx1"/>
            </w14:solidFill>
          </w14:textFill>
        </w:rPr>
        <w:t>30</w:t>
      </w:r>
      <w:r>
        <w:rPr>
          <w:rFonts w:hint="default" w:ascii="Times New Roman" w:hAnsi="Times New Roman" w:eastAsia="宋体" w:cs="Times New Roman"/>
          <w:bCs/>
          <w:color w:val="000000" w:themeColor="text1"/>
          <w:sz w:val="24"/>
          <w:highlight w:val="none"/>
          <w:u w:val="single"/>
          <w14:textFill>
            <w14:solidFill>
              <w14:schemeClr w14:val="tx1"/>
            </w14:solidFill>
          </w14:textFill>
        </w:rPr>
        <w:t xml:space="preserve"> </w:t>
      </w:r>
      <w:permEnd w:id="45"/>
      <w:r>
        <w:rPr>
          <w:rFonts w:hint="default" w:ascii="Times New Roman" w:hAnsi="Times New Roman" w:eastAsia="宋体" w:cs="Times New Roman"/>
          <w:bCs/>
          <w:color w:val="000000" w:themeColor="text1"/>
          <w:sz w:val="24"/>
          <w:highlight w:val="none"/>
          <w14:textFill>
            <w14:solidFill>
              <w14:schemeClr w14:val="tx1"/>
            </w14:solidFill>
          </w14:textFill>
        </w:rPr>
        <w:t>天内将综合验收报告告知乙方。综合验收内容包括但不限于：①型号、数量及外观；②货物所附技术资料；③货物组件及配置；④货物功能、性能及各项技术参数指标；⑤本合同第二条约定的货物技术参数、性能指标、质量要求、安全要求；⑥其他</w:t>
      </w:r>
      <w:permStart w:id="46" w:edGrp="everyone"/>
      <w:r>
        <w:rPr>
          <w:rFonts w:hint="default" w:ascii="Times New Roman" w:hAnsi="Times New Roman" w:eastAsia="宋体" w:cs="Times New Roman"/>
          <w:bCs/>
          <w:color w:val="000000" w:themeColor="text1"/>
          <w:sz w:val="24"/>
          <w:highlight w:val="none"/>
          <w:u w:val="single"/>
          <w14:textFill>
            <w14:solidFill>
              <w14:schemeClr w14:val="tx1"/>
            </w14:solidFill>
          </w14:textFill>
        </w:rPr>
        <w:t xml:space="preserve">                  </w:t>
      </w:r>
      <w:permEnd w:id="46"/>
      <w:r>
        <w:rPr>
          <w:rFonts w:hint="default" w:ascii="Times New Roman" w:hAnsi="Times New Roman" w:eastAsia="宋体" w:cs="Times New Roman"/>
          <w:bCs/>
          <w:color w:val="000000" w:themeColor="text1"/>
          <w:sz w:val="24"/>
          <w:highlight w:val="none"/>
          <w14:textFill>
            <w14:solidFill>
              <w14:schemeClr w14:val="tx1"/>
            </w14:solidFill>
          </w14:textFill>
        </w:rPr>
        <w:t xml:space="preserve">。 </w:t>
      </w:r>
    </w:p>
    <w:p w14:paraId="5CCCDEB5">
      <w:pPr>
        <w:spacing w:line="495" w:lineRule="exact"/>
        <w:ind w:firstLine="460" w:firstLineChars="192"/>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其中，定制货物单价人民币50万元以上的（含）由甲方至少三名科研人员、资产管理部门人员、采购经办人以及乙方代表等组成综合验收小组，必要时可另聘请专家参与。技术验收应按甲方的要求对货物技术指标进行一一验收，因验收产生的相关费用由乙方负责。 </w:t>
      </w:r>
    </w:p>
    <w:p w14:paraId="6592769A">
      <w:pPr>
        <w:pStyle w:val="49"/>
        <w:spacing w:line="400" w:lineRule="exact"/>
        <w:ind w:firstLine="480" w:firstLineChars="200"/>
        <w:rPr>
          <w:rFonts w:hint="default" w:ascii="Times New Roman" w:hAnsi="Times New Roman" w:eastAsia="宋体" w:cs="Times New Roman"/>
          <w:bCs/>
          <w:szCs w:val="24"/>
          <w:highlight w:val="none"/>
        </w:rPr>
      </w:pPr>
      <w:r>
        <w:rPr>
          <w:rFonts w:hint="default" w:ascii="Times New Roman" w:hAnsi="Times New Roman" w:eastAsia="宋体" w:cs="Times New Roman"/>
          <w:bCs/>
          <w:szCs w:val="24"/>
          <w:highlight w:val="none"/>
        </w:rPr>
        <w:t>（2）综合验收地点：</w:t>
      </w:r>
      <w:permStart w:id="47" w:edGrp="everyone"/>
      <w:r>
        <w:rPr>
          <w:rFonts w:hint="default" w:ascii="Times New Roman" w:hAnsi="Times New Roman" w:eastAsia="宋体" w:cs="Times New Roman"/>
          <w:bCs/>
          <w:szCs w:val="24"/>
          <w:highlight w:val="none"/>
          <w:u w:val="single"/>
        </w:rPr>
        <w:t xml:space="preserve">甲方指定地点  </w:t>
      </w:r>
      <w:permEnd w:id="47"/>
      <w:r>
        <w:rPr>
          <w:rFonts w:hint="default" w:ascii="Times New Roman" w:hAnsi="Times New Roman" w:eastAsia="宋体" w:cs="Times New Roman"/>
          <w:bCs/>
          <w:szCs w:val="24"/>
          <w:highlight w:val="none"/>
        </w:rPr>
        <w:t>。</w:t>
      </w:r>
    </w:p>
    <w:p w14:paraId="21B5F715">
      <w:pPr>
        <w:pStyle w:val="49"/>
        <w:spacing w:line="400" w:lineRule="exact"/>
        <w:ind w:firstLine="480" w:firstLineChars="200"/>
        <w:rPr>
          <w:rFonts w:hint="default" w:ascii="Times New Roman" w:hAnsi="Times New Roman" w:eastAsia="宋体" w:cs="Times New Roman"/>
          <w:bCs/>
          <w:szCs w:val="24"/>
          <w:highlight w:val="none"/>
        </w:rPr>
      </w:pPr>
      <w:r>
        <w:rPr>
          <w:rFonts w:hint="default" w:ascii="Times New Roman" w:hAnsi="Times New Roman" w:eastAsia="宋体" w:cs="Times New Roman"/>
          <w:bCs/>
          <w:szCs w:val="24"/>
          <w:highlight w:val="none"/>
        </w:rPr>
        <w:t>4.综合验收标准及验收方法</w:t>
      </w:r>
    </w:p>
    <w:p w14:paraId="5700577B">
      <w:pPr>
        <w:pStyle w:val="49"/>
        <w:spacing w:line="400" w:lineRule="exact"/>
        <w:ind w:firstLine="480" w:firstLineChars="200"/>
        <w:rPr>
          <w:rFonts w:hint="default" w:ascii="Times New Roman" w:hAnsi="Times New Roman" w:eastAsia="宋体" w:cs="Times New Roman"/>
          <w:bCs/>
          <w:szCs w:val="24"/>
          <w:highlight w:val="none"/>
          <w:u w:val="single"/>
        </w:rPr>
      </w:pPr>
      <w:r>
        <w:rPr>
          <w:rFonts w:hint="default" w:ascii="Times New Roman" w:hAnsi="Times New Roman" w:eastAsia="宋体" w:cs="Times New Roman"/>
          <w:bCs/>
          <w:szCs w:val="24"/>
          <w:highlight w:val="none"/>
        </w:rPr>
        <w:t>（1）</w:t>
      </w:r>
      <w:permStart w:id="48" w:edGrp="everyone"/>
      <w:r>
        <w:rPr>
          <w:rFonts w:hint="default" w:ascii="Times New Roman" w:hAnsi="Times New Roman" w:eastAsia="宋体" w:cs="Times New Roman"/>
          <w:bCs/>
          <w:szCs w:val="24"/>
          <w:highlight w:val="none"/>
          <w:u w:val="single"/>
        </w:rPr>
        <w:t xml:space="preserve">综合验收标准：           综合验收方法：                 </w:t>
      </w:r>
      <w:r>
        <w:rPr>
          <w:rFonts w:hint="default" w:ascii="Times New Roman" w:hAnsi="Times New Roman" w:eastAsia="宋体" w:cs="Times New Roman"/>
          <w:bCs/>
          <w:szCs w:val="24"/>
          <w:highlight w:val="none"/>
        </w:rPr>
        <w:t>。</w:t>
      </w:r>
      <w:permEnd w:id="48"/>
    </w:p>
    <w:p w14:paraId="1E31E4FA">
      <w:pPr>
        <w:pStyle w:val="49"/>
        <w:spacing w:line="400" w:lineRule="exact"/>
        <w:ind w:firstLine="480" w:firstLineChars="200"/>
        <w:rPr>
          <w:rFonts w:hint="default" w:ascii="Times New Roman" w:hAnsi="Times New Roman" w:eastAsia="宋体" w:cs="Times New Roman"/>
          <w:bCs/>
          <w:color w:val="000000" w:themeColor="text1"/>
          <w:szCs w:val="24"/>
          <w:highlight w:val="none"/>
          <w14:textFill>
            <w14:solidFill>
              <w14:schemeClr w14:val="tx1"/>
            </w14:solidFill>
          </w14:textFill>
        </w:rPr>
      </w:pPr>
      <w:r>
        <w:rPr>
          <w:rFonts w:hint="default" w:ascii="Times New Roman" w:hAnsi="Times New Roman" w:eastAsia="宋体" w:cs="Times New Roman"/>
          <w:bCs/>
          <w:color w:val="000000" w:themeColor="text1"/>
          <w:szCs w:val="24"/>
          <w:highlight w:val="none"/>
          <w14:textFill>
            <w14:solidFill>
              <w14:schemeClr w14:val="tx1"/>
            </w14:solidFill>
          </w14:textFill>
        </w:rPr>
        <w:t>（2）甲方在综合验收中如发现定制货物不符合合同约定的，则有权要求乙方退货、换货、维修</w:t>
      </w:r>
      <w:r>
        <w:rPr>
          <w:rFonts w:hint="default" w:ascii="Times New Roman" w:hAnsi="Times New Roman" w:eastAsia="宋体" w:cs="Times New Roman"/>
          <w:bCs/>
          <w:color w:val="000000" w:themeColor="text1"/>
          <w:szCs w:val="24"/>
          <w:highlight w:val="none"/>
          <w:lang w:val="en-US" w:eastAsia="zh-CN"/>
          <w14:textFill>
            <w14:solidFill>
              <w14:schemeClr w14:val="tx1"/>
            </w14:solidFill>
          </w14:textFill>
        </w:rPr>
        <w:t>直至解除合同</w:t>
      </w:r>
      <w:r>
        <w:rPr>
          <w:rFonts w:hint="default" w:ascii="Times New Roman" w:hAnsi="Times New Roman" w:eastAsia="宋体" w:cs="Times New Roman"/>
          <w:bCs/>
          <w:color w:val="000000" w:themeColor="text1"/>
          <w:szCs w:val="24"/>
          <w:highlight w:val="none"/>
          <w14:textFill>
            <w14:solidFill>
              <w14:schemeClr w14:val="tx1"/>
            </w14:solidFill>
          </w14:textFill>
        </w:rPr>
        <w:t>。如甲方选择要求退换货的，则乙方在换货后通过甲方综合验收之日视为</w:t>
      </w:r>
      <w:r>
        <w:rPr>
          <w:rFonts w:hint="default" w:ascii="Times New Roman" w:hAnsi="Times New Roman" w:eastAsia="宋体" w:cs="Times New Roman"/>
          <w:szCs w:val="21"/>
          <w:highlight w:val="none"/>
        </w:rPr>
        <w:t>实际完成交付</w:t>
      </w:r>
      <w:r>
        <w:rPr>
          <w:rFonts w:hint="default" w:ascii="Times New Roman" w:hAnsi="Times New Roman" w:eastAsia="宋体" w:cs="Times New Roman"/>
          <w:szCs w:val="21"/>
          <w:highlight w:val="none"/>
          <w:lang w:eastAsia="zh-CN"/>
        </w:rPr>
        <w:t>、</w:t>
      </w:r>
      <w:r>
        <w:rPr>
          <w:rFonts w:hint="default" w:ascii="Times New Roman" w:hAnsi="Times New Roman" w:eastAsia="宋体" w:cs="Times New Roman"/>
          <w:szCs w:val="21"/>
          <w:highlight w:val="none"/>
        </w:rPr>
        <w:t>安装、调试</w:t>
      </w:r>
      <w:r>
        <w:rPr>
          <w:rFonts w:hint="default" w:ascii="Times New Roman" w:hAnsi="Times New Roman" w:eastAsia="宋体" w:cs="Times New Roman"/>
          <w:color w:val="0F1115"/>
          <w:highlight w:val="none"/>
          <w:shd w:val="clear" w:color="auto" w:fill="FFFFFF"/>
          <w:lang w:val="en-US" w:eastAsia="zh-CN"/>
        </w:rPr>
        <w:t>与设备</w:t>
      </w:r>
      <w:r>
        <w:rPr>
          <w:rFonts w:hint="default" w:ascii="Times New Roman" w:hAnsi="Times New Roman" w:eastAsia="宋体" w:cs="Times New Roman"/>
          <w:color w:val="0F1115"/>
          <w:highlight w:val="none"/>
          <w:shd w:val="clear" w:color="auto" w:fill="FFFFFF"/>
          <w:lang w:val="en-US"/>
        </w:rPr>
        <w:t>生物性样本测试，实现葛洪系统的稳定对接</w:t>
      </w:r>
      <w:r>
        <w:rPr>
          <w:rFonts w:hint="default" w:ascii="Times New Roman" w:hAnsi="Times New Roman" w:eastAsia="宋体" w:cs="Times New Roman"/>
          <w:szCs w:val="21"/>
          <w:highlight w:val="none"/>
        </w:rPr>
        <w:t>之日</w:t>
      </w:r>
      <w:r>
        <w:rPr>
          <w:rFonts w:hint="default" w:ascii="Times New Roman" w:hAnsi="Times New Roman" w:eastAsia="宋体" w:cs="Times New Roman"/>
          <w:bCs/>
          <w:color w:val="000000" w:themeColor="text1"/>
          <w:szCs w:val="24"/>
          <w:highlight w:val="none"/>
          <w14:textFill>
            <w14:solidFill>
              <w14:schemeClr w14:val="tx1"/>
            </w14:solidFill>
          </w14:textFill>
        </w:rPr>
        <w:t>；如甲方选择要求维修的，则乙方维修后通过甲方综合验收之日视为</w:t>
      </w:r>
      <w:r>
        <w:rPr>
          <w:rFonts w:hint="default" w:ascii="Times New Roman" w:hAnsi="Times New Roman" w:eastAsia="宋体" w:cs="Times New Roman"/>
          <w:szCs w:val="21"/>
          <w:highlight w:val="none"/>
        </w:rPr>
        <w:t>实际完成交付</w:t>
      </w:r>
      <w:r>
        <w:rPr>
          <w:rFonts w:hint="default" w:ascii="Times New Roman" w:hAnsi="Times New Roman" w:eastAsia="宋体" w:cs="Times New Roman"/>
          <w:szCs w:val="21"/>
          <w:highlight w:val="none"/>
          <w:lang w:eastAsia="zh-CN"/>
        </w:rPr>
        <w:t>、</w:t>
      </w:r>
      <w:r>
        <w:rPr>
          <w:rFonts w:hint="default" w:ascii="Times New Roman" w:hAnsi="Times New Roman" w:eastAsia="宋体" w:cs="Times New Roman"/>
          <w:szCs w:val="21"/>
          <w:highlight w:val="none"/>
        </w:rPr>
        <w:t>安装、调试</w:t>
      </w:r>
      <w:r>
        <w:rPr>
          <w:rFonts w:hint="default" w:ascii="Times New Roman" w:hAnsi="Times New Roman" w:eastAsia="宋体" w:cs="Times New Roman"/>
          <w:color w:val="0F1115"/>
          <w:highlight w:val="none"/>
          <w:shd w:val="clear" w:color="auto" w:fill="FFFFFF"/>
          <w:lang w:val="en-US" w:eastAsia="zh-CN"/>
        </w:rPr>
        <w:t>与设备</w:t>
      </w:r>
      <w:r>
        <w:rPr>
          <w:rFonts w:hint="default" w:ascii="Times New Roman" w:hAnsi="Times New Roman" w:eastAsia="宋体" w:cs="Times New Roman"/>
          <w:color w:val="0F1115"/>
          <w:highlight w:val="none"/>
          <w:shd w:val="clear" w:color="auto" w:fill="FFFFFF"/>
          <w:lang w:val="en-US"/>
        </w:rPr>
        <w:t>生物性样本测试，实现葛洪系统的稳定对接</w:t>
      </w:r>
      <w:r>
        <w:rPr>
          <w:rFonts w:hint="default" w:ascii="Times New Roman" w:hAnsi="Times New Roman" w:eastAsia="宋体" w:cs="Times New Roman"/>
          <w:szCs w:val="21"/>
          <w:highlight w:val="none"/>
        </w:rPr>
        <w:t>之日</w:t>
      </w:r>
      <w:r>
        <w:rPr>
          <w:rFonts w:hint="default" w:ascii="Times New Roman" w:hAnsi="Times New Roman" w:eastAsia="宋体" w:cs="Times New Roman"/>
          <w:bCs/>
          <w:color w:val="000000" w:themeColor="text1"/>
          <w:szCs w:val="24"/>
          <w:highlight w:val="none"/>
          <w14:textFill>
            <w14:solidFill>
              <w14:schemeClr w14:val="tx1"/>
            </w14:solidFill>
          </w14:textFill>
        </w:rPr>
        <w:t>；如甲方选择解除合同</w:t>
      </w:r>
      <w:r>
        <w:rPr>
          <w:rFonts w:hint="default" w:ascii="Times New Roman" w:hAnsi="Times New Roman" w:eastAsia="宋体" w:cs="Times New Roman"/>
          <w:bCs/>
          <w:color w:val="000000" w:themeColor="text1"/>
          <w:szCs w:val="24"/>
          <w:highlight w:val="none"/>
          <w:lang w:eastAsia="zh-CN"/>
          <w14:textFill>
            <w14:solidFill>
              <w14:schemeClr w14:val="tx1"/>
            </w14:solidFill>
          </w14:textFill>
        </w:rPr>
        <w:t>（</w:t>
      </w:r>
      <w:r>
        <w:rPr>
          <w:rFonts w:hint="default" w:ascii="Times New Roman" w:hAnsi="Times New Roman" w:eastAsia="宋体" w:cs="Times New Roman"/>
          <w:bCs/>
          <w:color w:val="000000" w:themeColor="text1"/>
          <w:szCs w:val="24"/>
          <w:highlight w:val="none"/>
          <w:lang w:val="en-US" w:eastAsia="zh-CN"/>
          <w14:textFill>
            <w14:solidFill>
              <w14:schemeClr w14:val="tx1"/>
            </w14:solidFill>
          </w14:textFill>
        </w:rPr>
        <w:t>或部分解除合同</w:t>
      </w:r>
      <w:r>
        <w:rPr>
          <w:rFonts w:hint="default" w:ascii="Times New Roman" w:hAnsi="Times New Roman" w:eastAsia="宋体" w:cs="Times New Roman"/>
          <w:bCs/>
          <w:color w:val="000000" w:themeColor="text1"/>
          <w:szCs w:val="24"/>
          <w:highlight w:val="none"/>
          <w:lang w:eastAsia="zh-CN"/>
          <w14:textFill>
            <w14:solidFill>
              <w14:schemeClr w14:val="tx1"/>
            </w14:solidFill>
          </w14:textFill>
        </w:rPr>
        <w:t>）</w:t>
      </w:r>
      <w:r>
        <w:rPr>
          <w:rFonts w:hint="default" w:ascii="Times New Roman" w:hAnsi="Times New Roman" w:eastAsia="宋体" w:cs="Times New Roman"/>
          <w:bCs/>
          <w:color w:val="000000" w:themeColor="text1"/>
          <w:szCs w:val="24"/>
          <w:highlight w:val="none"/>
          <w14:textFill>
            <w14:solidFill>
              <w14:schemeClr w14:val="tx1"/>
            </w14:solidFill>
          </w14:textFill>
        </w:rPr>
        <w:t>的，</w:t>
      </w:r>
      <w:r>
        <w:rPr>
          <w:rFonts w:hint="default" w:ascii="Times New Roman" w:hAnsi="Times New Roman" w:eastAsia="宋体" w:cs="Times New Roman"/>
          <w:bCs/>
          <w:szCs w:val="24"/>
          <w:highlight w:val="none"/>
        </w:rPr>
        <w:t>乙方应按本合同十一条第14款的</w:t>
      </w:r>
      <w:r>
        <w:rPr>
          <w:rFonts w:hint="default" w:ascii="Times New Roman" w:hAnsi="Times New Roman" w:eastAsia="宋体" w:cs="Times New Roman"/>
          <w:bCs/>
          <w:color w:val="000000" w:themeColor="text1"/>
          <w:szCs w:val="24"/>
          <w:highlight w:val="none"/>
          <w14:textFill>
            <w14:solidFill>
              <w14:schemeClr w14:val="tx1"/>
            </w14:solidFill>
          </w14:textFill>
        </w:rPr>
        <w:t xml:space="preserve">约定，向甲方退还已付合同款、支付相应的违约金，并赔偿甲方损失。 </w:t>
      </w:r>
    </w:p>
    <w:p w14:paraId="3583105A">
      <w:pPr>
        <w:spacing w:line="495" w:lineRule="exact"/>
        <w:ind w:firstLine="480" w:firstLineChars="200"/>
        <w:rPr>
          <w:rFonts w:hint="default" w:ascii="Times New Roman" w:hAnsi="Times New Roman" w:eastAsia="宋体" w:cs="Times New Roman"/>
          <w:sz w:val="24"/>
          <w:highlight w:val="none"/>
          <w:lang w:bidi="en-US"/>
        </w:rPr>
      </w:pPr>
      <w:r>
        <w:rPr>
          <w:rFonts w:hint="default" w:ascii="Times New Roman" w:hAnsi="Times New Roman" w:eastAsia="宋体" w:cs="Times New Roman"/>
          <w:bCs/>
          <w:color w:val="000000" w:themeColor="text1"/>
          <w:sz w:val="24"/>
          <w:highlight w:val="none"/>
          <w14:textFill>
            <w14:solidFill>
              <w14:schemeClr w14:val="tx1"/>
            </w14:solidFill>
          </w14:textFill>
        </w:rPr>
        <w:t>（3）鉴于综合验收的局限性，乙方交付的定制货物通过甲方的综合验收并不视为定制货物已完全符合合同约定的技术参数、性能指标、质量要求、安全要求。如甲方在实际使用过程中发现乙方提供的定制货物不符合合同约定的技术参数、性能指标、质量要求的，甲方仍有权要求乙方负责对定制货物进行免费维修、退货、换货或要求解除合同（或部分解除合同）并按合同第十一条追究乙方的违约责任。</w:t>
      </w:r>
    </w:p>
    <w:p w14:paraId="2A6DAD4A">
      <w:pPr>
        <w:tabs>
          <w:tab w:val="left" w:pos="312"/>
        </w:tabs>
        <w:spacing w:line="360" w:lineRule="auto"/>
        <w:ind w:firstLine="480" w:firstLineChars="200"/>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5.培训</w:t>
      </w:r>
    </w:p>
    <w:p w14:paraId="2E766BE6">
      <w:pPr>
        <w:tabs>
          <w:tab w:val="left" w:pos="312"/>
        </w:tabs>
        <w:spacing w:line="360" w:lineRule="auto"/>
        <w:ind w:firstLine="480" w:firstLineChars="200"/>
        <w:rPr>
          <w:rFonts w:hint="default" w:ascii="Times New Roman" w:hAnsi="Times New Roman" w:eastAsia="宋体" w:cs="Times New Roman"/>
          <w:bCs/>
          <w:color w:val="000000" w:themeColor="text1"/>
          <w:sz w:val="24"/>
          <w:highlight w:val="none"/>
          <w14:textFill>
            <w14:solidFill>
              <w14:schemeClr w14:val="tx1"/>
            </w14:solidFill>
          </w14:textFill>
        </w:rPr>
      </w:pPr>
      <w:r>
        <w:rPr>
          <w:rFonts w:hint="default" w:ascii="Times New Roman" w:hAnsi="Times New Roman" w:eastAsia="宋体" w:cs="Times New Roman"/>
          <w:bCs/>
          <w:sz w:val="24"/>
          <w:highlight w:val="none"/>
        </w:rPr>
        <w:t>定制</w:t>
      </w:r>
      <w:r>
        <w:rPr>
          <w:rFonts w:hint="default" w:ascii="Times New Roman" w:hAnsi="Times New Roman" w:eastAsia="宋体" w:cs="Times New Roman"/>
          <w:bCs/>
          <w:color w:val="000000" w:themeColor="text1"/>
          <w:sz w:val="24"/>
          <w:highlight w:val="none"/>
          <w14:textFill>
            <w14:solidFill>
              <w14:schemeClr w14:val="tx1"/>
            </w14:solidFill>
          </w14:textFill>
        </w:rPr>
        <w:t>货物安装、调试后，乙方应在甲方组织综合验收前对甲方的指定人员进行使用培训及日常保养培训，</w:t>
      </w:r>
      <w:r>
        <w:rPr>
          <w:rFonts w:hint="default" w:ascii="Times New Roman" w:hAnsi="Times New Roman" w:eastAsia="宋体" w:cs="Times New Roman"/>
          <w:color w:val="000000" w:themeColor="text1"/>
          <w:spacing w:val="-5"/>
          <w:sz w:val="24"/>
          <w:highlight w:val="none"/>
          <w14:textFill>
            <w14:solidFill>
              <w14:schemeClr w14:val="tx1"/>
            </w14:solidFill>
          </w14:textFill>
        </w:rPr>
        <w:t>包括仪器基本原理、安装、调试、操作使用及日</w:t>
      </w:r>
      <w:r>
        <w:rPr>
          <w:rFonts w:hint="default" w:ascii="Times New Roman" w:hAnsi="Times New Roman" w:eastAsia="宋体" w:cs="Times New Roman"/>
          <w:color w:val="000000" w:themeColor="text1"/>
          <w:sz w:val="24"/>
          <w:highlight w:val="none"/>
          <w14:textFill>
            <w14:solidFill>
              <w14:schemeClr w14:val="tx1"/>
            </w14:solidFill>
          </w14:textFill>
        </w:rPr>
        <w:t>常保养维修等，使其能独立操作仪器及使用软件。</w:t>
      </w:r>
      <w:r>
        <w:rPr>
          <w:rFonts w:hint="default" w:ascii="Times New Roman" w:hAnsi="Times New Roman" w:eastAsia="宋体" w:cs="Times New Roman"/>
          <w:bCs/>
          <w:color w:val="000000" w:themeColor="text1"/>
          <w:sz w:val="24"/>
          <w:highlight w:val="none"/>
          <w14:textFill>
            <w14:solidFill>
              <w14:schemeClr w14:val="tx1"/>
            </w14:solidFill>
          </w14:textFill>
        </w:rPr>
        <w:t>乙方未完成培训的，甲方有权不组织综合验收且不视为甲方违约。</w:t>
      </w:r>
    </w:p>
    <w:p w14:paraId="27236679">
      <w:pPr>
        <w:pStyle w:val="27"/>
        <w:snapToGrid w:val="0"/>
        <w:spacing w:before="156" w:beforeLines="50"/>
        <w:contextualSpacing/>
        <w:jc w:val="both"/>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6.档案资料</w:t>
      </w:r>
    </w:p>
    <w:p w14:paraId="3CCC0E50">
      <w:pPr>
        <w:pStyle w:val="27"/>
        <w:snapToGrid w:val="0"/>
        <w:contextualSpacing/>
        <w:jc w:val="both"/>
        <w:rPr>
          <w:rFonts w:hint="default" w:ascii="Times New Roman" w:hAnsi="Times New Roman" w:eastAsia="宋体" w:cs="Times New Roman"/>
          <w:bCs/>
          <w:color w:val="000000" w:themeColor="text1"/>
          <w:sz w:val="24"/>
          <w:highlight w:val="none"/>
          <w14:textFill>
            <w14:solidFill>
              <w14:schemeClr w14:val="tx1"/>
            </w14:solidFill>
          </w14:textFill>
        </w:rPr>
      </w:pPr>
      <w:r>
        <w:rPr>
          <w:rFonts w:hint="default" w:ascii="Times New Roman" w:hAnsi="Times New Roman" w:eastAsia="宋体" w:cs="Times New Roman"/>
          <w:sz w:val="24"/>
          <w:highlight w:val="none"/>
        </w:rPr>
        <w:t>（1）定制货物综合验收时，乙方应按照甲方档案管理的要求，提交本合同履行过程中产生的档案资料等文件，乙方无正当理由拒不提交的，甲方有权暂不组织对本合同货物验收</w:t>
      </w:r>
      <w:r>
        <w:rPr>
          <w:rFonts w:hint="default" w:ascii="Times New Roman" w:hAnsi="Times New Roman" w:eastAsia="宋体" w:cs="Times New Roman"/>
          <w:bCs/>
          <w:color w:val="000000" w:themeColor="text1"/>
          <w:sz w:val="24"/>
          <w:highlight w:val="none"/>
          <w14:textFill>
            <w14:solidFill>
              <w14:schemeClr w14:val="tx1"/>
            </w14:solidFill>
          </w14:textFill>
        </w:rPr>
        <w:t>且不视为甲方违约。</w:t>
      </w:r>
    </w:p>
    <w:p w14:paraId="5A34E9C8">
      <w:pPr>
        <w:pStyle w:val="27"/>
        <w:snapToGrid w:val="0"/>
        <w:contextualSpacing/>
        <w:jc w:val="both"/>
        <w:rPr>
          <w:rFonts w:hint="default" w:ascii="Times New Roman" w:hAnsi="Times New Roman" w:eastAsia="宋体" w:cs="Times New Roman"/>
          <w:bCs/>
          <w:sz w:val="24"/>
          <w:highlight w:val="none"/>
        </w:rPr>
      </w:pPr>
      <w:r>
        <w:rPr>
          <w:rFonts w:hint="default" w:ascii="Times New Roman" w:hAnsi="Times New Roman" w:eastAsia="宋体" w:cs="Times New Roman"/>
          <w:bCs/>
          <w:color w:val="000000" w:themeColor="text1"/>
          <w:sz w:val="24"/>
          <w:highlight w:val="none"/>
          <w14:textFill>
            <w14:solidFill>
              <w14:schemeClr w14:val="tx1"/>
            </w14:solidFill>
          </w14:textFill>
        </w:rPr>
        <w:t>（2）</w:t>
      </w:r>
      <w:r>
        <w:rPr>
          <w:rFonts w:hint="default" w:ascii="Times New Roman" w:hAnsi="Times New Roman" w:eastAsia="宋体" w:cs="Times New Roman"/>
          <w:sz w:val="24"/>
          <w:highlight w:val="none"/>
        </w:rPr>
        <w:t>乙方配合甲方进行</w:t>
      </w:r>
      <w:permStart w:id="49" w:edGrp="everyone"/>
      <w:r>
        <w:rPr>
          <w:rFonts w:hint="default" w:ascii="Times New Roman" w:hAnsi="Times New Roman" w:eastAsia="宋体" w:cs="Times New Roman"/>
          <w:sz w:val="24"/>
          <w:highlight w:val="none"/>
        </w:rPr>
        <w:t>“相关平台”项目</w:t>
      </w:r>
      <w:permEnd w:id="49"/>
      <w:r>
        <w:rPr>
          <w:rFonts w:hint="default" w:ascii="Times New Roman" w:hAnsi="Times New Roman" w:eastAsia="宋体" w:cs="Times New Roman"/>
          <w:sz w:val="24"/>
          <w:highlight w:val="none"/>
        </w:rPr>
        <w:t>整体联合调试时，应按照质量控制计划制定检验规程并建立质量跟踪档案。所有检验和测量结果应如实记录在质量跟踪档案中。项目整体联合调试完成后，将质量跟踪档案的原件交付给甲方。</w:t>
      </w:r>
    </w:p>
    <w:p w14:paraId="6F183B21">
      <w:pPr>
        <w:spacing w:line="400" w:lineRule="exact"/>
        <w:ind w:firstLine="482" w:firstLineChars="200"/>
        <w:rPr>
          <w:rFonts w:hint="default" w:ascii="Times New Roman" w:hAnsi="Times New Roman" w:eastAsia="宋体" w:cs="Times New Roman"/>
          <w:b/>
          <w:sz w:val="24"/>
          <w:highlight w:val="none"/>
        </w:rPr>
      </w:pPr>
      <w:r>
        <w:rPr>
          <w:rFonts w:hint="default" w:ascii="Times New Roman" w:hAnsi="Times New Roman" w:eastAsia="宋体" w:cs="Times New Roman"/>
          <w:b/>
          <w:bCs/>
          <w:sz w:val="24"/>
          <w:highlight w:val="none"/>
        </w:rPr>
        <w:t>七、知识产权</w:t>
      </w:r>
    </w:p>
    <w:p w14:paraId="7BF9E81A">
      <w:pPr>
        <w:spacing w:line="360" w:lineRule="auto"/>
        <w:ind w:firstLine="480" w:firstLineChars="200"/>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1、</w:t>
      </w: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乙方</w:t>
      </w:r>
      <w:r>
        <w:rPr>
          <w:rFonts w:hint="default" w:ascii="Times New Roman" w:hAnsi="Times New Roman" w:eastAsia="宋体" w:cs="Times New Roman"/>
          <w:color w:val="000000" w:themeColor="text1"/>
          <w:sz w:val="24"/>
          <w:highlight w:val="none"/>
          <w14:textFill>
            <w14:solidFill>
              <w14:schemeClr w14:val="tx1"/>
            </w14:solidFill>
          </w14:textFill>
        </w:rPr>
        <w:t>应保证本项目技术、货物、服务或其任何一部分（含配套软件系统）不会产生因第三方提出侵犯其专利权、商标权或其他知识产权而引起的法律和经济纠纷。</w:t>
      </w: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乙方</w:t>
      </w:r>
      <w:r>
        <w:rPr>
          <w:rFonts w:hint="default" w:ascii="Times New Roman" w:hAnsi="Times New Roman" w:eastAsia="宋体" w:cs="Times New Roman"/>
          <w:color w:val="000000" w:themeColor="text1"/>
          <w:sz w:val="24"/>
          <w:highlight w:val="none"/>
          <w14:textFill>
            <w14:solidFill>
              <w14:schemeClr w14:val="tx1"/>
            </w14:solidFill>
          </w14:textFill>
        </w:rPr>
        <w:t>保证</w:t>
      </w:r>
      <w:r>
        <w:rPr>
          <w:rFonts w:hint="default" w:ascii="Times New Roman" w:hAnsi="Times New Roman" w:eastAsia="宋体" w:cs="Times New Roman"/>
          <w:color w:val="000000" w:themeColor="text1"/>
          <w:sz w:val="24"/>
          <w:highlight w:val="none"/>
          <w:lang w:eastAsia="zh-CN"/>
          <w14:textFill>
            <w14:solidFill>
              <w14:schemeClr w14:val="tx1"/>
            </w14:solidFill>
          </w14:textFill>
        </w:rPr>
        <w:t>甲方</w:t>
      </w:r>
      <w:r>
        <w:rPr>
          <w:rFonts w:hint="default" w:ascii="Times New Roman" w:hAnsi="Times New Roman" w:eastAsia="宋体" w:cs="Times New Roman"/>
          <w:color w:val="000000" w:themeColor="text1"/>
          <w:sz w:val="24"/>
          <w:highlight w:val="none"/>
          <w14:textFill>
            <w14:solidFill>
              <w14:schemeClr w14:val="tx1"/>
            </w14:solidFill>
          </w14:textFill>
        </w:rPr>
        <w:t>有权根据本项目约定使用</w:t>
      </w:r>
      <w:r>
        <w:rPr>
          <w:rFonts w:hint="default" w:ascii="Times New Roman" w:hAnsi="Times New Roman" w:eastAsia="宋体" w:cs="Times New Roman"/>
          <w:color w:val="000000" w:themeColor="text1"/>
          <w:sz w:val="24"/>
          <w:highlight w:val="none"/>
          <w:lang w:eastAsia="zh-CN"/>
          <w14:textFill>
            <w14:solidFill>
              <w14:schemeClr w14:val="tx1"/>
            </w14:solidFill>
          </w14:textFill>
        </w:rPr>
        <w:t>乙方</w:t>
      </w:r>
      <w:r>
        <w:rPr>
          <w:rFonts w:hint="default" w:ascii="Times New Roman" w:hAnsi="Times New Roman" w:eastAsia="宋体" w:cs="Times New Roman"/>
          <w:color w:val="000000" w:themeColor="text1"/>
          <w:sz w:val="24"/>
          <w:highlight w:val="none"/>
          <w14:textFill>
            <w14:solidFill>
              <w14:schemeClr w14:val="tx1"/>
            </w14:solidFill>
          </w14:textFill>
        </w:rPr>
        <w:t>提交的定制货物（含配套软件系统）及服务。如因此导致第三方向</w:t>
      </w:r>
      <w:r>
        <w:rPr>
          <w:rFonts w:hint="default" w:ascii="Times New Roman" w:hAnsi="Times New Roman" w:eastAsia="宋体" w:cs="Times New Roman"/>
          <w:color w:val="000000" w:themeColor="text1"/>
          <w:sz w:val="24"/>
          <w:highlight w:val="none"/>
          <w:lang w:eastAsia="zh-CN"/>
          <w14:textFill>
            <w14:solidFill>
              <w14:schemeClr w14:val="tx1"/>
            </w14:solidFill>
          </w14:textFill>
        </w:rPr>
        <w:t>甲方</w:t>
      </w:r>
      <w:r>
        <w:rPr>
          <w:rFonts w:hint="default" w:ascii="Times New Roman" w:hAnsi="Times New Roman" w:eastAsia="宋体" w:cs="Times New Roman"/>
          <w:color w:val="000000" w:themeColor="text1"/>
          <w:sz w:val="24"/>
          <w:highlight w:val="none"/>
          <w14:textFill>
            <w14:solidFill>
              <w14:schemeClr w14:val="tx1"/>
            </w14:solidFill>
          </w14:textFill>
        </w:rPr>
        <w:t>主张权利或被行政机关作出处罚的，</w:t>
      </w: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乙方</w:t>
      </w:r>
      <w:r>
        <w:rPr>
          <w:rFonts w:hint="default" w:ascii="Times New Roman" w:hAnsi="Times New Roman" w:eastAsia="宋体" w:cs="Times New Roman"/>
          <w:color w:val="000000" w:themeColor="text1"/>
          <w:sz w:val="24"/>
          <w:highlight w:val="none"/>
          <w14:textFill>
            <w14:solidFill>
              <w14:schemeClr w14:val="tx1"/>
            </w14:solidFill>
          </w14:textFill>
        </w:rPr>
        <w:t>承担全部法律责任，包括但不限于负责赔偿</w:t>
      </w:r>
      <w:r>
        <w:rPr>
          <w:rFonts w:hint="default" w:ascii="Times New Roman" w:hAnsi="Times New Roman" w:eastAsia="宋体" w:cs="Times New Roman"/>
          <w:color w:val="000000" w:themeColor="text1"/>
          <w:sz w:val="24"/>
          <w:highlight w:val="none"/>
          <w:lang w:eastAsia="zh-CN"/>
          <w14:textFill>
            <w14:solidFill>
              <w14:schemeClr w14:val="tx1"/>
            </w14:solidFill>
          </w14:textFill>
        </w:rPr>
        <w:t>甲方</w:t>
      </w:r>
      <w:r>
        <w:rPr>
          <w:rFonts w:hint="default" w:ascii="Times New Roman" w:hAnsi="Times New Roman" w:eastAsia="宋体" w:cs="Times New Roman"/>
          <w:color w:val="000000" w:themeColor="text1"/>
          <w:sz w:val="24"/>
          <w:highlight w:val="none"/>
          <w14:textFill>
            <w14:solidFill>
              <w14:schemeClr w14:val="tx1"/>
            </w14:solidFill>
          </w14:textFill>
        </w:rPr>
        <w:t>因此支付的赔偿款、罚款及产生的损失，且</w:t>
      </w:r>
      <w:r>
        <w:rPr>
          <w:rFonts w:hint="default" w:ascii="Times New Roman" w:hAnsi="Times New Roman" w:eastAsia="宋体" w:cs="Times New Roman"/>
          <w:color w:val="000000" w:themeColor="text1"/>
          <w:sz w:val="24"/>
          <w:highlight w:val="none"/>
          <w:lang w:eastAsia="zh-CN"/>
          <w14:textFill>
            <w14:solidFill>
              <w14:schemeClr w14:val="tx1"/>
            </w14:solidFill>
          </w14:textFill>
        </w:rPr>
        <w:t>甲方</w:t>
      </w:r>
      <w:r>
        <w:rPr>
          <w:rFonts w:hint="default" w:ascii="Times New Roman" w:hAnsi="Times New Roman" w:eastAsia="宋体" w:cs="Times New Roman"/>
          <w:color w:val="000000" w:themeColor="text1"/>
          <w:sz w:val="24"/>
          <w:highlight w:val="none"/>
          <w14:textFill>
            <w14:solidFill>
              <w14:schemeClr w14:val="tx1"/>
            </w14:solidFill>
          </w14:textFill>
        </w:rPr>
        <w:t>有权立即解除合同并要求</w:t>
      </w:r>
      <w:r>
        <w:rPr>
          <w:rFonts w:hint="default" w:ascii="Times New Roman" w:hAnsi="Times New Roman" w:eastAsia="宋体" w:cs="Times New Roman"/>
          <w:color w:val="000000" w:themeColor="text1"/>
          <w:sz w:val="24"/>
          <w:highlight w:val="none"/>
          <w:lang w:eastAsia="zh-CN"/>
          <w14:textFill>
            <w14:solidFill>
              <w14:schemeClr w14:val="tx1"/>
            </w14:solidFill>
          </w14:textFill>
        </w:rPr>
        <w:t>乙方</w:t>
      </w:r>
      <w:r>
        <w:rPr>
          <w:rFonts w:hint="default" w:ascii="Times New Roman" w:hAnsi="Times New Roman" w:eastAsia="宋体" w:cs="Times New Roman"/>
          <w:color w:val="000000" w:themeColor="text1"/>
          <w:sz w:val="24"/>
          <w:highlight w:val="none"/>
          <w14:textFill>
            <w14:solidFill>
              <w14:schemeClr w14:val="tx1"/>
            </w14:solidFill>
          </w14:textFill>
        </w:rPr>
        <w:t>全额返还</w:t>
      </w:r>
      <w:r>
        <w:rPr>
          <w:rFonts w:hint="default" w:ascii="Times New Roman" w:hAnsi="Times New Roman" w:eastAsia="宋体" w:cs="Times New Roman"/>
          <w:color w:val="000000" w:themeColor="text1"/>
          <w:sz w:val="24"/>
          <w:highlight w:val="none"/>
          <w:lang w:eastAsia="zh-CN"/>
          <w14:textFill>
            <w14:solidFill>
              <w14:schemeClr w14:val="tx1"/>
            </w14:solidFill>
          </w14:textFill>
        </w:rPr>
        <w:t>甲方</w:t>
      </w:r>
      <w:r>
        <w:rPr>
          <w:rFonts w:hint="default" w:ascii="Times New Roman" w:hAnsi="Times New Roman" w:eastAsia="宋体" w:cs="Times New Roman"/>
          <w:color w:val="000000" w:themeColor="text1"/>
          <w:sz w:val="24"/>
          <w:highlight w:val="none"/>
          <w14:textFill>
            <w14:solidFill>
              <w14:schemeClr w14:val="tx1"/>
            </w14:solidFill>
          </w14:textFill>
        </w:rPr>
        <w:t>已支付的服务费用。</w:t>
      </w:r>
    </w:p>
    <w:p w14:paraId="1CE11C81">
      <w:pPr>
        <w:spacing w:line="360" w:lineRule="auto"/>
        <w:ind w:firstLine="480" w:firstLineChars="200"/>
        <w:rPr>
          <w:rStyle w:val="36"/>
          <w:rFonts w:hint="default" w:ascii="Times New Roman" w:hAnsi="Times New Roman" w:eastAsia="宋体" w:cs="Times New Roman"/>
          <w:highlight w:val="none"/>
        </w:rPr>
      </w:pPr>
      <w:r>
        <w:rPr>
          <w:rFonts w:hint="default" w:ascii="Times New Roman" w:hAnsi="Times New Roman" w:eastAsia="宋体" w:cs="Times New Roman"/>
          <w:color w:val="000000" w:themeColor="text1"/>
          <w:sz w:val="24"/>
          <w:highlight w:val="none"/>
          <w14:textFill>
            <w14:solidFill>
              <w14:schemeClr w14:val="tx1"/>
            </w14:solidFill>
          </w14:textFill>
        </w:rPr>
        <w:t>2、</w:t>
      </w: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乙方</w:t>
      </w:r>
      <w:r>
        <w:rPr>
          <w:rFonts w:hint="default" w:ascii="Times New Roman" w:hAnsi="Times New Roman" w:eastAsia="宋体" w:cs="Times New Roman"/>
          <w:color w:val="000000" w:themeColor="text1"/>
          <w:sz w:val="24"/>
          <w:highlight w:val="none"/>
          <w14:textFill>
            <w14:solidFill>
              <w14:schemeClr w14:val="tx1"/>
            </w14:solidFill>
          </w14:textFill>
        </w:rPr>
        <w:t>在履行本项目过程中使用的自有背景知识产权、技术成果等，应免费授权</w:t>
      </w:r>
      <w:r>
        <w:rPr>
          <w:rFonts w:hint="default" w:ascii="Times New Roman" w:hAnsi="Times New Roman" w:eastAsia="宋体" w:cs="Times New Roman"/>
          <w:color w:val="000000" w:themeColor="text1"/>
          <w:sz w:val="24"/>
          <w:highlight w:val="none"/>
          <w:lang w:eastAsia="zh-CN"/>
          <w14:textFill>
            <w14:solidFill>
              <w14:schemeClr w14:val="tx1"/>
            </w14:solidFill>
          </w14:textFill>
        </w:rPr>
        <w:t>甲方</w:t>
      </w:r>
      <w:r>
        <w:rPr>
          <w:rFonts w:hint="default" w:ascii="Times New Roman" w:hAnsi="Times New Roman" w:eastAsia="宋体" w:cs="Times New Roman"/>
          <w:color w:val="000000" w:themeColor="text1"/>
          <w:sz w:val="24"/>
          <w:highlight w:val="none"/>
          <w14:textFill>
            <w14:solidFill>
              <w14:schemeClr w14:val="tx1"/>
            </w14:solidFill>
          </w14:textFill>
        </w:rPr>
        <w:t>在本项目设备、仪器及本项目设备的维护升级中永久、不可撤销地使用。</w:t>
      </w:r>
    </w:p>
    <w:p w14:paraId="717AEF99">
      <w:pPr>
        <w:spacing w:line="360" w:lineRule="auto"/>
        <w:ind w:firstLine="480" w:firstLineChars="200"/>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3、</w:t>
      </w:r>
      <w:r>
        <w:rPr>
          <w:rFonts w:hint="default" w:ascii="Times New Roman" w:hAnsi="Times New Roman" w:eastAsia="宋体" w:cs="Times New Roman"/>
          <w:color w:val="000000" w:themeColor="text1"/>
          <w:sz w:val="24"/>
          <w:highlight w:val="none"/>
          <w:lang w:eastAsia="zh-CN"/>
          <w14:textFill>
            <w14:solidFill>
              <w14:schemeClr w14:val="tx1"/>
            </w14:solidFill>
          </w14:textFill>
        </w:rPr>
        <w:t>甲方</w:t>
      </w:r>
      <w:r>
        <w:rPr>
          <w:rFonts w:hint="default" w:ascii="Times New Roman" w:hAnsi="Times New Roman" w:eastAsia="宋体" w:cs="Times New Roman"/>
          <w:color w:val="000000" w:themeColor="text1"/>
          <w:sz w:val="24"/>
          <w:highlight w:val="none"/>
          <w14:textFill>
            <w14:solidFill>
              <w14:schemeClr w14:val="tx1"/>
            </w14:solidFill>
          </w14:textFill>
        </w:rPr>
        <w:t>向</w:t>
      </w: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乙方</w:t>
      </w:r>
      <w:r>
        <w:rPr>
          <w:rFonts w:hint="default" w:ascii="Times New Roman" w:hAnsi="Times New Roman" w:eastAsia="宋体" w:cs="Times New Roman"/>
          <w:color w:val="000000" w:themeColor="text1"/>
          <w:sz w:val="24"/>
          <w:highlight w:val="none"/>
          <w14:textFill>
            <w14:solidFill>
              <w14:schemeClr w14:val="tx1"/>
            </w14:solidFill>
          </w14:textFill>
        </w:rPr>
        <w:t>提供使用的素材、技术资料、设计方案、图纸等；双方或任一方为检测设备性能所形成的测试结果、成果及相关过程资料，包括但不限于实验过程数据记录、照片、视频、各类实验测试结果、设备性能测试结果、试运行数据和结果等；以及</w:t>
      </w:r>
      <w:r>
        <w:rPr>
          <w:rFonts w:hint="default" w:ascii="Times New Roman" w:hAnsi="Times New Roman" w:eastAsia="宋体" w:cs="Times New Roman"/>
          <w:color w:val="000000" w:themeColor="text1"/>
          <w:sz w:val="24"/>
          <w:highlight w:val="none"/>
          <w:lang w:eastAsia="zh-CN"/>
          <w14:textFill>
            <w14:solidFill>
              <w14:schemeClr w14:val="tx1"/>
            </w14:solidFill>
          </w14:textFill>
        </w:rPr>
        <w:t>甲方</w:t>
      </w:r>
      <w:r>
        <w:rPr>
          <w:rFonts w:hint="default" w:ascii="Times New Roman" w:hAnsi="Times New Roman" w:eastAsia="宋体" w:cs="Times New Roman"/>
          <w:color w:val="000000" w:themeColor="text1"/>
          <w:sz w:val="24"/>
          <w:highlight w:val="none"/>
          <w14:textFill>
            <w14:solidFill>
              <w14:schemeClr w14:val="tx1"/>
            </w14:solidFill>
          </w14:textFill>
        </w:rPr>
        <w:t>在使用设备过程中形成的资料，包括但不限于实验过程、实验数据、使用信息、实验照片、实验结果、报告、设计方案、图纸等，其知识产权、使用权及相关权益均归</w:t>
      </w:r>
      <w:r>
        <w:rPr>
          <w:rFonts w:hint="default" w:ascii="Times New Roman" w:hAnsi="Times New Roman" w:eastAsia="宋体" w:cs="Times New Roman"/>
          <w:color w:val="000000" w:themeColor="text1"/>
          <w:sz w:val="24"/>
          <w:highlight w:val="none"/>
          <w:lang w:eastAsia="zh-CN"/>
          <w14:textFill>
            <w14:solidFill>
              <w14:schemeClr w14:val="tx1"/>
            </w14:solidFill>
          </w14:textFill>
        </w:rPr>
        <w:t>甲方</w:t>
      </w:r>
      <w:r>
        <w:rPr>
          <w:rFonts w:hint="default" w:ascii="Times New Roman" w:hAnsi="Times New Roman" w:eastAsia="宋体" w:cs="Times New Roman"/>
          <w:color w:val="000000" w:themeColor="text1"/>
          <w:sz w:val="24"/>
          <w:highlight w:val="none"/>
          <w14:textFill>
            <w14:solidFill>
              <w14:schemeClr w14:val="tx1"/>
            </w14:solidFill>
          </w14:textFill>
        </w:rPr>
        <w:t>所有。未经</w:t>
      </w:r>
      <w:r>
        <w:rPr>
          <w:rFonts w:hint="default" w:ascii="Times New Roman" w:hAnsi="Times New Roman" w:eastAsia="宋体" w:cs="Times New Roman"/>
          <w:color w:val="000000" w:themeColor="text1"/>
          <w:sz w:val="24"/>
          <w:highlight w:val="none"/>
          <w:lang w:eastAsia="zh-CN"/>
          <w14:textFill>
            <w14:solidFill>
              <w14:schemeClr w14:val="tx1"/>
            </w14:solidFill>
          </w14:textFill>
        </w:rPr>
        <w:t>甲方</w:t>
      </w:r>
      <w:r>
        <w:rPr>
          <w:rFonts w:hint="default" w:ascii="Times New Roman" w:hAnsi="Times New Roman" w:eastAsia="宋体" w:cs="Times New Roman"/>
          <w:color w:val="000000" w:themeColor="text1"/>
          <w:sz w:val="24"/>
          <w:highlight w:val="none"/>
          <w14:textFill>
            <w14:solidFill>
              <w14:schemeClr w14:val="tx1"/>
            </w14:solidFill>
          </w14:textFill>
        </w:rPr>
        <w:t>书面授权，</w:t>
      </w: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乙方</w:t>
      </w:r>
      <w:r>
        <w:rPr>
          <w:rFonts w:hint="default" w:ascii="Times New Roman" w:hAnsi="Times New Roman" w:eastAsia="宋体" w:cs="Times New Roman"/>
          <w:color w:val="000000" w:themeColor="text1"/>
          <w:sz w:val="24"/>
          <w:highlight w:val="none"/>
          <w14:textFill>
            <w14:solidFill>
              <w14:schemeClr w14:val="tx1"/>
            </w14:solidFill>
          </w14:textFill>
        </w:rPr>
        <w:t>不得以任何形式对上述材料、数据、结果及资料进行使用。除为履行本项目目的所必需外，</w:t>
      </w: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乙方</w:t>
      </w:r>
      <w:r>
        <w:rPr>
          <w:rFonts w:hint="default" w:ascii="Times New Roman" w:hAnsi="Times New Roman" w:eastAsia="宋体" w:cs="Times New Roman"/>
          <w:color w:val="000000" w:themeColor="text1"/>
          <w:sz w:val="24"/>
          <w:highlight w:val="none"/>
          <w14:textFill>
            <w14:solidFill>
              <w14:schemeClr w14:val="tx1"/>
            </w14:solidFill>
          </w14:textFill>
        </w:rPr>
        <w:t>不得复制、使用、披露、转让，亦不得以任何方式向任何第三方提供。</w:t>
      </w:r>
      <w:r>
        <w:rPr>
          <w:rFonts w:hint="default" w:ascii="Times New Roman" w:hAnsi="Times New Roman" w:eastAsia="宋体" w:cs="Times New Roman"/>
          <w:color w:val="000000" w:themeColor="text1"/>
          <w:sz w:val="24"/>
          <w:highlight w:val="none"/>
          <w:lang w:eastAsia="zh-CN"/>
          <w14:textFill>
            <w14:solidFill>
              <w14:schemeClr w14:val="tx1"/>
            </w14:solidFill>
          </w14:textFill>
        </w:rPr>
        <w:t>甲方</w:t>
      </w:r>
      <w:r>
        <w:rPr>
          <w:rFonts w:hint="default" w:ascii="Times New Roman" w:hAnsi="Times New Roman" w:eastAsia="宋体" w:cs="Times New Roman"/>
          <w:color w:val="000000" w:themeColor="text1"/>
          <w:sz w:val="24"/>
          <w:highlight w:val="none"/>
          <w14:textFill>
            <w14:solidFill>
              <w14:schemeClr w14:val="tx1"/>
            </w14:solidFill>
          </w14:textFill>
        </w:rPr>
        <w:t>向</w:t>
      </w: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乙方</w:t>
      </w:r>
      <w:r>
        <w:rPr>
          <w:rFonts w:hint="default" w:ascii="Times New Roman" w:hAnsi="Times New Roman" w:eastAsia="宋体" w:cs="Times New Roman"/>
          <w:color w:val="000000" w:themeColor="text1"/>
          <w:sz w:val="24"/>
          <w:highlight w:val="none"/>
          <w14:textFill>
            <w14:solidFill>
              <w14:schemeClr w14:val="tx1"/>
            </w14:solidFill>
          </w14:textFill>
        </w:rPr>
        <w:t>披露任何技术信息或技术秘密，均不应视为</w:t>
      </w:r>
      <w:r>
        <w:rPr>
          <w:rFonts w:hint="default" w:ascii="Times New Roman" w:hAnsi="Times New Roman" w:eastAsia="宋体" w:cs="Times New Roman"/>
          <w:color w:val="000000" w:themeColor="text1"/>
          <w:sz w:val="24"/>
          <w:highlight w:val="none"/>
          <w:lang w:eastAsia="zh-CN"/>
          <w14:textFill>
            <w14:solidFill>
              <w14:schemeClr w14:val="tx1"/>
            </w14:solidFill>
          </w14:textFill>
        </w:rPr>
        <w:t>甲方</w:t>
      </w:r>
      <w:r>
        <w:rPr>
          <w:rFonts w:hint="default" w:ascii="Times New Roman" w:hAnsi="Times New Roman" w:eastAsia="宋体" w:cs="Times New Roman"/>
          <w:color w:val="000000" w:themeColor="text1"/>
          <w:sz w:val="24"/>
          <w:highlight w:val="none"/>
          <w14:textFill>
            <w14:solidFill>
              <w14:schemeClr w14:val="tx1"/>
            </w14:solidFill>
          </w14:textFill>
        </w:rPr>
        <w:t>向</w:t>
      </w:r>
      <w:r>
        <w:rPr>
          <w:rFonts w:hint="default" w:ascii="Times New Roman" w:hAnsi="Times New Roman" w:eastAsia="宋体" w:cs="Times New Roman"/>
          <w:color w:val="000000" w:themeColor="text1"/>
          <w:sz w:val="24"/>
          <w:highlight w:val="none"/>
          <w:lang w:eastAsia="zh-CN"/>
          <w14:textFill>
            <w14:solidFill>
              <w14:schemeClr w14:val="tx1"/>
            </w14:solidFill>
          </w14:textFill>
        </w:rPr>
        <w:t>乙方</w:t>
      </w:r>
      <w:r>
        <w:rPr>
          <w:rFonts w:hint="default" w:ascii="Times New Roman" w:hAnsi="Times New Roman" w:eastAsia="宋体" w:cs="Times New Roman"/>
          <w:color w:val="000000" w:themeColor="text1"/>
          <w:sz w:val="24"/>
          <w:highlight w:val="none"/>
          <w14:textFill>
            <w14:solidFill>
              <w14:schemeClr w14:val="tx1"/>
            </w14:solidFill>
          </w14:textFill>
        </w:rPr>
        <w:t>转让、许可或授予其对该等商业秘密、专利、技术秘密或其他任何知识产权享有所有权、使用权或其他权益。未经</w:t>
      </w:r>
      <w:r>
        <w:rPr>
          <w:rFonts w:hint="default" w:ascii="Times New Roman" w:hAnsi="Times New Roman" w:eastAsia="宋体" w:cs="Times New Roman"/>
          <w:color w:val="000000" w:themeColor="text1"/>
          <w:sz w:val="24"/>
          <w:highlight w:val="none"/>
          <w:lang w:eastAsia="zh-CN"/>
          <w14:textFill>
            <w14:solidFill>
              <w14:schemeClr w14:val="tx1"/>
            </w14:solidFill>
          </w14:textFill>
        </w:rPr>
        <w:t>甲方</w:t>
      </w:r>
      <w:r>
        <w:rPr>
          <w:rFonts w:hint="default" w:ascii="Times New Roman" w:hAnsi="Times New Roman" w:eastAsia="宋体" w:cs="Times New Roman"/>
          <w:color w:val="000000" w:themeColor="text1"/>
          <w:sz w:val="24"/>
          <w:highlight w:val="none"/>
          <w14:textFill>
            <w14:solidFill>
              <w14:schemeClr w14:val="tx1"/>
            </w14:solidFill>
          </w14:textFill>
        </w:rPr>
        <w:t>书面授权，</w:t>
      </w: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乙方</w:t>
      </w:r>
      <w:r>
        <w:rPr>
          <w:rFonts w:hint="default" w:ascii="Times New Roman" w:hAnsi="Times New Roman" w:eastAsia="宋体" w:cs="Times New Roman"/>
          <w:color w:val="000000" w:themeColor="text1"/>
          <w:sz w:val="24"/>
          <w:highlight w:val="none"/>
          <w14:textFill>
            <w14:solidFill>
              <w14:schemeClr w14:val="tx1"/>
            </w14:solidFill>
          </w14:textFill>
        </w:rPr>
        <w:t>不得以任何形式使用</w:t>
      </w:r>
      <w:r>
        <w:rPr>
          <w:rFonts w:hint="default" w:ascii="Times New Roman" w:hAnsi="Times New Roman" w:eastAsia="宋体" w:cs="Times New Roman"/>
          <w:color w:val="000000" w:themeColor="text1"/>
          <w:sz w:val="24"/>
          <w:highlight w:val="none"/>
          <w:lang w:eastAsia="zh-CN"/>
          <w14:textFill>
            <w14:solidFill>
              <w14:schemeClr w14:val="tx1"/>
            </w14:solidFill>
          </w14:textFill>
        </w:rPr>
        <w:t>甲方</w:t>
      </w:r>
      <w:r>
        <w:rPr>
          <w:rFonts w:hint="default" w:ascii="Times New Roman" w:hAnsi="Times New Roman" w:eastAsia="宋体" w:cs="Times New Roman"/>
          <w:color w:val="000000" w:themeColor="text1"/>
          <w:sz w:val="24"/>
          <w:highlight w:val="none"/>
          <w14:textFill>
            <w14:solidFill>
              <w14:schemeClr w14:val="tx1"/>
            </w14:solidFill>
          </w14:textFill>
        </w:rPr>
        <w:t>的技术信息或技术秘密。本条约定同样适用于</w:t>
      </w:r>
      <w:r>
        <w:rPr>
          <w:rFonts w:hint="default" w:ascii="Times New Roman" w:hAnsi="Times New Roman" w:eastAsia="宋体" w:cs="Times New Roman"/>
          <w:color w:val="000000" w:themeColor="text1"/>
          <w:sz w:val="24"/>
          <w:highlight w:val="none"/>
          <w:lang w:eastAsia="zh-CN"/>
          <w14:textFill>
            <w14:solidFill>
              <w14:schemeClr w14:val="tx1"/>
            </w14:solidFill>
          </w14:textFill>
        </w:rPr>
        <w:t>甲方</w:t>
      </w:r>
      <w:r>
        <w:rPr>
          <w:rFonts w:hint="default" w:ascii="Times New Roman" w:hAnsi="Times New Roman" w:eastAsia="宋体" w:cs="Times New Roman"/>
          <w:color w:val="000000" w:themeColor="text1"/>
          <w:sz w:val="24"/>
          <w:highlight w:val="none"/>
          <w14:textFill>
            <w14:solidFill>
              <w14:schemeClr w14:val="tx1"/>
            </w14:solidFill>
          </w14:textFill>
        </w:rPr>
        <w:t>向</w:t>
      </w: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乙方</w:t>
      </w:r>
      <w:r>
        <w:rPr>
          <w:rFonts w:hint="default" w:ascii="Times New Roman" w:hAnsi="Times New Roman" w:eastAsia="宋体" w:cs="Times New Roman"/>
          <w:color w:val="000000" w:themeColor="text1"/>
          <w:sz w:val="24"/>
          <w:highlight w:val="none"/>
          <w14:textFill>
            <w14:solidFill>
              <w14:schemeClr w14:val="tx1"/>
            </w14:solidFill>
          </w14:textFill>
        </w:rPr>
        <w:t>披露的尚未注册或尚未获得知识产权保护的技术方案、技术文件及其他技术信息。</w:t>
      </w:r>
    </w:p>
    <w:p w14:paraId="1DAF3D32">
      <w:pPr>
        <w:spacing w:line="360" w:lineRule="auto"/>
        <w:ind w:firstLine="480" w:firstLineChars="200"/>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lang w:eastAsia="zh-CN"/>
          <w14:textFill>
            <w14:solidFill>
              <w14:schemeClr w14:val="tx1"/>
            </w14:solidFill>
          </w14:textFill>
        </w:rPr>
        <w:t>乙方</w:t>
      </w:r>
      <w:r>
        <w:rPr>
          <w:rFonts w:hint="default" w:ascii="Times New Roman" w:hAnsi="Times New Roman" w:eastAsia="宋体" w:cs="Times New Roman"/>
          <w:color w:val="000000" w:themeColor="text1"/>
          <w:sz w:val="24"/>
          <w:highlight w:val="none"/>
          <w14:textFill>
            <w14:solidFill>
              <w14:schemeClr w14:val="tx1"/>
            </w14:solidFill>
          </w14:textFill>
        </w:rPr>
        <w:t>应按照</w:t>
      </w:r>
      <w:r>
        <w:rPr>
          <w:rFonts w:hint="default" w:ascii="Times New Roman" w:hAnsi="Times New Roman" w:eastAsia="宋体" w:cs="Times New Roman"/>
          <w:color w:val="000000" w:themeColor="text1"/>
          <w:sz w:val="24"/>
          <w:highlight w:val="none"/>
          <w:lang w:eastAsia="zh-CN"/>
          <w14:textFill>
            <w14:solidFill>
              <w14:schemeClr w14:val="tx1"/>
            </w14:solidFill>
          </w14:textFill>
        </w:rPr>
        <w:t>甲方</w:t>
      </w:r>
      <w:r>
        <w:rPr>
          <w:rFonts w:hint="default" w:ascii="Times New Roman" w:hAnsi="Times New Roman" w:eastAsia="宋体" w:cs="Times New Roman"/>
          <w:color w:val="000000" w:themeColor="text1"/>
          <w:sz w:val="24"/>
          <w:highlight w:val="none"/>
          <w14:textFill>
            <w14:solidFill>
              <w14:schemeClr w14:val="tx1"/>
            </w14:solidFill>
          </w14:textFill>
        </w:rPr>
        <w:t>的要求，将全部技术资料（包括但不限于3D图等各项图纸、设计方案、工艺参数等等）交付给</w:t>
      </w:r>
      <w:r>
        <w:rPr>
          <w:rFonts w:hint="default" w:ascii="Times New Roman" w:hAnsi="Times New Roman" w:eastAsia="宋体" w:cs="Times New Roman"/>
          <w:color w:val="000000" w:themeColor="text1"/>
          <w:sz w:val="24"/>
          <w:highlight w:val="none"/>
          <w:lang w:eastAsia="zh-CN"/>
          <w14:textFill>
            <w14:solidFill>
              <w14:schemeClr w14:val="tx1"/>
            </w14:solidFill>
          </w14:textFill>
        </w:rPr>
        <w:t>甲方</w:t>
      </w:r>
      <w:r>
        <w:rPr>
          <w:rFonts w:hint="default" w:ascii="Times New Roman" w:hAnsi="Times New Roman" w:eastAsia="宋体" w:cs="Times New Roman"/>
          <w:color w:val="000000" w:themeColor="text1"/>
          <w:sz w:val="24"/>
          <w:highlight w:val="none"/>
          <w14:textFill>
            <w14:solidFill>
              <w14:schemeClr w14:val="tx1"/>
            </w14:solidFill>
          </w14:textFill>
        </w:rPr>
        <w:t>。未经</w:t>
      </w:r>
      <w:r>
        <w:rPr>
          <w:rFonts w:hint="default" w:ascii="Times New Roman" w:hAnsi="Times New Roman" w:eastAsia="宋体" w:cs="Times New Roman"/>
          <w:color w:val="000000" w:themeColor="text1"/>
          <w:sz w:val="24"/>
          <w:highlight w:val="none"/>
          <w:lang w:eastAsia="zh-CN"/>
          <w14:textFill>
            <w14:solidFill>
              <w14:schemeClr w14:val="tx1"/>
            </w14:solidFill>
          </w14:textFill>
        </w:rPr>
        <w:t>甲方</w:t>
      </w:r>
      <w:r>
        <w:rPr>
          <w:rFonts w:hint="default" w:ascii="Times New Roman" w:hAnsi="Times New Roman" w:eastAsia="宋体" w:cs="Times New Roman"/>
          <w:color w:val="000000" w:themeColor="text1"/>
          <w:sz w:val="24"/>
          <w:highlight w:val="none"/>
          <w14:textFill>
            <w14:solidFill>
              <w14:schemeClr w14:val="tx1"/>
            </w14:solidFill>
          </w14:textFill>
        </w:rPr>
        <w:t>书面同意，</w:t>
      </w:r>
      <w:r>
        <w:rPr>
          <w:rFonts w:hint="default" w:ascii="Times New Roman" w:hAnsi="Times New Roman" w:eastAsia="宋体" w:cs="Times New Roman"/>
          <w:color w:val="000000" w:themeColor="text1"/>
          <w:sz w:val="24"/>
          <w:highlight w:val="none"/>
          <w:lang w:eastAsia="zh-CN"/>
          <w14:textFill>
            <w14:solidFill>
              <w14:schemeClr w14:val="tx1"/>
            </w14:solidFill>
          </w14:textFill>
        </w:rPr>
        <w:t>乙方</w:t>
      </w:r>
      <w:r>
        <w:rPr>
          <w:rFonts w:hint="default" w:ascii="Times New Roman" w:hAnsi="Times New Roman" w:eastAsia="宋体" w:cs="Times New Roman"/>
          <w:color w:val="000000" w:themeColor="text1"/>
          <w:sz w:val="24"/>
          <w:highlight w:val="none"/>
          <w14:textFill>
            <w14:solidFill>
              <w14:schemeClr w14:val="tx1"/>
            </w14:solidFill>
          </w14:textFill>
        </w:rPr>
        <w:t>不得将本项目研发形成的各项技术图纸等全部技术资料出租、出借、转让或许可以及其他方式提供给任何第三方使用，亦不得利用相同或实质性相同的技术图纸，为第三方生产本合同项下产品或与本合同产品规格、功能、用途实质相同或相似的产品。</w:t>
      </w:r>
    </w:p>
    <w:p w14:paraId="542AD01C">
      <w:pPr>
        <w:numPr>
          <w:ilvl w:val="0"/>
          <w:numId w:val="13"/>
        </w:numPr>
        <w:spacing w:line="360" w:lineRule="auto"/>
        <w:ind w:firstLine="480" w:firstLineChars="200"/>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除背景知识产权外，基于履行本项目所产生的、无论由一方单独完成或双方共同完成的与货物（含软件）、服务事项有关的成果及相关知识产权，以及</w:t>
      </w:r>
      <w:r>
        <w:rPr>
          <w:rFonts w:hint="default" w:ascii="Times New Roman" w:hAnsi="Times New Roman" w:eastAsia="宋体" w:cs="Times New Roman"/>
          <w:color w:val="000000" w:themeColor="text1"/>
          <w:sz w:val="24"/>
          <w:highlight w:val="none"/>
          <w:lang w:eastAsia="zh-CN"/>
          <w14:textFill>
            <w14:solidFill>
              <w14:schemeClr w14:val="tx1"/>
            </w14:solidFill>
          </w14:textFill>
        </w:rPr>
        <w:t>甲方</w:t>
      </w:r>
      <w:r>
        <w:rPr>
          <w:rFonts w:hint="default" w:ascii="Times New Roman" w:hAnsi="Times New Roman" w:eastAsia="宋体" w:cs="Times New Roman"/>
          <w:color w:val="000000" w:themeColor="text1"/>
          <w:sz w:val="24"/>
          <w:highlight w:val="none"/>
          <w14:textFill>
            <w14:solidFill>
              <w14:schemeClr w14:val="tx1"/>
            </w14:solidFill>
          </w14:textFill>
        </w:rPr>
        <w:t>利用</w:t>
      </w: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乙方</w:t>
      </w:r>
      <w:r>
        <w:rPr>
          <w:rFonts w:hint="default" w:ascii="Times New Roman" w:hAnsi="Times New Roman" w:eastAsia="宋体" w:cs="Times New Roman"/>
          <w:color w:val="000000" w:themeColor="text1"/>
          <w:sz w:val="24"/>
          <w:highlight w:val="none"/>
          <w14:textFill>
            <w14:solidFill>
              <w14:schemeClr w14:val="tx1"/>
            </w14:solidFill>
          </w14:textFill>
        </w:rPr>
        <w:t>交付的定制货物（含软件）及服务所完成的新的技术成果，其权利归属和全部权益均归</w:t>
      </w:r>
      <w:r>
        <w:rPr>
          <w:rFonts w:hint="default" w:ascii="Times New Roman" w:hAnsi="Times New Roman" w:eastAsia="宋体" w:cs="Times New Roman"/>
          <w:color w:val="000000" w:themeColor="text1"/>
          <w:sz w:val="24"/>
          <w:highlight w:val="none"/>
          <w:lang w:eastAsia="zh-CN"/>
          <w14:textFill>
            <w14:solidFill>
              <w14:schemeClr w14:val="tx1"/>
            </w14:solidFill>
          </w14:textFill>
        </w:rPr>
        <w:t>甲方</w:t>
      </w:r>
      <w:r>
        <w:rPr>
          <w:rFonts w:hint="default" w:ascii="Times New Roman" w:hAnsi="Times New Roman" w:eastAsia="宋体" w:cs="Times New Roman"/>
          <w:color w:val="000000" w:themeColor="text1"/>
          <w:sz w:val="24"/>
          <w:highlight w:val="none"/>
          <w14:textFill>
            <w14:solidFill>
              <w14:schemeClr w14:val="tx1"/>
            </w14:solidFill>
          </w14:textFill>
        </w:rPr>
        <w:t>所有。</w:t>
      </w:r>
      <w:r>
        <w:rPr>
          <w:rFonts w:hint="default" w:ascii="Times New Roman" w:hAnsi="Times New Roman" w:eastAsia="宋体" w:cs="Times New Roman"/>
          <w:color w:val="000000" w:themeColor="text1"/>
          <w:sz w:val="24"/>
          <w:highlight w:val="none"/>
          <w:lang w:eastAsia="zh-CN"/>
          <w14:textFill>
            <w14:solidFill>
              <w14:schemeClr w14:val="tx1"/>
            </w14:solidFill>
          </w14:textFill>
        </w:rPr>
        <w:t>甲方</w:t>
      </w:r>
      <w:r>
        <w:rPr>
          <w:rFonts w:hint="default" w:ascii="Times New Roman" w:hAnsi="Times New Roman" w:eastAsia="宋体" w:cs="Times New Roman"/>
          <w:color w:val="000000" w:themeColor="text1"/>
          <w:sz w:val="24"/>
          <w:highlight w:val="none"/>
          <w14:textFill>
            <w14:solidFill>
              <w14:schemeClr w14:val="tx1"/>
            </w14:solidFill>
          </w14:textFill>
        </w:rPr>
        <w:t>有权自行决定发表、修改、使用并取得相应收益。未经</w:t>
      </w:r>
      <w:r>
        <w:rPr>
          <w:rFonts w:hint="default" w:ascii="Times New Roman" w:hAnsi="Times New Roman" w:eastAsia="宋体" w:cs="Times New Roman"/>
          <w:color w:val="000000" w:themeColor="text1"/>
          <w:sz w:val="24"/>
          <w:highlight w:val="none"/>
          <w:lang w:eastAsia="zh-CN"/>
          <w14:textFill>
            <w14:solidFill>
              <w14:schemeClr w14:val="tx1"/>
            </w14:solidFill>
          </w14:textFill>
        </w:rPr>
        <w:t>甲方</w:t>
      </w:r>
      <w:r>
        <w:rPr>
          <w:rFonts w:hint="default" w:ascii="Times New Roman" w:hAnsi="Times New Roman" w:eastAsia="宋体" w:cs="Times New Roman"/>
          <w:color w:val="000000" w:themeColor="text1"/>
          <w:sz w:val="24"/>
          <w:highlight w:val="none"/>
          <w14:textFill>
            <w14:solidFill>
              <w14:schemeClr w14:val="tx1"/>
            </w14:solidFill>
          </w14:textFill>
        </w:rPr>
        <w:t>书面同意，</w:t>
      </w: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乙方</w:t>
      </w:r>
      <w:r>
        <w:rPr>
          <w:rFonts w:hint="default" w:ascii="Times New Roman" w:hAnsi="Times New Roman" w:eastAsia="宋体" w:cs="Times New Roman"/>
          <w:color w:val="000000" w:themeColor="text1"/>
          <w:sz w:val="24"/>
          <w:highlight w:val="none"/>
          <w14:textFill>
            <w14:solidFill>
              <w14:schemeClr w14:val="tx1"/>
            </w14:solidFill>
          </w14:textFill>
        </w:rPr>
        <w:t>不得对该等成果及知识产权进行任何形式的使用、处分或收益，包括但不限于自行实施、申请知识产权、授权、转让、许可、披露、发表、出版或委托第三方使用。</w:t>
      </w: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乙方</w:t>
      </w:r>
      <w:r>
        <w:rPr>
          <w:rFonts w:hint="default" w:ascii="Times New Roman" w:hAnsi="Times New Roman" w:eastAsia="宋体" w:cs="Times New Roman"/>
          <w:color w:val="000000" w:themeColor="text1"/>
          <w:sz w:val="24"/>
          <w:highlight w:val="none"/>
          <w14:textFill>
            <w14:solidFill>
              <w14:schemeClr w14:val="tx1"/>
            </w14:solidFill>
          </w14:textFill>
        </w:rPr>
        <w:t>不得以自己名义、与第三方共同名义，或以任何其他方式就上述成果申请专利、著作权登记、商标注册或其他知识产权。该等权利包括但不限于商标权、著作权、专利申请权、专利权、技术秘密所有权及其他知识产权。</w:t>
      </w:r>
    </w:p>
    <w:p w14:paraId="401B6113">
      <w:pPr>
        <w:spacing w:line="360" w:lineRule="auto"/>
        <w:ind w:firstLine="480" w:firstLineChars="200"/>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5、针对本项目软件系统：</w:t>
      </w:r>
    </w:p>
    <w:p w14:paraId="79B2E432">
      <w:pPr>
        <w:spacing w:line="360" w:lineRule="auto"/>
        <w:ind w:firstLine="480" w:firstLineChars="200"/>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（1）乙方承诺：拥有作为背景技术支持的合同所涉软件系统现有部分的全部知识产权，或者已经获得权利人的相应授权，包括但不限于专利、商标、版权及商业秘密。  乙方按合同约定开发、交付的软件系统不侵犯任何第三方的著作权、商标权、专利权、商业秘密（包含技术秘密）等知识产权、技术秘密及商业秘密等；也不违反乙方（包括乙方开发人员）与任何第三方的保密义务或有关知识产权约定。如甲方因采购、使用乙方开发、交付的软件被第三方主张侵权赔偿、承担法律责任或被行政机关作出处罚的，乙方应赔偿甲方因此支付的赔偿款、罚款及产生的损失。并且乙方应当选择下列措施之一进行补救：</w:t>
      </w:r>
    </w:p>
    <w:p w14:paraId="0BA87DD7">
      <w:pPr>
        <w:numPr>
          <w:ilvl w:val="0"/>
          <w:numId w:val="16"/>
        </w:numPr>
        <w:spacing w:line="360" w:lineRule="auto"/>
        <w:ind w:left="0" w:leftChars="0" w:firstLine="403" w:firstLineChars="0"/>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取得第三方的许可并自行承担相关费用。</w:t>
      </w:r>
    </w:p>
    <w:p w14:paraId="5D229A71">
      <w:pPr>
        <w:numPr>
          <w:ilvl w:val="0"/>
          <w:numId w:val="16"/>
        </w:numPr>
        <w:spacing w:line="360" w:lineRule="auto"/>
        <w:ind w:left="0" w:leftChars="0" w:firstLine="403" w:firstLineChars="0"/>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免费修改或更换开发软件使其不侵权。</w:t>
      </w:r>
    </w:p>
    <w:p w14:paraId="45082091">
      <w:pPr>
        <w:spacing w:line="360" w:lineRule="auto"/>
        <w:ind w:firstLine="480" w:firstLineChars="200"/>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如乙方未能在甲方要求的期限内完成补救或承担责任的，甲方有权解除本合同，要求乙方承担违约责任。</w:t>
      </w:r>
    </w:p>
    <w:p w14:paraId="7DD328F0">
      <w:pPr>
        <w:spacing w:line="360" w:lineRule="auto"/>
        <w:ind w:firstLine="480" w:firstLineChars="200"/>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如乙方开发、交付的软件系统中涉及第三方软件许可/授权的，乙方应在投标时向甲方充分披露，提供获得授权的文件，并承诺自行获得第三方的许可/授权及承担费用，确保交付甲方的软件系统已获得第三方的许可/授权且甲方在使用乙方交付的软件系统期间无需另行向第三方支付许可/授权或其他费用；如乙方开发软件中不涉及需经第三方许可/授权的，乙方应在投标时出具相关说明。</w:t>
      </w:r>
    </w:p>
    <w:p w14:paraId="1BDE962A">
      <w:pPr>
        <w:spacing w:line="360" w:lineRule="auto"/>
        <w:ind w:firstLine="480" w:firstLineChars="200"/>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2）乙方履行本项目所产生的前景知识产权（即本合同履行过程因开发软件所产生的知识产权），包括但不限于著作权、专利权、商标权、技术秘密及其他、保密技术信息等均归甲方所有，未经甲方书面同意，乙方 不得全部或部分使用，不得授权、转让、许可、委托第三方使用。该等权利包括但不限于商标、著作权、软件著作权、专利申请权、专利权、技术秘密专有所有权益以及其它知识产权。乙方不得以自己名义、与第三方共同名义，或以任何其他方式就上述成果申请专利、著作权登记、商标注册或其他知识产权。乙方不得以自己或第三方名义提出权利主张、申请、注册或备案等。乙方提交的开发成果如涉及乙方的背景知识产权（即在合同生效前就已经存在的或者在独立于本项目之外获得的知识产权），为确保甲方有权利用开发成果，乙方应就所涉背景知识产权给予甲方非排他的、不可转让的、永久的、不可撤销的、全世界范围内的、免费的、拥有分许可权的许可，但所述许可仅限于甲方利用开发成果所必须。</w:t>
      </w:r>
    </w:p>
    <w:p w14:paraId="39938D6B">
      <w:pPr>
        <w:spacing w:line="360" w:lineRule="auto"/>
        <w:ind w:firstLine="480" w:firstLineChars="200"/>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 xml:space="preserve">（3）合同履行过程中甲方向乙方提供的或乙方获悉的甲方任何文件、信息和数据（包括但不限于开发需求与规格）均不构成向乙方转让任何甲方的背景知识产权或许可乙方以商业利用为目的使用任何甲方背景知识产权。乙方只能将甲方提供或在履行合同过程中获悉的甲方文件、信息和数据（包括但不限于开发需求与规格），用于本项目的设计、开发、测试和使用，不得用于其他用途。   </w:t>
      </w:r>
    </w:p>
    <w:p w14:paraId="474643E8">
      <w:pPr>
        <w:spacing w:line="360" w:lineRule="auto"/>
        <w:ind w:firstLine="480" w:firstLineChars="200"/>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（4）软件系统建设、运行、维护期间所产生的数据和相应权益，全部归甲方所有。</w:t>
      </w:r>
    </w:p>
    <w:p w14:paraId="4E867168">
      <w:pPr>
        <w:spacing w:line="360" w:lineRule="auto"/>
        <w:ind w:firstLine="480" w:firstLineChars="200"/>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5）关于软件系统的开发文档和源代码：乙方交付软件系统时，对属于前景知识产权部分的源代码和开发文档应一并交付甲方；如因乙方经营情况发生重大变化（如股权变化、经营不善、被收购、解散清算、破产等）无法继续按照合同约定为甲方提供升级、维护或服务的，乙方应自甲方提出申请后20个工作日内向甲方免费提供本合同项下开发的软件系统的所有开发文档和源代码及过往维护或者升级记录等技术资料，以便甲方可以委托第三方继续进行产品的维护和升级，保证本系统的正常运行。</w:t>
      </w:r>
    </w:p>
    <w:p w14:paraId="5D8FA019">
      <w:pPr>
        <w:spacing w:line="360" w:lineRule="auto"/>
        <w:ind w:left="479" w:leftChars="228" w:firstLine="0" w:firstLineChars="0"/>
        <w:rPr>
          <w:rFonts w:hint="default" w:ascii="Times New Roman" w:hAnsi="Times New Roman" w:eastAsia="宋体" w:cs="Times New Roman"/>
          <w:highlight w:val="none"/>
        </w:rPr>
      </w:pP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6、本项目研发的硬件产品及软件控制系统，知识产权均为甲方唯一拥有。</w:t>
      </w:r>
      <w:r>
        <w:rPr>
          <w:rFonts w:hint="default" w:ascii="Times New Roman" w:hAnsi="Times New Roman" w:eastAsia="宋体" w:cs="Times New Roman"/>
          <w:highlight w:val="none"/>
        </w:rPr>
        <w:t xml:space="preserve"> </w:t>
      </w:r>
    </w:p>
    <w:p w14:paraId="16E03CB5">
      <w:pPr>
        <w:spacing w:line="360" w:lineRule="auto"/>
        <w:ind w:left="479" w:leftChars="228" w:firstLine="0" w:firstLineChars="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lang w:val="en-US" w:eastAsia="zh-CN"/>
        </w:rPr>
        <w:t>7</w:t>
      </w:r>
      <w:r>
        <w:rPr>
          <w:rFonts w:hint="default" w:ascii="Times New Roman" w:hAnsi="Times New Roman" w:eastAsia="宋体" w:cs="Times New Roman"/>
          <w:sz w:val="24"/>
          <w:szCs w:val="24"/>
          <w:highlight w:val="none"/>
        </w:rPr>
        <w:t>、专利及软件著作权申请义务：</w:t>
      </w:r>
    </w:p>
    <w:p w14:paraId="00F6A007">
      <w:pPr>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lang w:eastAsia="zh-CN"/>
        </w:rPr>
        <w:t>乙方</w:t>
      </w:r>
      <w:r>
        <w:rPr>
          <w:rFonts w:hint="default" w:ascii="Times New Roman" w:hAnsi="Times New Roman" w:eastAsia="宋体" w:cs="Times New Roman"/>
          <w:sz w:val="24"/>
          <w:szCs w:val="24"/>
          <w:highlight w:val="none"/>
        </w:rPr>
        <w:t>在履行合同期间，应配合</w:t>
      </w:r>
      <w:r>
        <w:rPr>
          <w:rFonts w:hint="default" w:ascii="Times New Roman" w:hAnsi="Times New Roman" w:eastAsia="宋体" w:cs="Times New Roman"/>
          <w:sz w:val="24"/>
          <w:szCs w:val="24"/>
          <w:highlight w:val="none"/>
          <w:lang w:eastAsia="zh-CN"/>
        </w:rPr>
        <w:t>甲方</w:t>
      </w:r>
      <w:r>
        <w:rPr>
          <w:rFonts w:hint="default" w:ascii="Times New Roman" w:hAnsi="Times New Roman" w:eastAsia="宋体" w:cs="Times New Roman"/>
          <w:sz w:val="24"/>
          <w:szCs w:val="24"/>
          <w:highlight w:val="none"/>
        </w:rPr>
        <w:t>完成本项目相关发明专利、实用新型专利的申请或软件著作权的登记。专利内容应基于本项目产生的技术成果（如控制方法、样本处理工艺等），专利申请权及授权后的专利权归</w:t>
      </w:r>
      <w:r>
        <w:rPr>
          <w:rFonts w:hint="default" w:ascii="Times New Roman" w:hAnsi="Times New Roman" w:eastAsia="宋体" w:cs="Times New Roman"/>
          <w:sz w:val="24"/>
          <w:szCs w:val="24"/>
          <w:highlight w:val="none"/>
          <w:lang w:eastAsia="zh-CN"/>
        </w:rPr>
        <w:t>甲方</w:t>
      </w:r>
      <w:r>
        <w:rPr>
          <w:rFonts w:hint="default" w:ascii="Times New Roman" w:hAnsi="Times New Roman" w:eastAsia="宋体" w:cs="Times New Roman"/>
          <w:sz w:val="24"/>
          <w:szCs w:val="24"/>
          <w:highlight w:val="none"/>
        </w:rPr>
        <w:t>所有，</w:t>
      </w:r>
      <w:r>
        <w:rPr>
          <w:rFonts w:hint="default" w:ascii="Times New Roman" w:hAnsi="Times New Roman" w:eastAsia="宋体" w:cs="Times New Roman"/>
          <w:sz w:val="24"/>
          <w:szCs w:val="24"/>
          <w:highlight w:val="none"/>
          <w:lang w:eastAsia="zh-CN"/>
        </w:rPr>
        <w:t>乙方</w:t>
      </w:r>
      <w:r>
        <w:rPr>
          <w:rFonts w:hint="default" w:ascii="Times New Roman" w:hAnsi="Times New Roman" w:eastAsia="宋体" w:cs="Times New Roman"/>
          <w:sz w:val="24"/>
          <w:szCs w:val="24"/>
          <w:highlight w:val="none"/>
        </w:rPr>
        <w:t>应提供必要的技术交底材料并协助完成申请文件撰写。软件著作权基于本项目交付的设备控制软件，著作权归</w:t>
      </w:r>
      <w:r>
        <w:rPr>
          <w:rFonts w:hint="default" w:ascii="Times New Roman" w:hAnsi="Times New Roman" w:eastAsia="宋体" w:cs="Times New Roman"/>
          <w:sz w:val="24"/>
          <w:szCs w:val="24"/>
          <w:highlight w:val="none"/>
          <w:lang w:eastAsia="zh-CN"/>
        </w:rPr>
        <w:t>甲方</w:t>
      </w:r>
      <w:r>
        <w:rPr>
          <w:rFonts w:hint="default" w:ascii="Times New Roman" w:hAnsi="Times New Roman" w:eastAsia="宋体" w:cs="Times New Roman"/>
          <w:sz w:val="24"/>
          <w:szCs w:val="24"/>
          <w:highlight w:val="none"/>
        </w:rPr>
        <w:t>所有，</w:t>
      </w:r>
      <w:r>
        <w:rPr>
          <w:rFonts w:hint="default" w:ascii="Times New Roman" w:hAnsi="Times New Roman" w:eastAsia="宋体" w:cs="Times New Roman"/>
          <w:sz w:val="24"/>
          <w:szCs w:val="24"/>
          <w:highlight w:val="none"/>
          <w:lang w:eastAsia="zh-CN"/>
        </w:rPr>
        <w:t>乙方</w:t>
      </w:r>
      <w:r>
        <w:rPr>
          <w:rFonts w:hint="default" w:ascii="Times New Roman" w:hAnsi="Times New Roman" w:eastAsia="宋体" w:cs="Times New Roman"/>
          <w:sz w:val="24"/>
          <w:szCs w:val="24"/>
          <w:highlight w:val="none"/>
        </w:rPr>
        <w:t>应提供必要的申请材料。</w:t>
      </w:r>
    </w:p>
    <w:p w14:paraId="5A7CF037">
      <w:pPr>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lang w:val="en-US" w:eastAsia="zh-CN"/>
        </w:rPr>
        <w:t>8</w:t>
      </w:r>
      <w:r>
        <w:rPr>
          <w:rFonts w:hint="default" w:ascii="Times New Roman" w:hAnsi="Times New Roman" w:eastAsia="宋体" w:cs="Times New Roman"/>
          <w:sz w:val="24"/>
          <w:szCs w:val="24"/>
          <w:highlight w:val="none"/>
        </w:rPr>
        <w:t>.若</w:t>
      </w:r>
      <w:r>
        <w:rPr>
          <w:rFonts w:hint="default" w:ascii="Times New Roman" w:hAnsi="Times New Roman" w:eastAsia="宋体" w:cs="Times New Roman"/>
          <w:sz w:val="24"/>
          <w:szCs w:val="24"/>
          <w:highlight w:val="none"/>
          <w:lang w:eastAsia="zh-CN"/>
        </w:rPr>
        <w:t>乙方</w:t>
      </w:r>
      <w:r>
        <w:rPr>
          <w:rFonts w:hint="default" w:ascii="Times New Roman" w:hAnsi="Times New Roman" w:eastAsia="宋体" w:cs="Times New Roman"/>
          <w:sz w:val="24"/>
          <w:szCs w:val="24"/>
          <w:highlight w:val="none"/>
        </w:rPr>
        <w:t>违反本条第3、4</w:t>
      </w:r>
      <w:r>
        <w:rPr>
          <w:rFonts w:hint="default" w:ascii="Times New Roman" w:hAnsi="Times New Roman" w:eastAsia="宋体" w:cs="Times New Roman"/>
          <w:sz w:val="24"/>
          <w:szCs w:val="24"/>
          <w:highlight w:val="none"/>
          <w:lang w:eastAsia="zh-CN"/>
        </w:rPr>
        <w:t>、</w:t>
      </w:r>
      <w:r>
        <w:rPr>
          <w:rFonts w:hint="default" w:ascii="Times New Roman" w:hAnsi="Times New Roman" w:eastAsia="宋体" w:cs="Times New Roman"/>
          <w:sz w:val="24"/>
          <w:szCs w:val="24"/>
          <w:highlight w:val="none"/>
          <w:lang w:val="en-US" w:eastAsia="zh-CN"/>
        </w:rPr>
        <w:t>5</w:t>
      </w:r>
      <w:r>
        <w:rPr>
          <w:rFonts w:hint="default" w:ascii="Times New Roman" w:hAnsi="Times New Roman" w:eastAsia="宋体" w:cs="Times New Roman"/>
          <w:sz w:val="24"/>
          <w:szCs w:val="24"/>
          <w:highlight w:val="none"/>
        </w:rPr>
        <w:t>款约定，</w:t>
      </w:r>
      <w:r>
        <w:rPr>
          <w:rFonts w:hint="default" w:ascii="Times New Roman" w:hAnsi="Times New Roman" w:eastAsia="宋体" w:cs="Times New Roman"/>
          <w:sz w:val="24"/>
          <w:szCs w:val="24"/>
          <w:highlight w:val="none"/>
          <w:lang w:eastAsia="zh-CN"/>
        </w:rPr>
        <w:t>甲方</w:t>
      </w:r>
      <w:r>
        <w:rPr>
          <w:rFonts w:hint="default" w:ascii="Times New Roman" w:hAnsi="Times New Roman" w:eastAsia="宋体" w:cs="Times New Roman"/>
          <w:sz w:val="24"/>
          <w:szCs w:val="24"/>
          <w:highlight w:val="none"/>
        </w:rPr>
        <w:t>有权要求</w:t>
      </w:r>
      <w:r>
        <w:rPr>
          <w:rFonts w:hint="default" w:ascii="Times New Roman" w:hAnsi="Times New Roman" w:eastAsia="宋体" w:cs="Times New Roman"/>
          <w:sz w:val="24"/>
          <w:szCs w:val="24"/>
          <w:highlight w:val="none"/>
          <w:lang w:eastAsia="zh-CN"/>
        </w:rPr>
        <w:t>乙方</w:t>
      </w:r>
      <w:r>
        <w:rPr>
          <w:rFonts w:hint="default" w:ascii="Times New Roman" w:hAnsi="Times New Roman" w:eastAsia="宋体" w:cs="Times New Roman"/>
          <w:sz w:val="24"/>
          <w:szCs w:val="24"/>
          <w:highlight w:val="none"/>
        </w:rPr>
        <w:t>立即停止违约行为，采取必要措施防止损失扩大。同时，</w:t>
      </w:r>
      <w:r>
        <w:rPr>
          <w:rFonts w:hint="default" w:ascii="Times New Roman" w:hAnsi="Times New Roman" w:eastAsia="宋体" w:cs="Times New Roman"/>
          <w:sz w:val="24"/>
          <w:szCs w:val="24"/>
          <w:highlight w:val="none"/>
          <w:lang w:eastAsia="zh-CN"/>
        </w:rPr>
        <w:t>乙方</w:t>
      </w:r>
      <w:r>
        <w:rPr>
          <w:rFonts w:hint="default" w:ascii="Times New Roman" w:hAnsi="Times New Roman" w:eastAsia="宋体" w:cs="Times New Roman"/>
          <w:sz w:val="24"/>
          <w:szCs w:val="24"/>
          <w:highlight w:val="none"/>
        </w:rPr>
        <w:t>应按合同总金额的30%向</w:t>
      </w:r>
      <w:r>
        <w:rPr>
          <w:rFonts w:hint="default" w:ascii="Times New Roman" w:hAnsi="Times New Roman" w:eastAsia="宋体" w:cs="Times New Roman"/>
          <w:sz w:val="24"/>
          <w:szCs w:val="24"/>
          <w:highlight w:val="none"/>
          <w:lang w:eastAsia="zh-CN"/>
        </w:rPr>
        <w:t>甲方</w:t>
      </w:r>
      <w:r>
        <w:rPr>
          <w:rFonts w:hint="default" w:ascii="Times New Roman" w:hAnsi="Times New Roman" w:eastAsia="宋体" w:cs="Times New Roman"/>
          <w:sz w:val="24"/>
          <w:szCs w:val="24"/>
          <w:highlight w:val="none"/>
        </w:rPr>
        <w:t>支付违约金；若该违约金不足以弥补</w:t>
      </w:r>
      <w:r>
        <w:rPr>
          <w:rFonts w:hint="default" w:ascii="Times New Roman" w:hAnsi="Times New Roman" w:eastAsia="宋体" w:cs="Times New Roman"/>
          <w:sz w:val="24"/>
          <w:szCs w:val="24"/>
          <w:highlight w:val="none"/>
          <w:lang w:eastAsia="zh-CN"/>
        </w:rPr>
        <w:t>甲方</w:t>
      </w:r>
      <w:r>
        <w:rPr>
          <w:rFonts w:hint="default" w:ascii="Times New Roman" w:hAnsi="Times New Roman" w:eastAsia="宋体" w:cs="Times New Roman"/>
          <w:sz w:val="24"/>
          <w:szCs w:val="24"/>
          <w:highlight w:val="none"/>
        </w:rPr>
        <w:t>因此遭受的全部损失，</w:t>
      </w:r>
      <w:r>
        <w:rPr>
          <w:rFonts w:hint="default" w:ascii="Times New Roman" w:hAnsi="Times New Roman" w:eastAsia="宋体" w:cs="Times New Roman"/>
          <w:sz w:val="24"/>
          <w:szCs w:val="24"/>
          <w:highlight w:val="none"/>
          <w:lang w:eastAsia="zh-CN"/>
        </w:rPr>
        <w:t>甲方</w:t>
      </w:r>
      <w:r>
        <w:rPr>
          <w:rFonts w:hint="default" w:ascii="Times New Roman" w:hAnsi="Times New Roman" w:eastAsia="宋体" w:cs="Times New Roman"/>
          <w:sz w:val="24"/>
          <w:szCs w:val="24"/>
          <w:highlight w:val="none"/>
        </w:rPr>
        <w:t>有权要求</w:t>
      </w:r>
      <w:r>
        <w:rPr>
          <w:rFonts w:hint="default" w:ascii="Times New Roman" w:hAnsi="Times New Roman" w:eastAsia="宋体" w:cs="Times New Roman"/>
          <w:sz w:val="24"/>
          <w:szCs w:val="24"/>
          <w:highlight w:val="none"/>
          <w:lang w:eastAsia="zh-CN"/>
        </w:rPr>
        <w:t>乙方</w:t>
      </w:r>
      <w:r>
        <w:rPr>
          <w:rFonts w:hint="default" w:ascii="Times New Roman" w:hAnsi="Times New Roman" w:eastAsia="宋体" w:cs="Times New Roman"/>
          <w:sz w:val="24"/>
          <w:szCs w:val="24"/>
          <w:highlight w:val="none"/>
        </w:rPr>
        <w:t>就差额部分予以补足。若经</w:t>
      </w:r>
      <w:r>
        <w:rPr>
          <w:rFonts w:hint="default" w:ascii="Times New Roman" w:hAnsi="Times New Roman" w:eastAsia="宋体" w:cs="Times New Roman"/>
          <w:sz w:val="24"/>
          <w:szCs w:val="24"/>
          <w:highlight w:val="none"/>
          <w:lang w:eastAsia="zh-CN"/>
        </w:rPr>
        <w:t>甲方</w:t>
      </w:r>
      <w:r>
        <w:rPr>
          <w:rFonts w:hint="default" w:ascii="Times New Roman" w:hAnsi="Times New Roman" w:eastAsia="宋体" w:cs="Times New Roman"/>
          <w:sz w:val="24"/>
          <w:szCs w:val="24"/>
          <w:highlight w:val="none"/>
        </w:rPr>
        <w:t>通知后</w:t>
      </w:r>
      <w:r>
        <w:rPr>
          <w:rFonts w:hint="default" w:ascii="Times New Roman" w:hAnsi="Times New Roman" w:eastAsia="宋体" w:cs="Times New Roman"/>
          <w:sz w:val="24"/>
          <w:szCs w:val="24"/>
          <w:highlight w:val="none"/>
          <w:lang w:eastAsia="zh-CN"/>
        </w:rPr>
        <w:t>乙方</w:t>
      </w:r>
      <w:r>
        <w:rPr>
          <w:rFonts w:hint="default" w:ascii="Times New Roman" w:hAnsi="Times New Roman" w:eastAsia="宋体" w:cs="Times New Roman"/>
          <w:sz w:val="24"/>
          <w:szCs w:val="24"/>
          <w:highlight w:val="none"/>
        </w:rPr>
        <w:t>未在15天内纠正其违约行为，</w:t>
      </w:r>
      <w:r>
        <w:rPr>
          <w:rFonts w:hint="default" w:ascii="Times New Roman" w:hAnsi="Times New Roman" w:eastAsia="宋体" w:cs="Times New Roman"/>
          <w:sz w:val="24"/>
          <w:szCs w:val="24"/>
          <w:highlight w:val="none"/>
          <w:lang w:eastAsia="zh-CN"/>
        </w:rPr>
        <w:t>甲方</w:t>
      </w:r>
      <w:r>
        <w:rPr>
          <w:rFonts w:hint="default" w:ascii="Times New Roman" w:hAnsi="Times New Roman" w:eastAsia="宋体" w:cs="Times New Roman"/>
          <w:sz w:val="24"/>
          <w:szCs w:val="24"/>
          <w:highlight w:val="none"/>
        </w:rPr>
        <w:t>有权单方解除合同。</w:t>
      </w:r>
    </w:p>
    <w:p w14:paraId="77802E40">
      <w:pPr>
        <w:pStyle w:val="49"/>
        <w:spacing w:line="360" w:lineRule="auto"/>
        <w:ind w:firstLine="480" w:firstLineChars="200"/>
        <w:rPr>
          <w:rFonts w:hint="default" w:ascii="Times New Roman" w:hAnsi="Times New Roman" w:eastAsia="宋体" w:cs="Times New Roman"/>
          <w:szCs w:val="24"/>
          <w:highlight w:val="none"/>
        </w:rPr>
      </w:pPr>
      <w:r>
        <w:rPr>
          <w:rFonts w:hint="default" w:ascii="Times New Roman" w:hAnsi="Times New Roman" w:eastAsia="宋体" w:cs="Times New Roman"/>
          <w:sz w:val="24"/>
          <w:szCs w:val="24"/>
          <w:highlight w:val="none"/>
          <w:lang w:val="en-US" w:eastAsia="zh-CN"/>
        </w:rPr>
        <w:t>9</w:t>
      </w:r>
      <w:r>
        <w:rPr>
          <w:rFonts w:hint="default" w:ascii="Times New Roman" w:hAnsi="Times New Roman" w:eastAsia="宋体" w:cs="Times New Roman"/>
          <w:sz w:val="24"/>
          <w:szCs w:val="24"/>
          <w:highlight w:val="none"/>
        </w:rPr>
        <w:t>.若</w:t>
      </w:r>
      <w:r>
        <w:rPr>
          <w:rFonts w:hint="default" w:ascii="Times New Roman" w:hAnsi="Times New Roman" w:eastAsia="宋体" w:cs="Times New Roman"/>
          <w:sz w:val="24"/>
          <w:szCs w:val="24"/>
          <w:highlight w:val="none"/>
          <w:lang w:eastAsia="zh-CN"/>
        </w:rPr>
        <w:t>乙方</w:t>
      </w:r>
      <w:r>
        <w:rPr>
          <w:rFonts w:hint="default" w:ascii="Times New Roman" w:hAnsi="Times New Roman" w:eastAsia="宋体" w:cs="Times New Roman"/>
          <w:sz w:val="24"/>
          <w:szCs w:val="24"/>
          <w:highlight w:val="none"/>
        </w:rPr>
        <w:t>违反本条第7款约定，每违反一次应按合同总额的3‰向</w:t>
      </w:r>
      <w:r>
        <w:rPr>
          <w:rFonts w:hint="default" w:ascii="Times New Roman" w:hAnsi="Times New Roman" w:eastAsia="宋体" w:cs="Times New Roman"/>
          <w:sz w:val="24"/>
          <w:szCs w:val="24"/>
          <w:highlight w:val="none"/>
          <w:lang w:eastAsia="zh-CN"/>
        </w:rPr>
        <w:t>甲方</w:t>
      </w:r>
      <w:r>
        <w:rPr>
          <w:rFonts w:hint="default" w:ascii="Times New Roman" w:hAnsi="Times New Roman" w:eastAsia="宋体" w:cs="Times New Roman"/>
          <w:sz w:val="24"/>
          <w:szCs w:val="24"/>
          <w:highlight w:val="none"/>
        </w:rPr>
        <w:t>支付违约金，且</w:t>
      </w:r>
      <w:r>
        <w:rPr>
          <w:rFonts w:hint="default" w:ascii="Times New Roman" w:hAnsi="Times New Roman" w:eastAsia="宋体" w:cs="Times New Roman"/>
          <w:sz w:val="24"/>
          <w:szCs w:val="24"/>
          <w:highlight w:val="none"/>
          <w:lang w:eastAsia="zh-CN"/>
        </w:rPr>
        <w:t>甲方</w:t>
      </w:r>
      <w:r>
        <w:rPr>
          <w:rFonts w:hint="default" w:ascii="Times New Roman" w:hAnsi="Times New Roman" w:eastAsia="宋体" w:cs="Times New Roman"/>
          <w:sz w:val="24"/>
          <w:szCs w:val="24"/>
          <w:highlight w:val="none"/>
        </w:rPr>
        <w:t>有权自行委托第三方提供</w:t>
      </w:r>
      <w:r>
        <w:rPr>
          <w:rFonts w:hint="default" w:ascii="Times New Roman" w:hAnsi="Times New Roman" w:eastAsia="宋体" w:cs="Times New Roman"/>
          <w:sz w:val="24"/>
          <w:szCs w:val="24"/>
          <w:highlight w:val="none"/>
          <w:lang w:eastAsia="zh-CN"/>
        </w:rPr>
        <w:t>甲方</w:t>
      </w:r>
      <w:r>
        <w:rPr>
          <w:rFonts w:hint="default" w:ascii="Times New Roman" w:hAnsi="Times New Roman" w:eastAsia="宋体" w:cs="Times New Roman"/>
          <w:sz w:val="24"/>
          <w:szCs w:val="24"/>
          <w:highlight w:val="none"/>
        </w:rPr>
        <w:t>所需要的技术支持和服务，所发生的费用由</w:t>
      </w:r>
      <w:r>
        <w:rPr>
          <w:rFonts w:hint="default" w:ascii="Times New Roman" w:hAnsi="Times New Roman" w:eastAsia="宋体" w:cs="Times New Roman"/>
          <w:sz w:val="24"/>
          <w:szCs w:val="24"/>
          <w:highlight w:val="none"/>
          <w:lang w:eastAsia="zh-CN"/>
        </w:rPr>
        <w:t>乙方</w:t>
      </w:r>
      <w:r>
        <w:rPr>
          <w:rFonts w:hint="default" w:ascii="Times New Roman" w:hAnsi="Times New Roman" w:eastAsia="宋体" w:cs="Times New Roman"/>
          <w:sz w:val="24"/>
          <w:szCs w:val="24"/>
          <w:highlight w:val="none"/>
        </w:rPr>
        <w:t>承担，如因此造成</w:t>
      </w:r>
      <w:r>
        <w:rPr>
          <w:rFonts w:hint="default" w:ascii="Times New Roman" w:hAnsi="Times New Roman" w:eastAsia="宋体" w:cs="Times New Roman"/>
          <w:sz w:val="24"/>
          <w:szCs w:val="24"/>
          <w:highlight w:val="none"/>
          <w:lang w:eastAsia="zh-CN"/>
        </w:rPr>
        <w:t>甲方</w:t>
      </w:r>
      <w:r>
        <w:rPr>
          <w:rFonts w:hint="default" w:ascii="Times New Roman" w:hAnsi="Times New Roman" w:eastAsia="宋体" w:cs="Times New Roman"/>
          <w:sz w:val="24"/>
          <w:szCs w:val="24"/>
          <w:highlight w:val="none"/>
        </w:rPr>
        <w:t>损失的，</w:t>
      </w:r>
      <w:r>
        <w:rPr>
          <w:rFonts w:hint="default" w:ascii="Times New Roman" w:hAnsi="Times New Roman" w:eastAsia="宋体" w:cs="Times New Roman"/>
          <w:sz w:val="24"/>
          <w:szCs w:val="24"/>
          <w:highlight w:val="none"/>
          <w:lang w:eastAsia="zh-CN"/>
        </w:rPr>
        <w:t>乙方</w:t>
      </w:r>
      <w:r>
        <w:rPr>
          <w:rFonts w:hint="default" w:ascii="Times New Roman" w:hAnsi="Times New Roman" w:eastAsia="宋体" w:cs="Times New Roman"/>
          <w:sz w:val="24"/>
          <w:szCs w:val="24"/>
          <w:highlight w:val="none"/>
        </w:rPr>
        <w:t>应承担赔偿责任。</w:t>
      </w:r>
    </w:p>
    <w:p w14:paraId="5253468A">
      <w:pPr>
        <w:spacing w:line="360" w:lineRule="auto"/>
        <w:ind w:firstLine="482" w:firstLineChars="200"/>
        <w:rPr>
          <w:rFonts w:hint="default" w:ascii="Times New Roman" w:hAnsi="Times New Roman" w:eastAsia="宋体" w:cs="Times New Roman"/>
          <w:b/>
          <w:color w:val="000000" w:themeColor="text1"/>
          <w:sz w:val="24"/>
          <w:highlight w:val="none"/>
          <w14:textFill>
            <w14:solidFill>
              <w14:schemeClr w14:val="tx1"/>
            </w14:solidFill>
          </w14:textFill>
        </w:rPr>
      </w:pPr>
      <w:r>
        <w:rPr>
          <w:rFonts w:hint="default" w:ascii="Times New Roman" w:hAnsi="Times New Roman" w:eastAsia="宋体" w:cs="Times New Roman"/>
          <w:b/>
          <w:color w:val="000000" w:themeColor="text1"/>
          <w:sz w:val="24"/>
          <w:highlight w:val="none"/>
          <w14:textFill>
            <w14:solidFill>
              <w14:schemeClr w14:val="tx1"/>
            </w14:solidFill>
          </w14:textFill>
        </w:rPr>
        <w:t>八、风险承担及质保期</w:t>
      </w:r>
    </w:p>
    <w:p w14:paraId="5942C015">
      <w:pPr>
        <w:pStyle w:val="13"/>
        <w:spacing w:line="495" w:lineRule="exact"/>
        <w:ind w:firstLine="480" w:firstLineChars="200"/>
        <w:rPr>
          <w:rFonts w:hint="default" w:ascii="Times New Roman" w:hAnsi="Times New Roman" w:eastAsia="宋体" w:cs="Times New Roman"/>
          <w:bCs/>
          <w:color w:val="000000" w:themeColor="text1"/>
          <w:sz w:val="24"/>
          <w:szCs w:val="24"/>
          <w:highlight w:val="none"/>
          <w14:textFill>
            <w14:solidFill>
              <w14:schemeClr w14:val="tx1"/>
            </w14:solidFill>
          </w14:textFill>
        </w:rPr>
      </w:pPr>
      <w:r>
        <w:rPr>
          <w:rFonts w:hint="default" w:ascii="Times New Roman" w:hAnsi="Times New Roman" w:eastAsia="宋体" w:cs="Times New Roman"/>
          <w:bCs/>
          <w:color w:val="000000" w:themeColor="text1"/>
          <w:sz w:val="24"/>
          <w:szCs w:val="24"/>
          <w:highlight w:val="none"/>
          <w14:textFill>
            <w14:solidFill>
              <w14:schemeClr w14:val="tx1"/>
            </w14:solidFill>
          </w14:textFill>
        </w:rPr>
        <w:t>1.定制货物毁损、灭失的风险，在货物经甲方</w:t>
      </w:r>
      <w:r>
        <w:rPr>
          <w:rFonts w:hint="default" w:ascii="Times New Roman" w:hAnsi="Times New Roman" w:eastAsia="宋体" w:cs="Times New Roman"/>
          <w:bCs/>
          <w:color w:val="000000" w:themeColor="text1"/>
          <w:sz w:val="24"/>
          <w:szCs w:val="24"/>
          <w:highlight w:val="none"/>
          <w:lang w:val="en-US" w:eastAsia="zh-CN"/>
          <w14:textFill>
            <w14:solidFill>
              <w14:schemeClr w14:val="tx1"/>
            </w14:solidFill>
          </w14:textFill>
        </w:rPr>
        <w:t>综合验收合格</w:t>
      </w:r>
      <w:r>
        <w:rPr>
          <w:rFonts w:hint="default" w:ascii="Times New Roman" w:hAnsi="Times New Roman" w:eastAsia="宋体" w:cs="Times New Roman"/>
          <w:bCs/>
          <w:color w:val="000000" w:themeColor="text1"/>
          <w:sz w:val="24"/>
          <w:szCs w:val="24"/>
          <w:highlight w:val="none"/>
          <w14:textFill>
            <w14:solidFill>
              <w14:schemeClr w14:val="tx1"/>
            </w14:solidFill>
          </w14:textFill>
        </w:rPr>
        <w:t>前由乙方承担，在货物经甲方</w:t>
      </w:r>
      <w:r>
        <w:rPr>
          <w:rFonts w:hint="default" w:ascii="Times New Roman" w:hAnsi="Times New Roman" w:eastAsia="宋体" w:cs="Times New Roman"/>
          <w:bCs/>
          <w:color w:val="000000" w:themeColor="text1"/>
          <w:sz w:val="24"/>
          <w:szCs w:val="24"/>
          <w:highlight w:val="none"/>
          <w:lang w:val="en-US" w:eastAsia="zh-CN"/>
          <w14:textFill>
            <w14:solidFill>
              <w14:schemeClr w14:val="tx1"/>
            </w14:solidFill>
          </w14:textFill>
        </w:rPr>
        <w:t>综合验收合格</w:t>
      </w:r>
      <w:r>
        <w:rPr>
          <w:rFonts w:hint="default" w:ascii="Times New Roman" w:hAnsi="Times New Roman" w:eastAsia="宋体" w:cs="Times New Roman"/>
          <w:bCs/>
          <w:color w:val="000000" w:themeColor="text1"/>
          <w:sz w:val="24"/>
          <w:szCs w:val="24"/>
          <w:highlight w:val="none"/>
          <w14:textFill>
            <w14:solidFill>
              <w14:schemeClr w14:val="tx1"/>
            </w14:solidFill>
          </w14:textFill>
        </w:rPr>
        <w:t>以后由甲方承担。如甲方需要乙方</w:t>
      </w:r>
      <w:r>
        <w:rPr>
          <w:rFonts w:hint="default" w:ascii="Times New Roman" w:hAnsi="Times New Roman" w:eastAsia="宋体" w:cs="Times New Roman"/>
          <w:bCs/>
          <w:color w:val="000000" w:themeColor="text1"/>
          <w:sz w:val="24"/>
          <w:highlight w:val="none"/>
          <w14:textFill>
            <w14:solidFill>
              <w14:schemeClr w14:val="tx1"/>
            </w14:solidFill>
          </w14:textFill>
        </w:rPr>
        <w:t>对货物进行二次搬迁、移机（含数据迁移，如有）的，则二次搬迁、移机（含数据迁移，如有）导致</w:t>
      </w:r>
      <w:r>
        <w:rPr>
          <w:rFonts w:hint="default" w:ascii="Times New Roman" w:hAnsi="Times New Roman" w:eastAsia="宋体" w:cs="Times New Roman"/>
          <w:bCs/>
          <w:color w:val="000000" w:themeColor="text1"/>
          <w:sz w:val="24"/>
          <w:szCs w:val="24"/>
          <w:highlight w:val="none"/>
          <w14:textFill>
            <w14:solidFill>
              <w14:schemeClr w14:val="tx1"/>
            </w14:solidFill>
          </w14:textFill>
        </w:rPr>
        <w:t>货物毁损、灭失的风险由乙方承担。</w:t>
      </w:r>
    </w:p>
    <w:p w14:paraId="76F24B85">
      <w:pPr>
        <w:pStyle w:val="13"/>
        <w:spacing w:line="495" w:lineRule="exact"/>
        <w:rPr>
          <w:rFonts w:hint="default" w:ascii="Times New Roman" w:hAnsi="Times New Roman" w:eastAsia="宋体" w:cs="Times New Roman"/>
          <w:bCs/>
          <w:color w:val="000000" w:themeColor="text1"/>
          <w:sz w:val="24"/>
          <w:szCs w:val="24"/>
          <w:highlight w:val="none"/>
          <w14:textFill>
            <w14:solidFill>
              <w14:schemeClr w14:val="tx1"/>
            </w14:solidFill>
          </w14:textFill>
        </w:rPr>
      </w:pPr>
      <w:r>
        <w:rPr>
          <w:rFonts w:hint="default" w:ascii="Times New Roman" w:hAnsi="Times New Roman" w:eastAsia="宋体" w:cs="Times New Roman"/>
          <w:bCs/>
          <w:color w:val="000000" w:themeColor="text1"/>
          <w:sz w:val="24"/>
          <w:szCs w:val="24"/>
          <w:highlight w:val="none"/>
          <w14:textFill>
            <w14:solidFill>
              <w14:schemeClr w14:val="tx1"/>
            </w14:solidFill>
          </w14:textFill>
        </w:rPr>
        <w:t xml:space="preserve">    2.如因定制货物质量不符合合同约定的质量要求而被甲方拒绝接</w:t>
      </w:r>
      <w:r>
        <w:rPr>
          <w:rFonts w:hint="default" w:ascii="Times New Roman" w:hAnsi="Times New Roman" w:eastAsia="宋体" w:cs="Times New Roman"/>
          <w:bCs/>
          <w:sz w:val="24"/>
          <w:szCs w:val="24"/>
          <w:highlight w:val="none"/>
        </w:rPr>
        <w:t>收</w:t>
      </w:r>
      <w:r>
        <w:rPr>
          <w:rFonts w:hint="default" w:ascii="Times New Roman" w:hAnsi="Times New Roman" w:eastAsia="宋体" w:cs="Times New Roman"/>
          <w:bCs/>
          <w:color w:val="000000" w:themeColor="text1"/>
          <w:sz w:val="24"/>
          <w:szCs w:val="24"/>
          <w:highlight w:val="none"/>
          <w14:textFill>
            <w14:solidFill>
              <w14:schemeClr w14:val="tx1"/>
            </w14:solidFill>
          </w14:textFill>
        </w:rPr>
        <w:t>货物或解除合同的情况下，定制货物</w:t>
      </w:r>
      <w:r>
        <w:rPr>
          <w:rFonts w:hint="default" w:ascii="Times New Roman" w:hAnsi="Times New Roman" w:eastAsia="宋体" w:cs="Times New Roman"/>
          <w:bCs/>
          <w:color w:val="000000" w:themeColor="text1"/>
          <w:sz w:val="24"/>
          <w:szCs w:val="24"/>
          <w:highlight w:val="none"/>
          <w:lang w:val="en-US" w:eastAsia="zh-CN"/>
          <w14:textFill>
            <w14:solidFill>
              <w14:schemeClr w14:val="tx1"/>
            </w14:solidFill>
          </w14:textFill>
        </w:rPr>
        <w:t>交</w:t>
      </w:r>
      <w:r>
        <w:rPr>
          <w:rFonts w:hint="default" w:ascii="Times New Roman" w:hAnsi="Times New Roman" w:eastAsia="宋体" w:cs="Times New Roman"/>
          <w:bCs/>
          <w:color w:val="000000" w:themeColor="text1"/>
          <w:sz w:val="24"/>
          <w:szCs w:val="24"/>
          <w:highlight w:val="none"/>
          <w14:textFill>
            <w14:solidFill>
              <w14:schemeClr w14:val="tx1"/>
            </w14:solidFill>
          </w14:textFill>
        </w:rPr>
        <w:t xml:space="preserve">毁损、灭失的风险由乙方承担。 </w:t>
      </w:r>
    </w:p>
    <w:p w14:paraId="6184842D">
      <w:pPr>
        <w:pStyle w:val="13"/>
        <w:spacing w:line="495" w:lineRule="exact"/>
        <w:rPr>
          <w:rFonts w:hint="default" w:ascii="Times New Roman" w:hAnsi="Times New Roman" w:eastAsia="宋体" w:cs="Times New Roman"/>
          <w:bCs/>
          <w:color w:val="000000" w:themeColor="text1"/>
          <w:sz w:val="24"/>
          <w:szCs w:val="24"/>
          <w:highlight w:val="none"/>
          <w14:textFill>
            <w14:solidFill>
              <w14:schemeClr w14:val="tx1"/>
            </w14:solidFill>
          </w14:textFill>
        </w:rPr>
      </w:pPr>
      <w:r>
        <w:rPr>
          <w:rFonts w:hint="default" w:ascii="Times New Roman" w:hAnsi="Times New Roman" w:eastAsia="宋体" w:cs="Times New Roman"/>
          <w:bCs/>
          <w:color w:val="000000" w:themeColor="text1"/>
          <w:sz w:val="24"/>
          <w:szCs w:val="24"/>
          <w:highlight w:val="none"/>
          <w14:textFill>
            <w14:solidFill>
              <w14:schemeClr w14:val="tx1"/>
            </w14:solidFill>
          </w14:textFill>
        </w:rPr>
        <w:t xml:space="preserve">    3.在定制货物毁损、灭失的风险由甲方承担时，不影响甲方追究乙方因没有完全履行合同义务的违约责任。 </w:t>
      </w:r>
    </w:p>
    <w:p w14:paraId="725B4667">
      <w:pPr>
        <w:spacing w:line="360" w:lineRule="auto"/>
        <w:ind w:firstLine="480" w:firstLineChars="200"/>
        <w:rPr>
          <w:rFonts w:hint="default" w:ascii="Times New Roman" w:hAnsi="Times New Roman" w:eastAsia="宋体" w:cs="Times New Roman"/>
          <w:highlight w:val="none"/>
        </w:rPr>
      </w:pPr>
      <w:r>
        <w:rPr>
          <w:rFonts w:hint="default" w:ascii="Times New Roman" w:hAnsi="Times New Roman" w:eastAsia="宋体" w:cs="Times New Roman"/>
          <w:bCs/>
          <w:color w:val="000000" w:themeColor="text1"/>
          <w:sz w:val="24"/>
          <w:highlight w:val="none"/>
          <w14:textFill>
            <w14:solidFill>
              <w14:schemeClr w14:val="tx1"/>
            </w14:solidFill>
          </w14:textFill>
        </w:rPr>
        <w:t>4.委托定制货物的质保期：</w:t>
      </w:r>
      <w:r>
        <w:rPr>
          <w:rFonts w:hint="default" w:ascii="Times New Roman" w:hAnsi="Times New Roman" w:eastAsia="宋体" w:cs="Times New Roman"/>
          <w:b/>
          <w:color w:val="000000" w:themeColor="text1"/>
          <w:sz w:val="24"/>
          <w:highlight w:val="none"/>
          <w14:textFill>
            <w14:solidFill>
              <w14:schemeClr w14:val="tx1"/>
            </w14:solidFill>
          </w14:textFill>
        </w:rPr>
        <w:t>整机</w:t>
      </w:r>
      <w:permStart w:id="50" w:edGrp="everyone"/>
      <w:r>
        <w:rPr>
          <w:rFonts w:hint="default" w:ascii="Times New Roman" w:hAnsi="Times New Roman" w:eastAsia="宋体" w:cs="Times New Roman"/>
          <w:b/>
          <w:color w:val="000000" w:themeColor="text1"/>
          <w:sz w:val="24"/>
          <w:highlight w:val="none"/>
          <w:u w:val="single"/>
          <w14:textFill>
            <w14:solidFill>
              <w14:schemeClr w14:val="tx1"/>
            </w14:solidFill>
          </w14:textFill>
        </w:rPr>
        <w:t xml:space="preserve">     </w:t>
      </w:r>
      <w:permEnd w:id="50"/>
      <w:r>
        <w:rPr>
          <w:rFonts w:hint="default" w:ascii="Times New Roman" w:hAnsi="Times New Roman" w:eastAsia="宋体" w:cs="Times New Roman"/>
          <w:b/>
          <w:color w:val="000000" w:themeColor="text1"/>
          <w:sz w:val="24"/>
          <w:highlight w:val="none"/>
          <w14:textFill>
            <w14:solidFill>
              <w14:schemeClr w14:val="tx1"/>
            </w14:solidFill>
          </w14:textFill>
        </w:rPr>
        <w:t>年，主要零部件</w:t>
      </w:r>
      <w:permStart w:id="51" w:edGrp="everyone"/>
      <w:r>
        <w:rPr>
          <w:rFonts w:hint="default" w:ascii="Times New Roman" w:hAnsi="Times New Roman" w:eastAsia="宋体" w:cs="Times New Roman"/>
          <w:b/>
          <w:color w:val="000000" w:themeColor="text1"/>
          <w:sz w:val="24"/>
          <w:highlight w:val="none"/>
          <w:u w:val="single"/>
          <w14:textFill>
            <w14:solidFill>
              <w14:schemeClr w14:val="tx1"/>
            </w14:solidFill>
          </w14:textFill>
        </w:rPr>
        <w:t xml:space="preserve">     </w:t>
      </w:r>
      <w:permEnd w:id="51"/>
      <w:r>
        <w:rPr>
          <w:rFonts w:hint="default" w:ascii="Times New Roman" w:hAnsi="Times New Roman" w:eastAsia="宋体" w:cs="Times New Roman"/>
          <w:b/>
          <w:color w:val="000000" w:themeColor="text1"/>
          <w:sz w:val="24"/>
          <w:highlight w:val="none"/>
          <w14:textFill>
            <w14:solidFill>
              <w14:schemeClr w14:val="tx1"/>
            </w14:solidFill>
          </w14:textFill>
        </w:rPr>
        <w:t>年（耗材除外）。</w:t>
      </w:r>
      <w:permStart w:id="52" w:edGrp="everyone"/>
      <w:r>
        <w:rPr>
          <w:rFonts w:hint="default" w:ascii="Times New Roman" w:hAnsi="Times New Roman" w:eastAsia="宋体" w:cs="Times New Roman"/>
          <w:color w:val="000000" w:themeColor="text1"/>
          <w:sz w:val="24"/>
          <w:highlight w:val="none"/>
          <w14:textFill>
            <w14:solidFill>
              <w14:schemeClr w14:val="tx1"/>
            </w14:solidFill>
          </w14:textFill>
        </w:rPr>
        <w:t>如货物包括软件/系统部分，如无特殊约定，则软件/系统质保期与整机质保期一致</w:t>
      </w:r>
      <w:permEnd w:id="52"/>
      <w:r>
        <w:rPr>
          <w:rFonts w:hint="default" w:ascii="Times New Roman" w:hAnsi="Times New Roman" w:eastAsia="宋体" w:cs="Times New Roman"/>
          <w:color w:val="000000" w:themeColor="text1"/>
          <w:sz w:val="24"/>
          <w:highlight w:val="none"/>
          <w14:textFill>
            <w14:solidFill>
              <w14:schemeClr w14:val="tx1"/>
            </w14:solidFill>
          </w14:textFill>
        </w:rPr>
        <w:t>。</w:t>
      </w:r>
    </w:p>
    <w:p w14:paraId="4E5B2A8E">
      <w:pPr>
        <w:spacing w:line="360" w:lineRule="auto"/>
        <w:ind w:firstLine="480" w:firstLineChars="200"/>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5.质保期起计方式：自综合验收合格之日起计算。经维修或更换的货物的质保期，从维修或更换后货物通过甲方综合验收之日起重新计算质保期。</w:t>
      </w:r>
    </w:p>
    <w:p w14:paraId="32120CA6">
      <w:pPr>
        <w:spacing w:line="360" w:lineRule="auto"/>
        <w:ind w:firstLine="240" w:firstLineChars="100"/>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  6.质保期内乙方维修人员</w:t>
      </w: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提供质保服务产生</w:t>
      </w:r>
      <w:r>
        <w:rPr>
          <w:rFonts w:hint="default" w:ascii="Times New Roman" w:hAnsi="Times New Roman" w:eastAsia="宋体" w:cs="Times New Roman"/>
          <w:color w:val="000000" w:themeColor="text1"/>
          <w:sz w:val="24"/>
          <w:highlight w:val="none"/>
          <w14:textFill>
            <w14:solidFill>
              <w14:schemeClr w14:val="tx1"/>
            </w14:solidFill>
          </w14:textFill>
        </w:rPr>
        <w:t>的差旅费由乙方自理。</w:t>
      </w:r>
    </w:p>
    <w:p w14:paraId="0F8A54A2">
      <w:pPr>
        <w:spacing w:line="495" w:lineRule="exact"/>
        <w:ind w:firstLine="361" w:firstLineChars="150"/>
        <w:rPr>
          <w:rFonts w:hint="default" w:ascii="Times New Roman" w:hAnsi="Times New Roman" w:eastAsia="宋体" w:cs="Times New Roman"/>
          <w:b/>
          <w:color w:val="000000" w:themeColor="text1"/>
          <w:sz w:val="24"/>
          <w:highlight w:val="none"/>
          <w14:textFill>
            <w14:solidFill>
              <w14:schemeClr w14:val="tx1"/>
            </w14:solidFill>
          </w14:textFill>
        </w:rPr>
      </w:pPr>
      <w:r>
        <w:rPr>
          <w:rFonts w:hint="default" w:ascii="Times New Roman" w:hAnsi="Times New Roman" w:eastAsia="宋体" w:cs="Times New Roman"/>
          <w:b/>
          <w:color w:val="000000" w:themeColor="text1"/>
          <w:sz w:val="24"/>
          <w:highlight w:val="none"/>
          <w14:textFill>
            <w14:solidFill>
              <w14:schemeClr w14:val="tx1"/>
            </w14:solidFill>
          </w14:textFill>
        </w:rPr>
        <w:t>九、售后服务</w:t>
      </w:r>
    </w:p>
    <w:p w14:paraId="706C7F6C">
      <w:pPr>
        <w:spacing w:line="495" w:lineRule="exact"/>
        <w:ind w:firstLine="360" w:firstLineChars="150"/>
        <w:rPr>
          <w:rFonts w:hint="default" w:ascii="Times New Roman" w:hAnsi="Times New Roman" w:eastAsia="宋体" w:cs="Times New Roman"/>
          <w:bCs/>
          <w:color w:val="000000" w:themeColor="text1"/>
          <w:sz w:val="24"/>
          <w:highlight w:val="none"/>
          <w14:textFill>
            <w14:solidFill>
              <w14:schemeClr w14:val="tx1"/>
            </w14:solidFill>
          </w14:textFill>
        </w:rPr>
      </w:pPr>
      <w:r>
        <w:rPr>
          <w:rFonts w:hint="default" w:ascii="Times New Roman" w:hAnsi="Times New Roman" w:eastAsia="宋体" w:cs="Times New Roman"/>
          <w:bCs/>
          <w:color w:val="000000" w:themeColor="text1"/>
          <w:sz w:val="24"/>
          <w:highlight w:val="none"/>
          <w14:textFill>
            <w14:solidFill>
              <w14:schemeClr w14:val="tx1"/>
            </w14:solidFill>
          </w14:textFill>
        </w:rPr>
        <w:t>1.委托定制货物的维修、更换及保养服务</w:t>
      </w:r>
    </w:p>
    <w:p w14:paraId="6D1F7587">
      <w:pPr>
        <w:spacing w:line="495" w:lineRule="exact"/>
        <w:ind w:firstLine="360" w:firstLineChars="150"/>
        <w:rPr>
          <w:rFonts w:hint="default" w:ascii="Times New Roman" w:hAnsi="Times New Roman" w:eastAsia="宋体" w:cs="Times New Roman"/>
          <w:bCs/>
          <w:color w:val="000000" w:themeColor="text1"/>
          <w:sz w:val="24"/>
          <w:highlight w:val="none"/>
          <w14:textFill>
            <w14:solidFill>
              <w14:schemeClr w14:val="tx1"/>
            </w14:solidFill>
          </w14:textFill>
        </w:rPr>
      </w:pPr>
      <w:r>
        <w:rPr>
          <w:rFonts w:hint="default" w:ascii="Times New Roman" w:hAnsi="Times New Roman" w:eastAsia="宋体" w:cs="Times New Roman"/>
          <w:bCs/>
          <w:color w:val="000000" w:themeColor="text1"/>
          <w:sz w:val="24"/>
          <w:highlight w:val="none"/>
          <w14:textFill>
            <w14:solidFill>
              <w14:schemeClr w14:val="tx1"/>
            </w14:solidFill>
          </w14:textFill>
        </w:rPr>
        <w:t>（1）综合验收通过后，如货物在使用过程中因质量问题或设计缺陷导致货物损坏、发生故障或性能下降的，乙方应在收到甲方的通知后24小时内派员对货物进行维修或更换零部件，如乙方未能在24小时内完成维修或更换零部件，并使货物恢复到正常使用状态的，则乙方应按甲方的要求提供全新的货物给甲方，进行换货；</w:t>
      </w:r>
    </w:p>
    <w:p w14:paraId="2BE80A07">
      <w:pPr>
        <w:spacing w:line="495" w:lineRule="exact"/>
        <w:ind w:firstLine="360" w:firstLineChars="150"/>
        <w:rPr>
          <w:rFonts w:hint="default" w:ascii="Times New Roman" w:hAnsi="Times New Roman" w:eastAsia="宋体" w:cs="Times New Roman"/>
          <w:bCs/>
          <w:color w:val="000000" w:themeColor="text1"/>
          <w:sz w:val="24"/>
          <w:highlight w:val="none"/>
          <w14:textFill>
            <w14:solidFill>
              <w14:schemeClr w14:val="tx1"/>
            </w14:solidFill>
          </w14:textFill>
        </w:rPr>
      </w:pPr>
      <w:r>
        <w:rPr>
          <w:rFonts w:hint="default" w:ascii="Times New Roman" w:hAnsi="Times New Roman" w:eastAsia="宋体" w:cs="Times New Roman"/>
          <w:bCs/>
          <w:color w:val="000000" w:themeColor="text1"/>
          <w:sz w:val="24"/>
          <w:highlight w:val="none"/>
          <w14:textFill>
            <w14:solidFill>
              <w14:schemeClr w14:val="tx1"/>
            </w14:solidFill>
          </w14:textFill>
        </w:rPr>
        <w:t>（2）综合验收通过后，如货物在使用过程中因甲方使用不当或第三方故意损坏导致货物损坏、发生故障或性能下降的，乙方应在收到甲方的通知后24小时内派员对货物进行维修或更换零部件，因此产生的维修费或零部件费由甲方承担；</w:t>
      </w:r>
    </w:p>
    <w:p w14:paraId="6D22ADAE">
      <w:pPr>
        <w:spacing w:line="495" w:lineRule="exact"/>
        <w:ind w:firstLine="360" w:firstLineChars="150"/>
        <w:rPr>
          <w:rFonts w:hint="default" w:ascii="Times New Roman" w:hAnsi="Times New Roman" w:eastAsia="宋体" w:cs="Times New Roman"/>
          <w:bCs/>
          <w:color w:val="000000" w:themeColor="text1"/>
          <w:sz w:val="24"/>
          <w:highlight w:val="none"/>
          <w14:textFill>
            <w14:solidFill>
              <w14:schemeClr w14:val="tx1"/>
            </w14:solidFill>
          </w14:textFill>
        </w:rPr>
      </w:pPr>
      <w:r>
        <w:rPr>
          <w:rFonts w:hint="default" w:ascii="Times New Roman" w:hAnsi="Times New Roman" w:eastAsia="宋体" w:cs="Times New Roman"/>
          <w:bCs/>
          <w:color w:val="000000" w:themeColor="text1"/>
          <w:sz w:val="24"/>
          <w:highlight w:val="none"/>
          <w14:textFill>
            <w14:solidFill>
              <w14:schemeClr w14:val="tx1"/>
            </w14:solidFill>
          </w14:textFill>
        </w:rPr>
        <w:t>（3）综合验收通过后，根据甲方的要求，乙方应及时委派人员对货物进行维护、检测，保证货物的性能、功能符合合同的约定。</w:t>
      </w:r>
    </w:p>
    <w:p w14:paraId="4073C159">
      <w:pPr>
        <w:spacing w:line="495" w:lineRule="exact"/>
        <w:ind w:firstLine="360" w:firstLineChars="150"/>
        <w:rPr>
          <w:rFonts w:hint="default" w:ascii="Times New Roman" w:hAnsi="Times New Roman" w:eastAsia="宋体" w:cs="Times New Roman"/>
          <w:bCs/>
          <w:color w:val="000000" w:themeColor="text1"/>
          <w:sz w:val="24"/>
          <w:highlight w:val="none"/>
          <w14:textFill>
            <w14:solidFill>
              <w14:schemeClr w14:val="tx1"/>
            </w14:solidFill>
          </w14:textFill>
        </w:rPr>
      </w:pPr>
      <w:r>
        <w:rPr>
          <w:rFonts w:hint="default" w:ascii="Times New Roman" w:hAnsi="Times New Roman" w:eastAsia="宋体" w:cs="Times New Roman"/>
          <w:bCs/>
          <w:color w:val="000000" w:themeColor="text1"/>
          <w:sz w:val="24"/>
          <w:highlight w:val="none"/>
          <w14:textFill>
            <w14:solidFill>
              <w14:schemeClr w14:val="tx1"/>
            </w14:solidFill>
          </w14:textFill>
        </w:rPr>
        <w:t>2.技术支持服务</w:t>
      </w:r>
    </w:p>
    <w:p w14:paraId="5478BA43">
      <w:pPr>
        <w:spacing w:line="495" w:lineRule="exact"/>
        <w:ind w:firstLine="360" w:firstLineChars="150"/>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bCs/>
          <w:color w:val="000000" w:themeColor="text1"/>
          <w:sz w:val="24"/>
          <w:highlight w:val="none"/>
          <w14:textFill>
            <w14:solidFill>
              <w14:schemeClr w14:val="tx1"/>
            </w14:solidFill>
          </w14:textFill>
        </w:rPr>
        <w:t>（1）</w:t>
      </w:r>
      <w:r>
        <w:rPr>
          <w:rFonts w:hint="default" w:ascii="Times New Roman" w:hAnsi="Times New Roman" w:eastAsia="宋体" w:cs="Times New Roman"/>
          <w:color w:val="000000" w:themeColor="text1"/>
          <w:sz w:val="24"/>
          <w:highlight w:val="none"/>
          <w14:textFill>
            <w14:solidFill>
              <w14:schemeClr w14:val="tx1"/>
            </w14:solidFill>
          </w14:textFill>
        </w:rPr>
        <w:t>负责现场免费培训</w:t>
      </w:r>
      <w:r>
        <w:rPr>
          <w:rFonts w:hint="default" w:ascii="Times New Roman" w:hAnsi="Times New Roman" w:eastAsia="宋体" w:cs="Times New Roman"/>
          <w:sz w:val="24"/>
          <w:highlight w:val="none"/>
        </w:rPr>
        <w:t>甲方</w:t>
      </w:r>
      <w:r>
        <w:rPr>
          <w:rFonts w:hint="default" w:ascii="Times New Roman" w:hAnsi="Times New Roman" w:eastAsia="宋体" w:cs="Times New Roman"/>
          <w:color w:val="000000" w:themeColor="text1"/>
          <w:sz w:val="24"/>
          <w:highlight w:val="none"/>
          <w14:textFill>
            <w14:solidFill>
              <w14:schemeClr w14:val="tx1"/>
            </w14:solidFill>
          </w14:textFill>
        </w:rPr>
        <w:t>操作人员，包括仪器基本原理、安装、调试、操作使用及日常保养维修等，使其能独立操作仪器及使用软件；</w:t>
      </w:r>
    </w:p>
    <w:p w14:paraId="0050764A">
      <w:pPr>
        <w:spacing w:line="495" w:lineRule="exact"/>
        <w:ind w:firstLine="360" w:firstLineChars="150"/>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（2）如货物的操作系统存在更新、升级的，乙方应在更新、升级发生后的48小时内为甲方购买的货物进行操作系统的更新、升级。</w:t>
      </w:r>
    </w:p>
    <w:p w14:paraId="58138745">
      <w:pPr>
        <w:spacing w:line="495" w:lineRule="exact"/>
        <w:ind w:firstLine="360" w:firstLineChars="150"/>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3.乙方提供售后服务的方式及联系方式</w:t>
      </w:r>
    </w:p>
    <w:p w14:paraId="445AABF6">
      <w:pPr>
        <w:spacing w:line="495" w:lineRule="exact"/>
        <w:ind w:firstLine="360" w:firstLineChars="150"/>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（1）现场服务：乙方根据甲方需求及实际情况提供现场服务。现场服务完成后，乙方应提供</w:t>
      </w:r>
      <w:r>
        <w:rPr>
          <w:rFonts w:hint="default" w:ascii="Times New Roman" w:hAnsi="Times New Roman" w:eastAsia="宋体" w:cs="Times New Roman"/>
          <w:sz w:val="24"/>
          <w:highlight w:val="none"/>
        </w:rPr>
        <w:t>书面</w:t>
      </w:r>
      <w:r>
        <w:rPr>
          <w:rFonts w:hint="default" w:ascii="Times New Roman" w:hAnsi="Times New Roman" w:eastAsia="宋体" w:cs="Times New Roman"/>
          <w:color w:val="000000" w:themeColor="text1"/>
          <w:sz w:val="24"/>
          <w:highlight w:val="none"/>
          <w14:textFill>
            <w14:solidFill>
              <w14:schemeClr w14:val="tx1"/>
            </w14:solidFill>
          </w14:textFill>
        </w:rPr>
        <w:t>服务报告，载明服务时间、内容、解决方式并由甲方验收后签字确认；</w:t>
      </w:r>
    </w:p>
    <w:p w14:paraId="5DCFA89A">
      <w:pPr>
        <w:spacing w:line="495" w:lineRule="exact"/>
        <w:ind w:firstLine="360" w:firstLineChars="150"/>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（2）电话远程服务：乙方的售后服务联系电话为</w:t>
      </w:r>
      <w:permStart w:id="53" w:edGrp="everyone"/>
      <w:r>
        <w:rPr>
          <w:rFonts w:hint="default" w:ascii="Times New Roman" w:hAnsi="Times New Roman" w:eastAsia="宋体" w:cs="Times New Roman"/>
          <w:color w:val="000000" w:themeColor="text1"/>
          <w:sz w:val="24"/>
          <w:highlight w:val="none"/>
          <w:u w:val="single"/>
          <w14:textFill>
            <w14:solidFill>
              <w14:schemeClr w14:val="tx1"/>
            </w14:solidFill>
          </w14:textFill>
        </w:rPr>
        <w:t xml:space="preserve">      </w:t>
      </w:r>
      <w:permEnd w:id="53"/>
      <w:r>
        <w:rPr>
          <w:rFonts w:hint="default" w:ascii="Times New Roman" w:hAnsi="Times New Roman" w:eastAsia="宋体" w:cs="Times New Roman"/>
          <w:color w:val="000000" w:themeColor="text1"/>
          <w:sz w:val="24"/>
          <w:highlight w:val="none"/>
          <w14:textFill>
            <w14:solidFill>
              <w14:schemeClr w14:val="tx1"/>
            </w14:solidFill>
          </w14:textFill>
        </w:rPr>
        <w:t>，联系人为</w:t>
      </w:r>
      <w:permStart w:id="54" w:edGrp="everyone"/>
      <w:r>
        <w:rPr>
          <w:rFonts w:hint="default" w:ascii="Times New Roman" w:hAnsi="Times New Roman" w:eastAsia="宋体" w:cs="Times New Roman"/>
          <w:color w:val="000000" w:themeColor="text1"/>
          <w:sz w:val="24"/>
          <w:highlight w:val="none"/>
          <w:u w:val="single"/>
          <w14:textFill>
            <w14:solidFill>
              <w14:schemeClr w14:val="tx1"/>
            </w14:solidFill>
          </w14:textFill>
        </w:rPr>
        <w:t xml:space="preserve">      ，联系方式          </w:t>
      </w:r>
      <w:permEnd w:id="54"/>
      <w:r>
        <w:rPr>
          <w:rFonts w:hint="default" w:ascii="Times New Roman" w:hAnsi="Times New Roman" w:eastAsia="宋体" w:cs="Times New Roman"/>
          <w:color w:val="000000" w:themeColor="text1"/>
          <w:sz w:val="24"/>
          <w:highlight w:val="none"/>
          <w14:textFill>
            <w14:solidFill>
              <w14:schemeClr w14:val="tx1"/>
            </w14:solidFill>
          </w14:textFill>
        </w:rPr>
        <w:t>，乙方保证提供7X24小时的电话远程服务，对可以通过电话指导、解释等方式解决甲方疑问的，乙方应在收到甲方的服务需求电话后24小时内完成远程服务，如未能在24小时内完成远程服务的，则乙方应提供甲方要求的现场服务。</w:t>
      </w:r>
    </w:p>
    <w:p w14:paraId="6870047D">
      <w:pPr>
        <w:spacing w:line="495" w:lineRule="exact"/>
        <w:ind w:firstLine="360" w:firstLineChars="150"/>
        <w:rPr>
          <w:rFonts w:hint="default" w:ascii="Times New Roman" w:hAnsi="Times New Roman" w:eastAsia="宋体" w:cs="Times New Roman"/>
          <w:sz w:val="24"/>
          <w:highlight w:val="none"/>
        </w:rPr>
      </w:pPr>
      <w:r>
        <w:rPr>
          <w:rFonts w:hint="default" w:ascii="Times New Roman" w:hAnsi="Times New Roman" w:eastAsia="宋体" w:cs="Times New Roman"/>
          <w:color w:val="000000" w:themeColor="text1"/>
          <w:sz w:val="24"/>
          <w:highlight w:val="none"/>
          <w14:textFill>
            <w14:solidFill>
              <w14:schemeClr w14:val="tx1"/>
            </w14:solidFill>
          </w14:textFill>
        </w:rPr>
        <w:t>（3）乙方应为本项目配备足够的售后服务力量，具有国内本地化的服务团队。</w:t>
      </w:r>
    </w:p>
    <w:p w14:paraId="2170E8FA">
      <w:pPr>
        <w:spacing w:line="495" w:lineRule="exact"/>
        <w:ind w:firstLine="600" w:firstLineChars="250"/>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4.售后服务的费用</w:t>
      </w:r>
    </w:p>
    <w:p w14:paraId="2D7A7DD1">
      <w:pPr>
        <w:spacing w:line="495" w:lineRule="exact"/>
        <w:ind w:firstLine="360" w:firstLineChars="150"/>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（1）质保期内，乙方免费提供本条第1</w:t>
      </w:r>
      <w:r>
        <w:rPr>
          <w:rFonts w:hint="default" w:ascii="Times New Roman" w:hAnsi="Times New Roman" w:eastAsia="宋体" w:cs="Times New Roman"/>
          <w:sz w:val="24"/>
          <w:highlight w:val="none"/>
        </w:rPr>
        <w:t>款第</w:t>
      </w:r>
      <w:r>
        <w:rPr>
          <w:rFonts w:hint="default" w:ascii="Times New Roman" w:hAnsi="Times New Roman" w:eastAsia="宋体" w:cs="Times New Roman"/>
          <w:color w:val="000000" w:themeColor="text1"/>
          <w:sz w:val="24"/>
          <w:highlight w:val="none"/>
          <w14:textFill>
            <w14:solidFill>
              <w14:schemeClr w14:val="tx1"/>
            </w14:solidFill>
          </w14:textFill>
        </w:rPr>
        <w:t>（1）项、第（3）</w:t>
      </w:r>
      <w:r>
        <w:rPr>
          <w:rFonts w:hint="default" w:ascii="Times New Roman" w:hAnsi="Times New Roman" w:eastAsia="宋体" w:cs="Times New Roman"/>
          <w:sz w:val="24"/>
          <w:highlight w:val="none"/>
        </w:rPr>
        <w:t>项和</w:t>
      </w:r>
      <w:r>
        <w:rPr>
          <w:rFonts w:hint="default" w:ascii="Times New Roman" w:hAnsi="Times New Roman" w:eastAsia="宋体" w:cs="Times New Roman"/>
          <w:color w:val="000000" w:themeColor="text1"/>
          <w:sz w:val="24"/>
          <w:highlight w:val="none"/>
          <w14:textFill>
            <w14:solidFill>
              <w14:schemeClr w14:val="tx1"/>
            </w14:solidFill>
          </w14:textFill>
        </w:rPr>
        <w:t>第2款、第3款约定的售后服务；提供本条第1款第（2）项服务时仅收取零部件或更换货物的工本费、运输费，但不收取人工费；</w:t>
      </w:r>
    </w:p>
    <w:p w14:paraId="01895294">
      <w:pPr>
        <w:spacing w:line="495" w:lineRule="exact"/>
        <w:ind w:firstLine="360" w:firstLineChars="150"/>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（2）质保期届满后，乙方免费</w:t>
      </w:r>
      <w:r>
        <w:rPr>
          <w:rFonts w:hint="default" w:ascii="Times New Roman" w:hAnsi="Times New Roman" w:eastAsia="宋体" w:cs="Times New Roman"/>
          <w:sz w:val="24"/>
          <w:highlight w:val="none"/>
        </w:rPr>
        <w:t>为甲方</w:t>
      </w:r>
      <w:r>
        <w:rPr>
          <w:rFonts w:hint="default" w:ascii="Times New Roman" w:hAnsi="Times New Roman" w:eastAsia="宋体" w:cs="Times New Roman"/>
          <w:color w:val="000000" w:themeColor="text1"/>
          <w:sz w:val="24"/>
          <w:highlight w:val="none"/>
          <w14:textFill>
            <w14:solidFill>
              <w14:schemeClr w14:val="tx1"/>
            </w14:solidFill>
          </w14:textFill>
        </w:rPr>
        <w:t>提供本条第2</w:t>
      </w:r>
      <w:r>
        <w:rPr>
          <w:rFonts w:hint="default" w:ascii="Times New Roman" w:hAnsi="Times New Roman" w:eastAsia="宋体" w:cs="Times New Roman"/>
          <w:sz w:val="24"/>
          <w:highlight w:val="none"/>
        </w:rPr>
        <w:t>款和第3款第（2）项约定的</w:t>
      </w:r>
      <w:r>
        <w:rPr>
          <w:rFonts w:hint="default" w:ascii="Times New Roman" w:hAnsi="Times New Roman" w:eastAsia="宋体" w:cs="Times New Roman"/>
          <w:color w:val="000000" w:themeColor="text1"/>
          <w:sz w:val="24"/>
          <w:highlight w:val="none"/>
          <w14:textFill>
            <w14:solidFill>
              <w14:schemeClr w14:val="tx1"/>
            </w14:solidFill>
          </w14:textFill>
        </w:rPr>
        <w:t>售后服务；提供本条第1</w:t>
      </w:r>
      <w:r>
        <w:rPr>
          <w:rFonts w:hint="default" w:ascii="Times New Roman" w:hAnsi="Times New Roman" w:eastAsia="宋体" w:cs="Times New Roman"/>
          <w:sz w:val="24"/>
          <w:highlight w:val="none"/>
        </w:rPr>
        <w:t>款及第3款第（1）项约定的</w:t>
      </w:r>
      <w:r>
        <w:rPr>
          <w:rFonts w:hint="default" w:ascii="Times New Roman" w:hAnsi="Times New Roman" w:eastAsia="宋体" w:cs="Times New Roman"/>
          <w:color w:val="000000" w:themeColor="text1"/>
          <w:sz w:val="24"/>
          <w:highlight w:val="none"/>
          <w14:textFill>
            <w14:solidFill>
              <w14:schemeClr w14:val="tx1"/>
            </w14:solidFill>
          </w14:textFill>
        </w:rPr>
        <w:t>服务时，服务费用由双方另行协商。</w:t>
      </w:r>
    </w:p>
    <w:p w14:paraId="3ECF6EE8">
      <w:pPr>
        <w:spacing w:line="360" w:lineRule="auto"/>
        <w:ind w:firstLine="480" w:firstLineChars="200"/>
        <w:rPr>
          <w:rFonts w:hint="default" w:ascii="Times New Roman" w:hAnsi="Times New Roman" w:eastAsia="宋体" w:cs="Times New Roman"/>
          <w:bCs/>
          <w:color w:val="000000" w:themeColor="text1"/>
          <w:sz w:val="24"/>
          <w:highlight w:val="none"/>
          <w14:textFill>
            <w14:solidFill>
              <w14:schemeClr w14:val="tx1"/>
            </w14:solidFill>
          </w14:textFill>
        </w:rPr>
      </w:pPr>
      <w:r>
        <w:rPr>
          <w:rFonts w:hint="default" w:ascii="Times New Roman" w:hAnsi="Times New Roman" w:eastAsia="宋体" w:cs="Times New Roman"/>
          <w:bCs/>
          <w:color w:val="000000" w:themeColor="text1"/>
          <w:sz w:val="24"/>
          <w:highlight w:val="none"/>
          <w14:textFill>
            <w14:solidFill>
              <w14:schemeClr w14:val="tx1"/>
            </w14:solidFill>
          </w14:textFill>
        </w:rPr>
        <w:t>5．委托定制货物二次搬迁、数据迁移、移机及安装、调试等部署服务（如有）</w:t>
      </w:r>
    </w:p>
    <w:p w14:paraId="1F7ECE7A">
      <w:pPr>
        <w:pStyle w:val="13"/>
        <w:spacing w:line="495" w:lineRule="exact"/>
        <w:ind w:firstLine="480" w:firstLineChars="200"/>
        <w:rPr>
          <w:rFonts w:hint="default" w:ascii="Times New Roman" w:hAnsi="Times New Roman" w:eastAsia="宋体" w:cs="Times New Roman"/>
          <w:bCs/>
          <w:color w:val="000000" w:themeColor="text1"/>
          <w:sz w:val="24"/>
          <w:highlight w:val="none"/>
          <w14:textFill>
            <w14:solidFill>
              <w14:schemeClr w14:val="tx1"/>
            </w14:solidFill>
          </w14:textFill>
        </w:rPr>
      </w:pPr>
      <w:r>
        <w:rPr>
          <w:rFonts w:hint="default" w:ascii="Times New Roman" w:hAnsi="Times New Roman" w:eastAsia="宋体" w:cs="Times New Roman"/>
          <w:bCs/>
          <w:color w:val="000000" w:themeColor="text1"/>
          <w:sz w:val="24"/>
          <w:highlight w:val="none"/>
          <w14:textFill>
            <w14:solidFill>
              <w14:schemeClr w14:val="tx1"/>
            </w14:solidFill>
          </w14:textFill>
        </w:rPr>
        <w:t>如委托定制货物（含全部耗材与相关配件）需要二次搬迁、移机、数据迁移的，乙方应自行承担费用（包括但不限于运费、保险费、安装费、材料费、调试费、人工费等全部费用），按甲方的要求为甲方提供1次广州市内的委托定制货物搬迁、移机服务，及搬迁、移机后再次安装、调试等部署服务</w:t>
      </w:r>
      <w:r>
        <w:rPr>
          <w:rFonts w:hint="default" w:ascii="Times New Roman" w:hAnsi="Times New Roman" w:eastAsia="宋体" w:cs="Times New Roman"/>
          <w:bCs/>
          <w:color w:val="000000" w:themeColor="text1"/>
          <w:sz w:val="24"/>
          <w:szCs w:val="24"/>
          <w:highlight w:val="none"/>
          <w14:textFill>
            <w14:solidFill>
              <w14:schemeClr w14:val="tx1"/>
            </w14:solidFill>
          </w14:textFill>
        </w:rPr>
        <w:t>。</w:t>
      </w:r>
    </w:p>
    <w:p w14:paraId="21CFA342">
      <w:pPr>
        <w:spacing w:line="360" w:lineRule="auto"/>
        <w:ind w:firstLine="480" w:firstLineChars="200"/>
        <w:rPr>
          <w:rFonts w:hint="default" w:ascii="Times New Roman" w:hAnsi="Times New Roman" w:eastAsia="宋体" w:cs="Times New Roman"/>
          <w:bCs/>
          <w:color w:val="000000" w:themeColor="text1"/>
          <w:sz w:val="24"/>
          <w:highlight w:val="none"/>
          <w14:textFill>
            <w14:solidFill>
              <w14:schemeClr w14:val="tx1"/>
            </w14:solidFill>
          </w14:textFill>
        </w:rPr>
      </w:pPr>
      <w:r>
        <w:rPr>
          <w:rFonts w:hint="default" w:ascii="Times New Roman" w:hAnsi="Times New Roman" w:eastAsia="宋体" w:cs="Times New Roman"/>
          <w:bCs/>
          <w:color w:val="000000" w:themeColor="text1"/>
          <w:sz w:val="24"/>
          <w:highlight w:val="none"/>
          <w14:textFill>
            <w14:solidFill>
              <w14:schemeClr w14:val="tx1"/>
            </w14:solidFill>
          </w14:textFill>
        </w:rPr>
        <w:t xml:space="preserve"> 6. </w:t>
      </w:r>
      <w:permStart w:id="55" w:edGrp="everyone"/>
      <w:r>
        <w:rPr>
          <w:rFonts w:hint="default" w:ascii="Times New Roman" w:hAnsi="Times New Roman" w:eastAsia="宋体" w:cs="Times New Roman"/>
          <w:bCs/>
          <w:color w:val="000000" w:themeColor="text1"/>
          <w:sz w:val="24"/>
          <w:highlight w:val="none"/>
          <w14:textFill>
            <w14:solidFill>
              <w14:schemeClr w14:val="tx1"/>
            </w14:solidFill>
          </w14:textFill>
        </w:rPr>
        <w:t>“相关</w:t>
      </w:r>
      <w:r>
        <w:rPr>
          <w:rFonts w:hint="default" w:ascii="Times New Roman" w:hAnsi="Times New Roman" w:eastAsia="宋体" w:cs="Times New Roman"/>
          <w:bCs/>
          <w:color w:val="000000" w:themeColor="text1"/>
          <w:sz w:val="24"/>
          <w:highlight w:val="none"/>
          <w:lang w:val="en-US" w:eastAsia="zh-CN"/>
          <w14:textFill>
            <w14:solidFill>
              <w14:schemeClr w14:val="tx1"/>
            </w14:solidFill>
          </w14:textFill>
        </w:rPr>
        <w:t>实验室</w:t>
      </w:r>
      <w:r>
        <w:rPr>
          <w:rFonts w:hint="default" w:ascii="Times New Roman" w:hAnsi="Times New Roman" w:eastAsia="宋体" w:cs="Times New Roman"/>
          <w:bCs/>
          <w:color w:val="000000" w:themeColor="text1"/>
          <w:sz w:val="24"/>
          <w:highlight w:val="none"/>
          <w14:textFill>
            <w14:solidFill>
              <w14:schemeClr w14:val="tx1"/>
            </w14:solidFill>
          </w14:textFill>
        </w:rPr>
        <w:t>平台”项目整体联合调试服务</w:t>
      </w:r>
      <w:permEnd w:id="55"/>
    </w:p>
    <w:p w14:paraId="4EE835B0">
      <w:pPr>
        <w:spacing w:line="360" w:lineRule="auto"/>
        <w:ind w:firstLine="480" w:firstLineChars="200"/>
        <w:rPr>
          <w:rFonts w:hint="default" w:ascii="Times New Roman" w:hAnsi="Times New Roman" w:eastAsia="宋体" w:cs="Times New Roman"/>
          <w:bCs/>
          <w:color w:val="000000" w:themeColor="text1"/>
          <w:sz w:val="24"/>
          <w:highlight w:val="none"/>
          <w14:textFill>
            <w14:solidFill>
              <w14:schemeClr w14:val="tx1"/>
            </w14:solidFill>
          </w14:textFill>
        </w:rPr>
      </w:pPr>
      <w:r>
        <w:rPr>
          <w:rFonts w:hint="default" w:ascii="Times New Roman" w:hAnsi="Times New Roman" w:eastAsia="宋体" w:cs="Times New Roman"/>
          <w:sz w:val="24"/>
          <w:highlight w:val="none"/>
        </w:rPr>
        <w:t>乙方清楚知悉，甲方委托其定制的货物是</w:t>
      </w:r>
      <w:permStart w:id="56" w:edGrp="everyone"/>
      <w:r>
        <w:rPr>
          <w:rFonts w:hint="default" w:ascii="Times New Roman" w:hAnsi="Times New Roman" w:eastAsia="宋体" w:cs="Times New Roman"/>
          <w:sz w:val="24"/>
          <w:highlight w:val="none"/>
        </w:rPr>
        <w:t>“相关</w:t>
      </w:r>
      <w:r>
        <w:rPr>
          <w:rFonts w:hint="default" w:ascii="Times New Roman" w:hAnsi="Times New Roman" w:eastAsia="宋体" w:cs="Times New Roman"/>
          <w:sz w:val="24"/>
          <w:highlight w:val="none"/>
          <w:lang w:val="en-US" w:eastAsia="zh-CN"/>
        </w:rPr>
        <w:t>实验室</w:t>
      </w:r>
      <w:r>
        <w:rPr>
          <w:rFonts w:hint="default" w:ascii="Times New Roman" w:hAnsi="Times New Roman" w:eastAsia="宋体" w:cs="Times New Roman"/>
          <w:sz w:val="24"/>
          <w:highlight w:val="none"/>
        </w:rPr>
        <w:t>平台”项目</w:t>
      </w:r>
      <w:permEnd w:id="56"/>
      <w:r>
        <w:rPr>
          <w:rFonts w:hint="default" w:ascii="Times New Roman" w:hAnsi="Times New Roman" w:eastAsia="宋体" w:cs="Times New Roman"/>
          <w:sz w:val="24"/>
          <w:highlight w:val="none"/>
        </w:rPr>
        <w:t>众多子系统的一部分。在各部分子系统完成开发、研制后，甲方需将全部子系统进行整合、集成。为支持甲方的建设任务，</w:t>
      </w:r>
      <w:r>
        <w:rPr>
          <w:rFonts w:hint="default" w:ascii="Times New Roman" w:hAnsi="Times New Roman" w:eastAsia="宋体" w:cs="Times New Roman"/>
          <w:bCs/>
          <w:color w:val="000000" w:themeColor="text1"/>
          <w:sz w:val="24"/>
          <w:highlight w:val="none"/>
          <w14:textFill>
            <w14:solidFill>
              <w14:schemeClr w14:val="tx1"/>
            </w14:solidFill>
          </w14:textFill>
        </w:rPr>
        <w:t>乙方应按甲方的要求，配合甲方进行</w:t>
      </w:r>
      <w:permStart w:id="57" w:edGrp="everyone"/>
      <w:r>
        <w:rPr>
          <w:rFonts w:hint="default" w:ascii="Times New Roman" w:hAnsi="Times New Roman" w:eastAsia="宋体" w:cs="Times New Roman"/>
          <w:bCs/>
          <w:color w:val="000000" w:themeColor="text1"/>
          <w:sz w:val="24"/>
          <w:highlight w:val="none"/>
          <w14:textFill>
            <w14:solidFill>
              <w14:schemeClr w14:val="tx1"/>
            </w14:solidFill>
          </w14:textFill>
        </w:rPr>
        <w:t>“相关</w:t>
      </w:r>
      <w:r>
        <w:rPr>
          <w:rFonts w:hint="default" w:ascii="Times New Roman" w:hAnsi="Times New Roman" w:eastAsia="宋体" w:cs="Times New Roman"/>
          <w:bCs/>
          <w:color w:val="000000" w:themeColor="text1"/>
          <w:sz w:val="24"/>
          <w:highlight w:val="none"/>
          <w:lang w:val="en-US" w:eastAsia="zh-CN"/>
          <w14:textFill>
            <w14:solidFill>
              <w14:schemeClr w14:val="tx1"/>
            </w14:solidFill>
          </w14:textFill>
        </w:rPr>
        <w:t>实验室</w:t>
      </w:r>
      <w:r>
        <w:rPr>
          <w:rFonts w:hint="default" w:ascii="Times New Roman" w:hAnsi="Times New Roman" w:eastAsia="宋体" w:cs="Times New Roman"/>
          <w:bCs/>
          <w:color w:val="000000" w:themeColor="text1"/>
          <w:sz w:val="24"/>
          <w:highlight w:val="none"/>
          <w14:textFill>
            <w14:solidFill>
              <w14:schemeClr w14:val="tx1"/>
            </w14:solidFill>
          </w14:textFill>
        </w:rPr>
        <w:t>平台”项目</w:t>
      </w:r>
      <w:permEnd w:id="57"/>
      <w:r>
        <w:rPr>
          <w:rFonts w:hint="default" w:ascii="Times New Roman" w:hAnsi="Times New Roman" w:eastAsia="宋体" w:cs="Times New Roman"/>
          <w:bCs/>
          <w:color w:val="000000" w:themeColor="text1"/>
          <w:sz w:val="24"/>
          <w:highlight w:val="none"/>
          <w14:textFill>
            <w14:solidFill>
              <w14:schemeClr w14:val="tx1"/>
            </w14:solidFill>
          </w14:textFill>
        </w:rPr>
        <w:t>的整体联合调试服务。包括但不限于：</w:t>
      </w:r>
    </w:p>
    <w:p w14:paraId="39081E28">
      <w:pPr>
        <w:spacing w:line="360" w:lineRule="auto"/>
        <w:ind w:firstLine="480" w:firstLineChars="200"/>
        <w:rPr>
          <w:rFonts w:hint="default" w:ascii="Times New Roman" w:hAnsi="Times New Roman" w:eastAsia="宋体" w:cs="Times New Roman"/>
          <w:bCs/>
          <w:color w:val="000000" w:themeColor="text1"/>
          <w:sz w:val="24"/>
          <w:highlight w:val="none"/>
          <w14:textFill>
            <w14:solidFill>
              <w14:schemeClr w14:val="tx1"/>
            </w14:solidFill>
          </w14:textFill>
        </w:rPr>
      </w:pPr>
      <w:r>
        <w:rPr>
          <w:rFonts w:hint="default" w:ascii="Times New Roman" w:hAnsi="Times New Roman" w:eastAsia="宋体" w:cs="Times New Roman"/>
          <w:bCs/>
          <w:color w:val="000000" w:themeColor="text1"/>
          <w:sz w:val="24"/>
          <w:highlight w:val="none"/>
          <w14:textFill>
            <w14:solidFill>
              <w14:schemeClr w14:val="tx1"/>
            </w14:solidFill>
          </w14:textFill>
        </w:rPr>
        <w:t>①乙方应按照甲方的要求，及时提供系统集成所需的完整技术文档、接口规范及必要的技术支持，确保集成工作顺利进行。</w:t>
      </w:r>
    </w:p>
    <w:p w14:paraId="1171AE7C">
      <w:pPr>
        <w:spacing w:line="360" w:lineRule="auto"/>
        <w:ind w:firstLine="480" w:firstLineChars="200"/>
        <w:rPr>
          <w:rFonts w:hint="default" w:ascii="Times New Roman" w:hAnsi="Times New Roman" w:eastAsia="宋体" w:cs="Times New Roman"/>
          <w:bCs/>
          <w:color w:val="000000" w:themeColor="text1"/>
          <w:sz w:val="24"/>
          <w:highlight w:val="none"/>
          <w14:textFill>
            <w14:solidFill>
              <w14:schemeClr w14:val="tx1"/>
            </w14:solidFill>
          </w14:textFill>
        </w:rPr>
      </w:pPr>
      <w:r>
        <w:rPr>
          <w:rFonts w:hint="default" w:ascii="Times New Roman" w:hAnsi="Times New Roman" w:eastAsia="宋体" w:cs="Times New Roman"/>
          <w:bCs/>
          <w:color w:val="000000" w:themeColor="text1"/>
          <w:sz w:val="24"/>
          <w:highlight w:val="none"/>
          <w14:textFill>
            <w14:solidFill>
              <w14:schemeClr w14:val="tx1"/>
            </w14:solidFill>
          </w14:textFill>
        </w:rPr>
        <w:t>②乙方应指派专门技术人员配合甲方完成系统对接、联调测试等工作。</w:t>
      </w:r>
    </w:p>
    <w:p w14:paraId="3A45C738">
      <w:pPr>
        <w:spacing w:line="360" w:lineRule="auto"/>
        <w:ind w:firstLine="480" w:firstLineChars="200"/>
        <w:rPr>
          <w:rFonts w:hint="default" w:ascii="Times New Roman" w:hAnsi="Times New Roman" w:eastAsia="宋体" w:cs="Times New Roman"/>
          <w:bCs/>
          <w:color w:val="000000" w:themeColor="text1"/>
          <w:sz w:val="24"/>
          <w:highlight w:val="none"/>
          <w14:textFill>
            <w14:solidFill>
              <w14:schemeClr w14:val="tx1"/>
            </w14:solidFill>
          </w14:textFill>
        </w:rPr>
      </w:pPr>
      <w:r>
        <w:rPr>
          <w:rFonts w:hint="default" w:ascii="Times New Roman" w:hAnsi="Times New Roman" w:eastAsia="宋体" w:cs="Times New Roman"/>
          <w:bCs/>
          <w:color w:val="000000" w:themeColor="text1"/>
          <w:sz w:val="24"/>
          <w:highlight w:val="none"/>
          <w14:textFill>
            <w14:solidFill>
              <w14:schemeClr w14:val="tx1"/>
            </w14:solidFill>
          </w14:textFill>
        </w:rPr>
        <w:t>③‌联调测试责任。‌在联调测试阶段，乙方应：</w:t>
      </w:r>
    </w:p>
    <w:p w14:paraId="52050446">
      <w:pPr>
        <w:spacing w:line="360" w:lineRule="auto"/>
        <w:ind w:firstLine="480" w:firstLineChars="200"/>
        <w:rPr>
          <w:rFonts w:hint="default" w:ascii="Times New Roman" w:hAnsi="Times New Roman" w:eastAsia="宋体" w:cs="Times New Roman"/>
          <w:bCs/>
          <w:color w:val="000000" w:themeColor="text1"/>
          <w:sz w:val="24"/>
          <w:highlight w:val="none"/>
          <w14:textFill>
            <w14:solidFill>
              <w14:schemeClr w14:val="tx1"/>
            </w14:solidFill>
          </w14:textFill>
        </w:rPr>
      </w:pPr>
      <w:r>
        <w:rPr>
          <w:rFonts w:hint="default" w:ascii="Times New Roman" w:hAnsi="Times New Roman" w:eastAsia="宋体" w:cs="Times New Roman"/>
          <w:bCs/>
          <w:color w:val="000000" w:themeColor="text1"/>
          <w:sz w:val="24"/>
          <w:highlight w:val="none"/>
          <w14:textFill>
            <w14:solidFill>
              <w14:schemeClr w14:val="tx1"/>
            </w14:solidFill>
          </w14:textFill>
        </w:rPr>
        <w:t>a.提供测试环境所需的系统访问权限和必要数据；</w:t>
      </w:r>
    </w:p>
    <w:p w14:paraId="757DEF39">
      <w:pPr>
        <w:spacing w:line="360" w:lineRule="auto"/>
        <w:ind w:firstLine="480" w:firstLineChars="200"/>
        <w:rPr>
          <w:rFonts w:hint="default" w:ascii="Times New Roman" w:hAnsi="Times New Roman" w:eastAsia="宋体" w:cs="Times New Roman"/>
          <w:bCs/>
          <w:color w:val="000000" w:themeColor="text1"/>
          <w:sz w:val="24"/>
          <w:highlight w:val="none"/>
          <w14:textFill>
            <w14:solidFill>
              <w14:schemeClr w14:val="tx1"/>
            </w14:solidFill>
          </w14:textFill>
        </w:rPr>
      </w:pPr>
      <w:r>
        <w:rPr>
          <w:rFonts w:hint="default" w:ascii="Times New Roman" w:hAnsi="Times New Roman" w:eastAsia="宋体" w:cs="Times New Roman"/>
          <w:bCs/>
          <w:color w:val="000000" w:themeColor="text1"/>
          <w:sz w:val="24"/>
          <w:highlight w:val="none"/>
          <w14:textFill>
            <w14:solidFill>
              <w14:schemeClr w14:val="tx1"/>
            </w14:solidFill>
          </w14:textFill>
        </w:rPr>
        <w:t>b.配合集成方制定详细的联调测试方案；</w:t>
      </w:r>
    </w:p>
    <w:p w14:paraId="699C112B">
      <w:pPr>
        <w:spacing w:line="360" w:lineRule="auto"/>
        <w:ind w:firstLine="480" w:firstLineChars="200"/>
        <w:rPr>
          <w:rFonts w:hint="default" w:ascii="Times New Roman" w:hAnsi="Times New Roman" w:eastAsia="宋体" w:cs="Times New Roman"/>
          <w:bCs/>
          <w:color w:val="000000" w:themeColor="text1"/>
          <w:sz w:val="24"/>
          <w:highlight w:val="none"/>
          <w14:textFill>
            <w14:solidFill>
              <w14:schemeClr w14:val="tx1"/>
            </w14:solidFill>
          </w14:textFill>
        </w:rPr>
      </w:pPr>
      <w:r>
        <w:rPr>
          <w:rFonts w:hint="default" w:ascii="Times New Roman" w:hAnsi="Times New Roman" w:eastAsia="宋体" w:cs="Times New Roman"/>
          <w:bCs/>
          <w:color w:val="000000" w:themeColor="text1"/>
          <w:sz w:val="24"/>
          <w:highlight w:val="none"/>
          <w14:textFill>
            <w14:solidFill>
              <w14:schemeClr w14:val="tx1"/>
            </w14:solidFill>
          </w14:textFill>
        </w:rPr>
        <w:t>c.及时响应并解决测试过程中发现的接口问题；</w:t>
      </w:r>
    </w:p>
    <w:p w14:paraId="6C195A73">
      <w:pPr>
        <w:spacing w:line="360" w:lineRule="auto"/>
        <w:ind w:firstLine="480" w:firstLineChars="200"/>
        <w:rPr>
          <w:rFonts w:hint="default" w:ascii="Times New Roman" w:hAnsi="Times New Roman" w:eastAsia="宋体" w:cs="Times New Roman"/>
          <w:bCs/>
          <w:color w:val="000000" w:themeColor="text1"/>
          <w:sz w:val="24"/>
          <w:highlight w:val="none"/>
          <w14:textFill>
            <w14:solidFill>
              <w14:schemeClr w14:val="tx1"/>
            </w14:solidFill>
          </w14:textFill>
        </w:rPr>
      </w:pPr>
      <w:r>
        <w:rPr>
          <w:rFonts w:hint="default" w:ascii="Times New Roman" w:hAnsi="Times New Roman" w:eastAsia="宋体" w:cs="Times New Roman"/>
          <w:bCs/>
          <w:color w:val="000000" w:themeColor="text1"/>
          <w:sz w:val="24"/>
          <w:highlight w:val="none"/>
          <w14:textFill>
            <w14:solidFill>
              <w14:schemeClr w14:val="tx1"/>
            </w14:solidFill>
          </w14:textFill>
        </w:rPr>
        <w:t>d.参与测试结果评估和问题修复。</w:t>
      </w:r>
    </w:p>
    <w:p w14:paraId="04A3097A">
      <w:pPr>
        <w:spacing w:line="400" w:lineRule="exact"/>
        <w:ind w:firstLine="482" w:firstLineChars="200"/>
        <w:rPr>
          <w:rFonts w:hint="default" w:ascii="Times New Roman" w:hAnsi="Times New Roman" w:eastAsia="宋体" w:cs="Times New Roman"/>
          <w:b/>
          <w:sz w:val="24"/>
          <w:highlight w:val="none"/>
        </w:rPr>
      </w:pPr>
      <w:r>
        <w:rPr>
          <w:rFonts w:hint="default" w:ascii="Times New Roman" w:hAnsi="Times New Roman" w:eastAsia="宋体" w:cs="Times New Roman"/>
          <w:b/>
          <w:bCs/>
          <w:sz w:val="24"/>
          <w:highlight w:val="none"/>
        </w:rPr>
        <w:t>十、保密</w:t>
      </w:r>
    </w:p>
    <w:p w14:paraId="37431ECB">
      <w:pPr>
        <w:pStyle w:val="13"/>
        <w:spacing w:line="360" w:lineRule="auto"/>
        <w:ind w:firstLine="573"/>
        <w:rPr>
          <w:rFonts w:hint="default" w:ascii="Times New Roman" w:hAnsi="Times New Roman" w:eastAsia="宋体" w:cs="Times New Roman"/>
          <w:bCs/>
          <w:color w:val="000000" w:themeColor="text1"/>
          <w:sz w:val="24"/>
          <w:szCs w:val="24"/>
          <w:highlight w:val="none"/>
          <w14:textFill>
            <w14:solidFill>
              <w14:schemeClr w14:val="tx1"/>
            </w14:solidFill>
          </w14:textFill>
        </w:rPr>
      </w:pPr>
      <w:r>
        <w:rPr>
          <w:rFonts w:hint="default" w:ascii="Times New Roman" w:hAnsi="Times New Roman" w:eastAsia="宋体" w:cs="Times New Roman"/>
          <w:bCs/>
          <w:color w:val="000000" w:themeColor="text1"/>
          <w:sz w:val="24"/>
          <w:szCs w:val="24"/>
          <w:highlight w:val="none"/>
          <w14:textFill>
            <w14:solidFill>
              <w14:schemeClr w14:val="tx1"/>
            </w14:solidFill>
          </w14:textFill>
        </w:rPr>
        <w:t>1.双方在合作过程中，乙方从甲方获得的包括但不限于商业信息、数据和技术资料、财务信息、用户信息等均被视为甲方的保密信息，无论其以书面、口头、电子或其他任何形式提供。其所有权属于甲方，乙方保证该保密信息仅用于本协议的合作项目并予以保密，并至少采取与对自己的保密信息同样的保护措施和审慎程度进行保密。乙方为执行本协议的需要有权将保密信息披露给指定的雇员或其他组织、人员，并保证该等组织、人员均了解并同意遵从本保密约定。</w:t>
      </w:r>
    </w:p>
    <w:p w14:paraId="6CE51002">
      <w:pPr>
        <w:pStyle w:val="13"/>
        <w:spacing w:line="360" w:lineRule="auto"/>
        <w:ind w:firstLine="573"/>
        <w:rPr>
          <w:rFonts w:hint="default" w:ascii="Times New Roman" w:hAnsi="Times New Roman" w:eastAsia="宋体" w:cs="Times New Roman"/>
          <w:bCs/>
          <w:color w:val="000000" w:themeColor="text1"/>
          <w:sz w:val="24"/>
          <w:szCs w:val="24"/>
          <w:highlight w:val="none"/>
          <w14:textFill>
            <w14:solidFill>
              <w14:schemeClr w14:val="tx1"/>
            </w14:solidFill>
          </w14:textFill>
        </w:rPr>
      </w:pPr>
      <w:r>
        <w:rPr>
          <w:rFonts w:hint="default" w:ascii="Times New Roman" w:hAnsi="Times New Roman" w:eastAsia="宋体" w:cs="Times New Roman"/>
          <w:bCs/>
          <w:color w:val="000000" w:themeColor="text1"/>
          <w:sz w:val="24"/>
          <w:szCs w:val="24"/>
          <w:highlight w:val="none"/>
          <w14:textFill>
            <w14:solidFill>
              <w14:schemeClr w14:val="tx1"/>
            </w14:solidFill>
          </w14:textFill>
        </w:rPr>
        <w:t>2.未经甲方书面同意或相关行政机关要求，乙方不得向任意第三方披露或泄露甲方的商业秘密。经甲方提出要求，乙方应按照甲方的指示将含有保密信息的所有文件或其它资料归还给保密信息的甲方，或者按照甲方的指示予以销毁。</w:t>
      </w:r>
    </w:p>
    <w:p w14:paraId="1B23708C">
      <w:pPr>
        <w:pStyle w:val="13"/>
        <w:spacing w:line="360" w:lineRule="auto"/>
        <w:ind w:firstLine="573"/>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t>3.鉴于甲方保密规定，除非双方合作产出的重大成果获甲方书面的宣传许可，否则乙方不得通过任何方式使用“ZYCGR22011901”、</w:t>
      </w:r>
      <w:permStart w:id="58" w:edGrp="everyone"/>
      <w:r>
        <w:rPr>
          <w:rFonts w:hint="default" w:ascii="Times New Roman" w:hAnsi="Times New Roman" w:eastAsia="宋体" w:cs="Times New Roman"/>
          <w:b/>
          <w:bCs/>
          <w:sz w:val="24"/>
          <w:szCs w:val="24"/>
          <w:highlight w:val="none"/>
        </w:rPr>
        <w:t>“相关平台”</w:t>
      </w:r>
      <w:permEnd w:id="58"/>
      <w:r>
        <w:rPr>
          <w:rFonts w:hint="default" w:ascii="Times New Roman" w:hAnsi="Times New Roman" w:eastAsia="宋体" w:cs="Times New Roman"/>
          <w:b/>
          <w:bCs/>
          <w:sz w:val="24"/>
          <w:szCs w:val="24"/>
          <w:highlight w:val="none"/>
        </w:rPr>
        <w:t>的名称、商标、商号，或以“ZYCGR22011901某科学家”</w:t>
      </w:r>
      <w:permStart w:id="59" w:edGrp="everyone"/>
      <w:r>
        <w:rPr>
          <w:rFonts w:hint="default" w:ascii="Times New Roman" w:hAnsi="Times New Roman" w:eastAsia="宋体" w:cs="Times New Roman"/>
          <w:b/>
          <w:bCs/>
          <w:sz w:val="24"/>
          <w:szCs w:val="24"/>
          <w:highlight w:val="none"/>
        </w:rPr>
        <w:t>、“相关平台”</w:t>
      </w:r>
      <w:permEnd w:id="59"/>
      <w:r>
        <w:rPr>
          <w:rFonts w:hint="default" w:ascii="Times New Roman" w:hAnsi="Times New Roman" w:eastAsia="宋体" w:cs="Times New Roman"/>
          <w:b/>
          <w:bCs/>
          <w:sz w:val="24"/>
          <w:szCs w:val="24"/>
          <w:highlight w:val="none"/>
        </w:rPr>
        <w:t>的名义用于任何用途和目的。按法规要求和上市公司需公告情况的除外，但需事前告知甲方并取得甲方书面同意。</w:t>
      </w:r>
    </w:p>
    <w:p w14:paraId="20805078">
      <w:pPr>
        <w:pStyle w:val="13"/>
        <w:spacing w:line="360" w:lineRule="auto"/>
        <w:ind w:firstLine="573"/>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t>4.本保密条款自合同签订生效之日起永久有效，不受此</w:t>
      </w:r>
      <w:r>
        <w:rPr>
          <w:rFonts w:hint="default" w:ascii="Times New Roman" w:hAnsi="Times New Roman" w:eastAsia="宋体" w:cs="Times New Roman"/>
          <w:b/>
          <w:bCs/>
          <w:sz w:val="24"/>
          <w:szCs w:val="24"/>
          <w:highlight w:val="none"/>
          <w:lang w:val="en-US" w:eastAsia="zh-CN"/>
        </w:rPr>
        <w:t>采购合同终止或</w:t>
      </w:r>
      <w:r>
        <w:rPr>
          <w:rFonts w:hint="default" w:ascii="Times New Roman" w:hAnsi="Times New Roman" w:eastAsia="宋体" w:cs="Times New Roman"/>
          <w:b/>
          <w:bCs/>
          <w:sz w:val="24"/>
          <w:szCs w:val="24"/>
          <w:highlight w:val="none"/>
        </w:rPr>
        <w:t>效力变更</w:t>
      </w:r>
      <w:r>
        <w:rPr>
          <w:rFonts w:hint="default" w:ascii="Times New Roman" w:hAnsi="Times New Roman" w:eastAsia="宋体" w:cs="Times New Roman"/>
          <w:b/>
          <w:bCs/>
          <w:sz w:val="24"/>
          <w:szCs w:val="24"/>
          <w:highlight w:val="none"/>
          <w:lang w:eastAsia="zh-CN"/>
        </w:rPr>
        <w:t>的</w:t>
      </w:r>
      <w:r>
        <w:rPr>
          <w:rFonts w:hint="default" w:ascii="Times New Roman" w:hAnsi="Times New Roman" w:eastAsia="宋体" w:cs="Times New Roman"/>
          <w:b/>
          <w:bCs/>
          <w:sz w:val="24"/>
          <w:szCs w:val="24"/>
          <w:highlight w:val="none"/>
        </w:rPr>
        <w:t>影响。</w:t>
      </w:r>
    </w:p>
    <w:p w14:paraId="2D5FFE93">
      <w:pPr>
        <w:spacing w:line="400" w:lineRule="exact"/>
        <w:ind w:firstLine="482" w:firstLineChars="200"/>
        <w:rPr>
          <w:rFonts w:hint="default" w:ascii="Times New Roman" w:hAnsi="Times New Roman" w:eastAsia="宋体" w:cs="Times New Roman"/>
          <w:b/>
          <w:bCs/>
          <w:sz w:val="24"/>
          <w:highlight w:val="none"/>
        </w:rPr>
      </w:pPr>
      <w:r>
        <w:rPr>
          <w:rFonts w:hint="default" w:ascii="Times New Roman" w:hAnsi="Times New Roman" w:eastAsia="宋体" w:cs="Times New Roman"/>
          <w:b/>
          <w:bCs/>
          <w:sz w:val="24"/>
          <w:highlight w:val="none"/>
        </w:rPr>
        <w:t>十一、违约责任</w:t>
      </w:r>
    </w:p>
    <w:p w14:paraId="0289A425">
      <w:pPr>
        <w:spacing w:line="495" w:lineRule="exact"/>
        <w:ind w:firstLine="480" w:firstLineChars="200"/>
        <w:rPr>
          <w:rFonts w:hint="default" w:ascii="Times New Roman" w:hAnsi="Times New Roman" w:eastAsia="宋体" w:cs="Times New Roman"/>
          <w:bCs/>
          <w:color w:val="000000" w:themeColor="text1"/>
          <w:sz w:val="24"/>
          <w:highlight w:val="none"/>
          <w14:textFill>
            <w14:solidFill>
              <w14:schemeClr w14:val="tx1"/>
            </w14:solidFill>
          </w14:textFill>
        </w:rPr>
      </w:pPr>
      <w:r>
        <w:rPr>
          <w:rFonts w:hint="default" w:ascii="Times New Roman" w:hAnsi="Times New Roman" w:eastAsia="宋体" w:cs="Times New Roman"/>
          <w:bCs/>
          <w:color w:val="000000" w:themeColor="text1"/>
          <w:sz w:val="24"/>
          <w:highlight w:val="none"/>
          <w14:textFill>
            <w14:solidFill>
              <w14:schemeClr w14:val="tx1"/>
            </w14:solidFill>
          </w14:textFill>
        </w:rPr>
        <w:t>1.甲、乙双方均应全面履行本合同，任何一方未能按照本合同的约定履行自己的义务，应当承担违约责任并按合同的约定支付违约金。违约方还应当赔偿守约方因此遭受的损失。</w:t>
      </w:r>
    </w:p>
    <w:p w14:paraId="302E5A09">
      <w:pPr>
        <w:spacing w:line="495" w:lineRule="exact"/>
        <w:ind w:firstLine="424" w:firstLineChars="177"/>
        <w:rPr>
          <w:rFonts w:hint="default" w:ascii="Times New Roman" w:hAnsi="Times New Roman" w:eastAsia="宋体" w:cs="Times New Roman"/>
          <w:bCs/>
          <w:color w:val="000000" w:themeColor="text1"/>
          <w:sz w:val="24"/>
          <w:highlight w:val="none"/>
          <w14:textFill>
            <w14:solidFill>
              <w14:schemeClr w14:val="tx1"/>
            </w14:solidFill>
          </w14:textFill>
        </w:rPr>
      </w:pPr>
      <w:r>
        <w:rPr>
          <w:rFonts w:hint="default" w:ascii="Times New Roman" w:hAnsi="Times New Roman" w:eastAsia="宋体" w:cs="Times New Roman"/>
          <w:bCs/>
          <w:color w:val="000000" w:themeColor="text1"/>
          <w:sz w:val="24"/>
          <w:highlight w:val="none"/>
          <w14:textFill>
            <w14:solidFill>
              <w14:schemeClr w14:val="tx1"/>
            </w14:solidFill>
          </w14:textFill>
        </w:rPr>
        <w:t>2.乙方违反本合同</w:t>
      </w:r>
      <w:r>
        <w:rPr>
          <w:rFonts w:hint="default" w:ascii="Times New Roman" w:hAnsi="Times New Roman" w:eastAsia="宋体" w:cs="Times New Roman"/>
          <w:bCs/>
          <w:sz w:val="24"/>
          <w:highlight w:val="none"/>
        </w:rPr>
        <w:t>第二条第1款、第2款</w:t>
      </w:r>
      <w:r>
        <w:rPr>
          <w:rFonts w:hint="default" w:ascii="Times New Roman" w:hAnsi="Times New Roman" w:eastAsia="宋体" w:cs="Times New Roman"/>
          <w:bCs/>
          <w:color w:val="000000" w:themeColor="text1"/>
          <w:sz w:val="24"/>
          <w:highlight w:val="none"/>
          <w14:textFill>
            <w14:solidFill>
              <w14:schemeClr w14:val="tx1"/>
            </w14:solidFill>
          </w14:textFill>
        </w:rPr>
        <w:t>，逾期交付定制货物</w:t>
      </w:r>
      <w:r>
        <w:rPr>
          <w:rFonts w:hint="default" w:ascii="Times New Roman" w:hAnsi="Times New Roman" w:eastAsia="宋体" w:cs="Times New Roman"/>
          <w:bCs/>
          <w:color w:val="000000" w:themeColor="text1"/>
          <w:sz w:val="24"/>
          <w:highlight w:val="none"/>
          <w:lang w:val="en-US" w:eastAsia="zh-CN"/>
          <w14:textFill>
            <w14:solidFill>
              <w14:schemeClr w14:val="tx1"/>
            </w14:solidFill>
          </w14:textFill>
        </w:rPr>
        <w:t>或逾期完成定制货物</w:t>
      </w:r>
      <w:r>
        <w:rPr>
          <w:rFonts w:hint="default" w:ascii="Times New Roman" w:hAnsi="Times New Roman" w:eastAsia="宋体" w:cs="Times New Roman"/>
          <w:bCs/>
          <w:color w:val="000000" w:themeColor="text1"/>
          <w:sz w:val="24"/>
          <w:highlight w:val="none"/>
          <w:shd w:val="clear"/>
          <w14:textFill>
            <w14:solidFill>
              <w14:schemeClr w14:val="tx1"/>
            </w14:solidFill>
          </w14:textFill>
        </w:rPr>
        <w:t>独立运行及</w:t>
      </w:r>
      <w:r>
        <w:rPr>
          <w:rFonts w:hint="default" w:ascii="Times New Roman" w:hAnsi="Times New Roman" w:eastAsia="宋体" w:cs="Times New Roman"/>
          <w:bCs/>
          <w:color w:val="000000" w:themeColor="text1"/>
          <w:sz w:val="24"/>
          <w:highlight w:val="none"/>
          <w:shd w:val="clear"/>
          <w:lang w:val="en-US" w:eastAsia="zh-CN"/>
          <w14:textFill>
            <w14:solidFill>
              <w14:schemeClr w14:val="tx1"/>
            </w14:solidFill>
          </w14:textFill>
        </w:rPr>
        <w:t>四个模块联调</w:t>
      </w:r>
      <w:r>
        <w:rPr>
          <w:rFonts w:hint="default" w:ascii="Times New Roman" w:hAnsi="Times New Roman" w:eastAsia="宋体" w:cs="Times New Roman"/>
          <w:bCs/>
          <w:color w:val="000000" w:themeColor="text1"/>
          <w:sz w:val="24"/>
          <w:highlight w:val="none"/>
          <w:lang w:val="en-US" w:eastAsia="zh-CN"/>
          <w14:textFill>
            <w14:solidFill>
              <w14:schemeClr w14:val="tx1"/>
            </w14:solidFill>
          </w14:textFill>
        </w:rPr>
        <w:t>或逾期完成</w:t>
      </w:r>
      <w:r>
        <w:rPr>
          <w:rFonts w:hint="default" w:ascii="Times New Roman" w:hAnsi="Times New Roman" w:eastAsia="宋体" w:cs="Times New Roman"/>
          <w:bCs/>
          <w:color w:val="000000" w:themeColor="text1"/>
          <w:sz w:val="24"/>
          <w:highlight w:val="none"/>
          <w:shd w:val="clear"/>
          <w:lang w:val="en-US" w:eastAsia="zh-CN"/>
          <w14:textFill>
            <w14:solidFill>
              <w14:schemeClr w14:val="tx1"/>
            </w14:solidFill>
          </w14:textFill>
        </w:rPr>
        <w:t>设备</w:t>
      </w:r>
      <w:r>
        <w:rPr>
          <w:rFonts w:hint="default" w:ascii="Times New Roman" w:hAnsi="Times New Roman" w:eastAsia="宋体" w:cs="Times New Roman"/>
          <w:bCs/>
          <w:color w:val="000000" w:themeColor="text1"/>
          <w:sz w:val="24"/>
          <w:highlight w:val="none"/>
          <w:shd w:val="clear"/>
          <w:lang w:val="en-US"/>
          <w14:textFill>
            <w14:solidFill>
              <w14:schemeClr w14:val="tx1"/>
            </w14:solidFill>
          </w14:textFill>
        </w:rPr>
        <w:t>生物性样本测试，实现葛洪系统的稳定对接</w:t>
      </w:r>
      <w:r>
        <w:rPr>
          <w:rFonts w:hint="default" w:ascii="Times New Roman" w:hAnsi="Times New Roman" w:eastAsia="宋体" w:cs="Times New Roman"/>
          <w:bCs/>
          <w:color w:val="000000" w:themeColor="text1"/>
          <w:sz w:val="24"/>
          <w:highlight w:val="none"/>
          <w14:textFill>
            <w14:solidFill>
              <w14:schemeClr w14:val="tx1"/>
            </w14:solidFill>
          </w14:textFill>
        </w:rPr>
        <w:t>的，每逾期一日，应按合同服务费总额的3‰向甲方支付违约金，直至实际交付货物之日止；乙方逾期交付货物超过15天的，甲方有权单方解除合同。</w:t>
      </w:r>
    </w:p>
    <w:p w14:paraId="2AC09B08">
      <w:pPr>
        <w:spacing w:line="495" w:lineRule="exact"/>
        <w:ind w:firstLine="424" w:firstLineChars="177"/>
        <w:rPr>
          <w:rFonts w:hint="default" w:ascii="Times New Roman" w:hAnsi="Times New Roman" w:eastAsia="宋体" w:cs="Times New Roman"/>
          <w:bCs/>
          <w:color w:val="000000" w:themeColor="text1"/>
          <w:sz w:val="24"/>
          <w:highlight w:val="none"/>
          <w14:textFill>
            <w14:solidFill>
              <w14:schemeClr w14:val="tx1"/>
            </w14:solidFill>
          </w14:textFill>
        </w:rPr>
      </w:pPr>
      <w:r>
        <w:rPr>
          <w:rFonts w:hint="default" w:ascii="Times New Roman" w:hAnsi="Times New Roman" w:eastAsia="宋体" w:cs="Times New Roman"/>
          <w:bCs/>
          <w:color w:val="000000" w:themeColor="text1"/>
          <w:sz w:val="24"/>
          <w:highlight w:val="none"/>
          <w14:textFill>
            <w14:solidFill>
              <w14:schemeClr w14:val="tx1"/>
            </w14:solidFill>
          </w14:textFill>
        </w:rPr>
        <w:t>3.乙方违反本合同</w:t>
      </w:r>
      <w:r>
        <w:rPr>
          <w:rFonts w:hint="default" w:ascii="Times New Roman" w:hAnsi="Times New Roman" w:eastAsia="宋体" w:cs="Times New Roman"/>
          <w:bCs/>
          <w:sz w:val="24"/>
          <w:highlight w:val="none"/>
        </w:rPr>
        <w:t>第二条第3款、第六条</w:t>
      </w:r>
      <w:r>
        <w:rPr>
          <w:rFonts w:hint="default" w:ascii="Times New Roman" w:hAnsi="Times New Roman" w:eastAsia="宋体" w:cs="Times New Roman"/>
          <w:bCs/>
          <w:color w:val="000000" w:themeColor="text1"/>
          <w:sz w:val="24"/>
          <w:highlight w:val="none"/>
          <w14:textFill>
            <w14:solidFill>
              <w14:schemeClr w14:val="tx1"/>
            </w14:solidFill>
          </w14:textFill>
        </w:rPr>
        <w:t>，交付的定制货物不符合本合同约定技术参数、性能指标、质量要求、安全要求或经综合验收不合格的，甲方有权选择退货、换货、维修或解除合同。</w:t>
      </w:r>
    </w:p>
    <w:p w14:paraId="17DFAC4F">
      <w:pPr>
        <w:spacing w:line="495" w:lineRule="exact"/>
        <w:ind w:firstLine="424" w:firstLineChars="177"/>
        <w:rPr>
          <w:rFonts w:hint="default" w:ascii="Times New Roman" w:hAnsi="Times New Roman" w:eastAsia="宋体" w:cs="Times New Roman"/>
          <w:highlight w:val="none"/>
        </w:rPr>
      </w:pPr>
      <w:r>
        <w:rPr>
          <w:rFonts w:hint="default" w:ascii="Times New Roman" w:hAnsi="Times New Roman" w:eastAsia="宋体" w:cs="Times New Roman"/>
          <w:bCs/>
          <w:color w:val="000000" w:themeColor="text1"/>
          <w:sz w:val="24"/>
          <w:highlight w:val="none"/>
          <w14:textFill>
            <w14:solidFill>
              <w14:schemeClr w14:val="tx1"/>
            </w14:solidFill>
          </w14:textFill>
        </w:rPr>
        <w:t>4.乙方违反本合同第四条第3款第（1）项，逾期出具符合要求的预付款保函</w:t>
      </w:r>
      <w:r>
        <w:rPr>
          <w:rFonts w:hint="default" w:ascii="Times New Roman" w:hAnsi="Times New Roman" w:eastAsia="宋体" w:cs="Times New Roman"/>
          <w:bCs/>
          <w:color w:val="000000" w:themeColor="text1"/>
          <w:sz w:val="24"/>
          <w:highlight w:val="none"/>
          <w:lang w:val="en-US" w:eastAsia="zh-CN"/>
          <w14:textFill>
            <w14:solidFill>
              <w14:schemeClr w14:val="tx1"/>
            </w14:solidFill>
          </w14:textFill>
        </w:rPr>
        <w:t>或有效期届满后未按要求换开保函的</w:t>
      </w:r>
      <w:r>
        <w:rPr>
          <w:rFonts w:hint="default" w:ascii="Times New Roman" w:hAnsi="Times New Roman" w:eastAsia="宋体" w:cs="Times New Roman"/>
          <w:bCs/>
          <w:color w:val="000000" w:themeColor="text1"/>
          <w:sz w:val="24"/>
          <w:highlight w:val="none"/>
          <w14:textFill>
            <w14:solidFill>
              <w14:schemeClr w14:val="tx1"/>
            </w14:solidFill>
          </w14:textFill>
        </w:rPr>
        <w:t>，每逾期一日应按合同预付款金额的3‰向甲方支付违约金，逾期超过</w:t>
      </w:r>
      <w:r>
        <w:rPr>
          <w:rFonts w:hint="default" w:ascii="Times New Roman" w:hAnsi="Times New Roman" w:eastAsia="宋体" w:cs="Times New Roman"/>
          <w:bCs/>
          <w:color w:val="000000" w:themeColor="text1"/>
          <w:sz w:val="24"/>
          <w:highlight w:val="none"/>
          <w:lang w:val="en-US" w:eastAsia="zh-CN"/>
          <w14:textFill>
            <w14:solidFill>
              <w14:schemeClr w14:val="tx1"/>
            </w14:solidFill>
          </w14:textFill>
        </w:rPr>
        <w:t>15</w:t>
      </w:r>
      <w:r>
        <w:rPr>
          <w:rFonts w:hint="default" w:ascii="Times New Roman" w:hAnsi="Times New Roman" w:eastAsia="宋体" w:cs="Times New Roman"/>
          <w:highlight w:val="none"/>
          <w:lang w:val="en-US" w:eastAsia="zh-CN"/>
        </w:rPr>
        <w:t>天</w:t>
      </w:r>
      <w:r>
        <w:rPr>
          <w:rFonts w:hint="default" w:ascii="Times New Roman" w:hAnsi="Times New Roman" w:eastAsia="宋体" w:cs="Times New Roman"/>
          <w:bCs/>
          <w:color w:val="000000" w:themeColor="text1"/>
          <w:sz w:val="24"/>
          <w:highlight w:val="none"/>
          <w14:textFill>
            <w14:solidFill>
              <w14:schemeClr w14:val="tx1"/>
            </w14:solidFill>
          </w14:textFill>
        </w:rPr>
        <w:t>的，甲方有权单方解除合同。</w:t>
      </w:r>
    </w:p>
    <w:p w14:paraId="126F5B5A">
      <w:pPr>
        <w:spacing w:line="495" w:lineRule="exact"/>
        <w:ind w:firstLine="424" w:firstLineChars="177"/>
        <w:rPr>
          <w:rFonts w:hint="default" w:ascii="Times New Roman" w:hAnsi="Times New Roman" w:eastAsia="宋体" w:cs="Times New Roman"/>
          <w:bCs/>
          <w:color w:val="000000" w:themeColor="text1"/>
          <w:sz w:val="24"/>
          <w:highlight w:val="none"/>
          <w14:textFill>
            <w14:solidFill>
              <w14:schemeClr w14:val="tx1"/>
            </w14:solidFill>
          </w14:textFill>
        </w:rPr>
      </w:pPr>
      <w:r>
        <w:rPr>
          <w:rFonts w:hint="default" w:ascii="Times New Roman" w:hAnsi="Times New Roman" w:eastAsia="宋体" w:cs="Times New Roman"/>
          <w:bCs/>
          <w:color w:val="000000" w:themeColor="text1"/>
          <w:sz w:val="24"/>
          <w:highlight w:val="none"/>
          <w14:textFill>
            <w14:solidFill>
              <w14:schemeClr w14:val="tx1"/>
            </w14:solidFill>
          </w14:textFill>
        </w:rPr>
        <w:t>5.乙方违反本合同第四条第3款第（2）项，逾期提交履约保证金，或者履约保函有效期届满未按约定换开保函的，每逾期一日应按合同总额的3‰向甲方支付违约金，逾期超过</w:t>
      </w:r>
      <w:r>
        <w:rPr>
          <w:rFonts w:hint="default" w:ascii="Times New Roman" w:hAnsi="Times New Roman" w:eastAsia="宋体" w:cs="Times New Roman"/>
          <w:bCs/>
          <w:color w:val="000000" w:themeColor="text1"/>
          <w:sz w:val="24"/>
          <w:highlight w:val="none"/>
          <w:lang w:val="en-US" w:eastAsia="zh-CN"/>
          <w14:textFill>
            <w14:solidFill>
              <w14:schemeClr w14:val="tx1"/>
            </w14:solidFill>
          </w14:textFill>
        </w:rPr>
        <w:t>15</w:t>
      </w:r>
      <w:r>
        <w:rPr>
          <w:rFonts w:hint="default" w:ascii="Times New Roman" w:hAnsi="Times New Roman" w:eastAsia="宋体" w:cs="Times New Roman"/>
          <w:bCs/>
          <w:color w:val="000000" w:themeColor="text1"/>
          <w:sz w:val="24"/>
          <w:highlight w:val="none"/>
          <w14:textFill>
            <w14:solidFill>
              <w14:schemeClr w14:val="tx1"/>
            </w14:solidFill>
          </w14:textFill>
        </w:rPr>
        <w:t>天的，甲方有权单方解除合同。</w:t>
      </w:r>
    </w:p>
    <w:p w14:paraId="367989E7">
      <w:pPr>
        <w:spacing w:line="495" w:lineRule="exact"/>
        <w:ind w:firstLine="424" w:firstLineChars="177"/>
        <w:rPr>
          <w:rFonts w:hint="default" w:ascii="Times New Roman" w:hAnsi="Times New Roman" w:eastAsia="宋体" w:cs="Times New Roman"/>
          <w:bCs/>
          <w:color w:val="000000" w:themeColor="text1"/>
          <w:sz w:val="24"/>
          <w:highlight w:val="none"/>
          <w14:textFill>
            <w14:solidFill>
              <w14:schemeClr w14:val="tx1"/>
            </w14:solidFill>
          </w14:textFill>
        </w:rPr>
      </w:pPr>
      <w:r>
        <w:rPr>
          <w:rFonts w:hint="default" w:ascii="Times New Roman" w:hAnsi="Times New Roman" w:eastAsia="宋体" w:cs="Times New Roman"/>
          <w:bCs/>
          <w:color w:val="000000" w:themeColor="text1"/>
          <w:sz w:val="24"/>
          <w:highlight w:val="none"/>
          <w14:textFill>
            <w14:solidFill>
              <w14:schemeClr w14:val="tx1"/>
            </w14:solidFill>
          </w14:textFill>
        </w:rPr>
        <w:t>6.乙方违反本合同第六</w:t>
      </w:r>
      <w:r>
        <w:rPr>
          <w:rFonts w:hint="default" w:ascii="Times New Roman" w:hAnsi="Times New Roman" w:eastAsia="宋体" w:cs="Times New Roman"/>
          <w:bCs/>
          <w:sz w:val="24"/>
          <w:highlight w:val="none"/>
        </w:rPr>
        <w:t>条第1款</w:t>
      </w:r>
      <w:r>
        <w:rPr>
          <w:rFonts w:hint="default" w:ascii="Times New Roman" w:hAnsi="Times New Roman" w:eastAsia="宋体" w:cs="Times New Roman"/>
          <w:bCs/>
          <w:color w:val="000000" w:themeColor="text1"/>
          <w:sz w:val="24"/>
          <w:highlight w:val="none"/>
          <w14:textFill>
            <w14:solidFill>
              <w14:schemeClr w14:val="tx1"/>
            </w14:solidFill>
          </w14:textFill>
        </w:rPr>
        <w:t>，未按甲方要求提交委托定制货物配套技术资料的，且经甲方催促后在15天内仍未提供的，甲方有权单方解除合同。</w:t>
      </w:r>
    </w:p>
    <w:p w14:paraId="44FB550D">
      <w:pPr>
        <w:spacing w:line="495" w:lineRule="exact"/>
        <w:ind w:firstLine="424" w:firstLineChars="177"/>
        <w:rPr>
          <w:rFonts w:hint="default" w:ascii="Times New Roman" w:hAnsi="Times New Roman" w:eastAsia="宋体" w:cs="Times New Roman"/>
          <w:bCs/>
          <w:color w:val="000000" w:themeColor="text1"/>
          <w:sz w:val="24"/>
          <w:highlight w:val="none"/>
          <w14:textFill>
            <w14:solidFill>
              <w14:schemeClr w14:val="tx1"/>
            </w14:solidFill>
          </w14:textFill>
        </w:rPr>
      </w:pPr>
      <w:r>
        <w:rPr>
          <w:rFonts w:hint="default" w:ascii="Times New Roman" w:hAnsi="Times New Roman" w:eastAsia="宋体" w:cs="Times New Roman"/>
          <w:bCs/>
          <w:color w:val="000000" w:themeColor="text1"/>
          <w:sz w:val="24"/>
          <w:highlight w:val="none"/>
          <w14:textFill>
            <w14:solidFill>
              <w14:schemeClr w14:val="tx1"/>
            </w14:solidFill>
          </w14:textFill>
        </w:rPr>
        <w:t>7.乙方违反本合同第六</w:t>
      </w:r>
      <w:r>
        <w:rPr>
          <w:rFonts w:hint="default" w:ascii="Times New Roman" w:hAnsi="Times New Roman" w:eastAsia="宋体" w:cs="Times New Roman"/>
          <w:bCs/>
          <w:sz w:val="24"/>
          <w:highlight w:val="none"/>
        </w:rPr>
        <w:t>条第2款、第3款</w:t>
      </w:r>
      <w:r>
        <w:rPr>
          <w:rFonts w:hint="default" w:ascii="Times New Roman" w:hAnsi="Times New Roman" w:eastAsia="宋体" w:cs="Times New Roman"/>
          <w:bCs/>
          <w:color w:val="000000" w:themeColor="text1"/>
          <w:sz w:val="24"/>
          <w:highlight w:val="none"/>
          <w14:textFill>
            <w14:solidFill>
              <w14:schemeClr w14:val="tx1"/>
            </w14:solidFill>
          </w14:textFill>
        </w:rPr>
        <w:t>，逾期对货物进行安装、调试或申请甲方综合验收的，则每逾期一日应按合同总额的3‰向甲方支付违约金。逾期超过15天的，甲方既有权自行委托第三方对货物进行安装、调试，安装、调试产生的费用由乙方承担，也有权单方解除合同。</w:t>
      </w:r>
    </w:p>
    <w:p w14:paraId="4A61BDC9">
      <w:pPr>
        <w:spacing w:line="495" w:lineRule="exact"/>
        <w:ind w:firstLine="424" w:firstLineChars="177"/>
        <w:rPr>
          <w:rFonts w:hint="default" w:ascii="Times New Roman" w:hAnsi="Times New Roman" w:eastAsia="宋体" w:cs="Times New Roman"/>
          <w:bCs/>
          <w:color w:val="000000" w:themeColor="text1"/>
          <w:sz w:val="24"/>
          <w:highlight w:val="none"/>
          <w14:textFill>
            <w14:solidFill>
              <w14:schemeClr w14:val="tx1"/>
            </w14:solidFill>
          </w14:textFill>
        </w:rPr>
      </w:pPr>
      <w:r>
        <w:rPr>
          <w:rFonts w:hint="default" w:ascii="Times New Roman" w:hAnsi="Times New Roman" w:eastAsia="宋体" w:cs="Times New Roman"/>
          <w:bCs/>
          <w:color w:val="000000" w:themeColor="text1"/>
          <w:sz w:val="24"/>
          <w:highlight w:val="none"/>
          <w14:textFill>
            <w14:solidFill>
              <w14:schemeClr w14:val="tx1"/>
            </w14:solidFill>
          </w14:textFill>
        </w:rPr>
        <w:t>8.乙方违反本合同第九</w:t>
      </w:r>
      <w:r>
        <w:rPr>
          <w:rFonts w:hint="default" w:ascii="Times New Roman" w:hAnsi="Times New Roman" w:eastAsia="宋体" w:cs="Times New Roman"/>
          <w:bCs/>
          <w:sz w:val="24"/>
          <w:highlight w:val="none"/>
        </w:rPr>
        <w:t>条第1-3款</w:t>
      </w:r>
      <w:r>
        <w:rPr>
          <w:rFonts w:hint="default" w:ascii="Times New Roman" w:hAnsi="Times New Roman" w:eastAsia="宋体" w:cs="Times New Roman"/>
          <w:bCs/>
          <w:color w:val="000000" w:themeColor="text1"/>
          <w:sz w:val="24"/>
          <w:highlight w:val="none"/>
          <w14:textFill>
            <w14:solidFill>
              <w14:schemeClr w14:val="tx1"/>
            </w14:solidFill>
          </w14:textFill>
        </w:rPr>
        <w:t>，每违反一次应按合同总额的3‰向甲方支付违约金，且甲方有权自行委托第三方提供甲方所需要的技术支持和售后服务，所发生的费用由乙方承担，如因此造成甲方损失的，乙方应承担赔偿责任。</w:t>
      </w:r>
    </w:p>
    <w:p w14:paraId="1E8D710B">
      <w:pPr>
        <w:spacing w:line="495" w:lineRule="exact"/>
        <w:ind w:firstLine="424" w:firstLineChars="177"/>
        <w:rPr>
          <w:rFonts w:hint="default" w:ascii="Times New Roman" w:hAnsi="Times New Roman" w:eastAsia="宋体" w:cs="Times New Roman"/>
          <w:bCs/>
          <w:color w:val="000000" w:themeColor="text1"/>
          <w:sz w:val="24"/>
          <w:highlight w:val="none"/>
          <w14:textFill>
            <w14:solidFill>
              <w14:schemeClr w14:val="tx1"/>
            </w14:solidFill>
          </w14:textFill>
        </w:rPr>
      </w:pPr>
      <w:r>
        <w:rPr>
          <w:rFonts w:hint="default" w:ascii="Times New Roman" w:hAnsi="Times New Roman" w:eastAsia="宋体" w:cs="Times New Roman"/>
          <w:sz w:val="24"/>
          <w:highlight w:val="none"/>
        </w:rPr>
        <w:t>9.</w:t>
      </w:r>
      <w:r>
        <w:rPr>
          <w:rFonts w:hint="default" w:ascii="Times New Roman" w:hAnsi="Times New Roman" w:eastAsia="宋体" w:cs="Times New Roman"/>
          <w:bCs/>
          <w:color w:val="000000" w:themeColor="text1"/>
          <w:sz w:val="24"/>
          <w:highlight w:val="none"/>
          <w14:textFill>
            <w14:solidFill>
              <w14:schemeClr w14:val="tx1"/>
            </w14:solidFill>
          </w14:textFill>
        </w:rPr>
        <w:t xml:space="preserve"> 乙方违反本合同第九</w:t>
      </w:r>
      <w:r>
        <w:rPr>
          <w:rFonts w:hint="default" w:ascii="Times New Roman" w:hAnsi="Times New Roman" w:eastAsia="宋体" w:cs="Times New Roman"/>
          <w:bCs/>
          <w:sz w:val="24"/>
          <w:highlight w:val="none"/>
        </w:rPr>
        <w:t>条第5款</w:t>
      </w:r>
      <w:r>
        <w:rPr>
          <w:rFonts w:hint="default" w:ascii="Times New Roman" w:hAnsi="Times New Roman" w:eastAsia="宋体" w:cs="Times New Roman"/>
          <w:bCs/>
          <w:color w:val="000000" w:themeColor="text1"/>
          <w:sz w:val="24"/>
          <w:highlight w:val="none"/>
          <w14:textFill>
            <w14:solidFill>
              <w14:schemeClr w14:val="tx1"/>
            </w14:solidFill>
          </w14:textFill>
        </w:rPr>
        <w:t>，拒绝或逾期按甲方要求对定制货物进行二次搬迁、数据迁移、移机及安装、调试等部署服务（如有），则每逾期一日应按合同服务费总额的3‰向甲方支付违约金。逾期超过15天的，甲方有权自行委托第三方对定制货物进行二次搬迁、数据迁移、移机及安装、调试等部署服务，由此产生的费用由乙方承担，甲方有权从应支付给乙方的尾款中扣除，不足扣除部分，甲方有权向乙方追偿。</w:t>
      </w:r>
    </w:p>
    <w:p w14:paraId="0C8BE27D">
      <w:pPr>
        <w:spacing w:line="495" w:lineRule="exact"/>
        <w:ind w:firstLine="424" w:firstLineChars="177"/>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10.</w:t>
      </w:r>
      <w:r>
        <w:rPr>
          <w:rFonts w:hint="default" w:ascii="Times New Roman" w:hAnsi="Times New Roman" w:eastAsia="宋体" w:cs="Times New Roman"/>
          <w:bCs/>
          <w:color w:val="000000" w:themeColor="text1"/>
          <w:sz w:val="24"/>
          <w:highlight w:val="none"/>
          <w14:textFill>
            <w14:solidFill>
              <w14:schemeClr w14:val="tx1"/>
            </w14:solidFill>
          </w14:textFill>
        </w:rPr>
        <w:t xml:space="preserve"> 乙方违反本合同第九</w:t>
      </w:r>
      <w:r>
        <w:rPr>
          <w:rFonts w:hint="default" w:ascii="Times New Roman" w:hAnsi="Times New Roman" w:eastAsia="宋体" w:cs="Times New Roman"/>
          <w:bCs/>
          <w:sz w:val="24"/>
          <w:highlight w:val="none"/>
        </w:rPr>
        <w:t>条第6款</w:t>
      </w:r>
      <w:r>
        <w:rPr>
          <w:rFonts w:hint="default" w:ascii="Times New Roman" w:hAnsi="Times New Roman" w:eastAsia="宋体" w:cs="Times New Roman"/>
          <w:bCs/>
          <w:color w:val="000000" w:themeColor="text1"/>
          <w:sz w:val="24"/>
          <w:highlight w:val="none"/>
          <w14:textFill>
            <w14:solidFill>
              <w14:schemeClr w14:val="tx1"/>
            </w14:solidFill>
          </w14:textFill>
        </w:rPr>
        <w:t>，拒绝或逾期配合甲方进行“相关</w:t>
      </w:r>
      <w:r>
        <w:rPr>
          <w:rFonts w:hint="default" w:ascii="Times New Roman" w:hAnsi="Times New Roman" w:eastAsia="宋体" w:cs="Times New Roman"/>
          <w:bCs/>
          <w:color w:val="000000" w:themeColor="text1"/>
          <w:sz w:val="24"/>
          <w:highlight w:val="none"/>
          <w:lang w:val="en-US" w:eastAsia="zh-CN"/>
          <w14:textFill>
            <w14:solidFill>
              <w14:schemeClr w14:val="tx1"/>
            </w14:solidFill>
          </w14:textFill>
        </w:rPr>
        <w:t>实验室</w:t>
      </w:r>
      <w:r>
        <w:rPr>
          <w:rFonts w:hint="default" w:ascii="Times New Roman" w:hAnsi="Times New Roman" w:eastAsia="宋体" w:cs="Times New Roman"/>
          <w:bCs/>
          <w:color w:val="000000" w:themeColor="text1"/>
          <w:sz w:val="24"/>
          <w:highlight w:val="none"/>
          <w14:textFill>
            <w14:solidFill>
              <w14:schemeClr w14:val="tx1"/>
            </w14:solidFill>
          </w14:textFill>
        </w:rPr>
        <w:t>平台”项目整体联合调试的，则每逾期一日应按合同总额的3‰向甲方支付违约金。逾期超过15天的，甲方有权单方解除合同。</w:t>
      </w:r>
    </w:p>
    <w:p w14:paraId="1FA4B5F1">
      <w:pPr>
        <w:spacing w:line="495" w:lineRule="exact"/>
        <w:ind w:firstLine="424" w:firstLineChars="177"/>
        <w:rPr>
          <w:rFonts w:hint="default" w:ascii="Times New Roman" w:hAnsi="Times New Roman" w:eastAsia="宋体" w:cs="Times New Roman"/>
          <w:bCs/>
          <w:color w:val="000000" w:themeColor="text1"/>
          <w:sz w:val="24"/>
          <w:highlight w:val="none"/>
          <w14:textFill>
            <w14:solidFill>
              <w14:schemeClr w14:val="tx1"/>
            </w14:solidFill>
          </w14:textFill>
        </w:rPr>
      </w:pPr>
      <w:r>
        <w:rPr>
          <w:rFonts w:hint="default" w:ascii="Times New Roman" w:hAnsi="Times New Roman" w:eastAsia="宋体" w:cs="Times New Roman"/>
          <w:bCs/>
          <w:color w:val="000000" w:themeColor="text1"/>
          <w:sz w:val="24"/>
          <w:highlight w:val="none"/>
          <w14:textFill>
            <w14:solidFill>
              <w14:schemeClr w14:val="tx1"/>
            </w14:solidFill>
          </w14:textFill>
        </w:rPr>
        <w:t>11.乙方承诺交付给甲方</w:t>
      </w:r>
      <w:r>
        <w:rPr>
          <w:rFonts w:hint="default" w:ascii="Times New Roman" w:hAnsi="Times New Roman" w:eastAsia="宋体" w:cs="Times New Roman"/>
          <w:bCs/>
          <w:sz w:val="24"/>
          <w:highlight w:val="none"/>
        </w:rPr>
        <w:t>的定制</w:t>
      </w:r>
      <w:r>
        <w:rPr>
          <w:rFonts w:hint="default" w:ascii="Times New Roman" w:hAnsi="Times New Roman" w:eastAsia="宋体" w:cs="Times New Roman"/>
          <w:bCs/>
          <w:color w:val="000000" w:themeColor="text1"/>
          <w:sz w:val="24"/>
          <w:highlight w:val="none"/>
          <w14:textFill>
            <w14:solidFill>
              <w14:schemeClr w14:val="tx1"/>
            </w14:solidFill>
          </w14:textFill>
        </w:rPr>
        <w:t>货物不存在侵犯第三方知识产权的情形，如甲方</w:t>
      </w:r>
      <w:r>
        <w:rPr>
          <w:rFonts w:hint="default" w:ascii="Times New Roman" w:hAnsi="Times New Roman" w:eastAsia="宋体" w:cs="Times New Roman"/>
          <w:bCs/>
          <w:color w:val="000000" w:themeColor="text1"/>
          <w:sz w:val="24"/>
          <w:highlight w:val="none"/>
          <w:lang w:val="en-US" w:eastAsia="zh-CN"/>
          <w14:textFill>
            <w14:solidFill>
              <w14:schemeClr w14:val="tx1"/>
            </w14:solidFill>
          </w14:textFill>
        </w:rPr>
        <w:t>因</w:t>
      </w:r>
      <w:r>
        <w:rPr>
          <w:rFonts w:hint="default" w:ascii="Times New Roman" w:hAnsi="Times New Roman" w:eastAsia="宋体" w:cs="Times New Roman"/>
          <w:bCs/>
          <w:color w:val="000000" w:themeColor="text1"/>
          <w:sz w:val="24"/>
          <w:highlight w:val="none"/>
          <w14:textFill>
            <w14:solidFill>
              <w14:schemeClr w14:val="tx1"/>
            </w14:solidFill>
          </w14:textFill>
        </w:rPr>
        <w:t>使用乙方交付的定制货物被第三方主张侵权赔偿、承担法律责任或被行政机关作出处罚的，乙方应负责赔偿甲方因此支付的赔偿款、罚款及产生的损失，且甲方有权立即解除合同、退还货物。</w:t>
      </w:r>
    </w:p>
    <w:p w14:paraId="4486E0EF">
      <w:pPr>
        <w:pStyle w:val="49"/>
        <w:spacing w:line="360" w:lineRule="auto"/>
        <w:ind w:firstLine="480" w:firstLineChars="200"/>
        <w:rPr>
          <w:rFonts w:hint="default" w:ascii="Times New Roman" w:hAnsi="Times New Roman" w:eastAsia="宋体" w:cs="Times New Roman"/>
          <w:szCs w:val="24"/>
          <w:highlight w:val="none"/>
        </w:rPr>
      </w:pPr>
      <w:r>
        <w:rPr>
          <w:rFonts w:hint="default" w:ascii="Times New Roman" w:hAnsi="Times New Roman" w:eastAsia="宋体" w:cs="Times New Roman"/>
          <w:bCs/>
          <w:color w:val="000000" w:themeColor="text1"/>
          <w:szCs w:val="24"/>
          <w:highlight w:val="none"/>
          <w14:textFill>
            <w14:solidFill>
              <w14:schemeClr w14:val="tx1"/>
            </w14:solidFill>
          </w14:textFill>
        </w:rPr>
        <w:t>12.乙方</w:t>
      </w:r>
      <w:r>
        <w:rPr>
          <w:rFonts w:hint="default" w:ascii="Times New Roman" w:hAnsi="Times New Roman" w:eastAsia="宋体" w:cs="Times New Roman"/>
          <w:szCs w:val="24"/>
          <w:highlight w:val="none"/>
        </w:rPr>
        <w:t>违反本合同第十条保密义务的，须向甲方支付合同总额30%的违约金。如该违约金不足以赔偿甲方损失的，乙方还应对造成的甲方损失进行赔偿。</w:t>
      </w:r>
    </w:p>
    <w:p w14:paraId="39E59D03">
      <w:pPr>
        <w:pStyle w:val="49"/>
        <w:spacing w:line="360" w:lineRule="auto"/>
        <w:ind w:firstLine="480" w:firstLineChars="200"/>
        <w:rPr>
          <w:rFonts w:hint="default" w:ascii="Times New Roman" w:hAnsi="Times New Roman" w:eastAsia="宋体" w:cs="Times New Roman"/>
          <w:bCs/>
          <w:color w:val="000000" w:themeColor="text1"/>
          <w:szCs w:val="24"/>
          <w:highlight w:val="none"/>
          <w14:textFill>
            <w14:solidFill>
              <w14:schemeClr w14:val="tx1"/>
            </w14:solidFill>
          </w14:textFill>
        </w:rPr>
      </w:pPr>
      <w:r>
        <w:rPr>
          <w:rFonts w:hint="default" w:ascii="Times New Roman" w:hAnsi="Times New Roman" w:eastAsia="宋体" w:cs="Times New Roman"/>
          <w:szCs w:val="24"/>
          <w:highlight w:val="none"/>
        </w:rPr>
        <w:t>13</w:t>
      </w:r>
      <w:r>
        <w:rPr>
          <w:rFonts w:hint="default" w:ascii="Times New Roman" w:hAnsi="Times New Roman" w:eastAsia="宋体" w:cs="Times New Roman"/>
          <w:bCs/>
          <w:color w:val="000000" w:themeColor="text1"/>
          <w:szCs w:val="24"/>
          <w:highlight w:val="none"/>
          <w14:textFill>
            <w14:solidFill>
              <w14:schemeClr w14:val="tx1"/>
            </w14:solidFill>
          </w14:textFill>
        </w:rPr>
        <w:t>.甲方违反本合同第四条第1款，逾期付款的，每逾期一日应按欠付金额的0.1‰向乙方支付违约金，逾期超过30天的，乙方有权单方解除合同</w:t>
      </w:r>
      <w:r>
        <w:rPr>
          <w:rFonts w:hint="default" w:ascii="Times New Roman" w:hAnsi="Times New Roman" w:eastAsia="宋体" w:cs="Times New Roman"/>
          <w:bCs/>
          <w:color w:val="000000" w:themeColor="text1"/>
          <w:szCs w:val="24"/>
          <w:highlight w:val="none"/>
          <w:lang w:eastAsia="zh-CN"/>
          <w14:textFill>
            <w14:solidFill>
              <w14:schemeClr w14:val="tx1"/>
            </w14:solidFill>
          </w14:textFill>
        </w:rPr>
        <w:t>。</w:t>
      </w:r>
      <w:r>
        <w:rPr>
          <w:rFonts w:hint="default" w:ascii="Times New Roman" w:hAnsi="Times New Roman" w:eastAsia="宋体" w:cs="Times New Roman"/>
          <w:bCs/>
          <w:sz w:val="24"/>
          <w:szCs w:val="24"/>
          <w:highlight w:val="none"/>
        </w:rPr>
        <w:t>因履行事业单位请款审批流程而导致支付时间延长，不视为甲方违约，乙方须继续履行合同中要求的相关内容</w:t>
      </w:r>
      <w:r>
        <w:rPr>
          <w:rFonts w:hint="default" w:ascii="Times New Roman" w:hAnsi="Times New Roman" w:eastAsia="宋体" w:cs="Times New Roman"/>
          <w:bCs/>
          <w:sz w:val="24"/>
          <w:szCs w:val="24"/>
          <w:highlight w:val="none"/>
          <w:lang w:eastAsia="zh-CN"/>
        </w:rPr>
        <w:t>。</w:t>
      </w:r>
    </w:p>
    <w:p w14:paraId="2DF29610">
      <w:pPr>
        <w:spacing w:line="495" w:lineRule="atLeast"/>
        <w:ind w:firstLine="424" w:firstLineChars="177"/>
        <w:rPr>
          <w:rFonts w:hint="default" w:ascii="Times New Roman" w:hAnsi="Times New Roman" w:eastAsia="宋体" w:cs="Times New Roman"/>
          <w:bCs/>
          <w:color w:val="000000" w:themeColor="text1"/>
          <w:sz w:val="24"/>
          <w:highlight w:val="none"/>
          <w14:textFill>
            <w14:solidFill>
              <w14:schemeClr w14:val="tx1"/>
            </w14:solidFill>
          </w14:textFill>
        </w:rPr>
      </w:pPr>
      <w:r>
        <w:rPr>
          <w:rFonts w:hint="default" w:ascii="Times New Roman" w:hAnsi="Times New Roman" w:eastAsia="宋体" w:cs="Times New Roman"/>
          <w:sz w:val="24"/>
          <w:highlight w:val="none"/>
        </w:rPr>
        <w:t>14.</w:t>
      </w:r>
      <w:r>
        <w:rPr>
          <w:rFonts w:hint="default" w:ascii="Times New Roman" w:hAnsi="Times New Roman" w:eastAsia="宋体" w:cs="Times New Roman"/>
          <w:bCs/>
          <w:color w:val="000000" w:themeColor="text1"/>
          <w:sz w:val="24"/>
          <w:highlight w:val="none"/>
          <w14:textFill>
            <w14:solidFill>
              <w14:schemeClr w14:val="tx1"/>
            </w14:solidFill>
          </w14:textFill>
        </w:rPr>
        <w:t>因乙方原因甲方解除合同的，乙方应在收到甲方解除合同通知之日起15天内，退回甲方已支付的</w:t>
      </w:r>
      <w:r>
        <w:rPr>
          <w:rFonts w:hint="default" w:ascii="Times New Roman" w:hAnsi="Times New Roman" w:eastAsia="宋体" w:cs="Times New Roman"/>
          <w:bCs/>
          <w:color w:val="000000" w:themeColor="text1"/>
          <w:sz w:val="24"/>
          <w:highlight w:val="none"/>
          <w:lang w:val="en-US" w:eastAsia="zh-CN"/>
          <w14:textFill>
            <w14:solidFill>
              <w14:schemeClr w14:val="tx1"/>
            </w14:solidFill>
          </w14:textFill>
        </w:rPr>
        <w:t>合同款</w:t>
      </w:r>
      <w:r>
        <w:rPr>
          <w:rFonts w:hint="default" w:ascii="Times New Roman" w:hAnsi="Times New Roman" w:eastAsia="宋体" w:cs="Times New Roman"/>
          <w:bCs/>
          <w:color w:val="000000" w:themeColor="text1"/>
          <w:sz w:val="24"/>
          <w:highlight w:val="none"/>
          <w14:textFill>
            <w14:solidFill>
              <w14:schemeClr w14:val="tx1"/>
            </w14:solidFill>
          </w14:textFill>
        </w:rPr>
        <w:t>，并按合同总额的30%向甲方支付违约金（如甲方仅解除购买的部分货物，则乙方应退回该部分货物已收取的合同款且违约金仅按解除部分的货物金额的30%计算），如违约金不足以弥补甲方的损失，则乙方还应赔偿不足部分。同时，乙方应运回已发往甲方的货物。</w:t>
      </w:r>
    </w:p>
    <w:p w14:paraId="60945A45">
      <w:pPr>
        <w:spacing w:line="495" w:lineRule="atLeast"/>
        <w:ind w:firstLine="424" w:firstLineChars="177"/>
        <w:rPr>
          <w:rFonts w:hint="default" w:ascii="Times New Roman" w:hAnsi="Times New Roman" w:eastAsia="宋体" w:cs="Times New Roman"/>
          <w:bCs/>
          <w:color w:val="000000" w:themeColor="text1"/>
          <w:sz w:val="24"/>
          <w:highlight w:val="none"/>
          <w:lang w:eastAsia="zh-CN"/>
          <w14:textFill>
            <w14:solidFill>
              <w14:schemeClr w14:val="tx1"/>
            </w14:solidFill>
          </w14:textFill>
        </w:rPr>
      </w:pPr>
      <w:r>
        <w:rPr>
          <w:rFonts w:hint="default" w:ascii="Times New Roman" w:hAnsi="Times New Roman" w:eastAsia="宋体" w:cs="Times New Roman"/>
          <w:sz w:val="24"/>
          <w:highlight w:val="none"/>
        </w:rPr>
        <w:t>15.本合同中所称的损失，包括守约方的直接损失、间接损失，以及因违约方违约守约方</w:t>
      </w:r>
      <w:r>
        <w:rPr>
          <w:rFonts w:hint="default" w:ascii="Times New Roman" w:hAnsi="Times New Roman" w:eastAsia="宋体" w:cs="Times New Roman"/>
          <w:color w:val="10000A"/>
          <w:sz w:val="24"/>
          <w:highlight w:val="none"/>
        </w:rPr>
        <w:t>产生的维权费用，守约方为追究违约方责任所发生费用，包括但不限于：法院受理费、仲裁费、财产保全费、财产保全担保费、证据保全费、律师费、鉴定费、评估费、公证费、办案差旅费等由违约方负担</w:t>
      </w:r>
      <w:r>
        <w:rPr>
          <w:rFonts w:hint="default" w:ascii="Times New Roman" w:hAnsi="Times New Roman" w:eastAsia="宋体" w:cs="Times New Roman"/>
          <w:color w:val="10000A"/>
          <w:sz w:val="24"/>
          <w:highlight w:val="none"/>
          <w:lang w:eastAsia="zh-CN"/>
        </w:rPr>
        <w:t>。</w:t>
      </w:r>
    </w:p>
    <w:p w14:paraId="715FC64E">
      <w:pPr>
        <w:spacing w:line="400" w:lineRule="exact"/>
        <w:ind w:firstLine="482" w:firstLineChars="200"/>
        <w:rPr>
          <w:rFonts w:hint="default" w:ascii="Times New Roman" w:hAnsi="Times New Roman" w:eastAsia="宋体" w:cs="Times New Roman"/>
          <w:b/>
          <w:bCs/>
          <w:sz w:val="24"/>
          <w:highlight w:val="none"/>
        </w:rPr>
      </w:pPr>
      <w:r>
        <w:rPr>
          <w:rFonts w:hint="default" w:ascii="Times New Roman" w:hAnsi="Times New Roman" w:eastAsia="宋体" w:cs="Times New Roman"/>
          <w:b/>
          <w:bCs/>
          <w:sz w:val="24"/>
          <w:highlight w:val="none"/>
        </w:rPr>
        <w:t>十二、争议解决</w:t>
      </w:r>
    </w:p>
    <w:p w14:paraId="1E30DE05">
      <w:pPr>
        <w:spacing w:line="360" w:lineRule="auto"/>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本合同履行过程中发生的任何争议，如双方不能通过友好协商解决，甲、乙双方一致同意</w:t>
      </w:r>
      <w:r>
        <w:rPr>
          <w:rFonts w:hint="default" w:ascii="Times New Roman" w:hAnsi="Times New Roman" w:eastAsia="宋体" w:cs="Times New Roman"/>
          <w:b/>
          <w:bCs/>
          <w:i w:val="0"/>
          <w:iCs w:val="0"/>
          <w:caps w:val="0"/>
          <w:color w:val="0F1115"/>
          <w:spacing w:val="0"/>
          <w:sz w:val="24"/>
          <w:szCs w:val="24"/>
          <w:highlight w:val="none"/>
          <w:shd w:val="clear" w:fill="FFFFFF"/>
        </w:rPr>
        <w:t>任何一方均有权向</w:t>
      </w:r>
      <w:r>
        <w:rPr>
          <w:rFonts w:hint="default" w:ascii="Times New Roman" w:hAnsi="Times New Roman" w:eastAsia="宋体" w:cs="Times New Roman"/>
          <w:b/>
          <w:bCs/>
          <w:i w:val="0"/>
          <w:iCs w:val="0"/>
          <w:caps w:val="0"/>
          <w:color w:val="0F1115"/>
          <w:spacing w:val="0"/>
          <w:sz w:val="24"/>
          <w:szCs w:val="24"/>
          <w:highlight w:val="none"/>
          <w:shd w:val="clear" w:fill="FFFFFF"/>
          <w:lang w:val="en-US" w:eastAsia="zh-CN"/>
        </w:rPr>
        <w:t>甲方</w:t>
      </w:r>
      <w:r>
        <w:rPr>
          <w:rFonts w:hint="default" w:ascii="Times New Roman" w:hAnsi="Times New Roman" w:eastAsia="宋体" w:cs="Times New Roman"/>
          <w:b/>
          <w:bCs/>
          <w:i w:val="0"/>
          <w:iCs w:val="0"/>
          <w:caps w:val="0"/>
          <w:color w:val="0F1115"/>
          <w:spacing w:val="0"/>
          <w:sz w:val="24"/>
          <w:szCs w:val="24"/>
          <w:highlight w:val="none"/>
          <w:shd w:val="clear" w:fill="FFFFFF"/>
        </w:rPr>
        <w:t>所在地人民法院提起诉讼</w:t>
      </w:r>
      <w:r>
        <w:rPr>
          <w:rFonts w:hint="default" w:ascii="Times New Roman" w:hAnsi="Times New Roman" w:eastAsia="宋体" w:cs="Times New Roman"/>
          <w:sz w:val="24"/>
          <w:highlight w:val="none"/>
        </w:rPr>
        <w:t>。</w:t>
      </w:r>
    </w:p>
    <w:p w14:paraId="48613501">
      <w:pPr>
        <w:spacing w:line="400" w:lineRule="exact"/>
        <w:ind w:firstLine="482" w:firstLineChars="200"/>
        <w:rPr>
          <w:rFonts w:hint="default" w:ascii="Times New Roman" w:hAnsi="Times New Roman" w:eastAsia="宋体" w:cs="Times New Roman"/>
          <w:b/>
          <w:bCs/>
          <w:sz w:val="24"/>
          <w:highlight w:val="none"/>
        </w:rPr>
      </w:pPr>
      <w:r>
        <w:rPr>
          <w:rFonts w:hint="default" w:ascii="Times New Roman" w:hAnsi="Times New Roman" w:eastAsia="宋体" w:cs="Times New Roman"/>
          <w:b/>
          <w:bCs/>
          <w:sz w:val="24"/>
          <w:highlight w:val="none"/>
        </w:rPr>
        <w:t>十三、不可抗力</w:t>
      </w:r>
    </w:p>
    <w:p w14:paraId="3491B277">
      <w:pPr>
        <w:spacing w:line="360" w:lineRule="auto"/>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任何一方由于不可抗力原因不能履行合同时，应在不可抗力事件结束后</w:t>
      </w:r>
      <w:r>
        <w:rPr>
          <w:rFonts w:hint="default" w:ascii="Times New Roman" w:hAnsi="Times New Roman" w:eastAsia="宋体" w:cs="Times New Roman"/>
          <w:sz w:val="24"/>
          <w:highlight w:val="none"/>
          <w:u w:val="single"/>
        </w:rPr>
        <w:t>7天</w:t>
      </w:r>
      <w:r>
        <w:rPr>
          <w:rFonts w:hint="default" w:ascii="Times New Roman" w:hAnsi="Times New Roman" w:eastAsia="宋体" w:cs="Times New Roman"/>
          <w:sz w:val="24"/>
          <w:highlight w:val="none"/>
        </w:rPr>
        <w:t>内向对方通报，以减轻可能给对方造成的损失，在取得有关机构的不可抗力证明或双方谅解确认后，允许延期履行或修订合同，并根据情况可部分或全部免于承担违约责任。</w:t>
      </w:r>
    </w:p>
    <w:p w14:paraId="2EB196D6">
      <w:pPr>
        <w:spacing w:line="400" w:lineRule="exact"/>
        <w:ind w:firstLine="482" w:firstLineChars="200"/>
        <w:rPr>
          <w:rFonts w:hint="default" w:ascii="Times New Roman" w:hAnsi="Times New Roman" w:eastAsia="宋体" w:cs="Times New Roman"/>
          <w:b/>
          <w:bCs/>
          <w:sz w:val="24"/>
          <w:highlight w:val="none"/>
        </w:rPr>
      </w:pPr>
      <w:r>
        <w:rPr>
          <w:rFonts w:hint="default" w:ascii="Times New Roman" w:hAnsi="Times New Roman" w:eastAsia="宋体" w:cs="Times New Roman"/>
          <w:b/>
          <w:bCs/>
          <w:sz w:val="24"/>
          <w:highlight w:val="none"/>
        </w:rPr>
        <w:t>十四、其它</w:t>
      </w:r>
    </w:p>
    <w:p w14:paraId="1CB7FC55">
      <w:pPr>
        <w:spacing w:line="360" w:lineRule="auto"/>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1.本合同所有附件、采购相关文件、乙方在采购过程中所作的其他承诺/申明/书面澄清以及在合同执行中甲乙双方共同签署的补充或者修正文件等均为合同的有效组成部分，与本合同具有同等法律效力。</w:t>
      </w:r>
    </w:p>
    <w:p w14:paraId="16D635DF">
      <w:pPr>
        <w:spacing w:line="360" w:lineRule="auto"/>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2.本合同未尽事宜，如招投标文件有相关要求的，按招投标文件的要求执行，如招投标文件未有要求的，则甲乙双方根据本合同确定的原则，从实际需要出发，另行约定补充条款或签订补充协议，补充协议是本合同不可分割的一部分，具有与本合同相同的法律效力。</w:t>
      </w:r>
    </w:p>
    <w:p w14:paraId="19C01777">
      <w:pPr>
        <w:spacing w:line="360" w:lineRule="auto"/>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3.合同履行中双方达成的补充协议为本合同的组成部分，如各份文件中对同一事项规定不一致时按以下顺序执行，以顺序在先的文件为准：</w:t>
      </w:r>
    </w:p>
    <w:p w14:paraId="3C7A4EE4">
      <w:pPr>
        <w:spacing w:line="360" w:lineRule="auto"/>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（1）补充协议；</w:t>
      </w:r>
    </w:p>
    <w:p w14:paraId="717F7804">
      <w:pPr>
        <w:spacing w:line="360" w:lineRule="auto"/>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（2）本合同；</w:t>
      </w:r>
    </w:p>
    <w:p w14:paraId="10DB4E78">
      <w:pPr>
        <w:spacing w:line="360" w:lineRule="auto"/>
        <w:ind w:firstLine="42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（3）本定制货物的招投标文件。</w:t>
      </w:r>
    </w:p>
    <w:p w14:paraId="4ECEAEF8">
      <w:pPr>
        <w:spacing w:line="360" w:lineRule="auto"/>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4.本合同载明的双方联系地址可作为送达催款函、对账单、通知书、法院送达诉讼文书等的地址，因载明地址有误或未及时告知变更后的地址，导致相关文书及诉讼文书未能实际被接收的、邮寄送达的，相关文书及诉讼文书退回之日即视为送达之日。</w:t>
      </w:r>
    </w:p>
    <w:p w14:paraId="46B49EFD">
      <w:pPr>
        <w:spacing w:line="400" w:lineRule="exact"/>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5．其他：</w:t>
      </w:r>
      <w:permStart w:id="60" w:edGrp="everyone"/>
      <w:r>
        <w:rPr>
          <w:rFonts w:hint="default" w:ascii="Times New Roman" w:hAnsi="Times New Roman" w:eastAsia="宋体" w:cs="Times New Roman"/>
          <w:sz w:val="24"/>
          <w:highlight w:val="none"/>
        </w:rPr>
        <w:t>[  ]</w:t>
      </w:r>
      <w:permEnd w:id="60"/>
      <w:r>
        <w:rPr>
          <w:rFonts w:hint="default" w:ascii="Times New Roman" w:hAnsi="Times New Roman" w:eastAsia="宋体" w:cs="Times New Roman"/>
          <w:sz w:val="24"/>
          <w:highlight w:val="none"/>
        </w:rPr>
        <w:t>（如无此需求</w:t>
      </w:r>
      <w:r>
        <w:rPr>
          <w:rFonts w:hint="default" w:ascii="Times New Roman" w:hAnsi="Times New Roman" w:eastAsia="宋体" w:cs="Times New Roman"/>
          <w:bCs/>
          <w:sz w:val="24"/>
          <w:highlight w:val="none"/>
        </w:rPr>
        <w:t>，请在[]里打“</w:t>
      </w:r>
      <w:r>
        <w:rPr>
          <w:rFonts w:hint="default" w:ascii="Times New Roman" w:hAnsi="Times New Roman" w:eastAsia="宋体" w:cs="Times New Roman"/>
          <w:b/>
          <w:sz w:val="24"/>
          <w:highlight w:val="none"/>
        </w:rPr>
        <w:t>/</w:t>
      </w:r>
      <w:r>
        <w:rPr>
          <w:rFonts w:hint="default" w:ascii="Times New Roman" w:hAnsi="Times New Roman" w:eastAsia="宋体" w:cs="Times New Roman"/>
          <w:bCs/>
          <w:sz w:val="24"/>
          <w:highlight w:val="none"/>
        </w:rPr>
        <w:t>”</w:t>
      </w:r>
      <w:r>
        <w:rPr>
          <w:rFonts w:hint="default" w:ascii="Times New Roman" w:hAnsi="Times New Roman" w:eastAsia="宋体" w:cs="Times New Roman"/>
          <w:sz w:val="24"/>
          <w:highlight w:val="none"/>
        </w:rPr>
        <w:t>）</w:t>
      </w:r>
    </w:p>
    <w:p w14:paraId="1BF76831">
      <w:pPr>
        <w:spacing w:line="360" w:lineRule="auto"/>
        <w:ind w:firstLine="480" w:firstLineChars="200"/>
        <w:rPr>
          <w:rFonts w:hint="default" w:ascii="Times New Roman" w:hAnsi="Times New Roman" w:eastAsia="宋体" w:cs="Times New Roman"/>
          <w:highlight w:val="none"/>
        </w:rPr>
      </w:pPr>
      <w:permStart w:id="61" w:edGrp="everyone"/>
      <w:r>
        <w:rPr>
          <w:rFonts w:hint="default" w:ascii="Times New Roman" w:hAnsi="Times New Roman" w:eastAsia="宋体" w:cs="Times New Roman"/>
          <w:bCs/>
          <w:sz w:val="24"/>
          <w:highlight w:val="none"/>
          <w:u w:val="single"/>
        </w:rPr>
        <w:t>合同签订后，乙方应当专门安排一名设备安装维护工程师，随时与甲方保持联系，能及时主动跟进设备安装场地条件具体情况，在设计阶段及施工阶段能及时为甲方提供设备安装场地关于科研设备对场地的技术要求，运输路线等注意事项。根据甲方需要，参加甲方组织的场地建设设计交底、施工交底、场地验收等会议，并对场地设计图纸进行确认，确保科研设备到场后能顺利安装和运行。实施过程中设备安装场地发生变化时，应当及时配合甲方对新的安装场地进行评估，在科研设备分别生产前和运输安装前，与甲方联系，结合场地条件安排下单生产和运输时间，有必要时共同踏勘安装场地，对设备发货前共同评估设备安装场地条件</w:t>
      </w:r>
      <w:r>
        <w:rPr>
          <w:rFonts w:hint="default" w:ascii="Times New Roman" w:hAnsi="Times New Roman" w:eastAsia="宋体" w:cs="Times New Roman"/>
          <w:sz w:val="24"/>
          <w:highlight w:val="none"/>
        </w:rPr>
        <w:t>。</w:t>
      </w:r>
      <w:permEnd w:id="61"/>
    </w:p>
    <w:p w14:paraId="20AE277F">
      <w:pPr>
        <w:spacing w:line="400" w:lineRule="exact"/>
        <w:ind w:firstLine="482" w:firstLineChars="200"/>
        <w:rPr>
          <w:rFonts w:hint="default" w:ascii="Times New Roman" w:hAnsi="Times New Roman" w:eastAsia="宋体" w:cs="Times New Roman"/>
          <w:b/>
          <w:bCs/>
          <w:sz w:val="24"/>
          <w:highlight w:val="none"/>
        </w:rPr>
      </w:pPr>
      <w:r>
        <w:rPr>
          <w:rFonts w:hint="default" w:ascii="Times New Roman" w:hAnsi="Times New Roman" w:eastAsia="宋体" w:cs="Times New Roman"/>
          <w:b/>
          <w:bCs/>
          <w:sz w:val="24"/>
          <w:highlight w:val="none"/>
        </w:rPr>
        <w:t>十五、合同生效</w:t>
      </w:r>
    </w:p>
    <w:p w14:paraId="66021EAF">
      <w:pPr>
        <w:spacing w:line="400" w:lineRule="exact"/>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1.合同自双方签字、盖章之日起生效。</w:t>
      </w:r>
    </w:p>
    <w:p w14:paraId="0627C501">
      <w:pPr>
        <w:spacing w:line="495" w:lineRule="exact"/>
        <w:ind w:firstLine="597" w:firstLineChars="249"/>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 xml:space="preserve">2.合同文本一式 </w:t>
      </w:r>
      <w:r>
        <w:rPr>
          <w:rFonts w:hint="default" w:ascii="Times New Roman" w:hAnsi="Times New Roman" w:eastAsia="宋体" w:cs="Times New Roman"/>
          <w:sz w:val="24"/>
          <w:highlight w:val="none"/>
          <w:u w:val="single"/>
        </w:rPr>
        <w:t xml:space="preserve"> 4 </w:t>
      </w:r>
      <w:r>
        <w:rPr>
          <w:rFonts w:hint="default" w:ascii="Times New Roman" w:hAnsi="Times New Roman" w:eastAsia="宋体" w:cs="Times New Roman"/>
          <w:sz w:val="24"/>
          <w:highlight w:val="none"/>
        </w:rPr>
        <w:t>份，甲方执</w:t>
      </w:r>
      <w:r>
        <w:rPr>
          <w:rFonts w:hint="default" w:ascii="Times New Roman" w:hAnsi="Times New Roman" w:eastAsia="宋体" w:cs="Times New Roman"/>
          <w:sz w:val="24"/>
          <w:highlight w:val="none"/>
          <w:u w:val="single"/>
        </w:rPr>
        <w:t xml:space="preserve"> 2 </w:t>
      </w:r>
      <w:r>
        <w:rPr>
          <w:rFonts w:hint="default" w:ascii="Times New Roman" w:hAnsi="Times New Roman" w:eastAsia="宋体" w:cs="Times New Roman"/>
          <w:sz w:val="24"/>
          <w:highlight w:val="none"/>
        </w:rPr>
        <w:t>份，乙方执</w:t>
      </w:r>
      <w:r>
        <w:rPr>
          <w:rFonts w:hint="default" w:ascii="Times New Roman" w:hAnsi="Times New Roman" w:eastAsia="宋体" w:cs="Times New Roman"/>
          <w:sz w:val="24"/>
          <w:highlight w:val="none"/>
          <w:u w:val="single"/>
        </w:rPr>
        <w:t xml:space="preserve"> 2 </w:t>
      </w:r>
      <w:r>
        <w:rPr>
          <w:rFonts w:hint="default" w:ascii="Times New Roman" w:hAnsi="Times New Roman" w:eastAsia="宋体" w:cs="Times New Roman"/>
          <w:sz w:val="24"/>
          <w:highlight w:val="none"/>
        </w:rPr>
        <w:t>份，均具同等法律效力。</w:t>
      </w:r>
    </w:p>
    <w:p w14:paraId="513DBB6E">
      <w:pPr>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br w:type="page"/>
      </w:r>
    </w:p>
    <w:p w14:paraId="6E16F1C2">
      <w:pPr>
        <w:spacing w:line="495" w:lineRule="exact"/>
        <w:ind w:firstLine="597" w:firstLineChars="249"/>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（此页为ZYCGR22011901与</w:t>
      </w:r>
      <w:permStart w:id="62" w:edGrp="everyone"/>
      <w:r>
        <w:rPr>
          <w:rFonts w:hint="default" w:ascii="Times New Roman" w:hAnsi="Times New Roman" w:eastAsia="宋体" w:cs="Times New Roman"/>
          <w:bCs/>
          <w:sz w:val="24"/>
          <w:highlight w:val="none"/>
          <w:u w:val="single"/>
        </w:rPr>
        <w:t xml:space="preserve">         </w:t>
      </w:r>
      <w:r>
        <w:rPr>
          <w:rFonts w:hint="default" w:ascii="Times New Roman" w:hAnsi="Times New Roman" w:eastAsia="宋体" w:cs="Times New Roman"/>
          <w:bCs/>
          <w:sz w:val="24"/>
          <w:highlight w:val="none"/>
        </w:rPr>
        <w:t>（乙方名称）</w:t>
      </w:r>
      <w:permEnd w:id="62"/>
      <w:r>
        <w:rPr>
          <w:rFonts w:hint="default" w:ascii="Times New Roman" w:hAnsi="Times New Roman" w:eastAsia="宋体" w:cs="Times New Roman"/>
          <w:bCs/>
          <w:sz w:val="24"/>
          <w:highlight w:val="none"/>
        </w:rPr>
        <w:t>《委托定制</w:t>
      </w:r>
      <w:permStart w:id="63" w:edGrp="everyone"/>
      <w:r>
        <w:rPr>
          <w:rFonts w:hint="default" w:ascii="Times New Roman" w:hAnsi="Times New Roman" w:eastAsia="宋体" w:cs="Times New Roman"/>
          <w:bCs/>
          <w:sz w:val="24"/>
          <w:highlight w:val="none"/>
          <w:u w:val="single"/>
        </w:rPr>
        <w:t xml:space="preserve">        </w:t>
      </w:r>
      <w:permEnd w:id="63"/>
      <w:r>
        <w:rPr>
          <w:rFonts w:hint="default" w:ascii="Times New Roman" w:hAnsi="Times New Roman" w:eastAsia="宋体" w:cs="Times New Roman"/>
          <w:bCs/>
          <w:sz w:val="24"/>
          <w:highlight w:val="none"/>
        </w:rPr>
        <w:t>货物采购合同》签订页，以下无正文）</w:t>
      </w:r>
    </w:p>
    <w:tbl>
      <w:tblPr>
        <w:tblStyle w:val="28"/>
        <w:tblpPr w:leftFromText="180" w:rightFromText="180" w:vertAnchor="text" w:horzAnchor="page" w:tblpX="1795" w:tblpY="393"/>
        <w:tblOverlap w:val="never"/>
        <w:tblW w:w="5000" w:type="pct"/>
        <w:tblInd w:w="0" w:type="dxa"/>
        <w:tblLayout w:type="autofit"/>
        <w:tblCellMar>
          <w:top w:w="0" w:type="dxa"/>
          <w:left w:w="113" w:type="dxa"/>
          <w:bottom w:w="0" w:type="dxa"/>
          <w:right w:w="108" w:type="dxa"/>
        </w:tblCellMar>
      </w:tblPr>
      <w:tblGrid>
        <w:gridCol w:w="4228"/>
        <w:gridCol w:w="4299"/>
      </w:tblGrid>
      <w:tr w14:paraId="15045585">
        <w:tblPrEx>
          <w:tblCellMar>
            <w:top w:w="0" w:type="dxa"/>
            <w:left w:w="113" w:type="dxa"/>
            <w:bottom w:w="0" w:type="dxa"/>
            <w:right w:w="108" w:type="dxa"/>
          </w:tblCellMar>
        </w:tblPrEx>
        <w:trPr>
          <w:trHeight w:val="794" w:hRule="atLeast"/>
        </w:trPr>
        <w:tc>
          <w:tcPr>
            <w:tcW w:w="2479" w:type="pct"/>
            <w:tcBorders>
              <w:top w:val="dotted" w:color="000080" w:sz="4" w:space="0"/>
              <w:left w:val="dotted" w:color="000080" w:sz="4" w:space="0"/>
              <w:bottom w:val="dotted" w:color="000080" w:sz="4" w:space="0"/>
              <w:right w:val="dotted" w:color="000080" w:sz="4" w:space="0"/>
            </w:tcBorders>
            <w:vAlign w:val="center"/>
          </w:tcPr>
          <w:p w14:paraId="490A8020">
            <w:pPr>
              <w:pStyle w:val="103"/>
              <w:snapToGrid w:val="0"/>
              <w:spacing w:line="400" w:lineRule="exact"/>
              <w:rPr>
                <w:rFonts w:hint="default" w:ascii="Times New Roman" w:hAnsi="Times New Roman" w:eastAsia="宋体" w:cs="Times New Roman"/>
                <w:sz w:val="24"/>
                <w:highlight w:val="none"/>
              </w:rPr>
            </w:pPr>
            <w:permStart w:id="64" w:edGrp="everyone" w:colFirst="1" w:colLast="1"/>
            <w:r>
              <w:rPr>
                <w:rFonts w:hint="default" w:ascii="Times New Roman" w:hAnsi="Times New Roman" w:eastAsia="宋体" w:cs="Times New Roman"/>
                <w:sz w:val="24"/>
                <w:highlight w:val="none"/>
              </w:rPr>
              <w:t>甲方（盖章）：ZYCGR22011901</w:t>
            </w:r>
          </w:p>
        </w:tc>
        <w:tc>
          <w:tcPr>
            <w:tcW w:w="2520" w:type="pct"/>
            <w:tcBorders>
              <w:top w:val="dotted" w:color="000080" w:sz="4" w:space="0"/>
              <w:left w:val="dotted" w:color="000080" w:sz="4" w:space="0"/>
              <w:bottom w:val="dotted" w:color="000080" w:sz="4" w:space="0"/>
              <w:right w:val="dotted" w:color="000080" w:sz="4" w:space="0"/>
            </w:tcBorders>
            <w:vAlign w:val="center"/>
          </w:tcPr>
          <w:p w14:paraId="1956ECBB">
            <w:pPr>
              <w:pStyle w:val="103"/>
              <w:snapToGrid w:val="0"/>
              <w:spacing w:line="4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 xml:space="preserve">乙方（盖章）：               </w:t>
            </w:r>
          </w:p>
        </w:tc>
      </w:tr>
      <w:permEnd w:id="64"/>
      <w:tr w14:paraId="20301949">
        <w:tblPrEx>
          <w:tblCellMar>
            <w:top w:w="0" w:type="dxa"/>
            <w:left w:w="113" w:type="dxa"/>
            <w:bottom w:w="0" w:type="dxa"/>
            <w:right w:w="108" w:type="dxa"/>
          </w:tblCellMar>
        </w:tblPrEx>
        <w:trPr>
          <w:trHeight w:val="794" w:hRule="atLeast"/>
        </w:trPr>
        <w:tc>
          <w:tcPr>
            <w:tcW w:w="2479" w:type="pct"/>
            <w:tcBorders>
              <w:top w:val="dotted" w:color="000080" w:sz="4" w:space="0"/>
              <w:left w:val="dotted" w:color="000080" w:sz="4" w:space="0"/>
              <w:bottom w:val="dotted" w:color="000080" w:sz="4" w:space="0"/>
              <w:right w:val="dotted" w:color="000080" w:sz="4" w:space="0"/>
            </w:tcBorders>
            <w:vAlign w:val="center"/>
          </w:tcPr>
          <w:p w14:paraId="4086D765">
            <w:pPr>
              <w:pStyle w:val="103"/>
              <w:snapToGrid w:val="0"/>
              <w:spacing w:line="400" w:lineRule="exact"/>
              <w:rPr>
                <w:rFonts w:hint="default" w:ascii="Times New Roman" w:hAnsi="Times New Roman" w:eastAsia="宋体" w:cs="Times New Roman"/>
                <w:sz w:val="24"/>
                <w:highlight w:val="none"/>
              </w:rPr>
            </w:pPr>
            <w:permStart w:id="65" w:edGrp="everyone" w:colFirst="0" w:colLast="0"/>
            <w:permStart w:id="66" w:edGrp="everyone" w:colFirst="1" w:colLast="1"/>
            <w:r>
              <w:rPr>
                <w:rFonts w:hint="default" w:ascii="Times New Roman" w:hAnsi="Times New Roman" w:eastAsia="宋体" w:cs="Times New Roman"/>
                <w:sz w:val="24"/>
                <w:highlight w:val="none"/>
              </w:rPr>
              <w:t>项目负责人（签字）：</w:t>
            </w:r>
          </w:p>
        </w:tc>
        <w:tc>
          <w:tcPr>
            <w:tcW w:w="2520" w:type="pct"/>
            <w:tcBorders>
              <w:top w:val="dotted" w:color="000080" w:sz="4" w:space="0"/>
              <w:left w:val="dotted" w:color="000080" w:sz="4" w:space="0"/>
              <w:bottom w:val="dotted" w:color="000080" w:sz="4" w:space="0"/>
              <w:right w:val="dotted" w:color="000080" w:sz="4" w:space="0"/>
            </w:tcBorders>
            <w:vAlign w:val="center"/>
          </w:tcPr>
          <w:p w14:paraId="36F0E2AE">
            <w:pPr>
              <w:pStyle w:val="103"/>
              <w:snapToGrid w:val="0"/>
              <w:spacing w:line="4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法定代表人或授权代表（签字）：</w:t>
            </w:r>
          </w:p>
        </w:tc>
      </w:tr>
      <w:permEnd w:id="65"/>
      <w:permEnd w:id="66"/>
      <w:tr w14:paraId="138203F5">
        <w:tblPrEx>
          <w:tblCellMar>
            <w:top w:w="0" w:type="dxa"/>
            <w:left w:w="113" w:type="dxa"/>
            <w:bottom w:w="0" w:type="dxa"/>
            <w:right w:w="108" w:type="dxa"/>
          </w:tblCellMar>
        </w:tblPrEx>
        <w:trPr>
          <w:trHeight w:val="794" w:hRule="atLeast"/>
        </w:trPr>
        <w:tc>
          <w:tcPr>
            <w:tcW w:w="2479" w:type="pct"/>
            <w:tcBorders>
              <w:top w:val="dotted" w:color="000080" w:sz="4" w:space="0"/>
              <w:left w:val="dotted" w:color="000080" w:sz="4" w:space="0"/>
              <w:bottom w:val="dotted" w:color="000080" w:sz="4" w:space="0"/>
              <w:right w:val="dotted" w:color="000080" w:sz="4" w:space="0"/>
            </w:tcBorders>
            <w:vAlign w:val="center"/>
          </w:tcPr>
          <w:p w14:paraId="6BB64BE5">
            <w:pPr>
              <w:pStyle w:val="103"/>
              <w:snapToGrid w:val="0"/>
              <w:spacing w:line="400" w:lineRule="exact"/>
              <w:rPr>
                <w:rFonts w:hint="default" w:ascii="Times New Roman" w:hAnsi="Times New Roman" w:eastAsia="宋体" w:cs="Times New Roman"/>
                <w:sz w:val="24"/>
                <w:highlight w:val="none"/>
              </w:rPr>
            </w:pPr>
            <w:permStart w:id="67" w:edGrp="everyone" w:colFirst="0" w:colLast="1"/>
            <w:r>
              <w:rPr>
                <w:rFonts w:hint="default" w:ascii="Times New Roman" w:hAnsi="Times New Roman" w:eastAsia="宋体" w:cs="Times New Roman"/>
                <w:sz w:val="24"/>
                <w:highlight w:val="none"/>
              </w:rPr>
              <w:t>签订日期：</w:t>
            </w:r>
          </w:p>
        </w:tc>
        <w:tc>
          <w:tcPr>
            <w:tcW w:w="2520" w:type="pct"/>
            <w:tcBorders>
              <w:top w:val="dotted" w:color="000080" w:sz="4" w:space="0"/>
              <w:left w:val="dotted" w:color="000080" w:sz="4" w:space="0"/>
              <w:bottom w:val="dotted" w:color="000080" w:sz="4" w:space="0"/>
              <w:right w:val="dotted" w:color="000080" w:sz="4" w:space="0"/>
            </w:tcBorders>
            <w:vAlign w:val="center"/>
          </w:tcPr>
          <w:p w14:paraId="248FF738">
            <w:pPr>
              <w:pStyle w:val="103"/>
              <w:snapToGrid w:val="0"/>
              <w:spacing w:line="4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签订日期：</w:t>
            </w:r>
          </w:p>
        </w:tc>
      </w:tr>
      <w:permEnd w:id="67"/>
    </w:tbl>
    <w:p w14:paraId="545FC8CC">
      <w:pPr>
        <w:rPr>
          <w:rFonts w:hint="default" w:ascii="Times New Roman" w:hAnsi="Times New Roman" w:eastAsia="宋体" w:cs="Times New Roman"/>
          <w:b/>
          <w:bCs/>
          <w:sz w:val="36"/>
          <w:szCs w:val="36"/>
          <w:highlight w:val="none"/>
        </w:rPr>
      </w:pPr>
    </w:p>
    <w:p w14:paraId="1F05E91B">
      <w:pPr>
        <w:tabs>
          <w:tab w:val="left" w:pos="6195"/>
        </w:tabs>
        <w:spacing w:line="360" w:lineRule="auto"/>
        <w:outlineLvl w:val="9"/>
        <w:rPr>
          <w:rFonts w:hint="default" w:ascii="Times New Roman" w:hAnsi="Times New Roman" w:eastAsia="宋体" w:cs="Times New Roman"/>
          <w:color w:val="000000" w:themeColor="text1"/>
          <w:sz w:val="24"/>
          <w:szCs w:val="24"/>
          <w:highlight w:val="none"/>
          <w14:textFill>
            <w14:solidFill>
              <w14:schemeClr w14:val="tx1"/>
            </w14:solidFill>
          </w14:textFill>
        </w:rPr>
      </w:pPr>
    </w:p>
    <w:p w14:paraId="4A910554">
      <w:pPr>
        <w:autoSpaceDE w:val="0"/>
        <w:autoSpaceDN w:val="0"/>
        <w:adjustRightInd w:val="0"/>
        <w:spacing w:line="360" w:lineRule="auto"/>
        <w:rPr>
          <w:rFonts w:hint="default" w:ascii="Times New Roman" w:hAnsi="Times New Roman" w:eastAsia="宋体" w:cs="Times New Roman"/>
          <w:kern w:val="44"/>
          <w:sz w:val="32"/>
          <w:szCs w:val="32"/>
          <w:highlight w:val="none"/>
        </w:rPr>
      </w:pPr>
    </w:p>
    <w:p w14:paraId="5A0DBB33">
      <w:pPr>
        <w:pStyle w:val="27"/>
        <w:ind w:firstLine="560"/>
        <w:jc w:val="both"/>
        <w:rPr>
          <w:rFonts w:hint="default" w:ascii="Times New Roman" w:hAnsi="Times New Roman" w:eastAsia="宋体" w:cs="Times New Roman"/>
          <w:highlight w:val="none"/>
        </w:rPr>
      </w:pPr>
      <w:r>
        <w:rPr>
          <w:rFonts w:hint="default" w:ascii="Times New Roman" w:hAnsi="Times New Roman" w:eastAsia="宋体" w:cs="Times New Roman"/>
          <w:highlight w:val="none"/>
        </w:rPr>
        <w:br w:type="page"/>
      </w:r>
    </w:p>
    <w:p w14:paraId="69A780A2">
      <w:pPr>
        <w:autoSpaceDE w:val="0"/>
        <w:autoSpaceDN w:val="0"/>
        <w:adjustRightInd w:val="0"/>
        <w:spacing w:line="360" w:lineRule="auto"/>
        <w:outlineLvl w:val="0"/>
        <w:rPr>
          <w:rFonts w:hint="default" w:ascii="Times New Roman" w:hAnsi="Times New Roman" w:eastAsia="宋体" w:cs="Times New Roman"/>
          <w:b/>
          <w:kern w:val="44"/>
          <w:sz w:val="44"/>
          <w:szCs w:val="44"/>
          <w:highlight w:val="none"/>
        </w:rPr>
      </w:pPr>
      <w:r>
        <w:rPr>
          <w:rFonts w:hint="default" w:ascii="Times New Roman" w:hAnsi="Times New Roman" w:eastAsia="宋体" w:cs="Times New Roman"/>
          <w:b/>
          <w:kern w:val="44"/>
          <w:sz w:val="44"/>
          <w:szCs w:val="44"/>
          <w:highlight w:val="none"/>
          <w:lang w:val="zh-CN"/>
        </w:rPr>
        <w:t>第六章 投标文件格式</w:t>
      </w:r>
    </w:p>
    <w:p w14:paraId="1DF7D1D0">
      <w:pPr>
        <w:tabs>
          <w:tab w:val="left" w:pos="1980"/>
        </w:tabs>
        <w:autoSpaceDE w:val="0"/>
        <w:autoSpaceDN w:val="0"/>
        <w:adjustRightInd w:val="0"/>
        <w:spacing w:before="120" w:line="360" w:lineRule="auto"/>
        <w:rPr>
          <w:rFonts w:hint="default" w:ascii="Times New Roman" w:hAnsi="Times New Roman" w:eastAsia="宋体" w:cs="Times New Roman"/>
          <w:b/>
          <w:bCs/>
          <w:color w:val="FF0000"/>
          <w:sz w:val="24"/>
          <w:szCs w:val="24"/>
          <w:highlight w:val="none"/>
        </w:rPr>
      </w:pPr>
      <w:r>
        <w:rPr>
          <w:rFonts w:hint="default" w:ascii="Times New Roman" w:hAnsi="Times New Roman" w:eastAsia="宋体" w:cs="Times New Roman"/>
          <w:b/>
          <w:bCs/>
          <w:color w:val="FF0000"/>
          <w:sz w:val="24"/>
          <w:szCs w:val="24"/>
          <w:highlight w:val="none"/>
        </w:rPr>
        <w:t>【特别提醒：标记“</w:t>
      </w:r>
      <w:r>
        <w:rPr>
          <w:rFonts w:hint="default" w:ascii="Times New Roman" w:hAnsi="Times New Roman" w:eastAsia="宋体" w:cs="Times New Roman"/>
          <w:b/>
          <w:bCs/>
          <w:color w:val="FF0000"/>
          <w:sz w:val="24"/>
          <w:highlight w:val="none"/>
        </w:rPr>
        <w:t>★</w:t>
      </w:r>
      <w:r>
        <w:rPr>
          <w:rFonts w:hint="default" w:ascii="Times New Roman" w:hAnsi="Times New Roman" w:eastAsia="宋体" w:cs="Times New Roman"/>
          <w:b/>
          <w:bCs/>
          <w:color w:val="FF0000"/>
          <w:sz w:val="24"/>
          <w:szCs w:val="24"/>
          <w:highlight w:val="none"/>
        </w:rPr>
        <w:t>”的内容必须按照招标文件的要求提供准确、真实内容，否则投标无效。如提供的材料形式（或格式）不符或内容不清晰无法辨别导致的投标无效由投标人自行承担】</w:t>
      </w:r>
    </w:p>
    <w:p w14:paraId="4C270252">
      <w:pPr>
        <w:tabs>
          <w:tab w:val="left" w:pos="1980"/>
        </w:tabs>
        <w:autoSpaceDE w:val="0"/>
        <w:autoSpaceDN w:val="0"/>
        <w:adjustRightInd w:val="0"/>
        <w:spacing w:before="120" w:line="360" w:lineRule="auto"/>
        <w:rPr>
          <w:rFonts w:hint="default" w:ascii="Times New Roman" w:hAnsi="Times New Roman" w:eastAsia="宋体" w:cs="Times New Roman"/>
          <w:sz w:val="24"/>
          <w:szCs w:val="24"/>
          <w:highlight w:val="none"/>
          <w:lang w:val="zh-CN"/>
        </w:rPr>
      </w:pPr>
      <w:r>
        <w:rPr>
          <w:rFonts w:hint="default" w:ascii="Times New Roman" w:hAnsi="Times New Roman" w:eastAsia="宋体" w:cs="Times New Roman"/>
          <w:sz w:val="24"/>
          <w:szCs w:val="24"/>
          <w:highlight w:val="none"/>
          <w:lang w:val="zh-CN"/>
        </w:rPr>
        <w:t>目录</w:t>
      </w:r>
    </w:p>
    <w:p w14:paraId="673D6821">
      <w:pPr>
        <w:spacing w:line="360" w:lineRule="auto"/>
        <w:rPr>
          <w:rFonts w:hint="default" w:ascii="Times New Roman" w:hAnsi="Times New Roman" w:eastAsia="宋体" w:cs="Times New Roman"/>
          <w:b/>
          <w:bCs/>
          <w:sz w:val="24"/>
          <w:highlight w:val="none"/>
        </w:rPr>
      </w:pPr>
      <w:r>
        <w:rPr>
          <w:rFonts w:hint="default" w:ascii="Times New Roman" w:hAnsi="Times New Roman" w:eastAsia="宋体" w:cs="Times New Roman"/>
          <w:b/>
          <w:bCs/>
          <w:sz w:val="24"/>
          <w:highlight w:val="none"/>
        </w:rPr>
        <w:t>★附件1 投标书（统一格式，投标人必须提供）</w:t>
      </w:r>
    </w:p>
    <w:p w14:paraId="5849885C">
      <w:pPr>
        <w:spacing w:line="360" w:lineRule="auto"/>
        <w:rPr>
          <w:rFonts w:hint="default" w:ascii="Times New Roman" w:hAnsi="Times New Roman" w:eastAsia="宋体" w:cs="Times New Roman"/>
          <w:b/>
          <w:bCs/>
          <w:sz w:val="24"/>
          <w:highlight w:val="none"/>
        </w:rPr>
      </w:pPr>
      <w:r>
        <w:rPr>
          <w:rFonts w:hint="default" w:ascii="Times New Roman" w:hAnsi="Times New Roman" w:eastAsia="宋体" w:cs="Times New Roman"/>
          <w:b/>
          <w:bCs/>
          <w:sz w:val="24"/>
          <w:highlight w:val="none"/>
        </w:rPr>
        <w:t>★附件2 投标一览表（统一格式，投标人必须提供）</w:t>
      </w:r>
    </w:p>
    <w:p w14:paraId="77FA6794">
      <w:pPr>
        <w:spacing w:line="360" w:lineRule="auto"/>
        <w:rPr>
          <w:rFonts w:hint="default" w:ascii="Times New Roman" w:hAnsi="Times New Roman" w:eastAsia="宋体" w:cs="Times New Roman"/>
          <w:b/>
          <w:bCs/>
          <w:sz w:val="24"/>
          <w:highlight w:val="none"/>
        </w:rPr>
      </w:pPr>
      <w:r>
        <w:rPr>
          <w:rFonts w:hint="default" w:ascii="Times New Roman" w:hAnsi="Times New Roman" w:eastAsia="宋体" w:cs="Times New Roman"/>
          <w:b/>
          <w:bCs/>
          <w:sz w:val="24"/>
          <w:highlight w:val="none"/>
        </w:rPr>
        <w:t>★附件3 投标分项报价表（统一格式，投标人必须提供）</w:t>
      </w:r>
    </w:p>
    <w:p w14:paraId="43981DAF">
      <w:pPr>
        <w:spacing w:line="360" w:lineRule="auto"/>
        <w:rPr>
          <w:rFonts w:hint="default" w:ascii="Times New Roman" w:hAnsi="Times New Roman" w:eastAsia="宋体" w:cs="Times New Roman"/>
          <w:b/>
          <w:bCs/>
          <w:sz w:val="24"/>
          <w:highlight w:val="none"/>
        </w:rPr>
      </w:pPr>
      <w:r>
        <w:rPr>
          <w:rFonts w:hint="default" w:ascii="Times New Roman" w:hAnsi="Times New Roman" w:eastAsia="宋体" w:cs="Times New Roman"/>
          <w:b/>
          <w:bCs/>
          <w:sz w:val="24"/>
          <w:highlight w:val="none"/>
        </w:rPr>
        <w:t>附件4 货物说明一览表</w:t>
      </w:r>
    </w:p>
    <w:p w14:paraId="04C8581E">
      <w:pPr>
        <w:spacing w:line="360" w:lineRule="auto"/>
        <w:rPr>
          <w:rFonts w:hint="default" w:ascii="Times New Roman" w:hAnsi="Times New Roman" w:eastAsia="宋体" w:cs="Times New Roman"/>
          <w:b/>
          <w:bCs/>
          <w:sz w:val="24"/>
          <w:highlight w:val="none"/>
        </w:rPr>
      </w:pPr>
      <w:r>
        <w:rPr>
          <w:rFonts w:hint="default" w:ascii="Times New Roman" w:hAnsi="Times New Roman" w:eastAsia="宋体" w:cs="Times New Roman"/>
          <w:b/>
          <w:bCs/>
          <w:sz w:val="24"/>
          <w:highlight w:val="none"/>
        </w:rPr>
        <w:t>★附件5 技术要求逐条应答表（统一格式，投标人必须提供）</w:t>
      </w:r>
    </w:p>
    <w:p w14:paraId="15854953">
      <w:pPr>
        <w:spacing w:line="360" w:lineRule="auto"/>
        <w:rPr>
          <w:rFonts w:hint="default" w:ascii="Times New Roman" w:hAnsi="Times New Roman" w:eastAsia="宋体" w:cs="Times New Roman"/>
          <w:b/>
          <w:bCs/>
          <w:sz w:val="24"/>
          <w:highlight w:val="none"/>
        </w:rPr>
      </w:pPr>
      <w:r>
        <w:rPr>
          <w:rFonts w:hint="default" w:ascii="Times New Roman" w:hAnsi="Times New Roman" w:eastAsia="宋体" w:cs="Times New Roman"/>
          <w:b/>
          <w:bCs/>
          <w:sz w:val="24"/>
          <w:highlight w:val="none"/>
        </w:rPr>
        <w:t>★附件6 商务要求应答表（统一格式，投标人必须提供）</w:t>
      </w:r>
    </w:p>
    <w:p w14:paraId="4B6CF748">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附件7 资格证明文件：</w:t>
      </w:r>
    </w:p>
    <w:p w14:paraId="73DDD1DD">
      <w:pPr>
        <w:spacing w:line="360" w:lineRule="auto"/>
        <w:rPr>
          <w:rFonts w:hint="default" w:ascii="Times New Roman" w:hAnsi="Times New Roman" w:eastAsia="宋体" w:cs="Times New Roman"/>
          <w:b/>
          <w:bCs/>
          <w:sz w:val="24"/>
          <w:highlight w:val="none"/>
        </w:rPr>
      </w:pPr>
      <w:r>
        <w:rPr>
          <w:rFonts w:hint="default" w:ascii="Times New Roman" w:hAnsi="Times New Roman" w:eastAsia="宋体" w:cs="Times New Roman"/>
          <w:b/>
          <w:bCs/>
          <w:sz w:val="24"/>
          <w:highlight w:val="none"/>
        </w:rPr>
        <w:t>★7-1 法人营业执照/事业单位法人证书（复印件，加盖公章，投标人必须提供，格式自拟）</w:t>
      </w:r>
    </w:p>
    <w:p w14:paraId="599CE47F">
      <w:pPr>
        <w:spacing w:line="360" w:lineRule="auto"/>
        <w:rPr>
          <w:rFonts w:hint="default" w:ascii="Times New Roman" w:hAnsi="Times New Roman" w:eastAsia="宋体" w:cs="Times New Roman"/>
          <w:b/>
          <w:bCs/>
          <w:sz w:val="24"/>
          <w:highlight w:val="none"/>
        </w:rPr>
      </w:pPr>
      <w:r>
        <w:rPr>
          <w:rFonts w:hint="default" w:ascii="Times New Roman" w:hAnsi="Times New Roman" w:eastAsia="宋体" w:cs="Times New Roman"/>
          <w:b/>
          <w:bCs/>
          <w:sz w:val="24"/>
          <w:highlight w:val="none"/>
        </w:rPr>
        <w:t>★7-2法定代表人资格证明书及法定代表人授权委托书（统一格式，投标人必须提供）</w:t>
      </w:r>
    </w:p>
    <w:p w14:paraId="5D73EBA3">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7-3  制造厂家的资格声明（统一格式）</w:t>
      </w:r>
    </w:p>
    <w:p w14:paraId="620C0CE2">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7-4  投标人（作为制造厂家的经销代理）的资格声明（统一格式）</w:t>
      </w:r>
    </w:p>
    <w:p w14:paraId="4909EED8">
      <w:pPr>
        <w:spacing w:line="360" w:lineRule="auto"/>
        <w:rPr>
          <w:rFonts w:hint="default" w:ascii="Times New Roman" w:hAnsi="Times New Roman" w:eastAsia="宋体" w:cs="Times New Roman"/>
          <w:b/>
          <w:bCs/>
          <w:sz w:val="24"/>
          <w:highlight w:val="none"/>
        </w:rPr>
      </w:pPr>
      <w:r>
        <w:rPr>
          <w:rFonts w:hint="default" w:ascii="Times New Roman" w:hAnsi="Times New Roman" w:eastAsia="宋体" w:cs="Times New Roman"/>
          <w:b/>
          <w:bCs/>
          <w:sz w:val="24"/>
          <w:highlight w:val="none"/>
        </w:rPr>
        <w:t>7-5制造厂家的授权书</w:t>
      </w:r>
      <w:r>
        <w:rPr>
          <w:rFonts w:hint="default" w:ascii="Times New Roman" w:hAnsi="Times New Roman" w:eastAsia="宋体" w:cs="Times New Roman"/>
          <w:sz w:val="24"/>
          <w:highlight w:val="none"/>
        </w:rPr>
        <w:t>（如果投标人提供的进口货物不是投标人自己制造的，则必须提供，进口货物适用。国产产品不需要提供。）</w:t>
      </w:r>
    </w:p>
    <w:p w14:paraId="20C3AC54">
      <w:pPr>
        <w:spacing w:line="360" w:lineRule="auto"/>
        <w:rPr>
          <w:rFonts w:hint="default" w:ascii="Times New Roman" w:hAnsi="Times New Roman" w:eastAsia="宋体" w:cs="Times New Roman"/>
          <w:b/>
          <w:bCs/>
          <w:sz w:val="24"/>
          <w:highlight w:val="none"/>
        </w:rPr>
      </w:pPr>
      <w:r>
        <w:rPr>
          <w:rFonts w:hint="default" w:ascii="Times New Roman" w:hAnsi="Times New Roman" w:eastAsia="宋体" w:cs="Times New Roman"/>
          <w:b/>
          <w:bCs/>
          <w:sz w:val="24"/>
          <w:highlight w:val="none"/>
        </w:rPr>
        <w:t>★7-6 投标人资格声明函（统一格式，加盖公章）</w:t>
      </w:r>
    </w:p>
    <w:p w14:paraId="70DB472D">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7-7  招标文件要求或投标人认为必要的其它内容（如：业绩合同、质量认证、荣誉证书等）</w:t>
      </w:r>
    </w:p>
    <w:p w14:paraId="649CD31C">
      <w:pPr>
        <w:tabs>
          <w:tab w:val="left" w:pos="5580"/>
        </w:tabs>
        <w:adjustRightInd w:val="0"/>
        <w:snapToGrid w:val="0"/>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附件8 履约保证金保函（统一格式，中标后开具）（如适用）</w:t>
      </w:r>
    </w:p>
    <w:p w14:paraId="2EF7B839">
      <w:pPr>
        <w:tabs>
          <w:tab w:val="left" w:pos="5580"/>
        </w:tabs>
        <w:adjustRightInd w:val="0"/>
        <w:snapToGrid w:val="0"/>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附件9 投标保证金的银行保函（统一格式）</w:t>
      </w:r>
    </w:p>
    <w:p w14:paraId="0B99E67F">
      <w:pPr>
        <w:tabs>
          <w:tab w:val="left" w:pos="5580"/>
        </w:tabs>
        <w:adjustRightInd w:val="0"/>
        <w:snapToGrid w:val="0"/>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附件10中标服务费承诺书（统一格式）</w:t>
      </w:r>
    </w:p>
    <w:p w14:paraId="278478D9">
      <w:pPr>
        <w:tabs>
          <w:tab w:val="left" w:pos="5580"/>
        </w:tabs>
        <w:adjustRightInd w:val="0"/>
        <w:snapToGrid w:val="0"/>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附件11 货物技术说明文件（产品制造商原厂公开发布的资料参数等）</w:t>
      </w:r>
    </w:p>
    <w:p w14:paraId="29E61C6F">
      <w:pPr>
        <w:tabs>
          <w:tab w:val="left" w:pos="5580"/>
        </w:tabs>
        <w:adjustRightInd w:val="0"/>
        <w:snapToGrid w:val="0"/>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附件12投标人针对本项目的技术支持及售后服务的方案内容</w:t>
      </w:r>
    </w:p>
    <w:p w14:paraId="74815538">
      <w:pPr>
        <w:tabs>
          <w:tab w:val="left" w:pos="6825"/>
        </w:tabs>
        <w:adjustRightInd w:val="0"/>
        <w:snapToGrid w:val="0"/>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附件13服务方案</w:t>
      </w:r>
    </w:p>
    <w:p w14:paraId="5B6B8D9A">
      <w:pPr>
        <w:tabs>
          <w:tab w:val="left" w:pos="6825"/>
        </w:tabs>
        <w:adjustRightInd w:val="0"/>
        <w:snapToGrid w:val="0"/>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附件14中小企业声明函（如为中小企业，应按《政府采购促进中小企业发展管理办法》的规定提供）（统一格式）</w:t>
      </w:r>
    </w:p>
    <w:p w14:paraId="1716817E">
      <w:pPr>
        <w:tabs>
          <w:tab w:val="left" w:pos="6825"/>
        </w:tabs>
        <w:adjustRightInd w:val="0"/>
        <w:snapToGrid w:val="0"/>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附件15《关于符合本国产品标准的声明函》和《关于符合本国产品标准的成本占比承诺函》（统一格式）</w:t>
      </w:r>
    </w:p>
    <w:p w14:paraId="492BE005">
      <w:pPr>
        <w:tabs>
          <w:tab w:val="left" w:pos="6825"/>
        </w:tabs>
        <w:adjustRightInd w:val="0"/>
        <w:snapToGrid w:val="0"/>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附件16 残疾人福利性单位声明函（如为残疾人福利性单位，应按《财政部 民政部 中国残疾人联合会关于促进残疾人就业政府采购政策的通知》（财库〔2017〕141号）的规定提供）（统一格式）</w:t>
      </w:r>
    </w:p>
    <w:p w14:paraId="48708861">
      <w:pPr>
        <w:tabs>
          <w:tab w:val="left" w:pos="6825"/>
        </w:tabs>
        <w:adjustRightInd w:val="0"/>
        <w:snapToGrid w:val="0"/>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附件17 政府采购投标担保函（适用于中小企业）</w:t>
      </w:r>
    </w:p>
    <w:p w14:paraId="48DF4ACF">
      <w:pPr>
        <w:tabs>
          <w:tab w:val="left" w:pos="6825"/>
        </w:tabs>
        <w:adjustRightInd w:val="0"/>
        <w:snapToGrid w:val="0"/>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附件18 政府采购履约担保函（适用于中小企业）</w:t>
      </w:r>
    </w:p>
    <w:p w14:paraId="37052093">
      <w:pPr>
        <w:tabs>
          <w:tab w:val="left" w:pos="6825"/>
        </w:tabs>
        <w:adjustRightInd w:val="0"/>
        <w:snapToGrid w:val="0"/>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附件19 预付款银行保函（如适用）</w:t>
      </w:r>
    </w:p>
    <w:p w14:paraId="4D8F304F">
      <w:pPr>
        <w:tabs>
          <w:tab w:val="left" w:pos="6825"/>
        </w:tabs>
        <w:adjustRightInd w:val="0"/>
        <w:snapToGrid w:val="0"/>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附件20 节能产品、环境标志产品的证明材料（如适用）</w:t>
      </w:r>
    </w:p>
    <w:p w14:paraId="3363F757">
      <w:pPr>
        <w:tabs>
          <w:tab w:val="left" w:pos="6825"/>
        </w:tabs>
        <w:adjustRightInd w:val="0"/>
        <w:snapToGrid w:val="0"/>
        <w:spacing w:line="360" w:lineRule="auto"/>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★附件21 关于《关于在政府采购活动中对有关美国企业采取相关措施的通知》的承诺函（统一格式）</w:t>
      </w:r>
    </w:p>
    <w:p w14:paraId="56BC3421">
      <w:pPr>
        <w:tabs>
          <w:tab w:val="left" w:pos="6825"/>
        </w:tabs>
        <w:adjustRightInd w:val="0"/>
        <w:snapToGrid w:val="0"/>
        <w:spacing w:line="360" w:lineRule="auto"/>
        <w:rPr>
          <w:rFonts w:hint="default" w:ascii="Times New Roman" w:hAnsi="Times New Roman" w:eastAsia="宋体" w:cs="Times New Roman"/>
          <w:sz w:val="24"/>
          <w:highlight w:val="none"/>
        </w:rPr>
      </w:pPr>
    </w:p>
    <w:p w14:paraId="12B3A560">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b/>
          <w:bCs/>
          <w:kern w:val="0"/>
          <w:sz w:val="32"/>
          <w:szCs w:val="32"/>
          <w:highlight w:val="none"/>
        </w:rPr>
        <w:br w:type="page"/>
      </w:r>
    </w:p>
    <w:p w14:paraId="7F750CC7">
      <w:pPr>
        <w:pStyle w:val="6"/>
        <w:spacing w:line="360" w:lineRule="auto"/>
        <w:ind w:left="1047" w:right="708" w:rightChars="337" w:hanging="905"/>
        <w:jc w:val="both"/>
        <w:outlineLvl w:val="9"/>
        <w:rPr>
          <w:rFonts w:hint="default" w:ascii="Times New Roman" w:hAnsi="Times New Roman" w:eastAsia="宋体" w:cs="Times New Roman"/>
          <w:color w:val="000000" w:themeColor="text1"/>
          <w:sz w:val="24"/>
          <w:szCs w:val="24"/>
          <w:highlight w:val="none"/>
          <w14:textFill>
            <w14:solidFill>
              <w14:schemeClr w14:val="tx1"/>
            </w14:solidFill>
          </w14:textFill>
        </w:rPr>
      </w:pPr>
    </w:p>
    <w:p w14:paraId="5752BB5E">
      <w:pPr>
        <w:pStyle w:val="3"/>
        <w:tabs>
          <w:tab w:val="left" w:pos="5580"/>
        </w:tabs>
        <w:spacing w:line="360" w:lineRule="auto"/>
        <w:jc w:val="both"/>
        <w:rPr>
          <w:rFonts w:hint="default" w:ascii="Times New Roman" w:hAnsi="Times New Roman" w:eastAsia="宋体" w:cs="Times New Roman"/>
          <w:highlight w:val="none"/>
        </w:rPr>
      </w:pPr>
      <w:r>
        <w:rPr>
          <w:rFonts w:hint="default" w:ascii="Times New Roman" w:hAnsi="Times New Roman" w:eastAsia="宋体" w:cs="Times New Roman"/>
          <w:b/>
          <w:bCs/>
          <w:highlight w:val="none"/>
        </w:rPr>
        <w:t xml:space="preserve">★附件1：投标书 </w:t>
      </w:r>
    </w:p>
    <w:p w14:paraId="519733E9">
      <w:pPr>
        <w:tabs>
          <w:tab w:val="left" w:pos="5580"/>
        </w:tabs>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highlight w:val="none"/>
        </w:rPr>
        <w:t>致：东方国际招标有限责任公司</w:t>
      </w:r>
    </w:p>
    <w:p w14:paraId="23ED9DF2">
      <w:pPr>
        <w:pStyle w:val="13"/>
        <w:tabs>
          <w:tab w:val="left" w:pos="5580"/>
        </w:tabs>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根据贵方为( 项目名称：</w:t>
      </w:r>
      <w:r>
        <w:rPr>
          <w:rFonts w:hint="default" w:ascii="Times New Roman" w:hAnsi="Times New Roman" w:eastAsia="宋体" w:cs="Times New Roman"/>
          <w:sz w:val="24"/>
          <w:szCs w:val="24"/>
          <w:highlight w:val="none"/>
          <w:u w:val="single"/>
        </w:rPr>
        <w:t xml:space="preserve">               </w:t>
      </w:r>
      <w:r>
        <w:rPr>
          <w:rFonts w:hint="default" w:ascii="Times New Roman" w:hAnsi="Times New Roman" w:eastAsia="宋体" w:cs="Times New Roman"/>
          <w:sz w:val="24"/>
          <w:szCs w:val="24"/>
          <w:highlight w:val="none"/>
        </w:rPr>
        <w:t>)项目招标采购服务的投标邀请(</w:t>
      </w:r>
      <w:r>
        <w:rPr>
          <w:rFonts w:hint="default" w:ascii="Times New Roman" w:hAnsi="Times New Roman" w:eastAsia="宋体" w:cs="Times New Roman"/>
          <w:iCs/>
          <w:sz w:val="24"/>
          <w:szCs w:val="24"/>
          <w:highlight w:val="none"/>
          <w:u w:val="single"/>
        </w:rPr>
        <w:t xml:space="preserve">招标编号：          和包号：    </w:t>
      </w:r>
      <w:r>
        <w:rPr>
          <w:rFonts w:hint="default" w:ascii="Times New Roman" w:hAnsi="Times New Roman" w:eastAsia="宋体" w:cs="Times New Roman"/>
          <w:sz w:val="24"/>
          <w:szCs w:val="24"/>
          <w:highlight w:val="none"/>
        </w:rPr>
        <w:t>),签字代表</w:t>
      </w:r>
      <w:r>
        <w:rPr>
          <w:rFonts w:hint="default" w:ascii="Times New Roman" w:hAnsi="Times New Roman" w:eastAsia="宋体" w:cs="Times New Roman"/>
          <w:sz w:val="24"/>
          <w:szCs w:val="24"/>
          <w:highlight w:val="none"/>
          <w:u w:val="single"/>
        </w:rPr>
        <w:t xml:space="preserve"> (</w:t>
      </w:r>
      <w:r>
        <w:rPr>
          <w:rFonts w:hint="default" w:ascii="Times New Roman" w:hAnsi="Times New Roman" w:eastAsia="宋体" w:cs="Times New Roman"/>
          <w:iCs/>
          <w:sz w:val="24"/>
          <w:szCs w:val="24"/>
          <w:highlight w:val="none"/>
          <w:u w:val="single"/>
        </w:rPr>
        <w:t xml:space="preserve">姓名：      、职务：      </w:t>
      </w:r>
      <w:r>
        <w:rPr>
          <w:rFonts w:hint="default" w:ascii="Times New Roman" w:hAnsi="Times New Roman" w:eastAsia="宋体" w:cs="Times New Roman"/>
          <w:sz w:val="24"/>
          <w:szCs w:val="24"/>
          <w:highlight w:val="none"/>
        </w:rPr>
        <w:t>)经正式授权并代表投标人</w:t>
      </w:r>
      <w:r>
        <w:rPr>
          <w:rFonts w:hint="default" w:ascii="Times New Roman" w:hAnsi="Times New Roman" w:eastAsia="宋体" w:cs="Times New Roman"/>
          <w:sz w:val="24"/>
          <w:szCs w:val="24"/>
          <w:highlight w:val="none"/>
          <w:u w:val="single"/>
        </w:rPr>
        <w:t>（</w:t>
      </w:r>
      <w:r>
        <w:rPr>
          <w:rFonts w:hint="default" w:ascii="Times New Roman" w:hAnsi="Times New Roman" w:eastAsia="宋体" w:cs="Times New Roman"/>
          <w:iCs/>
          <w:sz w:val="24"/>
          <w:szCs w:val="24"/>
          <w:highlight w:val="none"/>
          <w:u w:val="single"/>
        </w:rPr>
        <w:t xml:space="preserve">投标人名称：         、地址：           </w:t>
      </w:r>
      <w:r>
        <w:rPr>
          <w:rFonts w:hint="default" w:ascii="Times New Roman" w:hAnsi="Times New Roman" w:eastAsia="宋体" w:cs="Times New Roman"/>
          <w:sz w:val="24"/>
          <w:szCs w:val="24"/>
          <w:highlight w:val="none"/>
          <w:u w:val="single"/>
        </w:rPr>
        <w:t>）</w:t>
      </w:r>
      <w:r>
        <w:rPr>
          <w:rFonts w:hint="default" w:ascii="Times New Roman" w:hAnsi="Times New Roman" w:eastAsia="宋体" w:cs="Times New Roman"/>
          <w:sz w:val="24"/>
          <w:szCs w:val="24"/>
          <w:highlight w:val="none"/>
        </w:rPr>
        <w:t>提交下述文件</w:t>
      </w:r>
    </w:p>
    <w:p w14:paraId="51DB9355">
      <w:pPr>
        <w:pStyle w:val="13"/>
        <w:numPr>
          <w:ilvl w:val="0"/>
          <w:numId w:val="17"/>
        </w:numPr>
        <w:tabs>
          <w:tab w:val="left" w:pos="210"/>
          <w:tab w:val="left" w:pos="315"/>
          <w:tab w:val="left" w:pos="630"/>
          <w:tab w:val="left" w:pos="840"/>
          <w:tab w:val="left" w:pos="945"/>
        </w:tabs>
        <w:spacing w:line="360" w:lineRule="auto"/>
        <w:ind w:left="525" w:firstLine="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提供投标须知规定的全部投标文件：正本</w:t>
      </w:r>
      <w:r>
        <w:rPr>
          <w:rFonts w:hint="default" w:ascii="Times New Roman" w:hAnsi="Times New Roman" w:eastAsia="宋体" w:cs="Times New Roman"/>
          <w:sz w:val="24"/>
          <w:szCs w:val="24"/>
          <w:highlight w:val="none"/>
          <w:u w:val="single"/>
        </w:rPr>
        <w:t xml:space="preserve"> </w:t>
      </w:r>
      <w:r>
        <w:rPr>
          <w:rFonts w:hint="default" w:ascii="Times New Roman" w:hAnsi="Times New Roman" w:eastAsia="宋体" w:cs="Times New Roman"/>
          <w:i/>
          <w:iCs/>
          <w:sz w:val="24"/>
          <w:szCs w:val="24"/>
          <w:highlight w:val="none"/>
          <w:u w:val="single"/>
        </w:rPr>
        <w:t xml:space="preserve">  </w:t>
      </w:r>
      <w:r>
        <w:rPr>
          <w:rFonts w:hint="default" w:ascii="Times New Roman" w:hAnsi="Times New Roman" w:eastAsia="宋体" w:cs="Times New Roman"/>
          <w:sz w:val="24"/>
          <w:szCs w:val="24"/>
          <w:highlight w:val="none"/>
        </w:rPr>
        <w:t>份，副本</w:t>
      </w:r>
      <w:r>
        <w:rPr>
          <w:rFonts w:hint="default" w:ascii="Times New Roman" w:hAnsi="Times New Roman" w:eastAsia="宋体" w:cs="Times New Roman"/>
          <w:sz w:val="24"/>
          <w:szCs w:val="24"/>
          <w:highlight w:val="none"/>
          <w:u w:val="single"/>
        </w:rPr>
        <w:t xml:space="preserve">   </w:t>
      </w:r>
      <w:r>
        <w:rPr>
          <w:rFonts w:hint="default" w:ascii="Times New Roman" w:hAnsi="Times New Roman" w:eastAsia="宋体" w:cs="Times New Roman"/>
          <w:sz w:val="24"/>
          <w:szCs w:val="24"/>
          <w:highlight w:val="none"/>
        </w:rPr>
        <w:t>份，电子版</w:t>
      </w:r>
      <w:r>
        <w:rPr>
          <w:rFonts w:hint="default" w:ascii="Times New Roman" w:hAnsi="Times New Roman" w:eastAsia="宋体" w:cs="Times New Roman"/>
          <w:sz w:val="24"/>
          <w:szCs w:val="24"/>
          <w:highlight w:val="none"/>
          <w:u w:val="single"/>
        </w:rPr>
        <w:t xml:space="preserve">   </w:t>
      </w:r>
      <w:r>
        <w:rPr>
          <w:rFonts w:hint="default" w:ascii="Times New Roman" w:hAnsi="Times New Roman" w:eastAsia="宋体" w:cs="Times New Roman"/>
          <w:sz w:val="24"/>
          <w:szCs w:val="24"/>
          <w:highlight w:val="none"/>
        </w:rPr>
        <w:t>份。</w:t>
      </w:r>
    </w:p>
    <w:p w14:paraId="79C2202A">
      <w:pPr>
        <w:pStyle w:val="13"/>
        <w:numPr>
          <w:ilvl w:val="0"/>
          <w:numId w:val="17"/>
        </w:numPr>
        <w:tabs>
          <w:tab w:val="left" w:pos="630"/>
          <w:tab w:val="left" w:pos="735"/>
          <w:tab w:val="left" w:pos="945"/>
        </w:tabs>
        <w:spacing w:line="360" w:lineRule="auto"/>
        <w:ind w:left="840" w:hanging="315"/>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以</w:t>
      </w:r>
      <w:r>
        <w:rPr>
          <w:rFonts w:hint="default" w:ascii="Times New Roman" w:hAnsi="Times New Roman" w:eastAsia="宋体" w:cs="Times New Roman"/>
          <w:sz w:val="24"/>
          <w:szCs w:val="24"/>
          <w:highlight w:val="none"/>
          <w:u w:val="single"/>
        </w:rPr>
        <w:t xml:space="preserve">     </w:t>
      </w:r>
      <w:r>
        <w:rPr>
          <w:rFonts w:hint="default" w:ascii="Times New Roman" w:hAnsi="Times New Roman" w:eastAsia="宋体" w:cs="Times New Roman"/>
          <w:sz w:val="24"/>
          <w:szCs w:val="24"/>
          <w:highlight w:val="none"/>
        </w:rPr>
        <w:t>形式出具的投标保证金，金额为人民币</w:t>
      </w:r>
      <w:r>
        <w:rPr>
          <w:rFonts w:hint="default" w:ascii="Times New Roman" w:hAnsi="Times New Roman" w:eastAsia="宋体" w:cs="Times New Roman"/>
          <w:sz w:val="24"/>
          <w:szCs w:val="24"/>
          <w:highlight w:val="none"/>
          <w:u w:val="single"/>
        </w:rPr>
        <w:t xml:space="preserve">          </w:t>
      </w:r>
      <w:r>
        <w:rPr>
          <w:rFonts w:hint="default" w:ascii="Times New Roman" w:hAnsi="Times New Roman" w:eastAsia="宋体" w:cs="Times New Roman"/>
          <w:sz w:val="24"/>
          <w:szCs w:val="24"/>
          <w:highlight w:val="none"/>
        </w:rPr>
        <w:t>元。</w:t>
      </w:r>
    </w:p>
    <w:p w14:paraId="3E027644">
      <w:pPr>
        <w:pStyle w:val="13"/>
        <w:tabs>
          <w:tab w:val="left" w:pos="525"/>
          <w:tab w:val="left" w:pos="945"/>
          <w:tab w:val="left" w:pos="5580"/>
        </w:tabs>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在此，签字代表宣布同意如下：</w:t>
      </w:r>
    </w:p>
    <w:p w14:paraId="6157D7F6">
      <w:pPr>
        <w:pStyle w:val="13"/>
        <w:numPr>
          <w:ilvl w:val="0"/>
          <w:numId w:val="18"/>
        </w:numPr>
        <w:tabs>
          <w:tab w:val="left" w:pos="5580"/>
        </w:tabs>
        <w:spacing w:line="360" w:lineRule="auto"/>
        <w:rPr>
          <w:rFonts w:hint="default" w:ascii="Times New Roman" w:hAnsi="Times New Roman" w:eastAsia="宋体" w:cs="Times New Roman"/>
          <w:sz w:val="24"/>
          <w:szCs w:val="24"/>
          <w:highlight w:val="none"/>
          <w:u w:val="single"/>
        </w:rPr>
      </w:pPr>
      <w:r>
        <w:rPr>
          <w:rFonts w:hint="default" w:ascii="Times New Roman" w:hAnsi="Times New Roman" w:eastAsia="宋体" w:cs="Times New Roman"/>
          <w:sz w:val="24"/>
          <w:szCs w:val="24"/>
          <w:highlight w:val="none"/>
        </w:rPr>
        <w:t>所附投标价格表中规定的应提交和交付的货物及服务投标报价总价为：</w:t>
      </w:r>
    </w:p>
    <w:p w14:paraId="131C8093">
      <w:pPr>
        <w:pStyle w:val="13"/>
        <w:tabs>
          <w:tab w:val="left" w:pos="1140"/>
          <w:tab w:val="left" w:pos="5580"/>
        </w:tabs>
        <w:spacing w:line="360" w:lineRule="auto"/>
        <w:ind w:left="114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大写：</w:t>
      </w:r>
      <w:r>
        <w:rPr>
          <w:rFonts w:hint="default" w:ascii="Times New Roman" w:hAnsi="Times New Roman" w:eastAsia="宋体" w:cs="Times New Roman"/>
          <w:sz w:val="24"/>
          <w:szCs w:val="24"/>
          <w:highlight w:val="none"/>
          <w:u w:val="single"/>
        </w:rPr>
        <w:t xml:space="preserve">                        </w:t>
      </w:r>
      <w:r>
        <w:rPr>
          <w:rFonts w:hint="default" w:ascii="Times New Roman" w:hAnsi="Times New Roman" w:eastAsia="宋体" w:cs="Times New Roman"/>
          <w:sz w:val="24"/>
          <w:szCs w:val="24"/>
          <w:highlight w:val="none"/>
        </w:rPr>
        <w:t>（用文字表示的投标总价，标明币种）；</w:t>
      </w:r>
    </w:p>
    <w:p w14:paraId="6570C4E1">
      <w:pPr>
        <w:pStyle w:val="13"/>
        <w:tabs>
          <w:tab w:val="left" w:pos="1140"/>
          <w:tab w:val="left" w:pos="5580"/>
        </w:tabs>
        <w:spacing w:line="360" w:lineRule="auto"/>
        <w:ind w:left="114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小写：</w:t>
      </w:r>
      <w:r>
        <w:rPr>
          <w:rFonts w:hint="default" w:ascii="Times New Roman" w:hAnsi="Times New Roman" w:eastAsia="宋体" w:cs="Times New Roman"/>
          <w:sz w:val="24"/>
          <w:szCs w:val="24"/>
          <w:highlight w:val="none"/>
          <w:u w:val="single"/>
        </w:rPr>
        <w:t xml:space="preserve">                       </w:t>
      </w:r>
      <w:r>
        <w:rPr>
          <w:rFonts w:hint="default" w:ascii="Times New Roman" w:hAnsi="Times New Roman" w:eastAsia="宋体" w:cs="Times New Roman"/>
          <w:sz w:val="24"/>
          <w:szCs w:val="24"/>
          <w:highlight w:val="none"/>
        </w:rPr>
        <w:t>（用数字表示的投标总价，标明币种）。</w:t>
      </w:r>
    </w:p>
    <w:p w14:paraId="12568BCE">
      <w:pPr>
        <w:pStyle w:val="13"/>
        <w:numPr>
          <w:ilvl w:val="0"/>
          <w:numId w:val="18"/>
        </w:numPr>
        <w:tabs>
          <w:tab w:val="left" w:pos="5580"/>
        </w:tabs>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我方将按招标文件的规定履行合同责任和义务。</w:t>
      </w:r>
    </w:p>
    <w:p w14:paraId="35EF49C6">
      <w:pPr>
        <w:pStyle w:val="13"/>
        <w:numPr>
          <w:ilvl w:val="0"/>
          <w:numId w:val="18"/>
        </w:numPr>
        <w:tabs>
          <w:tab w:val="left" w:pos="5580"/>
        </w:tabs>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我方已详细审查全部招标文件，包括第</w:t>
      </w:r>
      <w:r>
        <w:rPr>
          <w:rFonts w:hint="default" w:ascii="Times New Roman" w:hAnsi="Times New Roman" w:eastAsia="宋体" w:cs="Times New Roman"/>
          <w:sz w:val="24"/>
          <w:szCs w:val="24"/>
          <w:highlight w:val="none"/>
          <w:u w:val="single"/>
        </w:rPr>
        <w:t xml:space="preserve">   </w:t>
      </w:r>
      <w:r>
        <w:rPr>
          <w:rFonts w:hint="default" w:ascii="Times New Roman" w:hAnsi="Times New Roman" w:eastAsia="宋体" w:cs="Times New Roman"/>
          <w:iCs/>
          <w:sz w:val="24"/>
          <w:szCs w:val="24"/>
          <w:highlight w:val="none"/>
          <w:u w:val="single"/>
        </w:rPr>
        <w:t>号（招标编号、补充通知）</w:t>
      </w:r>
      <w:r>
        <w:rPr>
          <w:rFonts w:hint="default" w:ascii="Times New Roman" w:hAnsi="Times New Roman" w:eastAsia="宋体" w:cs="Times New Roman"/>
          <w:i/>
          <w:iCs/>
          <w:sz w:val="24"/>
          <w:szCs w:val="24"/>
          <w:highlight w:val="none"/>
          <w:u w:val="single"/>
        </w:rPr>
        <w:t>（如果有的话</w:t>
      </w:r>
      <w:r>
        <w:rPr>
          <w:rFonts w:hint="default" w:ascii="Times New Roman" w:hAnsi="Times New Roman" w:eastAsia="宋体" w:cs="Times New Roman"/>
          <w:i/>
          <w:iCs/>
          <w:sz w:val="24"/>
          <w:szCs w:val="24"/>
          <w:highlight w:val="none"/>
        </w:rPr>
        <w:t>）</w:t>
      </w:r>
      <w:r>
        <w:rPr>
          <w:rFonts w:hint="default" w:ascii="Times New Roman" w:hAnsi="Times New Roman" w:eastAsia="宋体" w:cs="Times New Roman"/>
          <w:sz w:val="24"/>
          <w:szCs w:val="24"/>
          <w:highlight w:val="none"/>
        </w:rPr>
        <w:t>。我方完全理解并同意放弃对这方面有不明及误解的权力。</w:t>
      </w:r>
    </w:p>
    <w:p w14:paraId="24C44AA2">
      <w:pPr>
        <w:pStyle w:val="13"/>
        <w:numPr>
          <w:ilvl w:val="0"/>
          <w:numId w:val="18"/>
        </w:numPr>
        <w:tabs>
          <w:tab w:val="left" w:pos="5580"/>
        </w:tabs>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本投标有效期为自开标日起</w:t>
      </w:r>
      <w:r>
        <w:rPr>
          <w:rFonts w:hint="default" w:ascii="Times New Roman" w:hAnsi="Times New Roman" w:eastAsia="宋体" w:cs="Times New Roman"/>
          <w:sz w:val="24"/>
          <w:szCs w:val="24"/>
          <w:highlight w:val="none"/>
          <w:u w:val="single"/>
        </w:rPr>
        <w:t xml:space="preserve">       </w:t>
      </w:r>
      <w:r>
        <w:rPr>
          <w:rFonts w:hint="default" w:ascii="Times New Roman" w:hAnsi="Times New Roman" w:eastAsia="宋体" w:cs="Times New Roman"/>
          <w:sz w:val="24"/>
          <w:szCs w:val="24"/>
          <w:highlight w:val="none"/>
        </w:rPr>
        <w:t>个日历日。</w:t>
      </w:r>
    </w:p>
    <w:p w14:paraId="10680DBF">
      <w:pPr>
        <w:pStyle w:val="13"/>
        <w:numPr>
          <w:ilvl w:val="0"/>
          <w:numId w:val="18"/>
        </w:numPr>
        <w:tabs>
          <w:tab w:val="left" w:pos="5580"/>
        </w:tabs>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在规定的开标时间后，我方保证遵守招标文件中有关保证金的规定。</w:t>
      </w:r>
    </w:p>
    <w:p w14:paraId="566C4811">
      <w:pPr>
        <w:pStyle w:val="13"/>
        <w:numPr>
          <w:ilvl w:val="0"/>
          <w:numId w:val="19"/>
        </w:numPr>
        <w:tabs>
          <w:tab w:val="left" w:pos="1140"/>
          <w:tab w:val="left" w:pos="5580"/>
        </w:tabs>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我司承诺已经完全获悉本招标项目因未实质性响应招标文件而导致投标无效的所有要求。</w:t>
      </w:r>
    </w:p>
    <w:p w14:paraId="73D2C999">
      <w:pPr>
        <w:pStyle w:val="13"/>
        <w:numPr>
          <w:ilvl w:val="0"/>
          <w:numId w:val="19"/>
        </w:numPr>
        <w:tabs>
          <w:tab w:val="left" w:pos="1140"/>
          <w:tab w:val="left" w:pos="5580"/>
        </w:tabs>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lang w:bidi="ar"/>
        </w:rPr>
        <w:t>我方已提供的全部文件资料是真实、准确的，并对此承担一切法律后果。</w:t>
      </w:r>
    </w:p>
    <w:p w14:paraId="4BDCB1B8">
      <w:pPr>
        <w:pStyle w:val="47"/>
        <w:numPr>
          <w:ilvl w:val="0"/>
          <w:numId w:val="19"/>
        </w:numPr>
        <w:tabs>
          <w:tab w:val="left" w:pos="1140"/>
        </w:tabs>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8"/>
          <w:highlight w:val="none"/>
        </w:rPr>
        <w:t>我方同意提供按照贵方可能要求的与其投标有关的一切数据或资料，完全理解贵方不一定接受最低价的投标。</w:t>
      </w:r>
    </w:p>
    <w:p w14:paraId="485503DF">
      <w:pPr>
        <w:pStyle w:val="13"/>
        <w:tabs>
          <w:tab w:val="left" w:pos="5580"/>
        </w:tabs>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与本投标有关的一切正式往来信函请寄：</w:t>
      </w:r>
    </w:p>
    <w:p w14:paraId="14D6B312">
      <w:pPr>
        <w:pStyle w:val="13"/>
        <w:tabs>
          <w:tab w:val="left" w:pos="5580"/>
        </w:tabs>
        <w:ind w:left="42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地址：</w:t>
      </w:r>
      <w:r>
        <w:rPr>
          <w:rFonts w:hint="default" w:ascii="Times New Roman" w:hAnsi="Times New Roman" w:eastAsia="宋体" w:cs="Times New Roman"/>
          <w:sz w:val="24"/>
          <w:szCs w:val="24"/>
          <w:highlight w:val="none"/>
          <w:u w:val="single"/>
        </w:rPr>
        <w:t xml:space="preserve">               </w:t>
      </w:r>
      <w:r>
        <w:rPr>
          <w:rFonts w:hint="default" w:ascii="Times New Roman" w:hAnsi="Times New Roman" w:eastAsia="宋体" w:cs="Times New Roman"/>
          <w:sz w:val="24"/>
          <w:szCs w:val="24"/>
          <w:highlight w:val="none"/>
        </w:rPr>
        <w:t xml:space="preserve">      传真：</w:t>
      </w:r>
      <w:r>
        <w:rPr>
          <w:rFonts w:hint="default" w:ascii="Times New Roman" w:hAnsi="Times New Roman" w:eastAsia="宋体" w:cs="Times New Roman"/>
          <w:sz w:val="24"/>
          <w:szCs w:val="24"/>
          <w:highlight w:val="none"/>
          <w:u w:val="single"/>
        </w:rPr>
        <w:t xml:space="preserve">               </w:t>
      </w:r>
    </w:p>
    <w:p w14:paraId="144CFD92">
      <w:pPr>
        <w:pStyle w:val="13"/>
        <w:tabs>
          <w:tab w:val="left" w:pos="5580"/>
        </w:tabs>
        <w:ind w:left="42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电话：</w:t>
      </w:r>
      <w:r>
        <w:rPr>
          <w:rFonts w:hint="default" w:ascii="Times New Roman" w:hAnsi="Times New Roman" w:eastAsia="宋体" w:cs="Times New Roman"/>
          <w:sz w:val="24"/>
          <w:szCs w:val="24"/>
          <w:highlight w:val="none"/>
          <w:u w:val="single"/>
        </w:rPr>
        <w:t xml:space="preserve">               </w:t>
      </w:r>
      <w:r>
        <w:rPr>
          <w:rFonts w:hint="default" w:ascii="Times New Roman" w:hAnsi="Times New Roman" w:eastAsia="宋体" w:cs="Times New Roman"/>
          <w:sz w:val="24"/>
          <w:szCs w:val="24"/>
          <w:highlight w:val="none"/>
        </w:rPr>
        <w:t xml:space="preserve">      电子函件：</w:t>
      </w:r>
      <w:r>
        <w:rPr>
          <w:rFonts w:hint="default" w:ascii="Times New Roman" w:hAnsi="Times New Roman" w:eastAsia="宋体" w:cs="Times New Roman"/>
          <w:sz w:val="24"/>
          <w:szCs w:val="24"/>
          <w:highlight w:val="none"/>
          <w:u w:val="single"/>
        </w:rPr>
        <w:t xml:space="preserve">               </w:t>
      </w:r>
    </w:p>
    <w:p w14:paraId="0073C859">
      <w:pPr>
        <w:pStyle w:val="13"/>
        <w:tabs>
          <w:tab w:val="left" w:pos="5580"/>
        </w:tabs>
        <w:ind w:left="42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开户名全称：</w:t>
      </w:r>
      <w:r>
        <w:rPr>
          <w:rFonts w:hint="default" w:ascii="Times New Roman" w:hAnsi="Times New Roman" w:eastAsia="宋体" w:cs="Times New Roman"/>
          <w:sz w:val="24"/>
          <w:szCs w:val="24"/>
          <w:highlight w:val="none"/>
          <w:u w:val="single"/>
        </w:rPr>
        <w:t xml:space="preserve">         </w:t>
      </w:r>
      <w:r>
        <w:rPr>
          <w:rFonts w:hint="default" w:ascii="Times New Roman" w:hAnsi="Times New Roman" w:eastAsia="宋体" w:cs="Times New Roman"/>
          <w:sz w:val="24"/>
          <w:szCs w:val="24"/>
          <w:highlight w:val="none"/>
        </w:rPr>
        <w:t xml:space="preserve">      开户银行：</w:t>
      </w:r>
      <w:r>
        <w:rPr>
          <w:rFonts w:hint="default" w:ascii="Times New Roman" w:hAnsi="Times New Roman" w:eastAsia="宋体" w:cs="Times New Roman"/>
          <w:sz w:val="24"/>
          <w:szCs w:val="24"/>
          <w:highlight w:val="none"/>
          <w:u w:val="single"/>
        </w:rPr>
        <w:t xml:space="preserve">               </w:t>
      </w:r>
    </w:p>
    <w:p w14:paraId="720B2C0D">
      <w:pPr>
        <w:pStyle w:val="13"/>
        <w:tabs>
          <w:tab w:val="left" w:pos="5580"/>
        </w:tabs>
        <w:ind w:left="42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银行账号：</w:t>
      </w:r>
      <w:r>
        <w:rPr>
          <w:rFonts w:hint="default" w:ascii="Times New Roman" w:hAnsi="Times New Roman" w:eastAsia="宋体" w:cs="Times New Roman"/>
          <w:sz w:val="24"/>
          <w:szCs w:val="24"/>
          <w:highlight w:val="none"/>
          <w:u w:val="single"/>
        </w:rPr>
        <w:t xml:space="preserve">           </w:t>
      </w:r>
    </w:p>
    <w:p w14:paraId="09C9D7E3">
      <w:pPr>
        <w:pStyle w:val="13"/>
        <w:tabs>
          <w:tab w:val="left" w:pos="5580"/>
        </w:tabs>
        <w:rPr>
          <w:rFonts w:hint="default" w:ascii="Times New Roman" w:hAnsi="Times New Roman" w:eastAsia="宋体" w:cs="Times New Roman"/>
          <w:sz w:val="24"/>
          <w:szCs w:val="24"/>
          <w:highlight w:val="none"/>
        </w:rPr>
      </w:pPr>
    </w:p>
    <w:p w14:paraId="53E33B1C">
      <w:pPr>
        <w:pStyle w:val="13"/>
        <w:tabs>
          <w:tab w:val="left" w:pos="5580"/>
        </w:tabs>
        <w:ind w:left="42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投标人授权代表签字：</w:t>
      </w:r>
      <w:r>
        <w:rPr>
          <w:rFonts w:hint="default" w:ascii="Times New Roman" w:hAnsi="Times New Roman" w:eastAsia="宋体" w:cs="Times New Roman"/>
          <w:sz w:val="24"/>
          <w:szCs w:val="24"/>
          <w:highlight w:val="none"/>
          <w:u w:val="single"/>
        </w:rPr>
        <w:t xml:space="preserve">               </w:t>
      </w:r>
    </w:p>
    <w:p w14:paraId="300C3F15">
      <w:pPr>
        <w:pStyle w:val="13"/>
        <w:tabs>
          <w:tab w:val="left" w:pos="5580"/>
        </w:tabs>
        <w:ind w:left="42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投标人名称：</w:t>
      </w:r>
      <w:r>
        <w:rPr>
          <w:rFonts w:hint="default" w:ascii="Times New Roman" w:hAnsi="Times New Roman" w:eastAsia="宋体" w:cs="Times New Roman"/>
          <w:sz w:val="24"/>
          <w:szCs w:val="24"/>
          <w:highlight w:val="none"/>
          <w:u w:val="single"/>
        </w:rPr>
        <w:t xml:space="preserve">               </w:t>
      </w:r>
      <w:r>
        <w:rPr>
          <w:rFonts w:hint="default" w:ascii="Times New Roman" w:hAnsi="Times New Roman" w:eastAsia="宋体" w:cs="Times New Roman"/>
          <w:sz w:val="24"/>
          <w:szCs w:val="24"/>
          <w:highlight w:val="none"/>
        </w:rPr>
        <w:t>（加盖公章）</w:t>
      </w:r>
    </w:p>
    <w:p w14:paraId="4C5847DF">
      <w:pPr>
        <w:pStyle w:val="13"/>
        <w:tabs>
          <w:tab w:val="left" w:pos="5580"/>
        </w:tabs>
        <w:ind w:left="420"/>
        <w:rPr>
          <w:rFonts w:hint="default" w:ascii="Times New Roman" w:hAnsi="Times New Roman" w:eastAsia="宋体" w:cs="Times New Roman"/>
          <w:sz w:val="24"/>
          <w:szCs w:val="24"/>
          <w:highlight w:val="none"/>
          <w:u w:val="single"/>
        </w:rPr>
      </w:pPr>
      <w:r>
        <w:rPr>
          <w:rFonts w:hint="default" w:ascii="Times New Roman" w:hAnsi="Times New Roman" w:eastAsia="宋体" w:cs="Times New Roman"/>
          <w:sz w:val="24"/>
          <w:szCs w:val="24"/>
          <w:highlight w:val="none"/>
        </w:rPr>
        <w:t>日期：</w:t>
      </w:r>
      <w:r>
        <w:rPr>
          <w:rFonts w:hint="default" w:ascii="Times New Roman" w:hAnsi="Times New Roman" w:eastAsia="宋体" w:cs="Times New Roman"/>
          <w:sz w:val="24"/>
          <w:szCs w:val="24"/>
          <w:highlight w:val="none"/>
          <w:u w:val="single"/>
        </w:rPr>
        <w:t xml:space="preserve">              </w:t>
      </w:r>
    </w:p>
    <w:p w14:paraId="6029B3F2">
      <w:pPr>
        <w:rPr>
          <w:rFonts w:hint="default" w:ascii="Times New Roman" w:hAnsi="Times New Roman" w:eastAsia="宋体" w:cs="Times New Roman"/>
          <w:b/>
          <w:bCs/>
          <w:sz w:val="24"/>
          <w:highlight w:val="none"/>
        </w:rPr>
      </w:pPr>
      <w:r>
        <w:rPr>
          <w:rFonts w:hint="default" w:ascii="Times New Roman" w:hAnsi="Times New Roman" w:eastAsia="宋体" w:cs="Times New Roman"/>
          <w:b/>
          <w:bCs/>
          <w:sz w:val="24"/>
          <w:highlight w:val="none"/>
        </w:rPr>
        <w:br w:type="page"/>
      </w:r>
    </w:p>
    <w:p w14:paraId="4CDF217C">
      <w:pPr>
        <w:widowControl/>
        <w:spacing w:line="360" w:lineRule="auto"/>
        <w:outlineLvl w:val="1"/>
        <w:rPr>
          <w:rFonts w:hint="default" w:ascii="Times New Roman" w:hAnsi="Times New Roman" w:eastAsia="宋体" w:cs="Times New Roman"/>
          <w:b/>
          <w:sz w:val="24"/>
          <w:szCs w:val="24"/>
          <w:highlight w:val="none"/>
          <w:lang w:val="zh-CN"/>
        </w:rPr>
      </w:pPr>
      <w:r>
        <w:rPr>
          <w:rFonts w:hint="default" w:ascii="Times New Roman" w:hAnsi="Times New Roman" w:eastAsia="宋体" w:cs="Times New Roman"/>
          <w:b/>
          <w:bCs/>
          <w:sz w:val="24"/>
          <w:highlight w:val="none"/>
        </w:rPr>
        <w:t>★</w:t>
      </w:r>
      <w:r>
        <w:rPr>
          <w:rFonts w:hint="default" w:ascii="Times New Roman" w:hAnsi="Times New Roman" w:eastAsia="宋体" w:cs="Times New Roman"/>
          <w:b/>
          <w:sz w:val="24"/>
          <w:szCs w:val="24"/>
          <w:highlight w:val="none"/>
          <w:lang w:val="zh-CN"/>
        </w:rPr>
        <w:t>附件2：投标一览表</w:t>
      </w:r>
    </w:p>
    <w:p w14:paraId="0CFBDF92">
      <w:pPr>
        <w:tabs>
          <w:tab w:val="left" w:pos="1800"/>
          <w:tab w:val="left" w:pos="5580"/>
        </w:tabs>
        <w:autoSpaceDE w:val="0"/>
        <w:autoSpaceDN w:val="0"/>
        <w:adjustRightInd w:val="0"/>
        <w:spacing w:line="360" w:lineRule="auto"/>
        <w:rPr>
          <w:rFonts w:hint="default" w:ascii="Times New Roman" w:hAnsi="Times New Roman" w:eastAsia="宋体" w:cs="Times New Roman"/>
          <w:sz w:val="24"/>
          <w:szCs w:val="24"/>
          <w:highlight w:val="none"/>
          <w:lang w:val="zh-CN"/>
        </w:rPr>
      </w:pPr>
    </w:p>
    <w:p w14:paraId="186CA526">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项目名称：</w:t>
      </w:r>
      <w:r>
        <w:rPr>
          <w:rFonts w:hint="default" w:ascii="Times New Roman" w:hAnsi="Times New Roman" w:eastAsia="宋体" w:cs="Times New Roman"/>
          <w:sz w:val="24"/>
          <w:szCs w:val="24"/>
          <w:highlight w:val="none"/>
          <w:u w:val="single"/>
        </w:rPr>
        <w:t xml:space="preserve">                               </w:t>
      </w:r>
    </w:p>
    <w:p w14:paraId="5DAF08D4">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szCs w:val="24"/>
          <w:highlight w:val="none"/>
        </w:rPr>
        <w:t>招标编号/包号：</w:t>
      </w:r>
      <w:r>
        <w:rPr>
          <w:rFonts w:hint="default" w:ascii="Times New Roman" w:hAnsi="Times New Roman" w:eastAsia="宋体" w:cs="Times New Roman"/>
          <w:sz w:val="24"/>
          <w:szCs w:val="24"/>
          <w:highlight w:val="none"/>
          <w:u w:val="single"/>
        </w:rPr>
        <w:t xml:space="preserve">                   /       </w:t>
      </w:r>
    </w:p>
    <w:p w14:paraId="641BE88B">
      <w:pPr>
        <w:tabs>
          <w:tab w:val="left" w:pos="1800"/>
          <w:tab w:val="left" w:pos="5580"/>
        </w:tabs>
        <w:autoSpaceDE w:val="0"/>
        <w:autoSpaceDN w:val="0"/>
        <w:adjustRightInd w:val="0"/>
        <w:spacing w:line="360" w:lineRule="auto"/>
        <w:rPr>
          <w:rFonts w:hint="default" w:ascii="Times New Roman" w:hAnsi="Times New Roman" w:eastAsia="宋体" w:cs="Times New Roman"/>
          <w:sz w:val="24"/>
          <w:szCs w:val="24"/>
          <w:highlight w:val="none"/>
          <w:lang w:val="zh-CN"/>
        </w:rPr>
      </w:pPr>
    </w:p>
    <w:tbl>
      <w:tblPr>
        <w:tblStyle w:val="28"/>
        <w:tblW w:w="837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1074"/>
        <w:gridCol w:w="2300"/>
        <w:gridCol w:w="1954"/>
        <w:gridCol w:w="1877"/>
        <w:gridCol w:w="1173"/>
      </w:tblGrid>
      <w:tr w14:paraId="1F2215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1175" w:hRule="atLeast"/>
        </w:trPr>
        <w:tc>
          <w:tcPr>
            <w:tcW w:w="1074" w:type="dxa"/>
            <w:vAlign w:val="center"/>
          </w:tcPr>
          <w:p w14:paraId="47880F92">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包号</w:t>
            </w:r>
          </w:p>
        </w:tc>
        <w:tc>
          <w:tcPr>
            <w:tcW w:w="2300" w:type="dxa"/>
            <w:vAlign w:val="center"/>
          </w:tcPr>
          <w:p w14:paraId="01105F7B">
            <w:pPr>
              <w:spacing w:line="360" w:lineRule="auto"/>
              <w:ind w:left="-146" w:firstLine="146"/>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货物名称</w:t>
            </w:r>
          </w:p>
        </w:tc>
        <w:tc>
          <w:tcPr>
            <w:tcW w:w="1954" w:type="dxa"/>
            <w:vAlign w:val="center"/>
          </w:tcPr>
          <w:p w14:paraId="2D036679">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投标</w:t>
            </w:r>
            <w:r>
              <w:rPr>
                <w:rFonts w:hint="default" w:ascii="Times New Roman" w:hAnsi="Times New Roman" w:eastAsia="宋体" w:cs="Times New Roman"/>
                <w:sz w:val="24"/>
                <w:szCs w:val="24"/>
                <w:highlight w:val="none"/>
                <w:lang w:val="en-US" w:eastAsia="zh-CN"/>
              </w:rPr>
              <w:t>报价</w:t>
            </w:r>
          </w:p>
        </w:tc>
        <w:tc>
          <w:tcPr>
            <w:tcW w:w="1877" w:type="dxa"/>
            <w:vAlign w:val="center"/>
          </w:tcPr>
          <w:p w14:paraId="43D11A90">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投标保证金金额</w:t>
            </w:r>
          </w:p>
        </w:tc>
        <w:tc>
          <w:tcPr>
            <w:tcW w:w="1173" w:type="dxa"/>
            <w:vAlign w:val="center"/>
          </w:tcPr>
          <w:p w14:paraId="49468A6B">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投标声明</w:t>
            </w:r>
          </w:p>
        </w:tc>
      </w:tr>
      <w:tr w14:paraId="274DF3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730" w:hRule="atLeast"/>
        </w:trPr>
        <w:tc>
          <w:tcPr>
            <w:tcW w:w="1074" w:type="dxa"/>
            <w:vMerge w:val="restart"/>
            <w:vAlign w:val="center"/>
          </w:tcPr>
          <w:p w14:paraId="5D2850F8">
            <w:pPr>
              <w:spacing w:line="360" w:lineRule="auto"/>
              <w:rPr>
                <w:rFonts w:hint="default" w:ascii="Times New Roman" w:hAnsi="Times New Roman" w:eastAsia="宋体" w:cs="Times New Roman"/>
                <w:sz w:val="24"/>
                <w:szCs w:val="24"/>
                <w:highlight w:val="none"/>
              </w:rPr>
            </w:pPr>
          </w:p>
        </w:tc>
        <w:tc>
          <w:tcPr>
            <w:tcW w:w="2300" w:type="dxa"/>
            <w:vAlign w:val="center"/>
          </w:tcPr>
          <w:p w14:paraId="5BDDF173">
            <w:pPr>
              <w:spacing w:line="360" w:lineRule="auto"/>
              <w:rPr>
                <w:rFonts w:hint="default" w:ascii="Times New Roman" w:hAnsi="Times New Roman" w:eastAsia="宋体" w:cs="Times New Roman"/>
                <w:sz w:val="24"/>
                <w:szCs w:val="24"/>
                <w:highlight w:val="none"/>
              </w:rPr>
            </w:pPr>
          </w:p>
        </w:tc>
        <w:tc>
          <w:tcPr>
            <w:tcW w:w="1954" w:type="dxa"/>
            <w:vAlign w:val="center"/>
          </w:tcPr>
          <w:p w14:paraId="59CA139A">
            <w:pPr>
              <w:spacing w:line="360" w:lineRule="auto"/>
              <w:rPr>
                <w:rFonts w:hint="default" w:ascii="Times New Roman" w:hAnsi="Times New Roman" w:eastAsia="宋体" w:cs="Times New Roman"/>
                <w:sz w:val="24"/>
                <w:szCs w:val="24"/>
                <w:highlight w:val="none"/>
              </w:rPr>
            </w:pPr>
          </w:p>
        </w:tc>
        <w:tc>
          <w:tcPr>
            <w:tcW w:w="1877" w:type="dxa"/>
            <w:vMerge w:val="restart"/>
            <w:vAlign w:val="center"/>
          </w:tcPr>
          <w:p w14:paraId="4FBAFA81">
            <w:pPr>
              <w:spacing w:line="360" w:lineRule="auto"/>
              <w:rPr>
                <w:rFonts w:hint="default" w:ascii="Times New Roman" w:hAnsi="Times New Roman" w:eastAsia="宋体" w:cs="Times New Roman"/>
                <w:sz w:val="24"/>
                <w:szCs w:val="24"/>
                <w:highlight w:val="none"/>
              </w:rPr>
            </w:pPr>
          </w:p>
        </w:tc>
        <w:tc>
          <w:tcPr>
            <w:tcW w:w="1173" w:type="dxa"/>
            <w:vMerge w:val="restart"/>
            <w:vAlign w:val="center"/>
          </w:tcPr>
          <w:p w14:paraId="3595505D">
            <w:pPr>
              <w:spacing w:line="360" w:lineRule="auto"/>
              <w:rPr>
                <w:rFonts w:hint="default" w:ascii="Times New Roman" w:hAnsi="Times New Roman" w:eastAsia="宋体" w:cs="Times New Roman"/>
                <w:sz w:val="24"/>
                <w:szCs w:val="24"/>
                <w:highlight w:val="none"/>
              </w:rPr>
            </w:pPr>
          </w:p>
        </w:tc>
      </w:tr>
      <w:tr w14:paraId="089FD7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730" w:hRule="atLeast"/>
        </w:trPr>
        <w:tc>
          <w:tcPr>
            <w:tcW w:w="1074" w:type="dxa"/>
            <w:vMerge w:val="continue"/>
            <w:vAlign w:val="center"/>
          </w:tcPr>
          <w:p w14:paraId="644086B6">
            <w:pPr>
              <w:spacing w:line="360" w:lineRule="auto"/>
              <w:rPr>
                <w:rFonts w:hint="default" w:ascii="Times New Roman" w:hAnsi="Times New Roman" w:eastAsia="宋体" w:cs="Times New Roman"/>
                <w:sz w:val="24"/>
                <w:szCs w:val="24"/>
                <w:highlight w:val="none"/>
              </w:rPr>
            </w:pPr>
          </w:p>
        </w:tc>
        <w:tc>
          <w:tcPr>
            <w:tcW w:w="2300" w:type="dxa"/>
            <w:vAlign w:val="center"/>
          </w:tcPr>
          <w:p w14:paraId="0DBC0CA3">
            <w:pPr>
              <w:spacing w:line="360" w:lineRule="auto"/>
              <w:rPr>
                <w:rFonts w:hint="default" w:ascii="Times New Roman" w:hAnsi="Times New Roman" w:eastAsia="宋体" w:cs="Times New Roman"/>
                <w:sz w:val="24"/>
                <w:szCs w:val="24"/>
                <w:highlight w:val="none"/>
              </w:rPr>
            </w:pPr>
          </w:p>
        </w:tc>
        <w:tc>
          <w:tcPr>
            <w:tcW w:w="1954" w:type="dxa"/>
            <w:vAlign w:val="center"/>
          </w:tcPr>
          <w:p w14:paraId="3A694EDF">
            <w:pPr>
              <w:spacing w:line="360" w:lineRule="auto"/>
              <w:rPr>
                <w:rFonts w:hint="default" w:ascii="Times New Roman" w:hAnsi="Times New Roman" w:eastAsia="宋体" w:cs="Times New Roman"/>
                <w:sz w:val="24"/>
                <w:szCs w:val="24"/>
                <w:highlight w:val="none"/>
              </w:rPr>
            </w:pPr>
          </w:p>
        </w:tc>
        <w:tc>
          <w:tcPr>
            <w:tcW w:w="1877" w:type="dxa"/>
            <w:vMerge w:val="continue"/>
            <w:vAlign w:val="center"/>
          </w:tcPr>
          <w:p w14:paraId="3ACA15F1">
            <w:pPr>
              <w:spacing w:line="360" w:lineRule="auto"/>
              <w:rPr>
                <w:rFonts w:hint="default" w:ascii="Times New Roman" w:hAnsi="Times New Roman" w:eastAsia="宋体" w:cs="Times New Roman"/>
                <w:sz w:val="24"/>
                <w:szCs w:val="24"/>
                <w:highlight w:val="none"/>
              </w:rPr>
            </w:pPr>
          </w:p>
        </w:tc>
        <w:tc>
          <w:tcPr>
            <w:tcW w:w="1173" w:type="dxa"/>
            <w:vMerge w:val="continue"/>
            <w:vAlign w:val="center"/>
          </w:tcPr>
          <w:p w14:paraId="361AA03C">
            <w:pPr>
              <w:spacing w:line="360" w:lineRule="auto"/>
              <w:rPr>
                <w:rFonts w:hint="default" w:ascii="Times New Roman" w:hAnsi="Times New Roman" w:eastAsia="宋体" w:cs="Times New Roman"/>
                <w:sz w:val="24"/>
                <w:szCs w:val="24"/>
                <w:highlight w:val="none"/>
              </w:rPr>
            </w:pPr>
          </w:p>
        </w:tc>
      </w:tr>
      <w:tr w14:paraId="2D40C1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730" w:hRule="atLeast"/>
        </w:trPr>
        <w:tc>
          <w:tcPr>
            <w:tcW w:w="1074" w:type="dxa"/>
            <w:vMerge w:val="continue"/>
            <w:vAlign w:val="center"/>
          </w:tcPr>
          <w:p w14:paraId="207DEF3D">
            <w:pPr>
              <w:spacing w:line="360" w:lineRule="auto"/>
              <w:rPr>
                <w:rFonts w:hint="default" w:ascii="Times New Roman" w:hAnsi="Times New Roman" w:eastAsia="宋体" w:cs="Times New Roman"/>
                <w:sz w:val="24"/>
                <w:szCs w:val="24"/>
                <w:highlight w:val="none"/>
              </w:rPr>
            </w:pPr>
          </w:p>
        </w:tc>
        <w:tc>
          <w:tcPr>
            <w:tcW w:w="2300" w:type="dxa"/>
            <w:vAlign w:val="center"/>
          </w:tcPr>
          <w:p w14:paraId="4655B4D1">
            <w:pPr>
              <w:spacing w:line="360" w:lineRule="auto"/>
              <w:rPr>
                <w:rFonts w:hint="default" w:ascii="Times New Roman" w:hAnsi="Times New Roman" w:eastAsia="宋体" w:cs="Times New Roman"/>
                <w:sz w:val="24"/>
                <w:szCs w:val="24"/>
                <w:highlight w:val="none"/>
              </w:rPr>
            </w:pPr>
          </w:p>
        </w:tc>
        <w:tc>
          <w:tcPr>
            <w:tcW w:w="1954" w:type="dxa"/>
            <w:vAlign w:val="center"/>
          </w:tcPr>
          <w:p w14:paraId="3A33E893">
            <w:pPr>
              <w:spacing w:line="360" w:lineRule="auto"/>
              <w:rPr>
                <w:rFonts w:hint="default" w:ascii="Times New Roman" w:hAnsi="Times New Roman" w:eastAsia="宋体" w:cs="Times New Roman"/>
                <w:sz w:val="24"/>
                <w:szCs w:val="24"/>
                <w:highlight w:val="none"/>
              </w:rPr>
            </w:pPr>
          </w:p>
        </w:tc>
        <w:tc>
          <w:tcPr>
            <w:tcW w:w="1877" w:type="dxa"/>
            <w:vMerge w:val="continue"/>
            <w:vAlign w:val="center"/>
          </w:tcPr>
          <w:p w14:paraId="5433FFF3">
            <w:pPr>
              <w:spacing w:line="360" w:lineRule="auto"/>
              <w:rPr>
                <w:rFonts w:hint="default" w:ascii="Times New Roman" w:hAnsi="Times New Roman" w:eastAsia="宋体" w:cs="Times New Roman"/>
                <w:sz w:val="24"/>
                <w:szCs w:val="24"/>
                <w:highlight w:val="none"/>
              </w:rPr>
            </w:pPr>
          </w:p>
        </w:tc>
        <w:tc>
          <w:tcPr>
            <w:tcW w:w="1173" w:type="dxa"/>
            <w:vMerge w:val="continue"/>
            <w:vAlign w:val="center"/>
          </w:tcPr>
          <w:p w14:paraId="27048368">
            <w:pPr>
              <w:spacing w:line="360" w:lineRule="auto"/>
              <w:rPr>
                <w:rFonts w:hint="default" w:ascii="Times New Roman" w:hAnsi="Times New Roman" w:eastAsia="宋体" w:cs="Times New Roman"/>
                <w:sz w:val="24"/>
                <w:szCs w:val="24"/>
                <w:highlight w:val="none"/>
              </w:rPr>
            </w:pPr>
          </w:p>
        </w:tc>
      </w:tr>
      <w:tr w14:paraId="187376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778" w:hRule="atLeast"/>
        </w:trPr>
        <w:tc>
          <w:tcPr>
            <w:tcW w:w="1074" w:type="dxa"/>
            <w:vMerge w:val="continue"/>
            <w:vAlign w:val="center"/>
          </w:tcPr>
          <w:p w14:paraId="5515D675">
            <w:pPr>
              <w:spacing w:line="360" w:lineRule="auto"/>
              <w:rPr>
                <w:rFonts w:hint="default" w:ascii="Times New Roman" w:hAnsi="Times New Roman" w:eastAsia="宋体" w:cs="Times New Roman"/>
                <w:sz w:val="24"/>
                <w:szCs w:val="24"/>
                <w:highlight w:val="none"/>
              </w:rPr>
            </w:pPr>
          </w:p>
        </w:tc>
        <w:tc>
          <w:tcPr>
            <w:tcW w:w="2300" w:type="dxa"/>
            <w:vAlign w:val="center"/>
          </w:tcPr>
          <w:p w14:paraId="44658314">
            <w:pPr>
              <w:spacing w:line="360" w:lineRule="auto"/>
              <w:rPr>
                <w:rFonts w:hint="default" w:ascii="Times New Roman" w:hAnsi="Times New Roman" w:eastAsia="宋体" w:cs="Times New Roman"/>
                <w:sz w:val="24"/>
                <w:szCs w:val="24"/>
                <w:highlight w:val="none"/>
              </w:rPr>
            </w:pPr>
          </w:p>
        </w:tc>
        <w:tc>
          <w:tcPr>
            <w:tcW w:w="1954" w:type="dxa"/>
            <w:vAlign w:val="center"/>
          </w:tcPr>
          <w:p w14:paraId="1C184D06">
            <w:pPr>
              <w:spacing w:line="360" w:lineRule="auto"/>
              <w:rPr>
                <w:rFonts w:hint="default" w:ascii="Times New Roman" w:hAnsi="Times New Roman" w:eastAsia="宋体" w:cs="Times New Roman"/>
                <w:sz w:val="24"/>
                <w:szCs w:val="24"/>
                <w:highlight w:val="none"/>
              </w:rPr>
            </w:pPr>
          </w:p>
        </w:tc>
        <w:tc>
          <w:tcPr>
            <w:tcW w:w="1877" w:type="dxa"/>
            <w:vMerge w:val="continue"/>
            <w:vAlign w:val="center"/>
          </w:tcPr>
          <w:p w14:paraId="2B970208">
            <w:pPr>
              <w:spacing w:line="360" w:lineRule="auto"/>
              <w:rPr>
                <w:rFonts w:hint="default" w:ascii="Times New Roman" w:hAnsi="Times New Roman" w:eastAsia="宋体" w:cs="Times New Roman"/>
                <w:sz w:val="24"/>
                <w:szCs w:val="24"/>
                <w:highlight w:val="none"/>
              </w:rPr>
            </w:pPr>
          </w:p>
        </w:tc>
        <w:tc>
          <w:tcPr>
            <w:tcW w:w="1173" w:type="dxa"/>
            <w:vMerge w:val="continue"/>
            <w:vAlign w:val="center"/>
          </w:tcPr>
          <w:p w14:paraId="667A166D">
            <w:pPr>
              <w:spacing w:line="360" w:lineRule="auto"/>
              <w:rPr>
                <w:rFonts w:hint="default" w:ascii="Times New Roman" w:hAnsi="Times New Roman" w:eastAsia="宋体" w:cs="Times New Roman"/>
                <w:sz w:val="24"/>
                <w:szCs w:val="24"/>
                <w:highlight w:val="none"/>
              </w:rPr>
            </w:pPr>
          </w:p>
        </w:tc>
      </w:tr>
      <w:tr w14:paraId="48A672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778" w:hRule="atLeast"/>
        </w:trPr>
        <w:tc>
          <w:tcPr>
            <w:tcW w:w="8378" w:type="dxa"/>
            <w:gridSpan w:val="5"/>
            <w:vAlign w:val="center"/>
          </w:tcPr>
          <w:p w14:paraId="021F711F">
            <w:pPr>
              <w:spacing w:line="360" w:lineRule="auto"/>
              <w:jc w:val="center"/>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投标总价：</w:t>
            </w:r>
          </w:p>
        </w:tc>
      </w:tr>
    </w:tbl>
    <w:p w14:paraId="467FF77C">
      <w:pPr>
        <w:tabs>
          <w:tab w:val="left" w:pos="1800"/>
          <w:tab w:val="left" w:pos="5580"/>
        </w:tabs>
        <w:autoSpaceDE w:val="0"/>
        <w:autoSpaceDN w:val="0"/>
        <w:adjustRightInd w:val="0"/>
        <w:spacing w:line="360" w:lineRule="auto"/>
        <w:rPr>
          <w:rFonts w:hint="default" w:ascii="Times New Roman" w:hAnsi="Times New Roman" w:eastAsia="宋体" w:cs="Times New Roman"/>
          <w:sz w:val="24"/>
          <w:szCs w:val="24"/>
          <w:highlight w:val="none"/>
          <w:lang w:val="zh-CN"/>
        </w:rPr>
      </w:pPr>
    </w:p>
    <w:p w14:paraId="61B2F525">
      <w:pPr>
        <w:tabs>
          <w:tab w:val="left" w:pos="1800"/>
          <w:tab w:val="left" w:pos="5580"/>
        </w:tabs>
        <w:autoSpaceDE w:val="0"/>
        <w:autoSpaceDN w:val="0"/>
        <w:adjustRightInd w:val="0"/>
        <w:spacing w:line="360" w:lineRule="auto"/>
        <w:rPr>
          <w:rFonts w:hint="default" w:ascii="Times New Roman" w:hAnsi="Times New Roman" w:eastAsia="宋体" w:cs="Times New Roman"/>
          <w:sz w:val="24"/>
          <w:szCs w:val="24"/>
          <w:highlight w:val="none"/>
          <w:lang w:val="zh-CN"/>
        </w:rPr>
      </w:pPr>
    </w:p>
    <w:p w14:paraId="0C4883D9">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投标人授权代表签字：</w:t>
      </w:r>
      <w:r>
        <w:rPr>
          <w:rFonts w:hint="default" w:ascii="Times New Roman" w:hAnsi="Times New Roman" w:eastAsia="宋体" w:cs="Times New Roman"/>
          <w:sz w:val="24"/>
          <w:szCs w:val="24"/>
          <w:highlight w:val="none"/>
          <w:u w:val="single"/>
        </w:rPr>
        <w:t xml:space="preserve">               </w:t>
      </w:r>
    </w:p>
    <w:p w14:paraId="14191EAA">
      <w:pPr>
        <w:spacing w:line="360" w:lineRule="auto"/>
        <w:rPr>
          <w:rFonts w:hint="default" w:ascii="Times New Roman" w:hAnsi="Times New Roman" w:eastAsia="宋体" w:cs="Times New Roman"/>
          <w:sz w:val="24"/>
          <w:szCs w:val="24"/>
          <w:highlight w:val="none"/>
          <w:u w:val="single"/>
        </w:rPr>
      </w:pPr>
      <w:r>
        <w:rPr>
          <w:rFonts w:hint="default" w:ascii="Times New Roman" w:hAnsi="Times New Roman" w:eastAsia="宋体" w:cs="Times New Roman"/>
          <w:sz w:val="24"/>
          <w:szCs w:val="24"/>
          <w:highlight w:val="none"/>
        </w:rPr>
        <w:t>投标人名称：</w:t>
      </w:r>
      <w:r>
        <w:rPr>
          <w:rFonts w:hint="default" w:ascii="Times New Roman" w:hAnsi="Times New Roman" w:eastAsia="宋体" w:cs="Times New Roman"/>
          <w:sz w:val="24"/>
          <w:szCs w:val="24"/>
          <w:highlight w:val="none"/>
          <w:u w:val="single"/>
        </w:rPr>
        <w:t xml:space="preserve">               </w:t>
      </w:r>
      <w:r>
        <w:rPr>
          <w:rFonts w:hint="default" w:ascii="Times New Roman" w:hAnsi="Times New Roman" w:eastAsia="宋体" w:cs="Times New Roman"/>
          <w:sz w:val="24"/>
          <w:szCs w:val="24"/>
          <w:highlight w:val="none"/>
        </w:rPr>
        <w:t>（加盖公章）</w:t>
      </w:r>
    </w:p>
    <w:p w14:paraId="160D1A38">
      <w:pPr>
        <w:autoSpaceDE w:val="0"/>
        <w:autoSpaceDN w:val="0"/>
        <w:adjustRightInd w:val="0"/>
        <w:spacing w:line="360" w:lineRule="auto"/>
        <w:rPr>
          <w:rFonts w:hint="default" w:ascii="Times New Roman" w:hAnsi="Times New Roman" w:eastAsia="宋体" w:cs="Times New Roman"/>
          <w:sz w:val="24"/>
          <w:szCs w:val="24"/>
          <w:highlight w:val="none"/>
        </w:rPr>
      </w:pPr>
    </w:p>
    <w:p w14:paraId="1D2865FD">
      <w:pPr>
        <w:autoSpaceDE w:val="0"/>
        <w:autoSpaceDN w:val="0"/>
        <w:adjustRightInd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lang w:val="zh-CN"/>
        </w:rPr>
        <w:t>注：</w:t>
      </w:r>
    </w:p>
    <w:p w14:paraId="18EB676D">
      <w:pPr>
        <w:autoSpaceDE w:val="0"/>
        <w:autoSpaceDN w:val="0"/>
        <w:adjustRightInd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lang w:val="zh-CN"/>
        </w:rPr>
        <w:t>1、本表按包填写；</w:t>
      </w:r>
    </w:p>
    <w:p w14:paraId="74D5AB56">
      <w:pPr>
        <w:autoSpaceDE w:val="0"/>
        <w:autoSpaceDN w:val="0"/>
        <w:adjustRightInd w:val="0"/>
        <w:spacing w:line="360" w:lineRule="auto"/>
        <w:rPr>
          <w:rFonts w:hint="default" w:ascii="Times New Roman" w:hAnsi="Times New Roman" w:eastAsia="宋体" w:cs="Times New Roman"/>
          <w:sz w:val="24"/>
          <w:szCs w:val="24"/>
          <w:highlight w:val="none"/>
          <w:lang w:val="zh-CN"/>
        </w:rPr>
      </w:pPr>
      <w:r>
        <w:rPr>
          <w:rFonts w:hint="default" w:ascii="Times New Roman" w:hAnsi="Times New Roman" w:eastAsia="宋体" w:cs="Times New Roman"/>
          <w:sz w:val="24"/>
          <w:szCs w:val="24"/>
          <w:highlight w:val="none"/>
          <w:lang w:val="zh-CN"/>
        </w:rPr>
        <w:t>2、招标文件明确要求的内容无需在投标声明中填写；</w:t>
      </w:r>
    </w:p>
    <w:p w14:paraId="22A82F29">
      <w:pPr>
        <w:autoSpaceDE w:val="0"/>
        <w:autoSpaceDN w:val="0"/>
        <w:adjustRightInd w:val="0"/>
        <w:spacing w:line="360" w:lineRule="auto"/>
        <w:rPr>
          <w:rFonts w:hint="default" w:ascii="Times New Roman" w:hAnsi="Times New Roman" w:eastAsia="宋体" w:cs="Times New Roman"/>
          <w:sz w:val="24"/>
          <w:szCs w:val="24"/>
          <w:highlight w:val="none"/>
          <w:lang w:val="zh-CN"/>
        </w:rPr>
      </w:pPr>
      <w:r>
        <w:rPr>
          <w:rFonts w:hint="default" w:ascii="Times New Roman" w:hAnsi="Times New Roman" w:eastAsia="宋体" w:cs="Times New Roman"/>
          <w:sz w:val="24"/>
          <w:szCs w:val="24"/>
          <w:highlight w:val="none"/>
          <w:lang w:val="zh-CN"/>
        </w:rPr>
        <w:t>3、投标人如有在投标文件投标报价表中未注明的进一步折扣和声明应在本表中填写，开标时未予宣读的声明，评标时不予考虑；</w:t>
      </w:r>
    </w:p>
    <w:p w14:paraId="378BA186">
      <w:pPr>
        <w:widowControl/>
        <w:spacing w:line="360" w:lineRule="auto"/>
        <w:rPr>
          <w:rFonts w:hint="default" w:ascii="Times New Roman" w:hAnsi="Times New Roman" w:eastAsia="宋体" w:cs="Times New Roman"/>
          <w:b/>
          <w:sz w:val="24"/>
          <w:szCs w:val="24"/>
          <w:highlight w:val="none"/>
          <w:lang w:val="zh-CN"/>
        </w:rPr>
      </w:pPr>
    </w:p>
    <w:p w14:paraId="0B071E22">
      <w:pPr>
        <w:widowControl/>
        <w:spacing w:line="360" w:lineRule="auto"/>
        <w:rPr>
          <w:rFonts w:hint="default" w:ascii="Times New Roman" w:hAnsi="Times New Roman" w:eastAsia="宋体" w:cs="Times New Roman"/>
          <w:b/>
          <w:sz w:val="24"/>
          <w:szCs w:val="24"/>
          <w:highlight w:val="none"/>
          <w:lang w:val="zh-CN"/>
        </w:rPr>
        <w:sectPr>
          <w:footerReference r:id="rId3" w:type="default"/>
          <w:pgSz w:w="11906" w:h="16838"/>
          <w:pgMar w:top="1440" w:right="1800" w:bottom="1440" w:left="1800" w:header="851" w:footer="992" w:gutter="0"/>
          <w:cols w:space="425" w:num="1"/>
          <w:docGrid w:type="lines" w:linePitch="312" w:charSpace="0"/>
        </w:sectPr>
      </w:pPr>
      <w:r>
        <w:rPr>
          <w:rFonts w:hint="default" w:ascii="Times New Roman" w:hAnsi="Times New Roman" w:eastAsia="宋体" w:cs="Times New Roman"/>
          <w:b/>
          <w:sz w:val="24"/>
          <w:szCs w:val="24"/>
          <w:highlight w:val="none"/>
          <w:lang w:val="zh-CN"/>
        </w:rPr>
        <w:br w:type="page"/>
      </w:r>
    </w:p>
    <w:p w14:paraId="2014FC34">
      <w:pPr>
        <w:pStyle w:val="19"/>
        <w:rPr>
          <w:rFonts w:hint="default" w:ascii="Times New Roman" w:hAnsi="Times New Roman" w:eastAsia="宋体" w:cs="Times New Roman"/>
          <w:highlight w:val="none"/>
          <w:lang w:val="zh-CN"/>
        </w:rPr>
      </w:pPr>
    </w:p>
    <w:p w14:paraId="661B4654">
      <w:pPr>
        <w:widowControl/>
        <w:spacing w:line="360" w:lineRule="auto"/>
        <w:rPr>
          <w:rFonts w:hint="default" w:ascii="Times New Roman" w:hAnsi="Times New Roman" w:eastAsia="宋体" w:cs="Times New Roman"/>
          <w:b/>
          <w:sz w:val="24"/>
          <w:szCs w:val="24"/>
          <w:highlight w:val="none"/>
          <w:lang w:val="zh-CN"/>
        </w:rPr>
      </w:pPr>
    </w:p>
    <w:p w14:paraId="15FEAA2A">
      <w:pPr>
        <w:widowControl/>
        <w:spacing w:line="360" w:lineRule="auto"/>
        <w:outlineLvl w:val="1"/>
        <w:rPr>
          <w:rFonts w:hint="default" w:ascii="Times New Roman" w:hAnsi="Times New Roman" w:eastAsia="宋体" w:cs="Times New Roman"/>
          <w:b/>
          <w:sz w:val="24"/>
          <w:szCs w:val="24"/>
          <w:highlight w:val="none"/>
          <w:lang w:val="zh-CN"/>
        </w:rPr>
      </w:pPr>
      <w:r>
        <w:rPr>
          <w:rFonts w:hint="default" w:ascii="Times New Roman" w:hAnsi="Times New Roman" w:eastAsia="宋体" w:cs="Times New Roman"/>
          <w:b/>
          <w:bCs/>
          <w:sz w:val="24"/>
          <w:highlight w:val="none"/>
        </w:rPr>
        <w:t>★</w:t>
      </w:r>
      <w:r>
        <w:rPr>
          <w:rFonts w:hint="default" w:ascii="Times New Roman" w:hAnsi="Times New Roman" w:eastAsia="宋体" w:cs="Times New Roman"/>
          <w:b/>
          <w:sz w:val="24"/>
          <w:szCs w:val="24"/>
          <w:highlight w:val="none"/>
          <w:lang w:val="zh-CN"/>
        </w:rPr>
        <w:t>附件3：投标分项报价表</w:t>
      </w:r>
    </w:p>
    <w:p w14:paraId="708F1B5D">
      <w:pPr>
        <w:spacing w:line="360" w:lineRule="auto"/>
        <w:rPr>
          <w:rFonts w:hint="default" w:ascii="Times New Roman" w:hAnsi="Times New Roman" w:eastAsia="宋体" w:cs="Times New Roman"/>
          <w:sz w:val="24"/>
          <w:szCs w:val="24"/>
          <w:highlight w:val="none"/>
        </w:rPr>
      </w:pPr>
    </w:p>
    <w:p w14:paraId="0B4862A6">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项目名称：</w:t>
      </w:r>
      <w:r>
        <w:rPr>
          <w:rFonts w:hint="default" w:ascii="Times New Roman" w:hAnsi="Times New Roman" w:eastAsia="宋体" w:cs="Times New Roman"/>
          <w:sz w:val="24"/>
          <w:szCs w:val="24"/>
          <w:highlight w:val="none"/>
          <w:u w:val="single"/>
        </w:rPr>
        <w:t xml:space="preserve">                               </w:t>
      </w:r>
    </w:p>
    <w:p w14:paraId="341607C8">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招标编号/包号：</w:t>
      </w:r>
      <w:r>
        <w:rPr>
          <w:rFonts w:hint="default" w:ascii="Times New Roman" w:hAnsi="Times New Roman" w:eastAsia="宋体" w:cs="Times New Roman"/>
          <w:sz w:val="24"/>
          <w:szCs w:val="24"/>
          <w:highlight w:val="none"/>
          <w:u w:val="single"/>
        </w:rPr>
        <w:t xml:space="preserve">                   /1       </w:t>
      </w:r>
    </w:p>
    <w:p w14:paraId="2D3A2C9D">
      <w:pPr>
        <w:spacing w:line="360" w:lineRule="auto"/>
        <w:rPr>
          <w:rFonts w:hint="default" w:ascii="Times New Roman" w:hAnsi="Times New Roman" w:eastAsia="宋体" w:cs="Times New Roman"/>
          <w:highlight w:val="none"/>
        </w:rPr>
      </w:pPr>
      <w:r>
        <w:rPr>
          <w:rFonts w:hint="default" w:ascii="Times New Roman" w:hAnsi="Times New Roman" w:eastAsia="宋体" w:cs="Times New Roman"/>
          <w:sz w:val="24"/>
          <w:szCs w:val="24"/>
          <w:highlight w:val="none"/>
        </w:rPr>
        <w:t>货币币种：</w:t>
      </w:r>
      <w:r>
        <w:rPr>
          <w:rFonts w:hint="default" w:ascii="Times New Roman" w:hAnsi="Times New Roman" w:eastAsia="宋体" w:cs="Times New Roman"/>
          <w:sz w:val="24"/>
          <w:szCs w:val="24"/>
          <w:highlight w:val="none"/>
          <w:u w:val="single"/>
        </w:rPr>
        <w:t xml:space="preserve">                    </w:t>
      </w:r>
      <w:r>
        <w:rPr>
          <w:rFonts w:hint="default" w:ascii="Times New Roman" w:hAnsi="Times New Roman" w:eastAsia="宋体" w:cs="Times New Roman"/>
          <w:sz w:val="24"/>
          <w:szCs w:val="24"/>
          <w:highlight w:val="none"/>
        </w:rPr>
        <w:t xml:space="preserve">                   单位：</w:t>
      </w:r>
      <w:r>
        <w:rPr>
          <w:rFonts w:hint="default" w:ascii="Times New Roman" w:hAnsi="Times New Roman" w:eastAsia="宋体" w:cs="Times New Roman"/>
          <w:sz w:val="24"/>
          <w:szCs w:val="24"/>
          <w:highlight w:val="none"/>
          <w:u w:val="single"/>
        </w:rPr>
        <w:t xml:space="preserve">          </w:t>
      </w:r>
    </w:p>
    <w:tbl>
      <w:tblPr>
        <w:tblStyle w:val="28"/>
        <w:tblW w:w="131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4035"/>
        <w:gridCol w:w="747"/>
        <w:gridCol w:w="869"/>
        <w:gridCol w:w="848"/>
        <w:gridCol w:w="970"/>
        <w:gridCol w:w="828"/>
        <w:gridCol w:w="1091"/>
        <w:gridCol w:w="970"/>
        <w:gridCol w:w="754"/>
        <w:gridCol w:w="1266"/>
      </w:tblGrid>
      <w:tr w14:paraId="720E2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1" w:hRule="atLeast"/>
        </w:trPr>
        <w:tc>
          <w:tcPr>
            <w:tcW w:w="816" w:type="dxa"/>
            <w:tcBorders>
              <w:top w:val="single" w:color="auto" w:sz="4" w:space="0"/>
              <w:left w:val="single" w:color="auto" w:sz="4" w:space="0"/>
              <w:bottom w:val="single" w:color="auto" w:sz="4" w:space="0"/>
              <w:right w:val="single" w:color="auto" w:sz="4" w:space="0"/>
            </w:tcBorders>
            <w:vAlign w:val="center"/>
          </w:tcPr>
          <w:p w14:paraId="2AB5B958">
            <w:pPr>
              <w:spacing w:before="120" w:after="120" w:line="240" w:lineRule="auto"/>
              <w:jc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序号</w:t>
            </w:r>
          </w:p>
        </w:tc>
        <w:tc>
          <w:tcPr>
            <w:tcW w:w="4035" w:type="dxa"/>
            <w:tcBorders>
              <w:top w:val="single" w:color="auto" w:sz="4" w:space="0"/>
              <w:left w:val="single" w:color="auto" w:sz="4" w:space="0"/>
              <w:bottom w:val="single" w:color="auto" w:sz="4" w:space="0"/>
              <w:right w:val="single" w:color="auto" w:sz="4" w:space="0"/>
            </w:tcBorders>
            <w:vAlign w:val="center"/>
          </w:tcPr>
          <w:p w14:paraId="6E849917">
            <w:pPr>
              <w:spacing w:before="120" w:after="120" w:line="240" w:lineRule="auto"/>
              <w:jc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val="en-US" w:eastAsia="zh-CN"/>
              </w:rPr>
              <w:t>分项报价</w:t>
            </w:r>
            <w:r>
              <w:rPr>
                <w:rFonts w:hint="default" w:ascii="Times New Roman" w:hAnsi="Times New Roman" w:eastAsia="宋体" w:cs="Times New Roman"/>
                <w:sz w:val="21"/>
                <w:szCs w:val="21"/>
                <w:highlight w:val="none"/>
              </w:rPr>
              <w:t>名称</w:t>
            </w:r>
          </w:p>
        </w:tc>
        <w:tc>
          <w:tcPr>
            <w:tcW w:w="747" w:type="dxa"/>
            <w:tcBorders>
              <w:top w:val="single" w:color="auto" w:sz="4" w:space="0"/>
              <w:left w:val="single" w:color="auto" w:sz="4" w:space="0"/>
              <w:bottom w:val="single" w:color="auto" w:sz="4" w:space="0"/>
              <w:right w:val="single" w:color="auto" w:sz="4" w:space="0"/>
            </w:tcBorders>
            <w:vAlign w:val="center"/>
          </w:tcPr>
          <w:p w14:paraId="5CC12F65">
            <w:pPr>
              <w:spacing w:before="120" w:after="120" w:line="240" w:lineRule="auto"/>
              <w:jc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产地</w:t>
            </w:r>
          </w:p>
        </w:tc>
        <w:tc>
          <w:tcPr>
            <w:tcW w:w="869" w:type="dxa"/>
            <w:tcBorders>
              <w:top w:val="single" w:color="auto" w:sz="4" w:space="0"/>
              <w:left w:val="single" w:color="auto" w:sz="4" w:space="0"/>
              <w:bottom w:val="single" w:color="auto" w:sz="4" w:space="0"/>
              <w:right w:val="single" w:color="auto" w:sz="4" w:space="0"/>
            </w:tcBorders>
            <w:vAlign w:val="center"/>
          </w:tcPr>
          <w:p w14:paraId="3BCC094D">
            <w:pPr>
              <w:spacing w:before="120" w:after="120" w:line="240" w:lineRule="auto"/>
              <w:jc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制造商名称</w:t>
            </w:r>
          </w:p>
        </w:tc>
        <w:tc>
          <w:tcPr>
            <w:tcW w:w="848" w:type="dxa"/>
            <w:tcBorders>
              <w:top w:val="single" w:color="auto" w:sz="4" w:space="0"/>
              <w:left w:val="single" w:color="auto" w:sz="4" w:space="0"/>
              <w:bottom w:val="single" w:color="auto" w:sz="4" w:space="0"/>
              <w:right w:val="single" w:color="auto" w:sz="4" w:space="0"/>
            </w:tcBorders>
            <w:vAlign w:val="center"/>
          </w:tcPr>
          <w:p w14:paraId="37E15F8C">
            <w:pPr>
              <w:spacing w:before="120" w:after="120" w:line="240" w:lineRule="auto"/>
              <w:jc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品牌</w:t>
            </w:r>
          </w:p>
        </w:tc>
        <w:tc>
          <w:tcPr>
            <w:tcW w:w="970" w:type="dxa"/>
            <w:tcBorders>
              <w:top w:val="single" w:color="auto" w:sz="4" w:space="0"/>
              <w:left w:val="single" w:color="auto" w:sz="4" w:space="0"/>
              <w:bottom w:val="single" w:color="auto" w:sz="4" w:space="0"/>
              <w:right w:val="single" w:color="auto" w:sz="4" w:space="0"/>
            </w:tcBorders>
            <w:vAlign w:val="center"/>
          </w:tcPr>
          <w:p w14:paraId="77463163">
            <w:pPr>
              <w:spacing w:before="120" w:after="120" w:line="240" w:lineRule="auto"/>
              <w:jc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规格型号</w:t>
            </w:r>
          </w:p>
        </w:tc>
        <w:tc>
          <w:tcPr>
            <w:tcW w:w="828" w:type="dxa"/>
            <w:tcBorders>
              <w:top w:val="single" w:color="auto" w:sz="4" w:space="0"/>
              <w:left w:val="single" w:color="auto" w:sz="4" w:space="0"/>
              <w:bottom w:val="single" w:color="auto" w:sz="4" w:space="0"/>
              <w:right w:val="single" w:color="auto" w:sz="4" w:space="0"/>
            </w:tcBorders>
            <w:vAlign w:val="center"/>
          </w:tcPr>
          <w:p w14:paraId="1F21D5DE">
            <w:pPr>
              <w:spacing w:after="120" w:line="240" w:lineRule="auto"/>
              <w:jc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数量</w:t>
            </w:r>
          </w:p>
        </w:tc>
        <w:tc>
          <w:tcPr>
            <w:tcW w:w="1091" w:type="dxa"/>
            <w:tcBorders>
              <w:top w:val="single" w:color="auto" w:sz="4" w:space="0"/>
              <w:left w:val="single" w:color="auto" w:sz="4" w:space="0"/>
              <w:bottom w:val="single" w:color="auto" w:sz="4" w:space="0"/>
              <w:right w:val="single" w:color="auto" w:sz="4" w:space="0"/>
            </w:tcBorders>
            <w:vAlign w:val="center"/>
          </w:tcPr>
          <w:p w14:paraId="582182B4">
            <w:pPr>
              <w:spacing w:after="120" w:line="240" w:lineRule="auto"/>
              <w:jc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价格条件（含税或免税）</w:t>
            </w:r>
          </w:p>
        </w:tc>
        <w:tc>
          <w:tcPr>
            <w:tcW w:w="970" w:type="dxa"/>
            <w:tcBorders>
              <w:top w:val="single" w:color="auto" w:sz="4" w:space="0"/>
              <w:left w:val="single" w:color="auto" w:sz="4" w:space="0"/>
              <w:bottom w:val="single" w:color="auto" w:sz="4" w:space="0"/>
              <w:right w:val="single" w:color="auto" w:sz="4" w:space="0"/>
            </w:tcBorders>
            <w:vAlign w:val="center"/>
          </w:tcPr>
          <w:p w14:paraId="70A400FE">
            <w:pPr>
              <w:spacing w:line="240" w:lineRule="auto"/>
              <w:jc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单价</w:t>
            </w:r>
          </w:p>
        </w:tc>
        <w:tc>
          <w:tcPr>
            <w:tcW w:w="754" w:type="dxa"/>
            <w:tcBorders>
              <w:top w:val="single" w:color="auto" w:sz="4" w:space="0"/>
              <w:left w:val="single" w:color="auto" w:sz="4" w:space="0"/>
              <w:bottom w:val="single" w:color="auto" w:sz="4" w:space="0"/>
              <w:right w:val="single" w:color="auto" w:sz="4" w:space="0"/>
            </w:tcBorders>
            <w:vAlign w:val="center"/>
          </w:tcPr>
          <w:p w14:paraId="3B6E77D0">
            <w:pPr>
              <w:spacing w:line="240" w:lineRule="auto"/>
              <w:jc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合计</w:t>
            </w:r>
          </w:p>
        </w:tc>
        <w:tc>
          <w:tcPr>
            <w:tcW w:w="1266" w:type="dxa"/>
            <w:tcBorders>
              <w:top w:val="single" w:color="auto" w:sz="4" w:space="0"/>
              <w:left w:val="single" w:color="auto" w:sz="4" w:space="0"/>
              <w:bottom w:val="single" w:color="auto" w:sz="4" w:space="0"/>
              <w:right w:val="single" w:color="auto" w:sz="4" w:space="0"/>
            </w:tcBorders>
            <w:vAlign w:val="center"/>
          </w:tcPr>
          <w:p w14:paraId="633B4AE1">
            <w:pPr>
              <w:spacing w:line="240" w:lineRule="auto"/>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备注</w:t>
            </w:r>
          </w:p>
        </w:tc>
      </w:tr>
      <w:tr w14:paraId="39F97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816" w:type="dxa"/>
            <w:tcBorders>
              <w:top w:val="single" w:color="auto" w:sz="4" w:space="0"/>
              <w:left w:val="single" w:color="auto" w:sz="4" w:space="0"/>
              <w:bottom w:val="single" w:color="auto" w:sz="4" w:space="0"/>
              <w:right w:val="single" w:color="auto" w:sz="4" w:space="0"/>
            </w:tcBorders>
            <w:vAlign w:val="center"/>
          </w:tcPr>
          <w:p w14:paraId="5A416938">
            <w:pPr>
              <w:numPr>
                <w:ilvl w:val="0"/>
                <w:numId w:val="20"/>
              </w:numPr>
              <w:spacing w:before="60" w:after="60" w:line="240" w:lineRule="auto"/>
              <w:ind w:left="425" w:leftChars="0" w:hanging="425" w:firstLineChars="0"/>
              <w:jc w:val="center"/>
              <w:rPr>
                <w:rFonts w:hint="default" w:ascii="Times New Roman" w:hAnsi="Times New Roman" w:eastAsia="宋体" w:cs="Times New Roman"/>
                <w:sz w:val="21"/>
                <w:szCs w:val="21"/>
                <w:highlight w:val="none"/>
                <w:lang w:val="en-US" w:eastAsia="zh-CN"/>
              </w:rPr>
            </w:pPr>
          </w:p>
        </w:tc>
        <w:tc>
          <w:tcPr>
            <w:tcW w:w="4035" w:type="dxa"/>
            <w:tcBorders>
              <w:top w:val="single" w:color="auto" w:sz="4" w:space="0"/>
              <w:left w:val="single" w:color="auto" w:sz="4" w:space="0"/>
              <w:bottom w:val="single" w:color="auto" w:sz="4" w:space="0"/>
              <w:right w:val="single" w:color="auto" w:sz="4" w:space="0"/>
            </w:tcBorders>
            <w:vAlign w:val="center"/>
          </w:tcPr>
          <w:p w14:paraId="1EBE1698">
            <w:pPr>
              <w:keepNext w:val="0"/>
              <w:keepLines w:val="0"/>
              <w:widowControl/>
              <w:suppressLineNumbers w:val="0"/>
              <w:spacing w:line="240" w:lineRule="auto"/>
              <w:jc w:val="left"/>
              <w:textAlignment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val="en-US" w:eastAsia="zh-CN"/>
              </w:rPr>
              <w:t>5.1样本预处理工作站</w:t>
            </w:r>
          </w:p>
        </w:tc>
        <w:tc>
          <w:tcPr>
            <w:tcW w:w="747" w:type="dxa"/>
            <w:tcBorders>
              <w:top w:val="single" w:color="auto" w:sz="4" w:space="0"/>
              <w:left w:val="single" w:color="auto" w:sz="4" w:space="0"/>
              <w:bottom w:val="single" w:color="auto" w:sz="4" w:space="0"/>
              <w:right w:val="single" w:color="auto" w:sz="4" w:space="0"/>
            </w:tcBorders>
            <w:vAlign w:val="center"/>
          </w:tcPr>
          <w:p w14:paraId="65547DD3">
            <w:pPr>
              <w:spacing w:before="60" w:after="60" w:line="240" w:lineRule="auto"/>
              <w:rPr>
                <w:rFonts w:hint="default" w:ascii="Times New Roman" w:hAnsi="Times New Roman" w:eastAsia="宋体" w:cs="Times New Roman"/>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335E9CDB">
            <w:pPr>
              <w:spacing w:before="60" w:after="60" w:line="240" w:lineRule="auto"/>
              <w:rPr>
                <w:rFonts w:hint="default" w:ascii="Times New Roman" w:hAnsi="Times New Roman" w:eastAsia="宋体" w:cs="Times New Roman"/>
                <w:sz w:val="21"/>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7EA60812">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071CD483">
            <w:pPr>
              <w:spacing w:before="60" w:after="60" w:line="240" w:lineRule="auto"/>
              <w:rPr>
                <w:rFonts w:hint="default" w:ascii="Times New Roman" w:hAnsi="Times New Roman" w:eastAsia="宋体" w:cs="Times New Roman"/>
                <w:sz w:val="21"/>
                <w:szCs w:val="21"/>
                <w:highlight w:val="none"/>
              </w:rPr>
            </w:pPr>
          </w:p>
        </w:tc>
        <w:tc>
          <w:tcPr>
            <w:tcW w:w="828" w:type="dxa"/>
            <w:tcBorders>
              <w:top w:val="single" w:color="auto" w:sz="4" w:space="0"/>
              <w:left w:val="single" w:color="auto" w:sz="4" w:space="0"/>
              <w:bottom w:val="single" w:color="auto" w:sz="4" w:space="0"/>
              <w:right w:val="single" w:color="auto" w:sz="4" w:space="0"/>
            </w:tcBorders>
            <w:vAlign w:val="center"/>
          </w:tcPr>
          <w:p w14:paraId="711472F3">
            <w:pPr>
              <w:spacing w:before="60" w:after="60" w:line="240" w:lineRule="auto"/>
              <w:rPr>
                <w:rFonts w:hint="default" w:ascii="Times New Roman" w:hAnsi="Times New Roman" w:eastAsia="宋体" w:cs="Times New Roman"/>
                <w:sz w:val="21"/>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3AE18209">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3D612CD9">
            <w:pPr>
              <w:spacing w:before="60" w:after="60" w:line="240" w:lineRule="auto"/>
              <w:rPr>
                <w:rFonts w:hint="default" w:ascii="Times New Roman" w:hAnsi="Times New Roman" w:eastAsia="宋体" w:cs="Times New Roman"/>
                <w:sz w:val="21"/>
                <w:szCs w:val="21"/>
                <w:highlight w:val="none"/>
              </w:rPr>
            </w:pPr>
          </w:p>
        </w:tc>
        <w:tc>
          <w:tcPr>
            <w:tcW w:w="754" w:type="dxa"/>
            <w:tcBorders>
              <w:top w:val="single" w:color="auto" w:sz="4" w:space="0"/>
              <w:left w:val="single" w:color="auto" w:sz="4" w:space="0"/>
              <w:bottom w:val="single" w:color="auto" w:sz="4" w:space="0"/>
              <w:right w:val="single" w:color="auto" w:sz="4" w:space="0"/>
            </w:tcBorders>
            <w:vAlign w:val="center"/>
          </w:tcPr>
          <w:p w14:paraId="4DB1A027">
            <w:pPr>
              <w:spacing w:line="240" w:lineRule="auto"/>
              <w:rPr>
                <w:rFonts w:hint="default" w:ascii="Times New Roman" w:hAnsi="Times New Roman" w:eastAsia="宋体" w:cs="Times New Roman"/>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vAlign w:val="center"/>
          </w:tcPr>
          <w:p w14:paraId="35435253">
            <w:pPr>
              <w:spacing w:line="240" w:lineRule="auto"/>
              <w:rPr>
                <w:rFonts w:hint="default" w:ascii="Times New Roman" w:hAnsi="Times New Roman" w:eastAsia="宋体" w:cs="Times New Roman"/>
                <w:sz w:val="21"/>
                <w:szCs w:val="21"/>
                <w:highlight w:val="none"/>
              </w:rPr>
            </w:pPr>
          </w:p>
        </w:tc>
      </w:tr>
      <w:tr w14:paraId="325AE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6" w:type="dxa"/>
            <w:tcBorders>
              <w:top w:val="single" w:color="auto" w:sz="4" w:space="0"/>
              <w:left w:val="single" w:color="auto" w:sz="4" w:space="0"/>
              <w:bottom w:val="single" w:color="auto" w:sz="4" w:space="0"/>
              <w:right w:val="single" w:color="auto" w:sz="4" w:space="0"/>
            </w:tcBorders>
            <w:vAlign w:val="center"/>
          </w:tcPr>
          <w:p w14:paraId="670FE062">
            <w:pPr>
              <w:numPr>
                <w:ilvl w:val="0"/>
                <w:numId w:val="20"/>
              </w:numPr>
              <w:spacing w:before="60" w:after="60" w:line="240" w:lineRule="auto"/>
              <w:ind w:left="425" w:leftChars="0" w:hanging="425" w:firstLineChars="0"/>
              <w:jc w:val="center"/>
              <w:rPr>
                <w:rFonts w:hint="default" w:ascii="Times New Roman" w:hAnsi="Times New Roman" w:eastAsia="宋体" w:cs="Times New Roman"/>
                <w:sz w:val="21"/>
                <w:szCs w:val="21"/>
                <w:highlight w:val="none"/>
                <w:lang w:val="en-US" w:eastAsia="zh-CN"/>
              </w:rPr>
            </w:pPr>
          </w:p>
        </w:tc>
        <w:tc>
          <w:tcPr>
            <w:tcW w:w="4035" w:type="dxa"/>
            <w:tcBorders>
              <w:top w:val="single" w:color="auto" w:sz="4" w:space="0"/>
              <w:left w:val="single" w:color="auto" w:sz="4" w:space="0"/>
              <w:bottom w:val="single" w:color="auto" w:sz="4" w:space="0"/>
              <w:right w:val="single" w:color="auto" w:sz="4" w:space="0"/>
            </w:tcBorders>
            <w:vAlign w:val="center"/>
          </w:tcPr>
          <w:p w14:paraId="5E7A3084">
            <w:pPr>
              <w:keepNext w:val="0"/>
              <w:keepLines w:val="0"/>
              <w:widowControl/>
              <w:suppressLineNumbers w:val="0"/>
              <w:spacing w:line="240" w:lineRule="auto"/>
              <w:jc w:val="left"/>
              <w:textAlignment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5.1.1拭子/血液样本预处理工作站</w:t>
            </w:r>
          </w:p>
        </w:tc>
        <w:tc>
          <w:tcPr>
            <w:tcW w:w="747" w:type="dxa"/>
            <w:tcBorders>
              <w:top w:val="single" w:color="auto" w:sz="4" w:space="0"/>
              <w:left w:val="single" w:color="auto" w:sz="4" w:space="0"/>
              <w:bottom w:val="single" w:color="auto" w:sz="4" w:space="0"/>
              <w:right w:val="single" w:color="auto" w:sz="4" w:space="0"/>
            </w:tcBorders>
            <w:vAlign w:val="center"/>
          </w:tcPr>
          <w:p w14:paraId="165877D3">
            <w:pPr>
              <w:spacing w:before="60" w:after="60" w:line="240" w:lineRule="auto"/>
              <w:rPr>
                <w:rFonts w:hint="default" w:ascii="Times New Roman" w:hAnsi="Times New Roman" w:eastAsia="宋体" w:cs="Times New Roman"/>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2B3D81BD">
            <w:pPr>
              <w:spacing w:before="60" w:after="60" w:line="240" w:lineRule="auto"/>
              <w:rPr>
                <w:rFonts w:hint="default" w:ascii="Times New Roman" w:hAnsi="Times New Roman" w:eastAsia="宋体" w:cs="Times New Roman"/>
                <w:sz w:val="21"/>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59F58532">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2B7B643E">
            <w:pPr>
              <w:spacing w:before="60" w:after="60" w:line="240" w:lineRule="auto"/>
              <w:rPr>
                <w:rFonts w:hint="default" w:ascii="Times New Roman" w:hAnsi="Times New Roman" w:eastAsia="宋体" w:cs="Times New Roman"/>
                <w:sz w:val="21"/>
                <w:szCs w:val="21"/>
                <w:highlight w:val="none"/>
              </w:rPr>
            </w:pPr>
          </w:p>
        </w:tc>
        <w:tc>
          <w:tcPr>
            <w:tcW w:w="828" w:type="dxa"/>
            <w:tcBorders>
              <w:top w:val="single" w:color="auto" w:sz="4" w:space="0"/>
              <w:left w:val="single" w:color="auto" w:sz="4" w:space="0"/>
              <w:bottom w:val="single" w:color="auto" w:sz="4" w:space="0"/>
              <w:right w:val="single" w:color="auto" w:sz="4" w:space="0"/>
            </w:tcBorders>
            <w:vAlign w:val="center"/>
          </w:tcPr>
          <w:p w14:paraId="1BEC2713">
            <w:pPr>
              <w:spacing w:before="60" w:after="60" w:line="240" w:lineRule="auto"/>
              <w:rPr>
                <w:rFonts w:hint="default" w:ascii="Times New Roman" w:hAnsi="Times New Roman" w:eastAsia="宋体" w:cs="Times New Roman"/>
                <w:sz w:val="21"/>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23D5DB59">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2A7241C3">
            <w:pPr>
              <w:spacing w:before="60" w:after="60" w:line="240" w:lineRule="auto"/>
              <w:rPr>
                <w:rFonts w:hint="default" w:ascii="Times New Roman" w:hAnsi="Times New Roman" w:eastAsia="宋体" w:cs="Times New Roman"/>
                <w:sz w:val="21"/>
                <w:szCs w:val="21"/>
                <w:highlight w:val="none"/>
              </w:rPr>
            </w:pPr>
          </w:p>
        </w:tc>
        <w:tc>
          <w:tcPr>
            <w:tcW w:w="754" w:type="dxa"/>
            <w:tcBorders>
              <w:top w:val="single" w:color="auto" w:sz="4" w:space="0"/>
              <w:left w:val="single" w:color="auto" w:sz="4" w:space="0"/>
              <w:bottom w:val="single" w:color="auto" w:sz="4" w:space="0"/>
              <w:right w:val="single" w:color="auto" w:sz="4" w:space="0"/>
            </w:tcBorders>
            <w:vAlign w:val="center"/>
          </w:tcPr>
          <w:p w14:paraId="333B9DDA">
            <w:pPr>
              <w:spacing w:line="240" w:lineRule="auto"/>
              <w:rPr>
                <w:rFonts w:hint="default" w:ascii="Times New Roman" w:hAnsi="Times New Roman" w:eastAsia="宋体" w:cs="Times New Roman"/>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vAlign w:val="center"/>
          </w:tcPr>
          <w:p w14:paraId="504AFA3B">
            <w:pPr>
              <w:spacing w:line="240" w:lineRule="auto"/>
              <w:rPr>
                <w:rFonts w:hint="default" w:ascii="Times New Roman" w:hAnsi="Times New Roman" w:eastAsia="宋体" w:cs="Times New Roman"/>
                <w:sz w:val="21"/>
                <w:szCs w:val="21"/>
                <w:highlight w:val="none"/>
              </w:rPr>
            </w:pPr>
          </w:p>
        </w:tc>
      </w:tr>
      <w:tr w14:paraId="323AF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6" w:type="dxa"/>
            <w:tcBorders>
              <w:top w:val="single" w:color="auto" w:sz="4" w:space="0"/>
              <w:left w:val="single" w:color="auto" w:sz="4" w:space="0"/>
              <w:bottom w:val="single" w:color="auto" w:sz="4" w:space="0"/>
              <w:right w:val="single" w:color="auto" w:sz="4" w:space="0"/>
            </w:tcBorders>
            <w:vAlign w:val="center"/>
          </w:tcPr>
          <w:p w14:paraId="292B7583">
            <w:pPr>
              <w:numPr>
                <w:ilvl w:val="0"/>
                <w:numId w:val="20"/>
              </w:numPr>
              <w:spacing w:before="60" w:after="60" w:line="240" w:lineRule="auto"/>
              <w:ind w:left="425" w:leftChars="0" w:hanging="425" w:firstLineChars="0"/>
              <w:jc w:val="center"/>
              <w:rPr>
                <w:rFonts w:hint="default" w:ascii="Times New Roman" w:hAnsi="Times New Roman" w:eastAsia="宋体" w:cs="Times New Roman"/>
                <w:sz w:val="21"/>
                <w:szCs w:val="21"/>
                <w:highlight w:val="none"/>
                <w:lang w:val="en-US" w:eastAsia="zh-CN"/>
              </w:rPr>
            </w:pPr>
          </w:p>
        </w:tc>
        <w:tc>
          <w:tcPr>
            <w:tcW w:w="4035" w:type="dxa"/>
            <w:tcBorders>
              <w:top w:val="single" w:color="auto" w:sz="4" w:space="0"/>
              <w:left w:val="single" w:color="auto" w:sz="4" w:space="0"/>
              <w:bottom w:val="single" w:color="auto" w:sz="4" w:space="0"/>
              <w:right w:val="single" w:color="auto" w:sz="4" w:space="0"/>
            </w:tcBorders>
            <w:vAlign w:val="center"/>
          </w:tcPr>
          <w:p w14:paraId="33654D09">
            <w:pPr>
              <w:keepNext w:val="0"/>
              <w:keepLines w:val="0"/>
              <w:widowControl/>
              <w:suppressLineNumbers w:val="0"/>
              <w:spacing w:line="240" w:lineRule="auto"/>
              <w:jc w:val="left"/>
              <w:textAlignment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5.1.1.1自动化物料转运组件 1套</w:t>
            </w:r>
          </w:p>
        </w:tc>
        <w:tc>
          <w:tcPr>
            <w:tcW w:w="747" w:type="dxa"/>
            <w:tcBorders>
              <w:top w:val="single" w:color="auto" w:sz="4" w:space="0"/>
              <w:left w:val="single" w:color="auto" w:sz="4" w:space="0"/>
              <w:bottom w:val="single" w:color="auto" w:sz="4" w:space="0"/>
              <w:right w:val="single" w:color="auto" w:sz="4" w:space="0"/>
            </w:tcBorders>
            <w:vAlign w:val="center"/>
          </w:tcPr>
          <w:p w14:paraId="04A95790">
            <w:pPr>
              <w:spacing w:before="60" w:after="60" w:line="240" w:lineRule="auto"/>
              <w:rPr>
                <w:rFonts w:hint="default" w:ascii="Times New Roman" w:hAnsi="Times New Roman" w:eastAsia="宋体" w:cs="Times New Roman"/>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37BFE9B2">
            <w:pPr>
              <w:spacing w:before="60" w:after="60" w:line="240" w:lineRule="auto"/>
              <w:rPr>
                <w:rFonts w:hint="default" w:ascii="Times New Roman" w:hAnsi="Times New Roman" w:eastAsia="宋体" w:cs="Times New Roman"/>
                <w:sz w:val="21"/>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325A0BF7">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7561B410">
            <w:pPr>
              <w:spacing w:before="60" w:after="60" w:line="240" w:lineRule="auto"/>
              <w:rPr>
                <w:rFonts w:hint="default" w:ascii="Times New Roman" w:hAnsi="Times New Roman" w:eastAsia="宋体" w:cs="Times New Roman"/>
                <w:sz w:val="21"/>
                <w:szCs w:val="21"/>
                <w:highlight w:val="none"/>
              </w:rPr>
            </w:pPr>
          </w:p>
        </w:tc>
        <w:tc>
          <w:tcPr>
            <w:tcW w:w="828" w:type="dxa"/>
            <w:tcBorders>
              <w:top w:val="single" w:color="auto" w:sz="4" w:space="0"/>
              <w:left w:val="single" w:color="auto" w:sz="4" w:space="0"/>
              <w:bottom w:val="single" w:color="auto" w:sz="4" w:space="0"/>
              <w:right w:val="single" w:color="auto" w:sz="4" w:space="0"/>
            </w:tcBorders>
            <w:vAlign w:val="center"/>
          </w:tcPr>
          <w:p w14:paraId="77395A0F">
            <w:pPr>
              <w:spacing w:before="60" w:after="60" w:line="240" w:lineRule="auto"/>
              <w:rPr>
                <w:rFonts w:hint="default" w:ascii="Times New Roman" w:hAnsi="Times New Roman" w:eastAsia="宋体" w:cs="Times New Roman"/>
                <w:sz w:val="21"/>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765F5514">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283FCA8F">
            <w:pPr>
              <w:spacing w:before="60" w:after="60" w:line="240" w:lineRule="auto"/>
              <w:rPr>
                <w:rFonts w:hint="default" w:ascii="Times New Roman" w:hAnsi="Times New Roman" w:eastAsia="宋体" w:cs="Times New Roman"/>
                <w:sz w:val="21"/>
                <w:szCs w:val="21"/>
                <w:highlight w:val="none"/>
              </w:rPr>
            </w:pPr>
          </w:p>
        </w:tc>
        <w:tc>
          <w:tcPr>
            <w:tcW w:w="754" w:type="dxa"/>
            <w:tcBorders>
              <w:top w:val="single" w:color="auto" w:sz="4" w:space="0"/>
              <w:left w:val="single" w:color="auto" w:sz="4" w:space="0"/>
              <w:bottom w:val="single" w:color="auto" w:sz="4" w:space="0"/>
              <w:right w:val="single" w:color="auto" w:sz="4" w:space="0"/>
            </w:tcBorders>
            <w:vAlign w:val="center"/>
          </w:tcPr>
          <w:p w14:paraId="1FCB3150">
            <w:pPr>
              <w:spacing w:line="240" w:lineRule="auto"/>
              <w:rPr>
                <w:rFonts w:hint="default" w:ascii="Times New Roman" w:hAnsi="Times New Roman" w:eastAsia="宋体" w:cs="Times New Roman"/>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vAlign w:val="center"/>
          </w:tcPr>
          <w:p w14:paraId="249E3718">
            <w:pPr>
              <w:spacing w:line="240" w:lineRule="auto"/>
              <w:rPr>
                <w:rFonts w:hint="default" w:ascii="Times New Roman" w:hAnsi="Times New Roman" w:eastAsia="宋体" w:cs="Times New Roman"/>
                <w:sz w:val="21"/>
                <w:szCs w:val="21"/>
                <w:highlight w:val="none"/>
              </w:rPr>
            </w:pPr>
          </w:p>
        </w:tc>
      </w:tr>
      <w:tr w14:paraId="781CC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6" w:type="dxa"/>
            <w:tcBorders>
              <w:top w:val="single" w:color="auto" w:sz="4" w:space="0"/>
              <w:left w:val="single" w:color="auto" w:sz="4" w:space="0"/>
              <w:bottom w:val="single" w:color="auto" w:sz="4" w:space="0"/>
              <w:right w:val="single" w:color="auto" w:sz="4" w:space="0"/>
            </w:tcBorders>
            <w:vAlign w:val="center"/>
          </w:tcPr>
          <w:p w14:paraId="488B30F0">
            <w:pPr>
              <w:numPr>
                <w:ilvl w:val="0"/>
                <w:numId w:val="20"/>
              </w:numPr>
              <w:spacing w:before="60" w:after="60" w:line="240" w:lineRule="auto"/>
              <w:ind w:left="425" w:leftChars="0" w:hanging="425" w:firstLineChars="0"/>
              <w:jc w:val="center"/>
              <w:rPr>
                <w:rFonts w:hint="default" w:ascii="Times New Roman" w:hAnsi="Times New Roman" w:eastAsia="宋体" w:cs="Times New Roman"/>
                <w:sz w:val="21"/>
                <w:szCs w:val="21"/>
                <w:highlight w:val="none"/>
                <w:lang w:val="en-US" w:eastAsia="zh-CN"/>
              </w:rPr>
            </w:pPr>
          </w:p>
        </w:tc>
        <w:tc>
          <w:tcPr>
            <w:tcW w:w="4035" w:type="dxa"/>
            <w:tcBorders>
              <w:top w:val="single" w:color="auto" w:sz="4" w:space="0"/>
              <w:left w:val="single" w:color="auto" w:sz="4" w:space="0"/>
              <w:bottom w:val="single" w:color="auto" w:sz="4" w:space="0"/>
              <w:right w:val="single" w:color="auto" w:sz="4" w:space="0"/>
            </w:tcBorders>
            <w:vAlign w:val="center"/>
          </w:tcPr>
          <w:p w14:paraId="6F1B8416">
            <w:pPr>
              <w:keepNext w:val="0"/>
              <w:keepLines w:val="0"/>
              <w:widowControl/>
              <w:suppressLineNumbers w:val="0"/>
              <w:spacing w:line="240" w:lineRule="auto"/>
              <w:jc w:val="left"/>
              <w:textAlignment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5.1.1.2.自动化液体工作站组件 1套</w:t>
            </w:r>
          </w:p>
        </w:tc>
        <w:tc>
          <w:tcPr>
            <w:tcW w:w="747" w:type="dxa"/>
            <w:tcBorders>
              <w:top w:val="single" w:color="auto" w:sz="4" w:space="0"/>
              <w:left w:val="single" w:color="auto" w:sz="4" w:space="0"/>
              <w:bottom w:val="single" w:color="auto" w:sz="4" w:space="0"/>
              <w:right w:val="single" w:color="auto" w:sz="4" w:space="0"/>
            </w:tcBorders>
            <w:vAlign w:val="center"/>
          </w:tcPr>
          <w:p w14:paraId="234F1F8C">
            <w:pPr>
              <w:spacing w:before="60" w:after="60" w:line="240" w:lineRule="auto"/>
              <w:rPr>
                <w:rFonts w:hint="default" w:ascii="Times New Roman" w:hAnsi="Times New Roman" w:eastAsia="宋体" w:cs="Times New Roman"/>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1D1BA15D">
            <w:pPr>
              <w:spacing w:before="60" w:after="60" w:line="240" w:lineRule="auto"/>
              <w:rPr>
                <w:rFonts w:hint="default" w:ascii="Times New Roman" w:hAnsi="Times New Roman" w:eastAsia="宋体" w:cs="Times New Roman"/>
                <w:sz w:val="21"/>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31FFDB13">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359D85E6">
            <w:pPr>
              <w:spacing w:before="60" w:after="60" w:line="240" w:lineRule="auto"/>
              <w:rPr>
                <w:rFonts w:hint="default" w:ascii="Times New Roman" w:hAnsi="Times New Roman" w:eastAsia="宋体" w:cs="Times New Roman"/>
                <w:sz w:val="21"/>
                <w:szCs w:val="21"/>
                <w:highlight w:val="none"/>
              </w:rPr>
            </w:pPr>
          </w:p>
        </w:tc>
        <w:tc>
          <w:tcPr>
            <w:tcW w:w="828" w:type="dxa"/>
            <w:tcBorders>
              <w:top w:val="single" w:color="auto" w:sz="4" w:space="0"/>
              <w:left w:val="single" w:color="auto" w:sz="4" w:space="0"/>
              <w:bottom w:val="single" w:color="auto" w:sz="4" w:space="0"/>
              <w:right w:val="single" w:color="auto" w:sz="4" w:space="0"/>
            </w:tcBorders>
            <w:vAlign w:val="center"/>
          </w:tcPr>
          <w:p w14:paraId="1F91F480">
            <w:pPr>
              <w:spacing w:before="60" w:after="60" w:line="240" w:lineRule="auto"/>
              <w:rPr>
                <w:rFonts w:hint="default" w:ascii="Times New Roman" w:hAnsi="Times New Roman" w:eastAsia="宋体" w:cs="Times New Roman"/>
                <w:sz w:val="21"/>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4806B019">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1E2A452F">
            <w:pPr>
              <w:spacing w:before="60" w:after="60" w:line="240" w:lineRule="auto"/>
              <w:rPr>
                <w:rFonts w:hint="default" w:ascii="Times New Roman" w:hAnsi="Times New Roman" w:eastAsia="宋体" w:cs="Times New Roman"/>
                <w:sz w:val="21"/>
                <w:szCs w:val="21"/>
                <w:highlight w:val="none"/>
              </w:rPr>
            </w:pPr>
          </w:p>
        </w:tc>
        <w:tc>
          <w:tcPr>
            <w:tcW w:w="754" w:type="dxa"/>
            <w:tcBorders>
              <w:top w:val="single" w:color="auto" w:sz="4" w:space="0"/>
              <w:left w:val="single" w:color="auto" w:sz="4" w:space="0"/>
              <w:bottom w:val="single" w:color="auto" w:sz="4" w:space="0"/>
              <w:right w:val="single" w:color="auto" w:sz="4" w:space="0"/>
            </w:tcBorders>
            <w:vAlign w:val="center"/>
          </w:tcPr>
          <w:p w14:paraId="7EC4F877">
            <w:pPr>
              <w:spacing w:line="240" w:lineRule="auto"/>
              <w:rPr>
                <w:rFonts w:hint="default" w:ascii="Times New Roman" w:hAnsi="Times New Roman" w:eastAsia="宋体" w:cs="Times New Roman"/>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vAlign w:val="center"/>
          </w:tcPr>
          <w:p w14:paraId="6B077AF7">
            <w:pPr>
              <w:spacing w:line="240" w:lineRule="auto"/>
              <w:rPr>
                <w:rFonts w:hint="default" w:ascii="Times New Roman" w:hAnsi="Times New Roman" w:eastAsia="宋体" w:cs="Times New Roman"/>
                <w:sz w:val="21"/>
                <w:szCs w:val="21"/>
                <w:highlight w:val="none"/>
              </w:rPr>
            </w:pPr>
          </w:p>
        </w:tc>
      </w:tr>
      <w:tr w14:paraId="2BFFB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6" w:type="dxa"/>
            <w:tcBorders>
              <w:top w:val="single" w:color="auto" w:sz="4" w:space="0"/>
              <w:left w:val="single" w:color="auto" w:sz="4" w:space="0"/>
              <w:bottom w:val="single" w:color="auto" w:sz="4" w:space="0"/>
              <w:right w:val="single" w:color="auto" w:sz="4" w:space="0"/>
            </w:tcBorders>
            <w:vAlign w:val="center"/>
          </w:tcPr>
          <w:p w14:paraId="0D4BAC7E">
            <w:pPr>
              <w:numPr>
                <w:ilvl w:val="0"/>
                <w:numId w:val="20"/>
              </w:numPr>
              <w:spacing w:before="60" w:after="60" w:line="240" w:lineRule="auto"/>
              <w:ind w:left="425" w:leftChars="0" w:hanging="425" w:firstLineChars="0"/>
              <w:jc w:val="center"/>
              <w:rPr>
                <w:rFonts w:hint="default" w:ascii="Times New Roman" w:hAnsi="Times New Roman" w:eastAsia="宋体" w:cs="Times New Roman"/>
                <w:sz w:val="21"/>
                <w:szCs w:val="21"/>
                <w:highlight w:val="none"/>
                <w:lang w:val="en-US" w:eastAsia="zh-CN"/>
              </w:rPr>
            </w:pPr>
          </w:p>
        </w:tc>
        <w:tc>
          <w:tcPr>
            <w:tcW w:w="4035" w:type="dxa"/>
            <w:tcBorders>
              <w:top w:val="single" w:color="auto" w:sz="4" w:space="0"/>
              <w:left w:val="single" w:color="auto" w:sz="4" w:space="0"/>
              <w:bottom w:val="single" w:color="auto" w:sz="4" w:space="0"/>
              <w:right w:val="single" w:color="auto" w:sz="4" w:space="0"/>
            </w:tcBorders>
            <w:vAlign w:val="center"/>
          </w:tcPr>
          <w:p w14:paraId="76EC0D9E">
            <w:pPr>
              <w:keepNext w:val="0"/>
              <w:keepLines w:val="0"/>
              <w:widowControl/>
              <w:suppressLineNumbers w:val="0"/>
              <w:spacing w:line="240" w:lineRule="auto"/>
              <w:jc w:val="left"/>
              <w:textAlignment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5.1.1.3.自动化耗材供给组件 1套</w:t>
            </w:r>
          </w:p>
        </w:tc>
        <w:tc>
          <w:tcPr>
            <w:tcW w:w="747" w:type="dxa"/>
            <w:tcBorders>
              <w:top w:val="single" w:color="auto" w:sz="4" w:space="0"/>
              <w:left w:val="single" w:color="auto" w:sz="4" w:space="0"/>
              <w:bottom w:val="single" w:color="auto" w:sz="4" w:space="0"/>
              <w:right w:val="single" w:color="auto" w:sz="4" w:space="0"/>
            </w:tcBorders>
            <w:vAlign w:val="center"/>
          </w:tcPr>
          <w:p w14:paraId="017F45D4">
            <w:pPr>
              <w:spacing w:before="60" w:after="60" w:line="240" w:lineRule="auto"/>
              <w:rPr>
                <w:rFonts w:hint="default" w:ascii="Times New Roman" w:hAnsi="Times New Roman" w:eastAsia="宋体" w:cs="Times New Roman"/>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6E3E4B0E">
            <w:pPr>
              <w:spacing w:before="60" w:after="60" w:line="240" w:lineRule="auto"/>
              <w:rPr>
                <w:rFonts w:hint="default" w:ascii="Times New Roman" w:hAnsi="Times New Roman" w:eastAsia="宋体" w:cs="Times New Roman"/>
                <w:sz w:val="21"/>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7DA904F5">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6EDD3CC6">
            <w:pPr>
              <w:spacing w:before="60" w:after="60" w:line="240" w:lineRule="auto"/>
              <w:rPr>
                <w:rFonts w:hint="default" w:ascii="Times New Roman" w:hAnsi="Times New Roman" w:eastAsia="宋体" w:cs="Times New Roman"/>
                <w:sz w:val="21"/>
                <w:szCs w:val="21"/>
                <w:highlight w:val="none"/>
              </w:rPr>
            </w:pPr>
          </w:p>
        </w:tc>
        <w:tc>
          <w:tcPr>
            <w:tcW w:w="828" w:type="dxa"/>
            <w:tcBorders>
              <w:top w:val="single" w:color="auto" w:sz="4" w:space="0"/>
              <w:left w:val="single" w:color="auto" w:sz="4" w:space="0"/>
              <w:bottom w:val="single" w:color="auto" w:sz="4" w:space="0"/>
              <w:right w:val="single" w:color="auto" w:sz="4" w:space="0"/>
            </w:tcBorders>
            <w:vAlign w:val="center"/>
          </w:tcPr>
          <w:p w14:paraId="7B5BA5DB">
            <w:pPr>
              <w:spacing w:before="60" w:after="60" w:line="240" w:lineRule="auto"/>
              <w:rPr>
                <w:rFonts w:hint="default" w:ascii="Times New Roman" w:hAnsi="Times New Roman" w:eastAsia="宋体" w:cs="Times New Roman"/>
                <w:sz w:val="21"/>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5BBAD560">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7A56A4C9">
            <w:pPr>
              <w:spacing w:before="60" w:after="60" w:line="240" w:lineRule="auto"/>
              <w:rPr>
                <w:rFonts w:hint="default" w:ascii="Times New Roman" w:hAnsi="Times New Roman" w:eastAsia="宋体" w:cs="Times New Roman"/>
                <w:sz w:val="21"/>
                <w:szCs w:val="21"/>
                <w:highlight w:val="none"/>
              </w:rPr>
            </w:pPr>
          </w:p>
        </w:tc>
        <w:tc>
          <w:tcPr>
            <w:tcW w:w="754" w:type="dxa"/>
            <w:tcBorders>
              <w:top w:val="single" w:color="auto" w:sz="4" w:space="0"/>
              <w:left w:val="single" w:color="auto" w:sz="4" w:space="0"/>
              <w:bottom w:val="single" w:color="auto" w:sz="4" w:space="0"/>
              <w:right w:val="single" w:color="auto" w:sz="4" w:space="0"/>
            </w:tcBorders>
            <w:vAlign w:val="center"/>
          </w:tcPr>
          <w:p w14:paraId="265B2D47">
            <w:pPr>
              <w:spacing w:line="240" w:lineRule="auto"/>
              <w:rPr>
                <w:rFonts w:hint="default" w:ascii="Times New Roman" w:hAnsi="Times New Roman" w:eastAsia="宋体" w:cs="Times New Roman"/>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vAlign w:val="center"/>
          </w:tcPr>
          <w:p w14:paraId="399150A5">
            <w:pPr>
              <w:spacing w:line="240" w:lineRule="auto"/>
              <w:rPr>
                <w:rFonts w:hint="default" w:ascii="Times New Roman" w:hAnsi="Times New Roman" w:eastAsia="宋体" w:cs="Times New Roman"/>
                <w:sz w:val="21"/>
                <w:szCs w:val="21"/>
                <w:highlight w:val="none"/>
              </w:rPr>
            </w:pPr>
          </w:p>
        </w:tc>
      </w:tr>
      <w:tr w14:paraId="765E8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816" w:type="dxa"/>
            <w:tcBorders>
              <w:top w:val="single" w:color="auto" w:sz="4" w:space="0"/>
              <w:left w:val="single" w:color="auto" w:sz="4" w:space="0"/>
              <w:bottom w:val="single" w:color="auto" w:sz="4" w:space="0"/>
              <w:right w:val="single" w:color="auto" w:sz="4" w:space="0"/>
            </w:tcBorders>
            <w:vAlign w:val="center"/>
          </w:tcPr>
          <w:p w14:paraId="225F174D">
            <w:pPr>
              <w:numPr>
                <w:ilvl w:val="0"/>
                <w:numId w:val="20"/>
              </w:numPr>
              <w:spacing w:before="60" w:after="60" w:line="240" w:lineRule="auto"/>
              <w:ind w:left="425" w:leftChars="0" w:hanging="425" w:firstLineChars="0"/>
              <w:jc w:val="center"/>
              <w:rPr>
                <w:rFonts w:hint="default" w:ascii="Times New Roman" w:hAnsi="Times New Roman" w:eastAsia="宋体" w:cs="Times New Roman"/>
                <w:sz w:val="21"/>
                <w:szCs w:val="21"/>
                <w:highlight w:val="none"/>
                <w:lang w:val="en-US" w:eastAsia="zh-CN"/>
              </w:rPr>
            </w:pPr>
          </w:p>
        </w:tc>
        <w:tc>
          <w:tcPr>
            <w:tcW w:w="4035" w:type="dxa"/>
            <w:tcBorders>
              <w:top w:val="single" w:color="auto" w:sz="4" w:space="0"/>
              <w:left w:val="single" w:color="auto" w:sz="4" w:space="0"/>
              <w:bottom w:val="single" w:color="auto" w:sz="4" w:space="0"/>
              <w:right w:val="single" w:color="auto" w:sz="4" w:space="0"/>
            </w:tcBorders>
            <w:vAlign w:val="center"/>
          </w:tcPr>
          <w:p w14:paraId="7EF2CA83">
            <w:pPr>
              <w:keepNext w:val="0"/>
              <w:keepLines w:val="0"/>
              <w:widowControl/>
              <w:suppressLineNumbers w:val="0"/>
              <w:spacing w:line="240" w:lineRule="auto"/>
              <w:jc w:val="left"/>
              <w:textAlignment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5.1.1.4.自动化冰箱组件 1套</w:t>
            </w:r>
          </w:p>
        </w:tc>
        <w:tc>
          <w:tcPr>
            <w:tcW w:w="747" w:type="dxa"/>
            <w:tcBorders>
              <w:top w:val="single" w:color="auto" w:sz="4" w:space="0"/>
              <w:left w:val="single" w:color="auto" w:sz="4" w:space="0"/>
              <w:bottom w:val="single" w:color="auto" w:sz="4" w:space="0"/>
              <w:right w:val="single" w:color="auto" w:sz="4" w:space="0"/>
            </w:tcBorders>
            <w:vAlign w:val="center"/>
          </w:tcPr>
          <w:p w14:paraId="3EF5A755">
            <w:pPr>
              <w:spacing w:before="60" w:after="60" w:line="240" w:lineRule="auto"/>
              <w:rPr>
                <w:rFonts w:hint="default" w:ascii="Times New Roman" w:hAnsi="Times New Roman" w:eastAsia="宋体" w:cs="Times New Roman"/>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42570BC1">
            <w:pPr>
              <w:spacing w:before="60" w:after="60" w:line="240" w:lineRule="auto"/>
              <w:rPr>
                <w:rFonts w:hint="default" w:ascii="Times New Roman" w:hAnsi="Times New Roman" w:eastAsia="宋体" w:cs="Times New Roman"/>
                <w:sz w:val="21"/>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3CB37092">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0D55E6B4">
            <w:pPr>
              <w:spacing w:before="60" w:after="60" w:line="240" w:lineRule="auto"/>
              <w:rPr>
                <w:rFonts w:hint="default" w:ascii="Times New Roman" w:hAnsi="Times New Roman" w:eastAsia="宋体" w:cs="Times New Roman"/>
                <w:sz w:val="21"/>
                <w:szCs w:val="21"/>
                <w:highlight w:val="none"/>
              </w:rPr>
            </w:pPr>
          </w:p>
        </w:tc>
        <w:tc>
          <w:tcPr>
            <w:tcW w:w="828" w:type="dxa"/>
            <w:tcBorders>
              <w:top w:val="single" w:color="auto" w:sz="4" w:space="0"/>
              <w:left w:val="single" w:color="auto" w:sz="4" w:space="0"/>
              <w:bottom w:val="single" w:color="auto" w:sz="4" w:space="0"/>
              <w:right w:val="single" w:color="auto" w:sz="4" w:space="0"/>
            </w:tcBorders>
            <w:vAlign w:val="center"/>
          </w:tcPr>
          <w:p w14:paraId="2D4910C4">
            <w:pPr>
              <w:spacing w:before="60" w:after="60" w:line="240" w:lineRule="auto"/>
              <w:rPr>
                <w:rFonts w:hint="default" w:ascii="Times New Roman" w:hAnsi="Times New Roman" w:eastAsia="宋体" w:cs="Times New Roman"/>
                <w:sz w:val="21"/>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2DB6C6F1">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2C1FE778">
            <w:pPr>
              <w:spacing w:before="60" w:after="60" w:line="240" w:lineRule="auto"/>
              <w:rPr>
                <w:rFonts w:hint="default" w:ascii="Times New Roman" w:hAnsi="Times New Roman" w:eastAsia="宋体" w:cs="Times New Roman"/>
                <w:sz w:val="21"/>
                <w:szCs w:val="21"/>
                <w:highlight w:val="none"/>
              </w:rPr>
            </w:pPr>
          </w:p>
        </w:tc>
        <w:tc>
          <w:tcPr>
            <w:tcW w:w="754" w:type="dxa"/>
            <w:tcBorders>
              <w:top w:val="single" w:color="auto" w:sz="4" w:space="0"/>
              <w:left w:val="single" w:color="auto" w:sz="4" w:space="0"/>
              <w:bottom w:val="single" w:color="auto" w:sz="4" w:space="0"/>
              <w:right w:val="single" w:color="auto" w:sz="4" w:space="0"/>
            </w:tcBorders>
            <w:vAlign w:val="center"/>
          </w:tcPr>
          <w:p w14:paraId="299FD60F">
            <w:pPr>
              <w:spacing w:line="240" w:lineRule="auto"/>
              <w:rPr>
                <w:rFonts w:hint="default" w:ascii="Times New Roman" w:hAnsi="Times New Roman" w:eastAsia="宋体" w:cs="Times New Roman"/>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vAlign w:val="center"/>
          </w:tcPr>
          <w:p w14:paraId="0FA611DC">
            <w:pPr>
              <w:spacing w:line="240" w:lineRule="auto"/>
              <w:rPr>
                <w:rFonts w:hint="default" w:ascii="Times New Roman" w:hAnsi="Times New Roman" w:eastAsia="宋体" w:cs="Times New Roman"/>
                <w:sz w:val="21"/>
                <w:szCs w:val="21"/>
                <w:highlight w:val="none"/>
              </w:rPr>
            </w:pPr>
          </w:p>
        </w:tc>
      </w:tr>
      <w:tr w14:paraId="076C0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816" w:type="dxa"/>
            <w:tcBorders>
              <w:top w:val="single" w:color="auto" w:sz="4" w:space="0"/>
              <w:left w:val="single" w:color="auto" w:sz="4" w:space="0"/>
              <w:bottom w:val="single" w:color="auto" w:sz="4" w:space="0"/>
              <w:right w:val="single" w:color="auto" w:sz="4" w:space="0"/>
            </w:tcBorders>
            <w:vAlign w:val="center"/>
          </w:tcPr>
          <w:p w14:paraId="4DD11724">
            <w:pPr>
              <w:numPr>
                <w:ilvl w:val="0"/>
                <w:numId w:val="20"/>
              </w:numPr>
              <w:spacing w:before="60" w:after="60" w:line="240" w:lineRule="auto"/>
              <w:ind w:left="425" w:leftChars="0" w:hanging="425" w:firstLineChars="0"/>
              <w:jc w:val="center"/>
              <w:rPr>
                <w:rFonts w:hint="default" w:ascii="Times New Roman" w:hAnsi="Times New Roman" w:eastAsia="宋体" w:cs="Times New Roman"/>
                <w:sz w:val="21"/>
                <w:szCs w:val="21"/>
                <w:highlight w:val="none"/>
                <w:lang w:val="en-US" w:eastAsia="zh-CN"/>
              </w:rPr>
            </w:pPr>
          </w:p>
        </w:tc>
        <w:tc>
          <w:tcPr>
            <w:tcW w:w="4035" w:type="dxa"/>
            <w:tcBorders>
              <w:top w:val="single" w:color="auto" w:sz="4" w:space="0"/>
              <w:left w:val="single" w:color="auto" w:sz="4" w:space="0"/>
              <w:bottom w:val="single" w:color="auto" w:sz="4" w:space="0"/>
              <w:right w:val="single" w:color="auto" w:sz="4" w:space="0"/>
            </w:tcBorders>
            <w:vAlign w:val="center"/>
          </w:tcPr>
          <w:p w14:paraId="3B5B7FF3">
            <w:pPr>
              <w:keepNext w:val="0"/>
              <w:keepLines w:val="0"/>
              <w:widowControl/>
              <w:suppressLineNumbers w:val="0"/>
              <w:spacing w:line="240" w:lineRule="auto"/>
              <w:jc w:val="left"/>
              <w:textAlignment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5.1.1.5.自动化扫码组件 1套</w:t>
            </w:r>
          </w:p>
        </w:tc>
        <w:tc>
          <w:tcPr>
            <w:tcW w:w="747" w:type="dxa"/>
            <w:tcBorders>
              <w:top w:val="single" w:color="auto" w:sz="4" w:space="0"/>
              <w:left w:val="single" w:color="auto" w:sz="4" w:space="0"/>
              <w:bottom w:val="single" w:color="auto" w:sz="4" w:space="0"/>
              <w:right w:val="single" w:color="auto" w:sz="4" w:space="0"/>
            </w:tcBorders>
            <w:vAlign w:val="center"/>
          </w:tcPr>
          <w:p w14:paraId="13514E58">
            <w:pPr>
              <w:spacing w:before="60" w:after="60" w:line="240" w:lineRule="auto"/>
              <w:rPr>
                <w:rFonts w:hint="default" w:ascii="Times New Roman" w:hAnsi="Times New Roman" w:eastAsia="宋体" w:cs="Times New Roman"/>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7FBFC8B1">
            <w:pPr>
              <w:spacing w:before="60" w:after="60" w:line="240" w:lineRule="auto"/>
              <w:rPr>
                <w:rFonts w:hint="default" w:ascii="Times New Roman" w:hAnsi="Times New Roman" w:eastAsia="宋体" w:cs="Times New Roman"/>
                <w:sz w:val="21"/>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3FD7F073">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524E8966">
            <w:pPr>
              <w:spacing w:before="60" w:after="60" w:line="240" w:lineRule="auto"/>
              <w:rPr>
                <w:rFonts w:hint="default" w:ascii="Times New Roman" w:hAnsi="Times New Roman" w:eastAsia="宋体" w:cs="Times New Roman"/>
                <w:sz w:val="21"/>
                <w:szCs w:val="21"/>
                <w:highlight w:val="none"/>
              </w:rPr>
            </w:pPr>
          </w:p>
        </w:tc>
        <w:tc>
          <w:tcPr>
            <w:tcW w:w="828" w:type="dxa"/>
            <w:tcBorders>
              <w:top w:val="single" w:color="auto" w:sz="4" w:space="0"/>
              <w:left w:val="single" w:color="auto" w:sz="4" w:space="0"/>
              <w:bottom w:val="single" w:color="auto" w:sz="4" w:space="0"/>
              <w:right w:val="single" w:color="auto" w:sz="4" w:space="0"/>
            </w:tcBorders>
            <w:vAlign w:val="center"/>
          </w:tcPr>
          <w:p w14:paraId="1F6C4EF3">
            <w:pPr>
              <w:spacing w:before="60" w:after="60" w:line="240" w:lineRule="auto"/>
              <w:rPr>
                <w:rFonts w:hint="default" w:ascii="Times New Roman" w:hAnsi="Times New Roman" w:eastAsia="宋体" w:cs="Times New Roman"/>
                <w:sz w:val="21"/>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003B4383">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77603BCA">
            <w:pPr>
              <w:spacing w:before="60" w:after="60" w:line="240" w:lineRule="auto"/>
              <w:rPr>
                <w:rFonts w:hint="default" w:ascii="Times New Roman" w:hAnsi="Times New Roman" w:eastAsia="宋体" w:cs="Times New Roman"/>
                <w:sz w:val="21"/>
                <w:szCs w:val="21"/>
                <w:highlight w:val="none"/>
              </w:rPr>
            </w:pPr>
          </w:p>
        </w:tc>
        <w:tc>
          <w:tcPr>
            <w:tcW w:w="754" w:type="dxa"/>
            <w:tcBorders>
              <w:top w:val="single" w:color="auto" w:sz="4" w:space="0"/>
              <w:left w:val="single" w:color="auto" w:sz="4" w:space="0"/>
              <w:bottom w:val="single" w:color="auto" w:sz="4" w:space="0"/>
              <w:right w:val="single" w:color="auto" w:sz="4" w:space="0"/>
            </w:tcBorders>
            <w:vAlign w:val="center"/>
          </w:tcPr>
          <w:p w14:paraId="5ACFF07C">
            <w:pPr>
              <w:spacing w:line="240" w:lineRule="auto"/>
              <w:rPr>
                <w:rFonts w:hint="default" w:ascii="Times New Roman" w:hAnsi="Times New Roman" w:eastAsia="宋体" w:cs="Times New Roman"/>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vAlign w:val="center"/>
          </w:tcPr>
          <w:p w14:paraId="29A1224F">
            <w:pPr>
              <w:spacing w:line="240" w:lineRule="auto"/>
              <w:rPr>
                <w:rFonts w:hint="default" w:ascii="Times New Roman" w:hAnsi="Times New Roman" w:eastAsia="宋体" w:cs="Times New Roman"/>
                <w:sz w:val="21"/>
                <w:szCs w:val="21"/>
                <w:highlight w:val="none"/>
              </w:rPr>
            </w:pPr>
          </w:p>
        </w:tc>
      </w:tr>
      <w:tr w14:paraId="7976F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6" w:type="dxa"/>
            <w:tcBorders>
              <w:top w:val="single" w:color="auto" w:sz="4" w:space="0"/>
              <w:left w:val="single" w:color="auto" w:sz="4" w:space="0"/>
              <w:bottom w:val="single" w:color="auto" w:sz="4" w:space="0"/>
              <w:right w:val="single" w:color="auto" w:sz="4" w:space="0"/>
            </w:tcBorders>
            <w:vAlign w:val="center"/>
          </w:tcPr>
          <w:p w14:paraId="4B36C05E">
            <w:pPr>
              <w:numPr>
                <w:ilvl w:val="0"/>
                <w:numId w:val="20"/>
              </w:numPr>
              <w:spacing w:before="60" w:after="60" w:line="240" w:lineRule="auto"/>
              <w:ind w:left="425" w:leftChars="0" w:hanging="425" w:firstLineChars="0"/>
              <w:jc w:val="center"/>
              <w:rPr>
                <w:rFonts w:hint="default" w:ascii="Times New Roman" w:hAnsi="Times New Roman" w:eastAsia="宋体" w:cs="Times New Roman"/>
                <w:sz w:val="21"/>
                <w:szCs w:val="21"/>
                <w:highlight w:val="none"/>
                <w:lang w:val="en-US" w:eastAsia="zh-CN"/>
              </w:rPr>
            </w:pPr>
          </w:p>
        </w:tc>
        <w:tc>
          <w:tcPr>
            <w:tcW w:w="4035" w:type="dxa"/>
            <w:tcBorders>
              <w:top w:val="single" w:color="auto" w:sz="4" w:space="0"/>
              <w:left w:val="single" w:color="auto" w:sz="4" w:space="0"/>
              <w:bottom w:val="single" w:color="auto" w:sz="4" w:space="0"/>
              <w:right w:val="single" w:color="auto" w:sz="4" w:space="0"/>
            </w:tcBorders>
            <w:vAlign w:val="center"/>
          </w:tcPr>
          <w:p w14:paraId="467B83D4">
            <w:pPr>
              <w:keepNext w:val="0"/>
              <w:keepLines w:val="0"/>
              <w:widowControl/>
              <w:suppressLineNumbers w:val="0"/>
              <w:spacing w:line="240" w:lineRule="auto"/>
              <w:jc w:val="left"/>
              <w:textAlignment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5.1.1.6.自动化冻存管开关盖组件 1套</w:t>
            </w:r>
          </w:p>
        </w:tc>
        <w:tc>
          <w:tcPr>
            <w:tcW w:w="747" w:type="dxa"/>
            <w:tcBorders>
              <w:top w:val="single" w:color="auto" w:sz="4" w:space="0"/>
              <w:left w:val="single" w:color="auto" w:sz="4" w:space="0"/>
              <w:bottom w:val="single" w:color="auto" w:sz="4" w:space="0"/>
              <w:right w:val="single" w:color="auto" w:sz="4" w:space="0"/>
            </w:tcBorders>
            <w:vAlign w:val="center"/>
          </w:tcPr>
          <w:p w14:paraId="51B014ED">
            <w:pPr>
              <w:spacing w:before="60" w:after="60" w:line="240" w:lineRule="auto"/>
              <w:rPr>
                <w:rFonts w:hint="default" w:ascii="Times New Roman" w:hAnsi="Times New Roman" w:eastAsia="宋体" w:cs="Times New Roman"/>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73EF77B0">
            <w:pPr>
              <w:spacing w:before="60" w:after="60" w:line="240" w:lineRule="auto"/>
              <w:rPr>
                <w:rFonts w:hint="default" w:ascii="Times New Roman" w:hAnsi="Times New Roman" w:eastAsia="宋体" w:cs="Times New Roman"/>
                <w:sz w:val="21"/>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3731A02F">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73C9A31B">
            <w:pPr>
              <w:spacing w:before="60" w:after="60" w:line="240" w:lineRule="auto"/>
              <w:rPr>
                <w:rFonts w:hint="default" w:ascii="Times New Roman" w:hAnsi="Times New Roman" w:eastAsia="宋体" w:cs="Times New Roman"/>
                <w:sz w:val="21"/>
                <w:szCs w:val="21"/>
                <w:highlight w:val="none"/>
              </w:rPr>
            </w:pPr>
          </w:p>
        </w:tc>
        <w:tc>
          <w:tcPr>
            <w:tcW w:w="828" w:type="dxa"/>
            <w:tcBorders>
              <w:top w:val="single" w:color="auto" w:sz="4" w:space="0"/>
              <w:left w:val="single" w:color="auto" w:sz="4" w:space="0"/>
              <w:bottom w:val="single" w:color="auto" w:sz="4" w:space="0"/>
              <w:right w:val="single" w:color="auto" w:sz="4" w:space="0"/>
            </w:tcBorders>
            <w:vAlign w:val="center"/>
          </w:tcPr>
          <w:p w14:paraId="6D3689AB">
            <w:pPr>
              <w:spacing w:before="60" w:after="60" w:line="240" w:lineRule="auto"/>
              <w:rPr>
                <w:rFonts w:hint="default" w:ascii="Times New Roman" w:hAnsi="Times New Roman" w:eastAsia="宋体" w:cs="Times New Roman"/>
                <w:sz w:val="21"/>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7912D9B1">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1BFBDC3C">
            <w:pPr>
              <w:spacing w:before="60" w:after="60" w:line="240" w:lineRule="auto"/>
              <w:rPr>
                <w:rFonts w:hint="default" w:ascii="Times New Roman" w:hAnsi="Times New Roman" w:eastAsia="宋体" w:cs="Times New Roman"/>
                <w:sz w:val="21"/>
                <w:szCs w:val="21"/>
                <w:highlight w:val="none"/>
              </w:rPr>
            </w:pPr>
          </w:p>
        </w:tc>
        <w:tc>
          <w:tcPr>
            <w:tcW w:w="754" w:type="dxa"/>
            <w:tcBorders>
              <w:top w:val="single" w:color="auto" w:sz="4" w:space="0"/>
              <w:left w:val="single" w:color="auto" w:sz="4" w:space="0"/>
              <w:bottom w:val="single" w:color="auto" w:sz="4" w:space="0"/>
              <w:right w:val="single" w:color="auto" w:sz="4" w:space="0"/>
            </w:tcBorders>
            <w:vAlign w:val="center"/>
          </w:tcPr>
          <w:p w14:paraId="3DB5274B">
            <w:pPr>
              <w:spacing w:line="240" w:lineRule="auto"/>
              <w:rPr>
                <w:rFonts w:hint="default" w:ascii="Times New Roman" w:hAnsi="Times New Roman" w:eastAsia="宋体" w:cs="Times New Roman"/>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vAlign w:val="center"/>
          </w:tcPr>
          <w:p w14:paraId="472784B3">
            <w:pPr>
              <w:spacing w:line="240" w:lineRule="auto"/>
              <w:rPr>
                <w:rFonts w:hint="default" w:ascii="Times New Roman" w:hAnsi="Times New Roman" w:eastAsia="宋体" w:cs="Times New Roman"/>
                <w:sz w:val="21"/>
                <w:szCs w:val="21"/>
                <w:highlight w:val="none"/>
              </w:rPr>
            </w:pPr>
          </w:p>
        </w:tc>
      </w:tr>
      <w:tr w14:paraId="5C454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816" w:type="dxa"/>
            <w:tcBorders>
              <w:top w:val="single" w:color="auto" w:sz="4" w:space="0"/>
              <w:left w:val="single" w:color="auto" w:sz="4" w:space="0"/>
              <w:bottom w:val="single" w:color="auto" w:sz="4" w:space="0"/>
              <w:right w:val="single" w:color="auto" w:sz="4" w:space="0"/>
            </w:tcBorders>
            <w:vAlign w:val="center"/>
          </w:tcPr>
          <w:p w14:paraId="6359AD90">
            <w:pPr>
              <w:numPr>
                <w:ilvl w:val="0"/>
                <w:numId w:val="20"/>
              </w:numPr>
              <w:spacing w:before="60" w:after="60" w:line="240" w:lineRule="auto"/>
              <w:ind w:left="425" w:leftChars="0" w:hanging="425" w:firstLineChars="0"/>
              <w:jc w:val="center"/>
              <w:rPr>
                <w:rFonts w:hint="default" w:ascii="Times New Roman" w:hAnsi="Times New Roman" w:eastAsia="宋体" w:cs="Times New Roman"/>
                <w:sz w:val="21"/>
                <w:szCs w:val="21"/>
                <w:highlight w:val="none"/>
                <w:lang w:val="en-US" w:eastAsia="zh-CN"/>
              </w:rPr>
            </w:pPr>
          </w:p>
        </w:tc>
        <w:tc>
          <w:tcPr>
            <w:tcW w:w="4035" w:type="dxa"/>
            <w:tcBorders>
              <w:top w:val="single" w:color="auto" w:sz="4" w:space="0"/>
              <w:left w:val="single" w:color="auto" w:sz="4" w:space="0"/>
              <w:bottom w:val="single" w:color="auto" w:sz="4" w:space="0"/>
              <w:right w:val="single" w:color="auto" w:sz="4" w:space="0"/>
            </w:tcBorders>
            <w:vAlign w:val="center"/>
          </w:tcPr>
          <w:p w14:paraId="54391AD2">
            <w:pPr>
              <w:keepNext w:val="0"/>
              <w:keepLines w:val="0"/>
              <w:widowControl/>
              <w:suppressLineNumbers w:val="0"/>
              <w:spacing w:line="240" w:lineRule="auto"/>
              <w:jc w:val="left"/>
              <w:textAlignment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5.1.1.7.自动化撕膜组件 1套</w:t>
            </w:r>
          </w:p>
        </w:tc>
        <w:tc>
          <w:tcPr>
            <w:tcW w:w="747" w:type="dxa"/>
            <w:tcBorders>
              <w:top w:val="single" w:color="auto" w:sz="4" w:space="0"/>
              <w:left w:val="single" w:color="auto" w:sz="4" w:space="0"/>
              <w:bottom w:val="single" w:color="auto" w:sz="4" w:space="0"/>
              <w:right w:val="single" w:color="auto" w:sz="4" w:space="0"/>
            </w:tcBorders>
            <w:vAlign w:val="center"/>
          </w:tcPr>
          <w:p w14:paraId="02016B94">
            <w:pPr>
              <w:spacing w:before="60" w:after="60" w:line="240" w:lineRule="auto"/>
              <w:rPr>
                <w:rFonts w:hint="default" w:ascii="Times New Roman" w:hAnsi="Times New Roman" w:eastAsia="宋体" w:cs="Times New Roman"/>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0EB9AD38">
            <w:pPr>
              <w:spacing w:before="60" w:after="60" w:line="240" w:lineRule="auto"/>
              <w:rPr>
                <w:rFonts w:hint="default" w:ascii="Times New Roman" w:hAnsi="Times New Roman" w:eastAsia="宋体" w:cs="Times New Roman"/>
                <w:sz w:val="21"/>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14996269">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4A98C3E5">
            <w:pPr>
              <w:spacing w:before="60" w:after="60" w:line="240" w:lineRule="auto"/>
              <w:rPr>
                <w:rFonts w:hint="default" w:ascii="Times New Roman" w:hAnsi="Times New Roman" w:eastAsia="宋体" w:cs="Times New Roman"/>
                <w:sz w:val="21"/>
                <w:szCs w:val="21"/>
                <w:highlight w:val="none"/>
              </w:rPr>
            </w:pPr>
          </w:p>
        </w:tc>
        <w:tc>
          <w:tcPr>
            <w:tcW w:w="828" w:type="dxa"/>
            <w:tcBorders>
              <w:top w:val="single" w:color="auto" w:sz="4" w:space="0"/>
              <w:left w:val="single" w:color="auto" w:sz="4" w:space="0"/>
              <w:bottom w:val="single" w:color="auto" w:sz="4" w:space="0"/>
              <w:right w:val="single" w:color="auto" w:sz="4" w:space="0"/>
            </w:tcBorders>
            <w:vAlign w:val="center"/>
          </w:tcPr>
          <w:p w14:paraId="108585BC">
            <w:pPr>
              <w:spacing w:before="60" w:after="60" w:line="240" w:lineRule="auto"/>
              <w:rPr>
                <w:rFonts w:hint="default" w:ascii="Times New Roman" w:hAnsi="Times New Roman" w:eastAsia="宋体" w:cs="Times New Roman"/>
                <w:sz w:val="21"/>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530D5B18">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2AA583F8">
            <w:pPr>
              <w:spacing w:before="60" w:after="60" w:line="240" w:lineRule="auto"/>
              <w:rPr>
                <w:rFonts w:hint="default" w:ascii="Times New Roman" w:hAnsi="Times New Roman" w:eastAsia="宋体" w:cs="Times New Roman"/>
                <w:sz w:val="21"/>
                <w:szCs w:val="21"/>
                <w:highlight w:val="none"/>
              </w:rPr>
            </w:pPr>
          </w:p>
        </w:tc>
        <w:tc>
          <w:tcPr>
            <w:tcW w:w="754" w:type="dxa"/>
            <w:tcBorders>
              <w:top w:val="single" w:color="auto" w:sz="4" w:space="0"/>
              <w:left w:val="single" w:color="auto" w:sz="4" w:space="0"/>
              <w:bottom w:val="single" w:color="auto" w:sz="4" w:space="0"/>
              <w:right w:val="single" w:color="auto" w:sz="4" w:space="0"/>
            </w:tcBorders>
            <w:vAlign w:val="center"/>
          </w:tcPr>
          <w:p w14:paraId="431E7710">
            <w:pPr>
              <w:spacing w:line="240" w:lineRule="auto"/>
              <w:rPr>
                <w:rFonts w:hint="default" w:ascii="Times New Roman" w:hAnsi="Times New Roman" w:eastAsia="宋体" w:cs="Times New Roman"/>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vAlign w:val="center"/>
          </w:tcPr>
          <w:p w14:paraId="675A770C">
            <w:pPr>
              <w:spacing w:line="240" w:lineRule="auto"/>
              <w:rPr>
                <w:rFonts w:hint="default" w:ascii="Times New Roman" w:hAnsi="Times New Roman" w:eastAsia="宋体" w:cs="Times New Roman"/>
                <w:sz w:val="21"/>
                <w:szCs w:val="21"/>
                <w:highlight w:val="none"/>
              </w:rPr>
            </w:pPr>
          </w:p>
        </w:tc>
      </w:tr>
      <w:tr w14:paraId="37BE7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816" w:type="dxa"/>
            <w:tcBorders>
              <w:top w:val="single" w:color="auto" w:sz="4" w:space="0"/>
              <w:left w:val="single" w:color="auto" w:sz="4" w:space="0"/>
              <w:bottom w:val="single" w:color="auto" w:sz="4" w:space="0"/>
              <w:right w:val="single" w:color="auto" w:sz="4" w:space="0"/>
            </w:tcBorders>
            <w:vAlign w:val="center"/>
          </w:tcPr>
          <w:p w14:paraId="3A81C421">
            <w:pPr>
              <w:numPr>
                <w:ilvl w:val="0"/>
                <w:numId w:val="20"/>
              </w:numPr>
              <w:spacing w:before="60" w:after="60" w:line="240" w:lineRule="auto"/>
              <w:ind w:left="425" w:leftChars="0" w:hanging="425" w:firstLineChars="0"/>
              <w:jc w:val="center"/>
              <w:rPr>
                <w:rFonts w:hint="default" w:ascii="Times New Roman" w:hAnsi="Times New Roman" w:eastAsia="宋体" w:cs="Times New Roman"/>
                <w:sz w:val="21"/>
                <w:szCs w:val="21"/>
                <w:highlight w:val="none"/>
                <w:lang w:val="en-US" w:eastAsia="zh-CN"/>
              </w:rPr>
            </w:pPr>
          </w:p>
        </w:tc>
        <w:tc>
          <w:tcPr>
            <w:tcW w:w="4035" w:type="dxa"/>
            <w:tcBorders>
              <w:top w:val="single" w:color="auto" w:sz="4" w:space="0"/>
              <w:left w:val="single" w:color="auto" w:sz="4" w:space="0"/>
              <w:bottom w:val="single" w:color="auto" w:sz="4" w:space="0"/>
              <w:right w:val="single" w:color="auto" w:sz="4" w:space="0"/>
            </w:tcBorders>
            <w:vAlign w:val="center"/>
          </w:tcPr>
          <w:p w14:paraId="06B7239F">
            <w:pPr>
              <w:keepNext w:val="0"/>
              <w:keepLines w:val="0"/>
              <w:widowControl/>
              <w:suppressLineNumbers w:val="0"/>
              <w:spacing w:line="240" w:lineRule="auto"/>
              <w:jc w:val="left"/>
              <w:textAlignment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5.1.1.8.自动化封膜组件 1套</w:t>
            </w:r>
          </w:p>
        </w:tc>
        <w:tc>
          <w:tcPr>
            <w:tcW w:w="747" w:type="dxa"/>
            <w:tcBorders>
              <w:top w:val="single" w:color="auto" w:sz="4" w:space="0"/>
              <w:left w:val="single" w:color="auto" w:sz="4" w:space="0"/>
              <w:bottom w:val="single" w:color="auto" w:sz="4" w:space="0"/>
              <w:right w:val="single" w:color="auto" w:sz="4" w:space="0"/>
            </w:tcBorders>
            <w:vAlign w:val="center"/>
          </w:tcPr>
          <w:p w14:paraId="219F1BFA">
            <w:pPr>
              <w:spacing w:before="60" w:after="60" w:line="240" w:lineRule="auto"/>
              <w:rPr>
                <w:rFonts w:hint="default" w:ascii="Times New Roman" w:hAnsi="Times New Roman" w:eastAsia="宋体" w:cs="Times New Roman"/>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132ADA56">
            <w:pPr>
              <w:spacing w:before="60" w:after="60" w:line="240" w:lineRule="auto"/>
              <w:rPr>
                <w:rFonts w:hint="default" w:ascii="Times New Roman" w:hAnsi="Times New Roman" w:eastAsia="宋体" w:cs="Times New Roman"/>
                <w:sz w:val="21"/>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0EF37763">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72B7AE87">
            <w:pPr>
              <w:spacing w:before="60" w:after="60" w:line="240" w:lineRule="auto"/>
              <w:rPr>
                <w:rFonts w:hint="default" w:ascii="Times New Roman" w:hAnsi="Times New Roman" w:eastAsia="宋体" w:cs="Times New Roman"/>
                <w:sz w:val="21"/>
                <w:szCs w:val="21"/>
                <w:highlight w:val="none"/>
              </w:rPr>
            </w:pPr>
          </w:p>
        </w:tc>
        <w:tc>
          <w:tcPr>
            <w:tcW w:w="828" w:type="dxa"/>
            <w:tcBorders>
              <w:top w:val="single" w:color="auto" w:sz="4" w:space="0"/>
              <w:left w:val="single" w:color="auto" w:sz="4" w:space="0"/>
              <w:bottom w:val="single" w:color="auto" w:sz="4" w:space="0"/>
              <w:right w:val="single" w:color="auto" w:sz="4" w:space="0"/>
            </w:tcBorders>
            <w:vAlign w:val="center"/>
          </w:tcPr>
          <w:p w14:paraId="42C08299">
            <w:pPr>
              <w:spacing w:before="60" w:after="60" w:line="240" w:lineRule="auto"/>
              <w:rPr>
                <w:rFonts w:hint="default" w:ascii="Times New Roman" w:hAnsi="Times New Roman" w:eastAsia="宋体" w:cs="Times New Roman"/>
                <w:sz w:val="21"/>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118C4D7C">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2E5742EA">
            <w:pPr>
              <w:spacing w:before="60" w:after="60" w:line="240" w:lineRule="auto"/>
              <w:rPr>
                <w:rFonts w:hint="default" w:ascii="Times New Roman" w:hAnsi="Times New Roman" w:eastAsia="宋体" w:cs="Times New Roman"/>
                <w:sz w:val="21"/>
                <w:szCs w:val="21"/>
                <w:highlight w:val="none"/>
              </w:rPr>
            </w:pPr>
          </w:p>
        </w:tc>
        <w:tc>
          <w:tcPr>
            <w:tcW w:w="754" w:type="dxa"/>
            <w:tcBorders>
              <w:top w:val="single" w:color="auto" w:sz="4" w:space="0"/>
              <w:left w:val="single" w:color="auto" w:sz="4" w:space="0"/>
              <w:bottom w:val="single" w:color="auto" w:sz="4" w:space="0"/>
              <w:right w:val="single" w:color="auto" w:sz="4" w:space="0"/>
            </w:tcBorders>
            <w:vAlign w:val="center"/>
          </w:tcPr>
          <w:p w14:paraId="2FCD50CE">
            <w:pPr>
              <w:spacing w:line="240" w:lineRule="auto"/>
              <w:rPr>
                <w:rFonts w:hint="default" w:ascii="Times New Roman" w:hAnsi="Times New Roman" w:eastAsia="宋体" w:cs="Times New Roman"/>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vAlign w:val="center"/>
          </w:tcPr>
          <w:p w14:paraId="25CB66DD">
            <w:pPr>
              <w:spacing w:line="240" w:lineRule="auto"/>
              <w:rPr>
                <w:rFonts w:hint="default" w:ascii="Times New Roman" w:hAnsi="Times New Roman" w:eastAsia="宋体" w:cs="Times New Roman"/>
                <w:sz w:val="21"/>
                <w:szCs w:val="21"/>
                <w:highlight w:val="none"/>
              </w:rPr>
            </w:pPr>
          </w:p>
        </w:tc>
      </w:tr>
      <w:tr w14:paraId="2DB94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6" w:type="dxa"/>
            <w:tcBorders>
              <w:top w:val="single" w:color="auto" w:sz="4" w:space="0"/>
              <w:left w:val="single" w:color="auto" w:sz="4" w:space="0"/>
              <w:bottom w:val="single" w:color="auto" w:sz="4" w:space="0"/>
              <w:right w:val="single" w:color="auto" w:sz="4" w:space="0"/>
            </w:tcBorders>
            <w:vAlign w:val="center"/>
          </w:tcPr>
          <w:p w14:paraId="27483C91">
            <w:pPr>
              <w:numPr>
                <w:ilvl w:val="0"/>
                <w:numId w:val="20"/>
              </w:numPr>
              <w:spacing w:before="60" w:after="60" w:line="240" w:lineRule="auto"/>
              <w:ind w:left="425" w:leftChars="0" w:hanging="425" w:firstLineChars="0"/>
              <w:jc w:val="center"/>
              <w:rPr>
                <w:rFonts w:hint="default" w:ascii="Times New Roman" w:hAnsi="Times New Roman" w:eastAsia="宋体" w:cs="Times New Roman"/>
                <w:sz w:val="21"/>
                <w:szCs w:val="21"/>
                <w:highlight w:val="none"/>
                <w:lang w:val="en-US" w:eastAsia="zh-CN"/>
              </w:rPr>
            </w:pPr>
          </w:p>
        </w:tc>
        <w:tc>
          <w:tcPr>
            <w:tcW w:w="4035" w:type="dxa"/>
            <w:tcBorders>
              <w:top w:val="single" w:color="auto" w:sz="4" w:space="0"/>
              <w:left w:val="single" w:color="auto" w:sz="4" w:space="0"/>
              <w:bottom w:val="single" w:color="auto" w:sz="4" w:space="0"/>
              <w:right w:val="single" w:color="auto" w:sz="4" w:space="0"/>
            </w:tcBorders>
            <w:vAlign w:val="center"/>
          </w:tcPr>
          <w:p w14:paraId="104DFEFC">
            <w:pPr>
              <w:keepNext w:val="0"/>
              <w:keepLines w:val="0"/>
              <w:widowControl/>
              <w:suppressLineNumbers w:val="0"/>
              <w:spacing w:line="240" w:lineRule="auto"/>
              <w:jc w:val="left"/>
              <w:textAlignment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5.1.1.9.自动化液面探测组件 1套</w:t>
            </w:r>
          </w:p>
        </w:tc>
        <w:tc>
          <w:tcPr>
            <w:tcW w:w="747" w:type="dxa"/>
            <w:tcBorders>
              <w:top w:val="single" w:color="auto" w:sz="4" w:space="0"/>
              <w:left w:val="single" w:color="auto" w:sz="4" w:space="0"/>
              <w:bottom w:val="single" w:color="auto" w:sz="4" w:space="0"/>
              <w:right w:val="single" w:color="auto" w:sz="4" w:space="0"/>
            </w:tcBorders>
            <w:vAlign w:val="center"/>
          </w:tcPr>
          <w:p w14:paraId="3373588E">
            <w:pPr>
              <w:spacing w:before="60" w:after="60" w:line="240" w:lineRule="auto"/>
              <w:rPr>
                <w:rFonts w:hint="default" w:ascii="Times New Roman" w:hAnsi="Times New Roman" w:eastAsia="宋体" w:cs="Times New Roman"/>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40B7F825">
            <w:pPr>
              <w:spacing w:before="60" w:after="60" w:line="240" w:lineRule="auto"/>
              <w:rPr>
                <w:rFonts w:hint="default" w:ascii="Times New Roman" w:hAnsi="Times New Roman" w:eastAsia="宋体" w:cs="Times New Roman"/>
                <w:sz w:val="21"/>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265F85D0">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7F55573F">
            <w:pPr>
              <w:spacing w:before="60" w:after="60" w:line="240" w:lineRule="auto"/>
              <w:rPr>
                <w:rFonts w:hint="default" w:ascii="Times New Roman" w:hAnsi="Times New Roman" w:eastAsia="宋体" w:cs="Times New Roman"/>
                <w:sz w:val="21"/>
                <w:szCs w:val="21"/>
                <w:highlight w:val="none"/>
              </w:rPr>
            </w:pPr>
          </w:p>
        </w:tc>
        <w:tc>
          <w:tcPr>
            <w:tcW w:w="828" w:type="dxa"/>
            <w:tcBorders>
              <w:top w:val="single" w:color="auto" w:sz="4" w:space="0"/>
              <w:left w:val="single" w:color="auto" w:sz="4" w:space="0"/>
              <w:bottom w:val="single" w:color="auto" w:sz="4" w:space="0"/>
              <w:right w:val="single" w:color="auto" w:sz="4" w:space="0"/>
            </w:tcBorders>
            <w:vAlign w:val="center"/>
          </w:tcPr>
          <w:p w14:paraId="0FFA7097">
            <w:pPr>
              <w:spacing w:before="60" w:after="60" w:line="240" w:lineRule="auto"/>
              <w:rPr>
                <w:rFonts w:hint="default" w:ascii="Times New Roman" w:hAnsi="Times New Roman" w:eastAsia="宋体" w:cs="Times New Roman"/>
                <w:sz w:val="21"/>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5BD760CD">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0CDCB57B">
            <w:pPr>
              <w:spacing w:before="60" w:after="60" w:line="240" w:lineRule="auto"/>
              <w:rPr>
                <w:rFonts w:hint="default" w:ascii="Times New Roman" w:hAnsi="Times New Roman" w:eastAsia="宋体" w:cs="Times New Roman"/>
                <w:sz w:val="21"/>
                <w:szCs w:val="21"/>
                <w:highlight w:val="none"/>
              </w:rPr>
            </w:pPr>
          </w:p>
        </w:tc>
        <w:tc>
          <w:tcPr>
            <w:tcW w:w="754" w:type="dxa"/>
            <w:tcBorders>
              <w:top w:val="single" w:color="auto" w:sz="4" w:space="0"/>
              <w:left w:val="single" w:color="auto" w:sz="4" w:space="0"/>
              <w:bottom w:val="single" w:color="auto" w:sz="4" w:space="0"/>
              <w:right w:val="single" w:color="auto" w:sz="4" w:space="0"/>
            </w:tcBorders>
            <w:vAlign w:val="center"/>
          </w:tcPr>
          <w:p w14:paraId="559BA9A2">
            <w:pPr>
              <w:spacing w:line="240" w:lineRule="auto"/>
              <w:rPr>
                <w:rFonts w:hint="default" w:ascii="Times New Roman" w:hAnsi="Times New Roman" w:eastAsia="宋体" w:cs="Times New Roman"/>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vAlign w:val="center"/>
          </w:tcPr>
          <w:p w14:paraId="64A5814B">
            <w:pPr>
              <w:spacing w:line="240" w:lineRule="auto"/>
              <w:rPr>
                <w:rFonts w:hint="default" w:ascii="Times New Roman" w:hAnsi="Times New Roman" w:eastAsia="宋体" w:cs="Times New Roman"/>
                <w:sz w:val="21"/>
                <w:szCs w:val="21"/>
                <w:highlight w:val="none"/>
              </w:rPr>
            </w:pPr>
          </w:p>
        </w:tc>
      </w:tr>
      <w:tr w14:paraId="105AA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6" w:type="dxa"/>
            <w:tcBorders>
              <w:top w:val="single" w:color="auto" w:sz="4" w:space="0"/>
              <w:left w:val="single" w:color="auto" w:sz="4" w:space="0"/>
              <w:bottom w:val="single" w:color="auto" w:sz="4" w:space="0"/>
              <w:right w:val="single" w:color="auto" w:sz="4" w:space="0"/>
            </w:tcBorders>
            <w:vAlign w:val="center"/>
          </w:tcPr>
          <w:p w14:paraId="03AAAA21">
            <w:pPr>
              <w:numPr>
                <w:ilvl w:val="0"/>
                <w:numId w:val="20"/>
              </w:numPr>
              <w:spacing w:before="60" w:after="60" w:line="240" w:lineRule="auto"/>
              <w:ind w:left="425" w:leftChars="0" w:hanging="425" w:firstLineChars="0"/>
              <w:jc w:val="center"/>
              <w:rPr>
                <w:rFonts w:hint="default" w:ascii="Times New Roman" w:hAnsi="Times New Roman" w:eastAsia="宋体" w:cs="Times New Roman"/>
                <w:sz w:val="21"/>
                <w:szCs w:val="21"/>
                <w:highlight w:val="none"/>
                <w:lang w:val="en-US" w:eastAsia="zh-CN"/>
              </w:rPr>
            </w:pPr>
          </w:p>
        </w:tc>
        <w:tc>
          <w:tcPr>
            <w:tcW w:w="4035" w:type="dxa"/>
            <w:tcBorders>
              <w:top w:val="single" w:color="auto" w:sz="4" w:space="0"/>
              <w:left w:val="single" w:color="auto" w:sz="4" w:space="0"/>
              <w:bottom w:val="single" w:color="auto" w:sz="4" w:space="0"/>
              <w:right w:val="single" w:color="auto" w:sz="4" w:space="0"/>
            </w:tcBorders>
            <w:vAlign w:val="center"/>
          </w:tcPr>
          <w:p w14:paraId="2094F08A">
            <w:pPr>
              <w:keepNext w:val="0"/>
              <w:keepLines w:val="0"/>
              <w:widowControl/>
              <w:suppressLineNumbers w:val="0"/>
              <w:spacing w:line="240" w:lineRule="auto"/>
              <w:jc w:val="left"/>
              <w:textAlignment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5.1.1.10.自动化离心组件 1套</w:t>
            </w:r>
          </w:p>
        </w:tc>
        <w:tc>
          <w:tcPr>
            <w:tcW w:w="747" w:type="dxa"/>
            <w:tcBorders>
              <w:top w:val="single" w:color="auto" w:sz="4" w:space="0"/>
              <w:left w:val="single" w:color="auto" w:sz="4" w:space="0"/>
              <w:bottom w:val="single" w:color="auto" w:sz="4" w:space="0"/>
              <w:right w:val="single" w:color="auto" w:sz="4" w:space="0"/>
            </w:tcBorders>
            <w:vAlign w:val="center"/>
          </w:tcPr>
          <w:p w14:paraId="3901AC19">
            <w:pPr>
              <w:spacing w:before="60" w:after="60" w:line="240" w:lineRule="auto"/>
              <w:rPr>
                <w:rFonts w:hint="default" w:ascii="Times New Roman" w:hAnsi="Times New Roman" w:eastAsia="宋体" w:cs="Times New Roman"/>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2BB8A5A1">
            <w:pPr>
              <w:spacing w:before="60" w:after="60" w:line="240" w:lineRule="auto"/>
              <w:rPr>
                <w:rFonts w:hint="default" w:ascii="Times New Roman" w:hAnsi="Times New Roman" w:eastAsia="宋体" w:cs="Times New Roman"/>
                <w:sz w:val="21"/>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3E70496C">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50F4A8C3">
            <w:pPr>
              <w:spacing w:before="60" w:after="60" w:line="240" w:lineRule="auto"/>
              <w:rPr>
                <w:rFonts w:hint="default" w:ascii="Times New Roman" w:hAnsi="Times New Roman" w:eastAsia="宋体" w:cs="Times New Roman"/>
                <w:sz w:val="21"/>
                <w:szCs w:val="21"/>
                <w:highlight w:val="none"/>
              </w:rPr>
            </w:pPr>
          </w:p>
        </w:tc>
        <w:tc>
          <w:tcPr>
            <w:tcW w:w="828" w:type="dxa"/>
            <w:tcBorders>
              <w:top w:val="single" w:color="auto" w:sz="4" w:space="0"/>
              <w:left w:val="single" w:color="auto" w:sz="4" w:space="0"/>
              <w:bottom w:val="single" w:color="auto" w:sz="4" w:space="0"/>
              <w:right w:val="single" w:color="auto" w:sz="4" w:space="0"/>
            </w:tcBorders>
            <w:vAlign w:val="center"/>
          </w:tcPr>
          <w:p w14:paraId="71A8586E">
            <w:pPr>
              <w:spacing w:before="60" w:after="60" w:line="240" w:lineRule="auto"/>
              <w:rPr>
                <w:rFonts w:hint="default" w:ascii="Times New Roman" w:hAnsi="Times New Roman" w:eastAsia="宋体" w:cs="Times New Roman"/>
                <w:sz w:val="21"/>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28873412">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216BC25F">
            <w:pPr>
              <w:spacing w:before="60" w:after="60" w:line="240" w:lineRule="auto"/>
              <w:rPr>
                <w:rFonts w:hint="default" w:ascii="Times New Roman" w:hAnsi="Times New Roman" w:eastAsia="宋体" w:cs="Times New Roman"/>
                <w:sz w:val="21"/>
                <w:szCs w:val="21"/>
                <w:highlight w:val="none"/>
              </w:rPr>
            </w:pPr>
          </w:p>
        </w:tc>
        <w:tc>
          <w:tcPr>
            <w:tcW w:w="754" w:type="dxa"/>
            <w:tcBorders>
              <w:top w:val="single" w:color="auto" w:sz="4" w:space="0"/>
              <w:left w:val="single" w:color="auto" w:sz="4" w:space="0"/>
              <w:bottom w:val="single" w:color="auto" w:sz="4" w:space="0"/>
              <w:right w:val="single" w:color="auto" w:sz="4" w:space="0"/>
            </w:tcBorders>
            <w:vAlign w:val="center"/>
          </w:tcPr>
          <w:p w14:paraId="795D8868">
            <w:pPr>
              <w:spacing w:line="240" w:lineRule="auto"/>
              <w:rPr>
                <w:rFonts w:hint="default" w:ascii="Times New Roman" w:hAnsi="Times New Roman" w:eastAsia="宋体" w:cs="Times New Roman"/>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vAlign w:val="center"/>
          </w:tcPr>
          <w:p w14:paraId="6D8477EA">
            <w:pPr>
              <w:spacing w:line="240" w:lineRule="auto"/>
              <w:rPr>
                <w:rFonts w:hint="default" w:ascii="Times New Roman" w:hAnsi="Times New Roman" w:eastAsia="宋体" w:cs="Times New Roman"/>
                <w:sz w:val="21"/>
                <w:szCs w:val="21"/>
                <w:highlight w:val="none"/>
              </w:rPr>
            </w:pPr>
          </w:p>
        </w:tc>
      </w:tr>
      <w:tr w14:paraId="5598C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6" w:type="dxa"/>
            <w:tcBorders>
              <w:top w:val="single" w:color="auto" w:sz="4" w:space="0"/>
              <w:left w:val="single" w:color="auto" w:sz="4" w:space="0"/>
              <w:bottom w:val="single" w:color="auto" w:sz="4" w:space="0"/>
              <w:right w:val="single" w:color="auto" w:sz="4" w:space="0"/>
            </w:tcBorders>
            <w:vAlign w:val="center"/>
          </w:tcPr>
          <w:p w14:paraId="6B58B7F5">
            <w:pPr>
              <w:numPr>
                <w:ilvl w:val="0"/>
                <w:numId w:val="20"/>
              </w:numPr>
              <w:spacing w:before="60" w:after="60" w:line="240" w:lineRule="auto"/>
              <w:ind w:left="425" w:leftChars="0" w:hanging="425" w:firstLineChars="0"/>
              <w:jc w:val="center"/>
              <w:rPr>
                <w:rFonts w:hint="default" w:ascii="Times New Roman" w:hAnsi="Times New Roman" w:eastAsia="宋体" w:cs="Times New Roman"/>
                <w:sz w:val="21"/>
                <w:szCs w:val="21"/>
                <w:highlight w:val="none"/>
                <w:lang w:val="en-US" w:eastAsia="zh-CN"/>
              </w:rPr>
            </w:pPr>
          </w:p>
        </w:tc>
        <w:tc>
          <w:tcPr>
            <w:tcW w:w="4035" w:type="dxa"/>
            <w:tcBorders>
              <w:top w:val="single" w:color="auto" w:sz="4" w:space="0"/>
              <w:left w:val="single" w:color="auto" w:sz="4" w:space="0"/>
              <w:bottom w:val="single" w:color="auto" w:sz="4" w:space="0"/>
              <w:right w:val="single" w:color="auto" w:sz="4" w:space="0"/>
            </w:tcBorders>
            <w:vAlign w:val="center"/>
          </w:tcPr>
          <w:p w14:paraId="05B83774">
            <w:pPr>
              <w:keepNext w:val="0"/>
              <w:keepLines w:val="0"/>
              <w:widowControl/>
              <w:suppressLineNumbers w:val="0"/>
              <w:spacing w:line="240" w:lineRule="auto"/>
              <w:jc w:val="left"/>
              <w:textAlignment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5.1.1.11.自动化混匀组件 2套</w:t>
            </w:r>
          </w:p>
        </w:tc>
        <w:tc>
          <w:tcPr>
            <w:tcW w:w="747" w:type="dxa"/>
            <w:tcBorders>
              <w:top w:val="single" w:color="auto" w:sz="4" w:space="0"/>
              <w:left w:val="single" w:color="auto" w:sz="4" w:space="0"/>
              <w:bottom w:val="single" w:color="auto" w:sz="4" w:space="0"/>
              <w:right w:val="single" w:color="auto" w:sz="4" w:space="0"/>
            </w:tcBorders>
            <w:vAlign w:val="center"/>
          </w:tcPr>
          <w:p w14:paraId="4F82CC94">
            <w:pPr>
              <w:spacing w:before="60" w:after="60" w:line="240" w:lineRule="auto"/>
              <w:rPr>
                <w:rFonts w:hint="default" w:ascii="Times New Roman" w:hAnsi="Times New Roman" w:eastAsia="宋体" w:cs="Times New Roman"/>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148FC29B">
            <w:pPr>
              <w:spacing w:before="60" w:after="60" w:line="240" w:lineRule="auto"/>
              <w:rPr>
                <w:rFonts w:hint="default" w:ascii="Times New Roman" w:hAnsi="Times New Roman" w:eastAsia="宋体" w:cs="Times New Roman"/>
                <w:sz w:val="21"/>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22C79412">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2F0B3824">
            <w:pPr>
              <w:spacing w:before="60" w:after="60" w:line="240" w:lineRule="auto"/>
              <w:rPr>
                <w:rFonts w:hint="default" w:ascii="Times New Roman" w:hAnsi="Times New Roman" w:eastAsia="宋体" w:cs="Times New Roman"/>
                <w:sz w:val="21"/>
                <w:szCs w:val="21"/>
                <w:highlight w:val="none"/>
              </w:rPr>
            </w:pPr>
          </w:p>
        </w:tc>
        <w:tc>
          <w:tcPr>
            <w:tcW w:w="828" w:type="dxa"/>
            <w:tcBorders>
              <w:top w:val="single" w:color="auto" w:sz="4" w:space="0"/>
              <w:left w:val="single" w:color="auto" w:sz="4" w:space="0"/>
              <w:bottom w:val="single" w:color="auto" w:sz="4" w:space="0"/>
              <w:right w:val="single" w:color="auto" w:sz="4" w:space="0"/>
            </w:tcBorders>
            <w:vAlign w:val="center"/>
          </w:tcPr>
          <w:p w14:paraId="73C3A54E">
            <w:pPr>
              <w:spacing w:before="60" w:after="60" w:line="240" w:lineRule="auto"/>
              <w:rPr>
                <w:rFonts w:hint="default" w:ascii="Times New Roman" w:hAnsi="Times New Roman" w:eastAsia="宋体" w:cs="Times New Roman"/>
                <w:sz w:val="21"/>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2D8B5A26">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18AC610F">
            <w:pPr>
              <w:spacing w:before="60" w:after="60" w:line="240" w:lineRule="auto"/>
              <w:rPr>
                <w:rFonts w:hint="default" w:ascii="Times New Roman" w:hAnsi="Times New Roman" w:eastAsia="宋体" w:cs="Times New Roman"/>
                <w:sz w:val="21"/>
                <w:szCs w:val="21"/>
                <w:highlight w:val="none"/>
              </w:rPr>
            </w:pPr>
          </w:p>
        </w:tc>
        <w:tc>
          <w:tcPr>
            <w:tcW w:w="754" w:type="dxa"/>
            <w:tcBorders>
              <w:top w:val="single" w:color="auto" w:sz="4" w:space="0"/>
              <w:left w:val="single" w:color="auto" w:sz="4" w:space="0"/>
              <w:bottom w:val="single" w:color="auto" w:sz="4" w:space="0"/>
              <w:right w:val="single" w:color="auto" w:sz="4" w:space="0"/>
            </w:tcBorders>
            <w:vAlign w:val="center"/>
          </w:tcPr>
          <w:p w14:paraId="544CF9F6">
            <w:pPr>
              <w:spacing w:line="240" w:lineRule="auto"/>
              <w:rPr>
                <w:rFonts w:hint="default" w:ascii="Times New Roman" w:hAnsi="Times New Roman" w:eastAsia="宋体" w:cs="Times New Roman"/>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vAlign w:val="center"/>
          </w:tcPr>
          <w:p w14:paraId="135D69B9">
            <w:pPr>
              <w:spacing w:line="240" w:lineRule="auto"/>
              <w:rPr>
                <w:rFonts w:hint="default" w:ascii="Times New Roman" w:hAnsi="Times New Roman" w:eastAsia="宋体" w:cs="Times New Roman"/>
                <w:sz w:val="21"/>
                <w:szCs w:val="21"/>
                <w:highlight w:val="none"/>
              </w:rPr>
            </w:pPr>
          </w:p>
        </w:tc>
      </w:tr>
      <w:tr w14:paraId="71EC9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6" w:type="dxa"/>
            <w:tcBorders>
              <w:top w:val="single" w:color="auto" w:sz="4" w:space="0"/>
              <w:left w:val="single" w:color="auto" w:sz="4" w:space="0"/>
              <w:bottom w:val="single" w:color="auto" w:sz="4" w:space="0"/>
              <w:right w:val="single" w:color="auto" w:sz="4" w:space="0"/>
            </w:tcBorders>
            <w:vAlign w:val="center"/>
          </w:tcPr>
          <w:p w14:paraId="381666A5">
            <w:pPr>
              <w:numPr>
                <w:ilvl w:val="0"/>
                <w:numId w:val="20"/>
              </w:numPr>
              <w:spacing w:before="60" w:after="60" w:line="240" w:lineRule="auto"/>
              <w:ind w:left="425" w:leftChars="0" w:hanging="425" w:firstLineChars="0"/>
              <w:jc w:val="center"/>
              <w:rPr>
                <w:rFonts w:hint="default" w:ascii="Times New Roman" w:hAnsi="Times New Roman" w:eastAsia="宋体" w:cs="Times New Roman"/>
                <w:sz w:val="21"/>
                <w:szCs w:val="21"/>
                <w:highlight w:val="none"/>
                <w:lang w:val="en-US" w:eastAsia="zh-CN"/>
              </w:rPr>
            </w:pPr>
          </w:p>
        </w:tc>
        <w:tc>
          <w:tcPr>
            <w:tcW w:w="4035" w:type="dxa"/>
            <w:tcBorders>
              <w:top w:val="single" w:color="auto" w:sz="4" w:space="0"/>
              <w:left w:val="single" w:color="auto" w:sz="4" w:space="0"/>
              <w:bottom w:val="single" w:color="auto" w:sz="4" w:space="0"/>
              <w:right w:val="single" w:color="auto" w:sz="4" w:space="0"/>
            </w:tcBorders>
            <w:vAlign w:val="center"/>
          </w:tcPr>
          <w:p w14:paraId="1873DC9B">
            <w:pPr>
              <w:keepNext w:val="0"/>
              <w:keepLines w:val="0"/>
              <w:widowControl/>
              <w:suppressLineNumbers w:val="0"/>
              <w:spacing w:line="240" w:lineRule="auto"/>
              <w:jc w:val="left"/>
              <w:textAlignment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5.1.1.12.自动化微孔板离心组件 1套</w:t>
            </w:r>
          </w:p>
        </w:tc>
        <w:tc>
          <w:tcPr>
            <w:tcW w:w="747" w:type="dxa"/>
            <w:tcBorders>
              <w:top w:val="single" w:color="auto" w:sz="4" w:space="0"/>
              <w:left w:val="single" w:color="auto" w:sz="4" w:space="0"/>
              <w:bottom w:val="single" w:color="auto" w:sz="4" w:space="0"/>
              <w:right w:val="single" w:color="auto" w:sz="4" w:space="0"/>
            </w:tcBorders>
            <w:vAlign w:val="center"/>
          </w:tcPr>
          <w:p w14:paraId="2E1D43AB">
            <w:pPr>
              <w:spacing w:before="60" w:after="60" w:line="240" w:lineRule="auto"/>
              <w:rPr>
                <w:rFonts w:hint="default" w:ascii="Times New Roman" w:hAnsi="Times New Roman" w:eastAsia="宋体" w:cs="Times New Roman"/>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64CE5C1A">
            <w:pPr>
              <w:spacing w:before="60" w:after="60" w:line="240" w:lineRule="auto"/>
              <w:rPr>
                <w:rFonts w:hint="default" w:ascii="Times New Roman" w:hAnsi="Times New Roman" w:eastAsia="宋体" w:cs="Times New Roman"/>
                <w:sz w:val="21"/>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193692AB">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12EE7FA6">
            <w:pPr>
              <w:spacing w:before="60" w:after="60" w:line="240" w:lineRule="auto"/>
              <w:rPr>
                <w:rFonts w:hint="default" w:ascii="Times New Roman" w:hAnsi="Times New Roman" w:eastAsia="宋体" w:cs="Times New Roman"/>
                <w:sz w:val="21"/>
                <w:szCs w:val="21"/>
                <w:highlight w:val="none"/>
              </w:rPr>
            </w:pPr>
          </w:p>
        </w:tc>
        <w:tc>
          <w:tcPr>
            <w:tcW w:w="828" w:type="dxa"/>
            <w:tcBorders>
              <w:top w:val="single" w:color="auto" w:sz="4" w:space="0"/>
              <w:left w:val="single" w:color="auto" w:sz="4" w:space="0"/>
              <w:bottom w:val="single" w:color="auto" w:sz="4" w:space="0"/>
              <w:right w:val="single" w:color="auto" w:sz="4" w:space="0"/>
            </w:tcBorders>
            <w:vAlign w:val="center"/>
          </w:tcPr>
          <w:p w14:paraId="187302D2">
            <w:pPr>
              <w:spacing w:before="60" w:after="60" w:line="240" w:lineRule="auto"/>
              <w:rPr>
                <w:rFonts w:hint="default" w:ascii="Times New Roman" w:hAnsi="Times New Roman" w:eastAsia="宋体" w:cs="Times New Roman"/>
                <w:sz w:val="21"/>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480DFE91">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028607C6">
            <w:pPr>
              <w:spacing w:before="60" w:after="60" w:line="240" w:lineRule="auto"/>
              <w:rPr>
                <w:rFonts w:hint="default" w:ascii="Times New Roman" w:hAnsi="Times New Roman" w:eastAsia="宋体" w:cs="Times New Roman"/>
                <w:sz w:val="21"/>
                <w:szCs w:val="21"/>
                <w:highlight w:val="none"/>
              </w:rPr>
            </w:pPr>
          </w:p>
        </w:tc>
        <w:tc>
          <w:tcPr>
            <w:tcW w:w="754" w:type="dxa"/>
            <w:tcBorders>
              <w:top w:val="single" w:color="auto" w:sz="4" w:space="0"/>
              <w:left w:val="single" w:color="auto" w:sz="4" w:space="0"/>
              <w:bottom w:val="single" w:color="auto" w:sz="4" w:space="0"/>
              <w:right w:val="single" w:color="auto" w:sz="4" w:space="0"/>
            </w:tcBorders>
            <w:vAlign w:val="center"/>
          </w:tcPr>
          <w:p w14:paraId="09D82C20">
            <w:pPr>
              <w:spacing w:line="240" w:lineRule="auto"/>
              <w:rPr>
                <w:rFonts w:hint="default" w:ascii="Times New Roman" w:hAnsi="Times New Roman" w:eastAsia="宋体" w:cs="Times New Roman"/>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vAlign w:val="center"/>
          </w:tcPr>
          <w:p w14:paraId="309E7382">
            <w:pPr>
              <w:spacing w:line="240" w:lineRule="auto"/>
              <w:rPr>
                <w:rFonts w:hint="default" w:ascii="Times New Roman" w:hAnsi="Times New Roman" w:eastAsia="宋体" w:cs="Times New Roman"/>
                <w:sz w:val="21"/>
                <w:szCs w:val="21"/>
                <w:highlight w:val="none"/>
              </w:rPr>
            </w:pPr>
          </w:p>
        </w:tc>
      </w:tr>
      <w:tr w14:paraId="000D1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6" w:type="dxa"/>
            <w:tcBorders>
              <w:top w:val="single" w:color="auto" w:sz="4" w:space="0"/>
              <w:left w:val="single" w:color="auto" w:sz="4" w:space="0"/>
              <w:bottom w:val="single" w:color="auto" w:sz="4" w:space="0"/>
              <w:right w:val="single" w:color="auto" w:sz="4" w:space="0"/>
            </w:tcBorders>
            <w:vAlign w:val="center"/>
          </w:tcPr>
          <w:p w14:paraId="77372909">
            <w:pPr>
              <w:numPr>
                <w:ilvl w:val="0"/>
                <w:numId w:val="20"/>
              </w:numPr>
              <w:spacing w:before="60" w:after="60" w:line="240" w:lineRule="auto"/>
              <w:ind w:left="425" w:leftChars="0" w:hanging="425" w:firstLineChars="0"/>
              <w:jc w:val="center"/>
              <w:rPr>
                <w:rFonts w:hint="default" w:ascii="Times New Roman" w:hAnsi="Times New Roman" w:eastAsia="宋体" w:cs="Times New Roman"/>
                <w:sz w:val="21"/>
                <w:szCs w:val="21"/>
                <w:highlight w:val="none"/>
                <w:lang w:val="en-US" w:eastAsia="zh-CN"/>
              </w:rPr>
            </w:pPr>
          </w:p>
        </w:tc>
        <w:tc>
          <w:tcPr>
            <w:tcW w:w="4035" w:type="dxa"/>
            <w:tcBorders>
              <w:top w:val="single" w:color="auto" w:sz="4" w:space="0"/>
              <w:left w:val="single" w:color="auto" w:sz="4" w:space="0"/>
              <w:bottom w:val="single" w:color="auto" w:sz="4" w:space="0"/>
              <w:right w:val="single" w:color="auto" w:sz="4" w:space="0"/>
            </w:tcBorders>
            <w:vAlign w:val="center"/>
          </w:tcPr>
          <w:p w14:paraId="5FEBC064">
            <w:pPr>
              <w:keepNext w:val="0"/>
              <w:keepLines w:val="0"/>
              <w:widowControl/>
              <w:suppressLineNumbers w:val="0"/>
              <w:spacing w:line="240" w:lineRule="auto"/>
              <w:jc w:val="left"/>
              <w:textAlignment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5.1.1.13.自动化HEPA组件 1套</w:t>
            </w:r>
          </w:p>
        </w:tc>
        <w:tc>
          <w:tcPr>
            <w:tcW w:w="747" w:type="dxa"/>
            <w:tcBorders>
              <w:top w:val="single" w:color="auto" w:sz="4" w:space="0"/>
              <w:left w:val="single" w:color="auto" w:sz="4" w:space="0"/>
              <w:bottom w:val="single" w:color="auto" w:sz="4" w:space="0"/>
              <w:right w:val="single" w:color="auto" w:sz="4" w:space="0"/>
            </w:tcBorders>
            <w:vAlign w:val="center"/>
          </w:tcPr>
          <w:p w14:paraId="3338C8CA">
            <w:pPr>
              <w:spacing w:before="60" w:after="60" w:line="240" w:lineRule="auto"/>
              <w:rPr>
                <w:rFonts w:hint="default" w:ascii="Times New Roman" w:hAnsi="Times New Roman" w:eastAsia="宋体" w:cs="Times New Roman"/>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230487A8">
            <w:pPr>
              <w:spacing w:before="60" w:after="60" w:line="240" w:lineRule="auto"/>
              <w:rPr>
                <w:rFonts w:hint="default" w:ascii="Times New Roman" w:hAnsi="Times New Roman" w:eastAsia="宋体" w:cs="Times New Roman"/>
                <w:sz w:val="21"/>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1897804C">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19C18713">
            <w:pPr>
              <w:spacing w:before="60" w:after="60" w:line="240" w:lineRule="auto"/>
              <w:rPr>
                <w:rFonts w:hint="default" w:ascii="Times New Roman" w:hAnsi="Times New Roman" w:eastAsia="宋体" w:cs="Times New Roman"/>
                <w:sz w:val="21"/>
                <w:szCs w:val="21"/>
                <w:highlight w:val="none"/>
              </w:rPr>
            </w:pPr>
          </w:p>
        </w:tc>
        <w:tc>
          <w:tcPr>
            <w:tcW w:w="828" w:type="dxa"/>
            <w:tcBorders>
              <w:top w:val="single" w:color="auto" w:sz="4" w:space="0"/>
              <w:left w:val="single" w:color="auto" w:sz="4" w:space="0"/>
              <w:bottom w:val="single" w:color="auto" w:sz="4" w:space="0"/>
              <w:right w:val="single" w:color="auto" w:sz="4" w:space="0"/>
            </w:tcBorders>
            <w:vAlign w:val="center"/>
          </w:tcPr>
          <w:p w14:paraId="3E92D45B">
            <w:pPr>
              <w:spacing w:before="60" w:after="60" w:line="240" w:lineRule="auto"/>
              <w:rPr>
                <w:rFonts w:hint="default" w:ascii="Times New Roman" w:hAnsi="Times New Roman" w:eastAsia="宋体" w:cs="Times New Roman"/>
                <w:sz w:val="21"/>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39473F1E">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52FB29C8">
            <w:pPr>
              <w:spacing w:before="60" w:after="60" w:line="240" w:lineRule="auto"/>
              <w:rPr>
                <w:rFonts w:hint="default" w:ascii="Times New Roman" w:hAnsi="Times New Roman" w:eastAsia="宋体" w:cs="Times New Roman"/>
                <w:sz w:val="21"/>
                <w:szCs w:val="21"/>
                <w:highlight w:val="none"/>
              </w:rPr>
            </w:pPr>
          </w:p>
        </w:tc>
        <w:tc>
          <w:tcPr>
            <w:tcW w:w="754" w:type="dxa"/>
            <w:tcBorders>
              <w:top w:val="single" w:color="auto" w:sz="4" w:space="0"/>
              <w:left w:val="single" w:color="auto" w:sz="4" w:space="0"/>
              <w:bottom w:val="single" w:color="auto" w:sz="4" w:space="0"/>
              <w:right w:val="single" w:color="auto" w:sz="4" w:space="0"/>
            </w:tcBorders>
            <w:vAlign w:val="center"/>
          </w:tcPr>
          <w:p w14:paraId="793389B1">
            <w:pPr>
              <w:spacing w:line="240" w:lineRule="auto"/>
              <w:rPr>
                <w:rFonts w:hint="default" w:ascii="Times New Roman" w:hAnsi="Times New Roman" w:eastAsia="宋体" w:cs="Times New Roman"/>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vAlign w:val="center"/>
          </w:tcPr>
          <w:p w14:paraId="65CB3614">
            <w:pPr>
              <w:spacing w:line="240" w:lineRule="auto"/>
              <w:rPr>
                <w:rFonts w:hint="default" w:ascii="Times New Roman" w:hAnsi="Times New Roman" w:eastAsia="宋体" w:cs="Times New Roman"/>
                <w:sz w:val="21"/>
                <w:szCs w:val="21"/>
                <w:highlight w:val="none"/>
              </w:rPr>
            </w:pPr>
          </w:p>
        </w:tc>
      </w:tr>
      <w:tr w14:paraId="3CD33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6" w:type="dxa"/>
            <w:tcBorders>
              <w:top w:val="single" w:color="auto" w:sz="4" w:space="0"/>
              <w:left w:val="single" w:color="auto" w:sz="4" w:space="0"/>
              <w:bottom w:val="single" w:color="auto" w:sz="4" w:space="0"/>
              <w:right w:val="single" w:color="auto" w:sz="4" w:space="0"/>
            </w:tcBorders>
            <w:vAlign w:val="center"/>
          </w:tcPr>
          <w:p w14:paraId="5A3CB38B">
            <w:pPr>
              <w:numPr>
                <w:ilvl w:val="0"/>
                <w:numId w:val="20"/>
              </w:numPr>
              <w:spacing w:before="60" w:after="60" w:line="240" w:lineRule="auto"/>
              <w:ind w:left="425" w:leftChars="0" w:hanging="425" w:firstLineChars="0"/>
              <w:jc w:val="center"/>
              <w:rPr>
                <w:rFonts w:hint="default" w:ascii="Times New Roman" w:hAnsi="Times New Roman" w:eastAsia="宋体" w:cs="Times New Roman"/>
                <w:sz w:val="21"/>
                <w:szCs w:val="21"/>
                <w:highlight w:val="none"/>
                <w:lang w:val="en-US" w:eastAsia="zh-CN"/>
              </w:rPr>
            </w:pPr>
          </w:p>
        </w:tc>
        <w:tc>
          <w:tcPr>
            <w:tcW w:w="4035" w:type="dxa"/>
            <w:tcBorders>
              <w:top w:val="single" w:color="auto" w:sz="4" w:space="0"/>
              <w:left w:val="single" w:color="auto" w:sz="4" w:space="0"/>
              <w:bottom w:val="single" w:color="auto" w:sz="4" w:space="0"/>
              <w:right w:val="single" w:color="auto" w:sz="4" w:space="0"/>
            </w:tcBorders>
            <w:vAlign w:val="center"/>
          </w:tcPr>
          <w:p w14:paraId="3DB90903">
            <w:pPr>
              <w:keepNext w:val="0"/>
              <w:keepLines w:val="0"/>
              <w:widowControl/>
              <w:suppressLineNumbers w:val="0"/>
              <w:spacing w:line="240" w:lineRule="auto"/>
              <w:jc w:val="left"/>
              <w:textAlignment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5.1.1.14.自动化化工作台及电控组件 1套</w:t>
            </w:r>
          </w:p>
        </w:tc>
        <w:tc>
          <w:tcPr>
            <w:tcW w:w="747" w:type="dxa"/>
            <w:tcBorders>
              <w:top w:val="single" w:color="auto" w:sz="4" w:space="0"/>
              <w:left w:val="single" w:color="auto" w:sz="4" w:space="0"/>
              <w:bottom w:val="single" w:color="auto" w:sz="4" w:space="0"/>
              <w:right w:val="single" w:color="auto" w:sz="4" w:space="0"/>
            </w:tcBorders>
            <w:vAlign w:val="center"/>
          </w:tcPr>
          <w:p w14:paraId="182AE3DA">
            <w:pPr>
              <w:spacing w:before="60" w:after="60" w:line="240" w:lineRule="auto"/>
              <w:rPr>
                <w:rFonts w:hint="default" w:ascii="Times New Roman" w:hAnsi="Times New Roman" w:eastAsia="宋体" w:cs="Times New Roman"/>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38E9DAF3">
            <w:pPr>
              <w:spacing w:before="60" w:after="60" w:line="240" w:lineRule="auto"/>
              <w:rPr>
                <w:rFonts w:hint="default" w:ascii="Times New Roman" w:hAnsi="Times New Roman" w:eastAsia="宋体" w:cs="Times New Roman"/>
                <w:sz w:val="21"/>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4F95715A">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6ECE1AF7">
            <w:pPr>
              <w:spacing w:before="60" w:after="60" w:line="240" w:lineRule="auto"/>
              <w:rPr>
                <w:rFonts w:hint="default" w:ascii="Times New Roman" w:hAnsi="Times New Roman" w:eastAsia="宋体" w:cs="Times New Roman"/>
                <w:sz w:val="21"/>
                <w:szCs w:val="21"/>
                <w:highlight w:val="none"/>
              </w:rPr>
            </w:pPr>
          </w:p>
        </w:tc>
        <w:tc>
          <w:tcPr>
            <w:tcW w:w="828" w:type="dxa"/>
            <w:tcBorders>
              <w:top w:val="single" w:color="auto" w:sz="4" w:space="0"/>
              <w:left w:val="single" w:color="auto" w:sz="4" w:space="0"/>
              <w:bottom w:val="single" w:color="auto" w:sz="4" w:space="0"/>
              <w:right w:val="single" w:color="auto" w:sz="4" w:space="0"/>
            </w:tcBorders>
            <w:vAlign w:val="center"/>
          </w:tcPr>
          <w:p w14:paraId="43AE7CC4">
            <w:pPr>
              <w:spacing w:before="60" w:after="60" w:line="240" w:lineRule="auto"/>
              <w:rPr>
                <w:rFonts w:hint="default" w:ascii="Times New Roman" w:hAnsi="Times New Roman" w:eastAsia="宋体" w:cs="Times New Roman"/>
                <w:sz w:val="21"/>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401622A2">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6498B795">
            <w:pPr>
              <w:spacing w:before="60" w:after="60" w:line="240" w:lineRule="auto"/>
              <w:rPr>
                <w:rFonts w:hint="default" w:ascii="Times New Roman" w:hAnsi="Times New Roman" w:eastAsia="宋体" w:cs="Times New Roman"/>
                <w:sz w:val="21"/>
                <w:szCs w:val="21"/>
                <w:highlight w:val="none"/>
              </w:rPr>
            </w:pPr>
          </w:p>
        </w:tc>
        <w:tc>
          <w:tcPr>
            <w:tcW w:w="754" w:type="dxa"/>
            <w:tcBorders>
              <w:top w:val="single" w:color="auto" w:sz="4" w:space="0"/>
              <w:left w:val="single" w:color="auto" w:sz="4" w:space="0"/>
              <w:bottom w:val="single" w:color="auto" w:sz="4" w:space="0"/>
              <w:right w:val="single" w:color="auto" w:sz="4" w:space="0"/>
            </w:tcBorders>
            <w:vAlign w:val="center"/>
          </w:tcPr>
          <w:p w14:paraId="6BC8B83E">
            <w:pPr>
              <w:spacing w:line="240" w:lineRule="auto"/>
              <w:rPr>
                <w:rFonts w:hint="default" w:ascii="Times New Roman" w:hAnsi="Times New Roman" w:eastAsia="宋体" w:cs="Times New Roman"/>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vAlign w:val="center"/>
          </w:tcPr>
          <w:p w14:paraId="59421D4E">
            <w:pPr>
              <w:spacing w:line="240" w:lineRule="auto"/>
              <w:rPr>
                <w:rFonts w:hint="default" w:ascii="Times New Roman" w:hAnsi="Times New Roman" w:eastAsia="宋体" w:cs="Times New Roman"/>
                <w:sz w:val="21"/>
                <w:szCs w:val="21"/>
                <w:highlight w:val="none"/>
              </w:rPr>
            </w:pPr>
          </w:p>
        </w:tc>
      </w:tr>
      <w:tr w14:paraId="6DBEE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816" w:type="dxa"/>
            <w:tcBorders>
              <w:top w:val="single" w:color="auto" w:sz="4" w:space="0"/>
              <w:left w:val="single" w:color="auto" w:sz="4" w:space="0"/>
              <w:bottom w:val="single" w:color="auto" w:sz="4" w:space="0"/>
              <w:right w:val="single" w:color="auto" w:sz="4" w:space="0"/>
            </w:tcBorders>
            <w:vAlign w:val="center"/>
          </w:tcPr>
          <w:p w14:paraId="3D22FDA4">
            <w:pPr>
              <w:numPr>
                <w:ilvl w:val="0"/>
                <w:numId w:val="20"/>
              </w:numPr>
              <w:spacing w:before="60" w:after="60" w:line="240" w:lineRule="auto"/>
              <w:ind w:left="425" w:leftChars="0" w:hanging="425" w:firstLineChars="0"/>
              <w:jc w:val="center"/>
              <w:rPr>
                <w:rFonts w:hint="default" w:ascii="Times New Roman" w:hAnsi="Times New Roman" w:eastAsia="宋体" w:cs="Times New Roman"/>
                <w:sz w:val="21"/>
                <w:szCs w:val="21"/>
                <w:highlight w:val="none"/>
                <w:lang w:val="en-US" w:eastAsia="zh-CN"/>
              </w:rPr>
            </w:pPr>
          </w:p>
        </w:tc>
        <w:tc>
          <w:tcPr>
            <w:tcW w:w="4035" w:type="dxa"/>
            <w:tcBorders>
              <w:top w:val="single" w:color="auto" w:sz="4" w:space="0"/>
              <w:left w:val="single" w:color="auto" w:sz="4" w:space="0"/>
              <w:bottom w:val="single" w:color="auto" w:sz="4" w:space="0"/>
              <w:right w:val="single" w:color="auto" w:sz="4" w:space="0"/>
            </w:tcBorders>
            <w:vAlign w:val="center"/>
          </w:tcPr>
          <w:p w14:paraId="312C77E2">
            <w:pPr>
              <w:keepNext w:val="0"/>
              <w:keepLines w:val="0"/>
              <w:widowControl/>
              <w:suppressLineNumbers w:val="0"/>
              <w:spacing w:line="240" w:lineRule="auto"/>
              <w:jc w:val="left"/>
              <w:textAlignment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5.1.1.15.中央控制软件 1套</w:t>
            </w:r>
          </w:p>
        </w:tc>
        <w:tc>
          <w:tcPr>
            <w:tcW w:w="747" w:type="dxa"/>
            <w:tcBorders>
              <w:top w:val="single" w:color="auto" w:sz="4" w:space="0"/>
              <w:left w:val="single" w:color="auto" w:sz="4" w:space="0"/>
              <w:bottom w:val="single" w:color="auto" w:sz="4" w:space="0"/>
              <w:right w:val="single" w:color="auto" w:sz="4" w:space="0"/>
            </w:tcBorders>
            <w:vAlign w:val="center"/>
          </w:tcPr>
          <w:p w14:paraId="3877AD3E">
            <w:pPr>
              <w:spacing w:before="60" w:after="60" w:line="240" w:lineRule="auto"/>
              <w:rPr>
                <w:rFonts w:hint="default" w:ascii="Times New Roman" w:hAnsi="Times New Roman" w:eastAsia="宋体" w:cs="Times New Roman"/>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75A48196">
            <w:pPr>
              <w:spacing w:before="60" w:after="60" w:line="240" w:lineRule="auto"/>
              <w:rPr>
                <w:rFonts w:hint="default" w:ascii="Times New Roman" w:hAnsi="Times New Roman" w:eastAsia="宋体" w:cs="Times New Roman"/>
                <w:sz w:val="21"/>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1480357F">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51292C41">
            <w:pPr>
              <w:spacing w:before="60" w:after="60" w:line="240" w:lineRule="auto"/>
              <w:rPr>
                <w:rFonts w:hint="default" w:ascii="Times New Roman" w:hAnsi="Times New Roman" w:eastAsia="宋体" w:cs="Times New Roman"/>
                <w:sz w:val="21"/>
                <w:szCs w:val="21"/>
                <w:highlight w:val="none"/>
              </w:rPr>
            </w:pPr>
          </w:p>
        </w:tc>
        <w:tc>
          <w:tcPr>
            <w:tcW w:w="828" w:type="dxa"/>
            <w:tcBorders>
              <w:top w:val="single" w:color="auto" w:sz="4" w:space="0"/>
              <w:left w:val="single" w:color="auto" w:sz="4" w:space="0"/>
              <w:bottom w:val="single" w:color="auto" w:sz="4" w:space="0"/>
              <w:right w:val="single" w:color="auto" w:sz="4" w:space="0"/>
            </w:tcBorders>
            <w:vAlign w:val="center"/>
          </w:tcPr>
          <w:p w14:paraId="0A8B0184">
            <w:pPr>
              <w:spacing w:before="60" w:after="60" w:line="240" w:lineRule="auto"/>
              <w:rPr>
                <w:rFonts w:hint="default" w:ascii="Times New Roman" w:hAnsi="Times New Roman" w:eastAsia="宋体" w:cs="Times New Roman"/>
                <w:sz w:val="21"/>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424390A7">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06099DDA">
            <w:pPr>
              <w:spacing w:before="60" w:after="60" w:line="240" w:lineRule="auto"/>
              <w:rPr>
                <w:rFonts w:hint="default" w:ascii="Times New Roman" w:hAnsi="Times New Roman" w:eastAsia="宋体" w:cs="Times New Roman"/>
                <w:sz w:val="21"/>
                <w:szCs w:val="21"/>
                <w:highlight w:val="none"/>
              </w:rPr>
            </w:pPr>
          </w:p>
        </w:tc>
        <w:tc>
          <w:tcPr>
            <w:tcW w:w="754" w:type="dxa"/>
            <w:tcBorders>
              <w:top w:val="single" w:color="auto" w:sz="4" w:space="0"/>
              <w:left w:val="single" w:color="auto" w:sz="4" w:space="0"/>
              <w:bottom w:val="single" w:color="auto" w:sz="4" w:space="0"/>
              <w:right w:val="single" w:color="auto" w:sz="4" w:space="0"/>
            </w:tcBorders>
            <w:vAlign w:val="center"/>
          </w:tcPr>
          <w:p w14:paraId="49115810">
            <w:pPr>
              <w:spacing w:line="240" w:lineRule="auto"/>
              <w:rPr>
                <w:rFonts w:hint="default" w:ascii="Times New Roman" w:hAnsi="Times New Roman" w:eastAsia="宋体" w:cs="Times New Roman"/>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vAlign w:val="center"/>
          </w:tcPr>
          <w:p w14:paraId="66A3AEDE">
            <w:pPr>
              <w:spacing w:line="240" w:lineRule="auto"/>
              <w:rPr>
                <w:rFonts w:hint="default" w:ascii="Times New Roman" w:hAnsi="Times New Roman" w:eastAsia="宋体" w:cs="Times New Roman"/>
                <w:sz w:val="21"/>
                <w:szCs w:val="21"/>
                <w:highlight w:val="none"/>
              </w:rPr>
            </w:pPr>
          </w:p>
        </w:tc>
      </w:tr>
      <w:tr w14:paraId="5F0D6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6" w:type="dxa"/>
            <w:tcBorders>
              <w:top w:val="single" w:color="auto" w:sz="4" w:space="0"/>
              <w:left w:val="single" w:color="auto" w:sz="4" w:space="0"/>
              <w:bottom w:val="single" w:color="auto" w:sz="4" w:space="0"/>
              <w:right w:val="single" w:color="auto" w:sz="4" w:space="0"/>
            </w:tcBorders>
            <w:vAlign w:val="center"/>
          </w:tcPr>
          <w:p w14:paraId="74C913EA">
            <w:pPr>
              <w:numPr>
                <w:ilvl w:val="0"/>
                <w:numId w:val="20"/>
              </w:numPr>
              <w:spacing w:before="60" w:after="60" w:line="240" w:lineRule="auto"/>
              <w:ind w:left="425" w:leftChars="0" w:hanging="425" w:firstLineChars="0"/>
              <w:jc w:val="center"/>
              <w:rPr>
                <w:rFonts w:hint="default" w:ascii="Times New Roman" w:hAnsi="Times New Roman" w:eastAsia="宋体" w:cs="Times New Roman"/>
                <w:sz w:val="21"/>
                <w:szCs w:val="21"/>
                <w:highlight w:val="none"/>
                <w:lang w:val="en-US" w:eastAsia="zh-CN"/>
              </w:rPr>
            </w:pPr>
          </w:p>
        </w:tc>
        <w:tc>
          <w:tcPr>
            <w:tcW w:w="4035" w:type="dxa"/>
            <w:tcBorders>
              <w:top w:val="single" w:color="auto" w:sz="4" w:space="0"/>
              <w:left w:val="single" w:color="auto" w:sz="4" w:space="0"/>
              <w:bottom w:val="single" w:color="auto" w:sz="4" w:space="0"/>
              <w:right w:val="single" w:color="auto" w:sz="4" w:space="0"/>
            </w:tcBorders>
            <w:vAlign w:val="center"/>
          </w:tcPr>
          <w:p w14:paraId="31EDAD7D">
            <w:pPr>
              <w:keepNext w:val="0"/>
              <w:keepLines w:val="0"/>
              <w:widowControl/>
              <w:suppressLineNumbers w:val="0"/>
              <w:spacing w:line="240" w:lineRule="auto"/>
              <w:jc w:val="left"/>
              <w:textAlignment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5.1.2.组织/粪便样本预处理工作站</w:t>
            </w:r>
          </w:p>
        </w:tc>
        <w:tc>
          <w:tcPr>
            <w:tcW w:w="747" w:type="dxa"/>
            <w:tcBorders>
              <w:top w:val="single" w:color="auto" w:sz="4" w:space="0"/>
              <w:left w:val="single" w:color="auto" w:sz="4" w:space="0"/>
              <w:bottom w:val="single" w:color="auto" w:sz="4" w:space="0"/>
              <w:right w:val="single" w:color="auto" w:sz="4" w:space="0"/>
            </w:tcBorders>
            <w:vAlign w:val="center"/>
          </w:tcPr>
          <w:p w14:paraId="2BC3E332">
            <w:pPr>
              <w:spacing w:before="60" w:after="60" w:line="240" w:lineRule="auto"/>
              <w:rPr>
                <w:rFonts w:hint="default" w:ascii="Times New Roman" w:hAnsi="Times New Roman" w:eastAsia="宋体" w:cs="Times New Roman"/>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604AF202">
            <w:pPr>
              <w:spacing w:before="60" w:after="60" w:line="240" w:lineRule="auto"/>
              <w:rPr>
                <w:rFonts w:hint="default" w:ascii="Times New Roman" w:hAnsi="Times New Roman" w:eastAsia="宋体" w:cs="Times New Roman"/>
                <w:sz w:val="21"/>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1625D461">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5A8AAD13">
            <w:pPr>
              <w:spacing w:before="60" w:after="60" w:line="240" w:lineRule="auto"/>
              <w:rPr>
                <w:rFonts w:hint="default" w:ascii="Times New Roman" w:hAnsi="Times New Roman" w:eastAsia="宋体" w:cs="Times New Roman"/>
                <w:sz w:val="21"/>
                <w:szCs w:val="21"/>
                <w:highlight w:val="none"/>
              </w:rPr>
            </w:pPr>
          </w:p>
        </w:tc>
        <w:tc>
          <w:tcPr>
            <w:tcW w:w="828" w:type="dxa"/>
            <w:tcBorders>
              <w:top w:val="single" w:color="auto" w:sz="4" w:space="0"/>
              <w:left w:val="single" w:color="auto" w:sz="4" w:space="0"/>
              <w:bottom w:val="single" w:color="auto" w:sz="4" w:space="0"/>
              <w:right w:val="single" w:color="auto" w:sz="4" w:space="0"/>
            </w:tcBorders>
            <w:vAlign w:val="center"/>
          </w:tcPr>
          <w:p w14:paraId="38F961CE">
            <w:pPr>
              <w:spacing w:before="60" w:after="60" w:line="240" w:lineRule="auto"/>
              <w:rPr>
                <w:rFonts w:hint="default" w:ascii="Times New Roman" w:hAnsi="Times New Roman" w:eastAsia="宋体" w:cs="Times New Roman"/>
                <w:sz w:val="21"/>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54AB4731">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300C362B">
            <w:pPr>
              <w:spacing w:before="60" w:after="60" w:line="240" w:lineRule="auto"/>
              <w:rPr>
                <w:rFonts w:hint="default" w:ascii="Times New Roman" w:hAnsi="Times New Roman" w:eastAsia="宋体" w:cs="Times New Roman"/>
                <w:sz w:val="21"/>
                <w:szCs w:val="21"/>
                <w:highlight w:val="none"/>
              </w:rPr>
            </w:pPr>
          </w:p>
        </w:tc>
        <w:tc>
          <w:tcPr>
            <w:tcW w:w="754" w:type="dxa"/>
            <w:tcBorders>
              <w:top w:val="single" w:color="auto" w:sz="4" w:space="0"/>
              <w:left w:val="single" w:color="auto" w:sz="4" w:space="0"/>
              <w:bottom w:val="single" w:color="auto" w:sz="4" w:space="0"/>
              <w:right w:val="single" w:color="auto" w:sz="4" w:space="0"/>
            </w:tcBorders>
            <w:vAlign w:val="center"/>
          </w:tcPr>
          <w:p w14:paraId="423C27AA">
            <w:pPr>
              <w:spacing w:line="240" w:lineRule="auto"/>
              <w:rPr>
                <w:rFonts w:hint="default" w:ascii="Times New Roman" w:hAnsi="Times New Roman" w:eastAsia="宋体" w:cs="Times New Roman"/>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vAlign w:val="center"/>
          </w:tcPr>
          <w:p w14:paraId="006B5D48">
            <w:pPr>
              <w:spacing w:line="240" w:lineRule="auto"/>
              <w:rPr>
                <w:rFonts w:hint="default" w:ascii="Times New Roman" w:hAnsi="Times New Roman" w:eastAsia="宋体" w:cs="Times New Roman"/>
                <w:sz w:val="21"/>
                <w:szCs w:val="21"/>
                <w:highlight w:val="none"/>
              </w:rPr>
            </w:pPr>
          </w:p>
        </w:tc>
      </w:tr>
      <w:tr w14:paraId="6C691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6" w:type="dxa"/>
            <w:tcBorders>
              <w:top w:val="single" w:color="auto" w:sz="4" w:space="0"/>
              <w:left w:val="single" w:color="auto" w:sz="4" w:space="0"/>
              <w:bottom w:val="single" w:color="auto" w:sz="4" w:space="0"/>
              <w:right w:val="single" w:color="auto" w:sz="4" w:space="0"/>
            </w:tcBorders>
            <w:vAlign w:val="center"/>
          </w:tcPr>
          <w:p w14:paraId="5A49D1D7">
            <w:pPr>
              <w:numPr>
                <w:ilvl w:val="0"/>
                <w:numId w:val="20"/>
              </w:numPr>
              <w:spacing w:before="60" w:after="60" w:line="240" w:lineRule="auto"/>
              <w:ind w:left="425" w:leftChars="0" w:hanging="425" w:firstLineChars="0"/>
              <w:jc w:val="center"/>
              <w:rPr>
                <w:rFonts w:hint="default" w:ascii="Times New Roman" w:hAnsi="Times New Roman" w:eastAsia="宋体" w:cs="Times New Roman"/>
                <w:sz w:val="21"/>
                <w:szCs w:val="21"/>
                <w:highlight w:val="none"/>
                <w:lang w:val="en-US" w:eastAsia="zh-CN"/>
              </w:rPr>
            </w:pPr>
          </w:p>
        </w:tc>
        <w:tc>
          <w:tcPr>
            <w:tcW w:w="4035" w:type="dxa"/>
            <w:tcBorders>
              <w:top w:val="single" w:color="auto" w:sz="4" w:space="0"/>
              <w:left w:val="single" w:color="auto" w:sz="4" w:space="0"/>
              <w:bottom w:val="single" w:color="auto" w:sz="4" w:space="0"/>
              <w:right w:val="single" w:color="auto" w:sz="4" w:space="0"/>
            </w:tcBorders>
            <w:vAlign w:val="center"/>
          </w:tcPr>
          <w:p w14:paraId="772AD413">
            <w:pPr>
              <w:keepNext w:val="0"/>
              <w:keepLines w:val="0"/>
              <w:widowControl/>
              <w:suppressLineNumbers w:val="0"/>
              <w:spacing w:line="240" w:lineRule="auto"/>
              <w:jc w:val="left"/>
              <w:textAlignment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5.1.2.1.自动化物料转运组件 1套</w:t>
            </w:r>
          </w:p>
        </w:tc>
        <w:tc>
          <w:tcPr>
            <w:tcW w:w="747" w:type="dxa"/>
            <w:tcBorders>
              <w:top w:val="single" w:color="auto" w:sz="4" w:space="0"/>
              <w:left w:val="single" w:color="auto" w:sz="4" w:space="0"/>
              <w:bottom w:val="single" w:color="auto" w:sz="4" w:space="0"/>
              <w:right w:val="single" w:color="auto" w:sz="4" w:space="0"/>
            </w:tcBorders>
            <w:vAlign w:val="center"/>
          </w:tcPr>
          <w:p w14:paraId="597F17FC">
            <w:pPr>
              <w:spacing w:before="60" w:after="60" w:line="240" w:lineRule="auto"/>
              <w:rPr>
                <w:rFonts w:hint="default" w:ascii="Times New Roman" w:hAnsi="Times New Roman" w:eastAsia="宋体" w:cs="Times New Roman"/>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192F62EB">
            <w:pPr>
              <w:spacing w:before="60" w:after="60" w:line="240" w:lineRule="auto"/>
              <w:rPr>
                <w:rFonts w:hint="default" w:ascii="Times New Roman" w:hAnsi="Times New Roman" w:eastAsia="宋体" w:cs="Times New Roman"/>
                <w:sz w:val="21"/>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48A349E0">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0F05F9CD">
            <w:pPr>
              <w:spacing w:before="60" w:after="60" w:line="240" w:lineRule="auto"/>
              <w:rPr>
                <w:rFonts w:hint="default" w:ascii="Times New Roman" w:hAnsi="Times New Roman" w:eastAsia="宋体" w:cs="Times New Roman"/>
                <w:sz w:val="21"/>
                <w:szCs w:val="21"/>
                <w:highlight w:val="none"/>
              </w:rPr>
            </w:pPr>
          </w:p>
        </w:tc>
        <w:tc>
          <w:tcPr>
            <w:tcW w:w="828" w:type="dxa"/>
            <w:tcBorders>
              <w:top w:val="single" w:color="auto" w:sz="4" w:space="0"/>
              <w:left w:val="single" w:color="auto" w:sz="4" w:space="0"/>
              <w:bottom w:val="single" w:color="auto" w:sz="4" w:space="0"/>
              <w:right w:val="single" w:color="auto" w:sz="4" w:space="0"/>
            </w:tcBorders>
            <w:vAlign w:val="center"/>
          </w:tcPr>
          <w:p w14:paraId="0B36013D">
            <w:pPr>
              <w:spacing w:before="60" w:after="60" w:line="240" w:lineRule="auto"/>
              <w:rPr>
                <w:rFonts w:hint="default" w:ascii="Times New Roman" w:hAnsi="Times New Roman" w:eastAsia="宋体" w:cs="Times New Roman"/>
                <w:sz w:val="21"/>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6B99F7A8">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073727E9">
            <w:pPr>
              <w:spacing w:before="60" w:after="60" w:line="240" w:lineRule="auto"/>
              <w:rPr>
                <w:rFonts w:hint="default" w:ascii="Times New Roman" w:hAnsi="Times New Roman" w:eastAsia="宋体" w:cs="Times New Roman"/>
                <w:sz w:val="21"/>
                <w:szCs w:val="21"/>
                <w:highlight w:val="none"/>
              </w:rPr>
            </w:pPr>
          </w:p>
        </w:tc>
        <w:tc>
          <w:tcPr>
            <w:tcW w:w="754" w:type="dxa"/>
            <w:tcBorders>
              <w:top w:val="single" w:color="auto" w:sz="4" w:space="0"/>
              <w:left w:val="single" w:color="auto" w:sz="4" w:space="0"/>
              <w:bottom w:val="single" w:color="auto" w:sz="4" w:space="0"/>
              <w:right w:val="single" w:color="auto" w:sz="4" w:space="0"/>
            </w:tcBorders>
            <w:vAlign w:val="center"/>
          </w:tcPr>
          <w:p w14:paraId="43242853">
            <w:pPr>
              <w:spacing w:line="240" w:lineRule="auto"/>
              <w:rPr>
                <w:rFonts w:hint="default" w:ascii="Times New Roman" w:hAnsi="Times New Roman" w:eastAsia="宋体" w:cs="Times New Roman"/>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vAlign w:val="center"/>
          </w:tcPr>
          <w:p w14:paraId="2AC2E495">
            <w:pPr>
              <w:spacing w:line="240" w:lineRule="auto"/>
              <w:rPr>
                <w:rFonts w:hint="default" w:ascii="Times New Roman" w:hAnsi="Times New Roman" w:eastAsia="宋体" w:cs="Times New Roman"/>
                <w:sz w:val="21"/>
                <w:szCs w:val="21"/>
                <w:highlight w:val="none"/>
              </w:rPr>
            </w:pPr>
          </w:p>
        </w:tc>
      </w:tr>
      <w:tr w14:paraId="4750B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6" w:type="dxa"/>
            <w:tcBorders>
              <w:top w:val="single" w:color="auto" w:sz="4" w:space="0"/>
              <w:left w:val="single" w:color="auto" w:sz="4" w:space="0"/>
              <w:bottom w:val="single" w:color="auto" w:sz="4" w:space="0"/>
              <w:right w:val="single" w:color="auto" w:sz="4" w:space="0"/>
            </w:tcBorders>
            <w:vAlign w:val="center"/>
          </w:tcPr>
          <w:p w14:paraId="35AEF31E">
            <w:pPr>
              <w:numPr>
                <w:ilvl w:val="0"/>
                <w:numId w:val="20"/>
              </w:numPr>
              <w:spacing w:before="60" w:after="60" w:line="240" w:lineRule="auto"/>
              <w:ind w:left="425" w:leftChars="0" w:hanging="425" w:firstLineChars="0"/>
              <w:jc w:val="center"/>
              <w:rPr>
                <w:rFonts w:hint="default" w:ascii="Times New Roman" w:hAnsi="Times New Roman" w:eastAsia="宋体" w:cs="Times New Roman"/>
                <w:sz w:val="21"/>
                <w:szCs w:val="21"/>
                <w:highlight w:val="none"/>
                <w:lang w:val="en-US" w:eastAsia="zh-CN"/>
              </w:rPr>
            </w:pPr>
          </w:p>
        </w:tc>
        <w:tc>
          <w:tcPr>
            <w:tcW w:w="4035" w:type="dxa"/>
            <w:tcBorders>
              <w:top w:val="single" w:color="auto" w:sz="4" w:space="0"/>
              <w:left w:val="single" w:color="auto" w:sz="4" w:space="0"/>
              <w:bottom w:val="single" w:color="auto" w:sz="4" w:space="0"/>
              <w:right w:val="single" w:color="auto" w:sz="4" w:space="0"/>
            </w:tcBorders>
            <w:vAlign w:val="center"/>
          </w:tcPr>
          <w:p w14:paraId="211E8752">
            <w:pPr>
              <w:keepNext w:val="0"/>
              <w:keepLines w:val="0"/>
              <w:widowControl/>
              <w:suppressLineNumbers w:val="0"/>
              <w:spacing w:line="240" w:lineRule="auto"/>
              <w:jc w:val="left"/>
              <w:textAlignment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5.1.2.2.6D柔性传输组件 1套</w:t>
            </w:r>
          </w:p>
        </w:tc>
        <w:tc>
          <w:tcPr>
            <w:tcW w:w="747" w:type="dxa"/>
            <w:tcBorders>
              <w:top w:val="single" w:color="auto" w:sz="4" w:space="0"/>
              <w:left w:val="single" w:color="auto" w:sz="4" w:space="0"/>
              <w:bottom w:val="single" w:color="auto" w:sz="4" w:space="0"/>
              <w:right w:val="single" w:color="auto" w:sz="4" w:space="0"/>
            </w:tcBorders>
            <w:vAlign w:val="center"/>
          </w:tcPr>
          <w:p w14:paraId="5EA365F1">
            <w:pPr>
              <w:spacing w:before="60" w:after="60" w:line="240" w:lineRule="auto"/>
              <w:rPr>
                <w:rFonts w:hint="default" w:ascii="Times New Roman" w:hAnsi="Times New Roman" w:eastAsia="宋体" w:cs="Times New Roman"/>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4088069A">
            <w:pPr>
              <w:spacing w:before="60" w:after="60" w:line="240" w:lineRule="auto"/>
              <w:rPr>
                <w:rFonts w:hint="default" w:ascii="Times New Roman" w:hAnsi="Times New Roman" w:eastAsia="宋体" w:cs="Times New Roman"/>
                <w:sz w:val="21"/>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2CB911B7">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1AD0D503">
            <w:pPr>
              <w:spacing w:before="60" w:after="60" w:line="240" w:lineRule="auto"/>
              <w:rPr>
                <w:rFonts w:hint="default" w:ascii="Times New Roman" w:hAnsi="Times New Roman" w:eastAsia="宋体" w:cs="Times New Roman"/>
                <w:sz w:val="21"/>
                <w:szCs w:val="21"/>
                <w:highlight w:val="none"/>
              </w:rPr>
            </w:pPr>
          </w:p>
        </w:tc>
        <w:tc>
          <w:tcPr>
            <w:tcW w:w="828" w:type="dxa"/>
            <w:tcBorders>
              <w:top w:val="single" w:color="auto" w:sz="4" w:space="0"/>
              <w:left w:val="single" w:color="auto" w:sz="4" w:space="0"/>
              <w:bottom w:val="single" w:color="auto" w:sz="4" w:space="0"/>
              <w:right w:val="single" w:color="auto" w:sz="4" w:space="0"/>
            </w:tcBorders>
            <w:vAlign w:val="center"/>
          </w:tcPr>
          <w:p w14:paraId="67400D74">
            <w:pPr>
              <w:spacing w:before="60" w:after="60" w:line="240" w:lineRule="auto"/>
              <w:rPr>
                <w:rFonts w:hint="default" w:ascii="Times New Roman" w:hAnsi="Times New Roman" w:eastAsia="宋体" w:cs="Times New Roman"/>
                <w:sz w:val="21"/>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4AD82435">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282F00CD">
            <w:pPr>
              <w:spacing w:before="60" w:after="60" w:line="240" w:lineRule="auto"/>
              <w:rPr>
                <w:rFonts w:hint="default" w:ascii="Times New Roman" w:hAnsi="Times New Roman" w:eastAsia="宋体" w:cs="Times New Roman"/>
                <w:sz w:val="21"/>
                <w:szCs w:val="21"/>
                <w:highlight w:val="none"/>
              </w:rPr>
            </w:pPr>
          </w:p>
        </w:tc>
        <w:tc>
          <w:tcPr>
            <w:tcW w:w="754" w:type="dxa"/>
            <w:tcBorders>
              <w:top w:val="single" w:color="auto" w:sz="4" w:space="0"/>
              <w:left w:val="single" w:color="auto" w:sz="4" w:space="0"/>
              <w:bottom w:val="single" w:color="auto" w:sz="4" w:space="0"/>
              <w:right w:val="single" w:color="auto" w:sz="4" w:space="0"/>
            </w:tcBorders>
            <w:vAlign w:val="center"/>
          </w:tcPr>
          <w:p w14:paraId="3E66BD0F">
            <w:pPr>
              <w:spacing w:line="240" w:lineRule="auto"/>
              <w:rPr>
                <w:rFonts w:hint="default" w:ascii="Times New Roman" w:hAnsi="Times New Roman" w:eastAsia="宋体" w:cs="Times New Roman"/>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vAlign w:val="center"/>
          </w:tcPr>
          <w:p w14:paraId="60FF00B1">
            <w:pPr>
              <w:spacing w:line="240" w:lineRule="auto"/>
              <w:rPr>
                <w:rFonts w:hint="default" w:ascii="Times New Roman" w:hAnsi="Times New Roman" w:eastAsia="宋体" w:cs="Times New Roman"/>
                <w:sz w:val="21"/>
                <w:szCs w:val="21"/>
                <w:highlight w:val="none"/>
              </w:rPr>
            </w:pPr>
          </w:p>
        </w:tc>
      </w:tr>
      <w:tr w14:paraId="30792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6" w:type="dxa"/>
            <w:tcBorders>
              <w:top w:val="single" w:color="auto" w:sz="4" w:space="0"/>
              <w:left w:val="single" w:color="auto" w:sz="4" w:space="0"/>
              <w:bottom w:val="single" w:color="auto" w:sz="4" w:space="0"/>
              <w:right w:val="single" w:color="auto" w:sz="4" w:space="0"/>
            </w:tcBorders>
            <w:vAlign w:val="center"/>
          </w:tcPr>
          <w:p w14:paraId="35462BED">
            <w:pPr>
              <w:numPr>
                <w:ilvl w:val="0"/>
                <w:numId w:val="20"/>
              </w:numPr>
              <w:spacing w:before="60" w:after="60" w:line="240" w:lineRule="auto"/>
              <w:ind w:left="425" w:leftChars="0" w:hanging="425" w:firstLineChars="0"/>
              <w:jc w:val="center"/>
              <w:rPr>
                <w:rFonts w:hint="default" w:ascii="Times New Roman" w:hAnsi="Times New Roman" w:eastAsia="宋体" w:cs="Times New Roman"/>
                <w:sz w:val="21"/>
                <w:szCs w:val="21"/>
                <w:highlight w:val="none"/>
                <w:lang w:val="en-US" w:eastAsia="zh-CN"/>
              </w:rPr>
            </w:pPr>
          </w:p>
        </w:tc>
        <w:tc>
          <w:tcPr>
            <w:tcW w:w="4035" w:type="dxa"/>
            <w:tcBorders>
              <w:top w:val="single" w:color="auto" w:sz="4" w:space="0"/>
              <w:left w:val="single" w:color="auto" w:sz="4" w:space="0"/>
              <w:bottom w:val="single" w:color="auto" w:sz="4" w:space="0"/>
              <w:right w:val="single" w:color="auto" w:sz="4" w:space="0"/>
            </w:tcBorders>
            <w:vAlign w:val="center"/>
          </w:tcPr>
          <w:p w14:paraId="5DA9329E">
            <w:pPr>
              <w:keepNext w:val="0"/>
              <w:keepLines w:val="0"/>
              <w:widowControl/>
              <w:suppressLineNumbers w:val="0"/>
              <w:spacing w:line="240" w:lineRule="auto"/>
              <w:jc w:val="left"/>
              <w:textAlignment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5.1.2.3.自动化冻存管转运组件 1套</w:t>
            </w:r>
          </w:p>
        </w:tc>
        <w:tc>
          <w:tcPr>
            <w:tcW w:w="747" w:type="dxa"/>
            <w:tcBorders>
              <w:top w:val="single" w:color="auto" w:sz="4" w:space="0"/>
              <w:left w:val="single" w:color="auto" w:sz="4" w:space="0"/>
              <w:bottom w:val="single" w:color="auto" w:sz="4" w:space="0"/>
              <w:right w:val="single" w:color="auto" w:sz="4" w:space="0"/>
            </w:tcBorders>
            <w:vAlign w:val="center"/>
          </w:tcPr>
          <w:p w14:paraId="53D765CF">
            <w:pPr>
              <w:spacing w:before="60" w:after="60" w:line="240" w:lineRule="auto"/>
              <w:rPr>
                <w:rFonts w:hint="default" w:ascii="Times New Roman" w:hAnsi="Times New Roman" w:eastAsia="宋体" w:cs="Times New Roman"/>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2DA2A689">
            <w:pPr>
              <w:spacing w:before="60" w:after="60" w:line="240" w:lineRule="auto"/>
              <w:rPr>
                <w:rFonts w:hint="default" w:ascii="Times New Roman" w:hAnsi="Times New Roman" w:eastAsia="宋体" w:cs="Times New Roman"/>
                <w:sz w:val="21"/>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0F6B1FAE">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51C81527">
            <w:pPr>
              <w:spacing w:before="60" w:after="60" w:line="240" w:lineRule="auto"/>
              <w:rPr>
                <w:rFonts w:hint="default" w:ascii="Times New Roman" w:hAnsi="Times New Roman" w:eastAsia="宋体" w:cs="Times New Roman"/>
                <w:sz w:val="21"/>
                <w:szCs w:val="21"/>
                <w:highlight w:val="none"/>
              </w:rPr>
            </w:pPr>
          </w:p>
        </w:tc>
        <w:tc>
          <w:tcPr>
            <w:tcW w:w="828" w:type="dxa"/>
            <w:tcBorders>
              <w:top w:val="single" w:color="auto" w:sz="4" w:space="0"/>
              <w:left w:val="single" w:color="auto" w:sz="4" w:space="0"/>
              <w:bottom w:val="single" w:color="auto" w:sz="4" w:space="0"/>
              <w:right w:val="single" w:color="auto" w:sz="4" w:space="0"/>
            </w:tcBorders>
            <w:vAlign w:val="center"/>
          </w:tcPr>
          <w:p w14:paraId="5E3CBE95">
            <w:pPr>
              <w:spacing w:before="60" w:after="60" w:line="240" w:lineRule="auto"/>
              <w:rPr>
                <w:rFonts w:hint="default" w:ascii="Times New Roman" w:hAnsi="Times New Roman" w:eastAsia="宋体" w:cs="Times New Roman"/>
                <w:sz w:val="21"/>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2C632A6F">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683E404E">
            <w:pPr>
              <w:spacing w:before="60" w:after="60" w:line="240" w:lineRule="auto"/>
              <w:rPr>
                <w:rFonts w:hint="default" w:ascii="Times New Roman" w:hAnsi="Times New Roman" w:eastAsia="宋体" w:cs="Times New Roman"/>
                <w:sz w:val="21"/>
                <w:szCs w:val="21"/>
                <w:highlight w:val="none"/>
              </w:rPr>
            </w:pPr>
          </w:p>
        </w:tc>
        <w:tc>
          <w:tcPr>
            <w:tcW w:w="754" w:type="dxa"/>
            <w:tcBorders>
              <w:top w:val="single" w:color="auto" w:sz="4" w:space="0"/>
              <w:left w:val="single" w:color="auto" w:sz="4" w:space="0"/>
              <w:bottom w:val="single" w:color="auto" w:sz="4" w:space="0"/>
              <w:right w:val="single" w:color="auto" w:sz="4" w:space="0"/>
            </w:tcBorders>
            <w:vAlign w:val="center"/>
          </w:tcPr>
          <w:p w14:paraId="20706DB7">
            <w:pPr>
              <w:spacing w:line="240" w:lineRule="auto"/>
              <w:rPr>
                <w:rFonts w:hint="default" w:ascii="Times New Roman" w:hAnsi="Times New Roman" w:eastAsia="宋体" w:cs="Times New Roman"/>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vAlign w:val="center"/>
          </w:tcPr>
          <w:p w14:paraId="6539E2F1">
            <w:pPr>
              <w:spacing w:line="240" w:lineRule="auto"/>
              <w:rPr>
                <w:rFonts w:hint="default" w:ascii="Times New Roman" w:hAnsi="Times New Roman" w:eastAsia="宋体" w:cs="Times New Roman"/>
                <w:sz w:val="21"/>
                <w:szCs w:val="21"/>
                <w:highlight w:val="none"/>
              </w:rPr>
            </w:pPr>
          </w:p>
        </w:tc>
      </w:tr>
      <w:tr w14:paraId="3B5BC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6" w:type="dxa"/>
            <w:tcBorders>
              <w:top w:val="single" w:color="auto" w:sz="4" w:space="0"/>
              <w:left w:val="single" w:color="auto" w:sz="4" w:space="0"/>
              <w:bottom w:val="single" w:color="auto" w:sz="4" w:space="0"/>
              <w:right w:val="single" w:color="auto" w:sz="4" w:space="0"/>
            </w:tcBorders>
            <w:vAlign w:val="center"/>
          </w:tcPr>
          <w:p w14:paraId="5F747DD3">
            <w:pPr>
              <w:numPr>
                <w:ilvl w:val="0"/>
                <w:numId w:val="20"/>
              </w:numPr>
              <w:spacing w:before="60" w:after="60" w:line="240" w:lineRule="auto"/>
              <w:ind w:left="425" w:leftChars="0" w:hanging="425" w:firstLineChars="0"/>
              <w:jc w:val="center"/>
              <w:rPr>
                <w:rFonts w:hint="default" w:ascii="Times New Roman" w:hAnsi="Times New Roman" w:eastAsia="宋体" w:cs="Times New Roman"/>
                <w:sz w:val="21"/>
                <w:szCs w:val="21"/>
                <w:highlight w:val="none"/>
                <w:lang w:val="en-US" w:eastAsia="zh-CN"/>
              </w:rPr>
            </w:pPr>
          </w:p>
        </w:tc>
        <w:tc>
          <w:tcPr>
            <w:tcW w:w="4035" w:type="dxa"/>
            <w:tcBorders>
              <w:top w:val="single" w:color="auto" w:sz="4" w:space="0"/>
              <w:left w:val="single" w:color="auto" w:sz="4" w:space="0"/>
              <w:bottom w:val="single" w:color="auto" w:sz="4" w:space="0"/>
              <w:right w:val="single" w:color="auto" w:sz="4" w:space="0"/>
            </w:tcBorders>
            <w:vAlign w:val="center"/>
          </w:tcPr>
          <w:p w14:paraId="03C05022">
            <w:pPr>
              <w:keepNext w:val="0"/>
              <w:keepLines w:val="0"/>
              <w:widowControl/>
              <w:suppressLineNumbers w:val="0"/>
              <w:spacing w:line="240" w:lineRule="auto"/>
              <w:jc w:val="left"/>
              <w:textAlignment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5.1.2.4.自动化液体工作站组件 1套</w:t>
            </w:r>
          </w:p>
        </w:tc>
        <w:tc>
          <w:tcPr>
            <w:tcW w:w="747" w:type="dxa"/>
            <w:tcBorders>
              <w:top w:val="single" w:color="auto" w:sz="4" w:space="0"/>
              <w:left w:val="single" w:color="auto" w:sz="4" w:space="0"/>
              <w:bottom w:val="single" w:color="auto" w:sz="4" w:space="0"/>
              <w:right w:val="single" w:color="auto" w:sz="4" w:space="0"/>
            </w:tcBorders>
            <w:vAlign w:val="center"/>
          </w:tcPr>
          <w:p w14:paraId="1D6D6C33">
            <w:pPr>
              <w:spacing w:before="60" w:after="60" w:line="240" w:lineRule="auto"/>
              <w:rPr>
                <w:rFonts w:hint="default" w:ascii="Times New Roman" w:hAnsi="Times New Roman" w:eastAsia="宋体" w:cs="Times New Roman"/>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3901D1F5">
            <w:pPr>
              <w:spacing w:before="60" w:after="60" w:line="240" w:lineRule="auto"/>
              <w:rPr>
                <w:rFonts w:hint="default" w:ascii="Times New Roman" w:hAnsi="Times New Roman" w:eastAsia="宋体" w:cs="Times New Roman"/>
                <w:sz w:val="21"/>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308D3295">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1D9FFFA2">
            <w:pPr>
              <w:spacing w:before="60" w:after="60" w:line="240" w:lineRule="auto"/>
              <w:rPr>
                <w:rFonts w:hint="default" w:ascii="Times New Roman" w:hAnsi="Times New Roman" w:eastAsia="宋体" w:cs="Times New Roman"/>
                <w:sz w:val="21"/>
                <w:szCs w:val="21"/>
                <w:highlight w:val="none"/>
              </w:rPr>
            </w:pPr>
          </w:p>
        </w:tc>
        <w:tc>
          <w:tcPr>
            <w:tcW w:w="828" w:type="dxa"/>
            <w:tcBorders>
              <w:top w:val="single" w:color="auto" w:sz="4" w:space="0"/>
              <w:left w:val="single" w:color="auto" w:sz="4" w:space="0"/>
              <w:bottom w:val="single" w:color="auto" w:sz="4" w:space="0"/>
              <w:right w:val="single" w:color="auto" w:sz="4" w:space="0"/>
            </w:tcBorders>
            <w:vAlign w:val="center"/>
          </w:tcPr>
          <w:p w14:paraId="78C66F60">
            <w:pPr>
              <w:spacing w:before="60" w:after="60" w:line="240" w:lineRule="auto"/>
              <w:rPr>
                <w:rFonts w:hint="default" w:ascii="Times New Roman" w:hAnsi="Times New Roman" w:eastAsia="宋体" w:cs="Times New Roman"/>
                <w:sz w:val="21"/>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3335E19C">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0E8996A0">
            <w:pPr>
              <w:spacing w:before="60" w:after="60" w:line="240" w:lineRule="auto"/>
              <w:rPr>
                <w:rFonts w:hint="default" w:ascii="Times New Roman" w:hAnsi="Times New Roman" w:eastAsia="宋体" w:cs="Times New Roman"/>
                <w:sz w:val="21"/>
                <w:szCs w:val="21"/>
                <w:highlight w:val="none"/>
              </w:rPr>
            </w:pPr>
          </w:p>
        </w:tc>
        <w:tc>
          <w:tcPr>
            <w:tcW w:w="754" w:type="dxa"/>
            <w:tcBorders>
              <w:top w:val="single" w:color="auto" w:sz="4" w:space="0"/>
              <w:left w:val="single" w:color="auto" w:sz="4" w:space="0"/>
              <w:bottom w:val="single" w:color="auto" w:sz="4" w:space="0"/>
              <w:right w:val="single" w:color="auto" w:sz="4" w:space="0"/>
            </w:tcBorders>
            <w:vAlign w:val="center"/>
          </w:tcPr>
          <w:p w14:paraId="47239AFD">
            <w:pPr>
              <w:spacing w:line="240" w:lineRule="auto"/>
              <w:rPr>
                <w:rFonts w:hint="default" w:ascii="Times New Roman" w:hAnsi="Times New Roman" w:eastAsia="宋体" w:cs="Times New Roman"/>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vAlign w:val="center"/>
          </w:tcPr>
          <w:p w14:paraId="111DF336">
            <w:pPr>
              <w:spacing w:line="240" w:lineRule="auto"/>
              <w:rPr>
                <w:rFonts w:hint="default" w:ascii="Times New Roman" w:hAnsi="Times New Roman" w:eastAsia="宋体" w:cs="Times New Roman"/>
                <w:sz w:val="21"/>
                <w:szCs w:val="21"/>
                <w:highlight w:val="none"/>
              </w:rPr>
            </w:pPr>
          </w:p>
        </w:tc>
      </w:tr>
      <w:tr w14:paraId="3871B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6" w:type="dxa"/>
            <w:tcBorders>
              <w:top w:val="single" w:color="auto" w:sz="4" w:space="0"/>
              <w:left w:val="single" w:color="auto" w:sz="4" w:space="0"/>
              <w:bottom w:val="single" w:color="auto" w:sz="4" w:space="0"/>
              <w:right w:val="single" w:color="auto" w:sz="4" w:space="0"/>
            </w:tcBorders>
            <w:vAlign w:val="center"/>
          </w:tcPr>
          <w:p w14:paraId="47B0046C">
            <w:pPr>
              <w:numPr>
                <w:ilvl w:val="0"/>
                <w:numId w:val="20"/>
              </w:numPr>
              <w:spacing w:before="60" w:after="60" w:line="240" w:lineRule="auto"/>
              <w:ind w:left="425" w:leftChars="0" w:hanging="425" w:firstLineChars="0"/>
              <w:jc w:val="center"/>
              <w:rPr>
                <w:rFonts w:hint="default" w:ascii="Times New Roman" w:hAnsi="Times New Roman" w:eastAsia="宋体" w:cs="Times New Roman"/>
                <w:sz w:val="21"/>
                <w:szCs w:val="21"/>
                <w:highlight w:val="none"/>
                <w:lang w:val="en-US" w:eastAsia="zh-CN"/>
              </w:rPr>
            </w:pPr>
          </w:p>
        </w:tc>
        <w:tc>
          <w:tcPr>
            <w:tcW w:w="4035" w:type="dxa"/>
            <w:tcBorders>
              <w:top w:val="single" w:color="auto" w:sz="4" w:space="0"/>
              <w:left w:val="single" w:color="auto" w:sz="4" w:space="0"/>
              <w:bottom w:val="single" w:color="auto" w:sz="4" w:space="0"/>
              <w:right w:val="single" w:color="auto" w:sz="4" w:space="0"/>
            </w:tcBorders>
            <w:vAlign w:val="center"/>
          </w:tcPr>
          <w:p w14:paraId="6109BDC7">
            <w:pPr>
              <w:keepNext w:val="0"/>
              <w:keepLines w:val="0"/>
              <w:widowControl/>
              <w:suppressLineNumbers w:val="0"/>
              <w:spacing w:line="240" w:lineRule="auto"/>
              <w:jc w:val="left"/>
              <w:textAlignment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5.1.2.5.自动化耗材供给组件 1套</w:t>
            </w:r>
          </w:p>
        </w:tc>
        <w:tc>
          <w:tcPr>
            <w:tcW w:w="747" w:type="dxa"/>
            <w:tcBorders>
              <w:top w:val="single" w:color="auto" w:sz="4" w:space="0"/>
              <w:left w:val="single" w:color="auto" w:sz="4" w:space="0"/>
              <w:bottom w:val="single" w:color="auto" w:sz="4" w:space="0"/>
              <w:right w:val="single" w:color="auto" w:sz="4" w:space="0"/>
            </w:tcBorders>
            <w:vAlign w:val="center"/>
          </w:tcPr>
          <w:p w14:paraId="2CDD520C">
            <w:pPr>
              <w:spacing w:before="60" w:after="60" w:line="240" w:lineRule="auto"/>
              <w:rPr>
                <w:rFonts w:hint="default" w:ascii="Times New Roman" w:hAnsi="Times New Roman" w:eastAsia="宋体" w:cs="Times New Roman"/>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7E66FB56">
            <w:pPr>
              <w:spacing w:before="60" w:after="60" w:line="240" w:lineRule="auto"/>
              <w:rPr>
                <w:rFonts w:hint="default" w:ascii="Times New Roman" w:hAnsi="Times New Roman" w:eastAsia="宋体" w:cs="Times New Roman"/>
                <w:sz w:val="21"/>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49D47A39">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06817199">
            <w:pPr>
              <w:spacing w:before="60" w:after="60" w:line="240" w:lineRule="auto"/>
              <w:rPr>
                <w:rFonts w:hint="default" w:ascii="Times New Roman" w:hAnsi="Times New Roman" w:eastAsia="宋体" w:cs="Times New Roman"/>
                <w:sz w:val="21"/>
                <w:szCs w:val="21"/>
                <w:highlight w:val="none"/>
              </w:rPr>
            </w:pPr>
          </w:p>
        </w:tc>
        <w:tc>
          <w:tcPr>
            <w:tcW w:w="828" w:type="dxa"/>
            <w:tcBorders>
              <w:top w:val="single" w:color="auto" w:sz="4" w:space="0"/>
              <w:left w:val="single" w:color="auto" w:sz="4" w:space="0"/>
              <w:bottom w:val="single" w:color="auto" w:sz="4" w:space="0"/>
              <w:right w:val="single" w:color="auto" w:sz="4" w:space="0"/>
            </w:tcBorders>
            <w:vAlign w:val="center"/>
          </w:tcPr>
          <w:p w14:paraId="73C9FC1D">
            <w:pPr>
              <w:spacing w:before="60" w:after="60" w:line="240" w:lineRule="auto"/>
              <w:rPr>
                <w:rFonts w:hint="default" w:ascii="Times New Roman" w:hAnsi="Times New Roman" w:eastAsia="宋体" w:cs="Times New Roman"/>
                <w:sz w:val="21"/>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36CD23F3">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610BE03F">
            <w:pPr>
              <w:spacing w:before="60" w:after="60" w:line="240" w:lineRule="auto"/>
              <w:rPr>
                <w:rFonts w:hint="default" w:ascii="Times New Roman" w:hAnsi="Times New Roman" w:eastAsia="宋体" w:cs="Times New Roman"/>
                <w:sz w:val="21"/>
                <w:szCs w:val="21"/>
                <w:highlight w:val="none"/>
              </w:rPr>
            </w:pPr>
          </w:p>
        </w:tc>
        <w:tc>
          <w:tcPr>
            <w:tcW w:w="754" w:type="dxa"/>
            <w:tcBorders>
              <w:top w:val="single" w:color="auto" w:sz="4" w:space="0"/>
              <w:left w:val="single" w:color="auto" w:sz="4" w:space="0"/>
              <w:bottom w:val="single" w:color="auto" w:sz="4" w:space="0"/>
              <w:right w:val="single" w:color="auto" w:sz="4" w:space="0"/>
            </w:tcBorders>
            <w:vAlign w:val="center"/>
          </w:tcPr>
          <w:p w14:paraId="65F707FF">
            <w:pPr>
              <w:spacing w:line="240" w:lineRule="auto"/>
              <w:rPr>
                <w:rFonts w:hint="default" w:ascii="Times New Roman" w:hAnsi="Times New Roman" w:eastAsia="宋体" w:cs="Times New Roman"/>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vAlign w:val="center"/>
          </w:tcPr>
          <w:p w14:paraId="609BDE9D">
            <w:pPr>
              <w:spacing w:line="240" w:lineRule="auto"/>
              <w:rPr>
                <w:rFonts w:hint="default" w:ascii="Times New Roman" w:hAnsi="Times New Roman" w:eastAsia="宋体" w:cs="Times New Roman"/>
                <w:sz w:val="21"/>
                <w:szCs w:val="21"/>
                <w:highlight w:val="none"/>
              </w:rPr>
            </w:pPr>
          </w:p>
        </w:tc>
      </w:tr>
      <w:tr w14:paraId="2CE79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816" w:type="dxa"/>
            <w:tcBorders>
              <w:top w:val="single" w:color="auto" w:sz="4" w:space="0"/>
              <w:left w:val="single" w:color="auto" w:sz="4" w:space="0"/>
              <w:bottom w:val="single" w:color="auto" w:sz="4" w:space="0"/>
              <w:right w:val="single" w:color="auto" w:sz="4" w:space="0"/>
            </w:tcBorders>
            <w:vAlign w:val="center"/>
          </w:tcPr>
          <w:p w14:paraId="6A17E3CD">
            <w:pPr>
              <w:numPr>
                <w:ilvl w:val="0"/>
                <w:numId w:val="20"/>
              </w:numPr>
              <w:spacing w:before="60" w:after="60" w:line="240" w:lineRule="auto"/>
              <w:ind w:left="425" w:leftChars="0" w:hanging="425" w:firstLineChars="0"/>
              <w:jc w:val="center"/>
              <w:rPr>
                <w:rFonts w:hint="default" w:ascii="Times New Roman" w:hAnsi="Times New Roman" w:eastAsia="宋体" w:cs="Times New Roman"/>
                <w:sz w:val="21"/>
                <w:szCs w:val="21"/>
                <w:highlight w:val="none"/>
                <w:lang w:val="en-US" w:eastAsia="zh-CN"/>
              </w:rPr>
            </w:pPr>
          </w:p>
        </w:tc>
        <w:tc>
          <w:tcPr>
            <w:tcW w:w="4035" w:type="dxa"/>
            <w:tcBorders>
              <w:top w:val="single" w:color="auto" w:sz="4" w:space="0"/>
              <w:left w:val="single" w:color="auto" w:sz="4" w:space="0"/>
              <w:bottom w:val="single" w:color="auto" w:sz="4" w:space="0"/>
              <w:right w:val="single" w:color="auto" w:sz="4" w:space="0"/>
            </w:tcBorders>
            <w:vAlign w:val="center"/>
          </w:tcPr>
          <w:p w14:paraId="31D8C582">
            <w:pPr>
              <w:keepNext w:val="0"/>
              <w:keepLines w:val="0"/>
              <w:widowControl/>
              <w:suppressLineNumbers w:val="0"/>
              <w:spacing w:line="240" w:lineRule="auto"/>
              <w:jc w:val="left"/>
              <w:textAlignment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5.1.2.6.自动化冰箱组件 1套</w:t>
            </w:r>
          </w:p>
        </w:tc>
        <w:tc>
          <w:tcPr>
            <w:tcW w:w="747" w:type="dxa"/>
            <w:tcBorders>
              <w:top w:val="single" w:color="auto" w:sz="4" w:space="0"/>
              <w:left w:val="single" w:color="auto" w:sz="4" w:space="0"/>
              <w:bottom w:val="single" w:color="auto" w:sz="4" w:space="0"/>
              <w:right w:val="single" w:color="auto" w:sz="4" w:space="0"/>
            </w:tcBorders>
            <w:vAlign w:val="center"/>
          </w:tcPr>
          <w:p w14:paraId="25C4D81F">
            <w:pPr>
              <w:spacing w:before="60" w:after="60" w:line="240" w:lineRule="auto"/>
              <w:rPr>
                <w:rFonts w:hint="default" w:ascii="Times New Roman" w:hAnsi="Times New Roman" w:eastAsia="宋体" w:cs="Times New Roman"/>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5CF7807D">
            <w:pPr>
              <w:spacing w:before="60" w:after="60" w:line="240" w:lineRule="auto"/>
              <w:rPr>
                <w:rFonts w:hint="default" w:ascii="Times New Roman" w:hAnsi="Times New Roman" w:eastAsia="宋体" w:cs="Times New Roman"/>
                <w:sz w:val="21"/>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08599A20">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50256D5E">
            <w:pPr>
              <w:spacing w:before="60" w:after="60" w:line="240" w:lineRule="auto"/>
              <w:rPr>
                <w:rFonts w:hint="default" w:ascii="Times New Roman" w:hAnsi="Times New Roman" w:eastAsia="宋体" w:cs="Times New Roman"/>
                <w:sz w:val="21"/>
                <w:szCs w:val="21"/>
                <w:highlight w:val="none"/>
              </w:rPr>
            </w:pPr>
          </w:p>
        </w:tc>
        <w:tc>
          <w:tcPr>
            <w:tcW w:w="828" w:type="dxa"/>
            <w:tcBorders>
              <w:top w:val="single" w:color="auto" w:sz="4" w:space="0"/>
              <w:left w:val="single" w:color="auto" w:sz="4" w:space="0"/>
              <w:bottom w:val="single" w:color="auto" w:sz="4" w:space="0"/>
              <w:right w:val="single" w:color="auto" w:sz="4" w:space="0"/>
            </w:tcBorders>
            <w:vAlign w:val="center"/>
          </w:tcPr>
          <w:p w14:paraId="232B49EF">
            <w:pPr>
              <w:spacing w:before="60" w:after="60" w:line="240" w:lineRule="auto"/>
              <w:rPr>
                <w:rFonts w:hint="default" w:ascii="Times New Roman" w:hAnsi="Times New Roman" w:eastAsia="宋体" w:cs="Times New Roman"/>
                <w:sz w:val="21"/>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1561B23F">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5194DBA9">
            <w:pPr>
              <w:spacing w:before="60" w:after="60" w:line="240" w:lineRule="auto"/>
              <w:rPr>
                <w:rFonts w:hint="default" w:ascii="Times New Roman" w:hAnsi="Times New Roman" w:eastAsia="宋体" w:cs="Times New Roman"/>
                <w:sz w:val="21"/>
                <w:szCs w:val="21"/>
                <w:highlight w:val="none"/>
              </w:rPr>
            </w:pPr>
          </w:p>
        </w:tc>
        <w:tc>
          <w:tcPr>
            <w:tcW w:w="754" w:type="dxa"/>
            <w:tcBorders>
              <w:top w:val="single" w:color="auto" w:sz="4" w:space="0"/>
              <w:left w:val="single" w:color="auto" w:sz="4" w:space="0"/>
              <w:bottom w:val="single" w:color="auto" w:sz="4" w:space="0"/>
              <w:right w:val="single" w:color="auto" w:sz="4" w:space="0"/>
            </w:tcBorders>
            <w:vAlign w:val="center"/>
          </w:tcPr>
          <w:p w14:paraId="483A2ABE">
            <w:pPr>
              <w:spacing w:line="240" w:lineRule="auto"/>
              <w:rPr>
                <w:rFonts w:hint="default" w:ascii="Times New Roman" w:hAnsi="Times New Roman" w:eastAsia="宋体" w:cs="Times New Roman"/>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vAlign w:val="center"/>
          </w:tcPr>
          <w:p w14:paraId="315E3223">
            <w:pPr>
              <w:spacing w:line="240" w:lineRule="auto"/>
              <w:rPr>
                <w:rFonts w:hint="default" w:ascii="Times New Roman" w:hAnsi="Times New Roman" w:eastAsia="宋体" w:cs="Times New Roman"/>
                <w:sz w:val="21"/>
                <w:szCs w:val="21"/>
                <w:highlight w:val="none"/>
              </w:rPr>
            </w:pPr>
          </w:p>
        </w:tc>
      </w:tr>
      <w:tr w14:paraId="1DB87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816" w:type="dxa"/>
            <w:tcBorders>
              <w:top w:val="single" w:color="auto" w:sz="4" w:space="0"/>
              <w:left w:val="single" w:color="auto" w:sz="4" w:space="0"/>
              <w:bottom w:val="single" w:color="auto" w:sz="4" w:space="0"/>
              <w:right w:val="single" w:color="auto" w:sz="4" w:space="0"/>
            </w:tcBorders>
            <w:vAlign w:val="center"/>
          </w:tcPr>
          <w:p w14:paraId="5B6D6D9B">
            <w:pPr>
              <w:numPr>
                <w:ilvl w:val="0"/>
                <w:numId w:val="20"/>
              </w:numPr>
              <w:spacing w:before="60" w:after="60" w:line="240" w:lineRule="auto"/>
              <w:ind w:left="425" w:leftChars="0" w:hanging="425" w:firstLineChars="0"/>
              <w:jc w:val="center"/>
              <w:rPr>
                <w:rFonts w:hint="default" w:ascii="Times New Roman" w:hAnsi="Times New Roman" w:eastAsia="宋体" w:cs="Times New Roman"/>
                <w:sz w:val="21"/>
                <w:szCs w:val="21"/>
                <w:highlight w:val="none"/>
                <w:lang w:val="en-US" w:eastAsia="zh-CN"/>
              </w:rPr>
            </w:pPr>
          </w:p>
        </w:tc>
        <w:tc>
          <w:tcPr>
            <w:tcW w:w="4035" w:type="dxa"/>
            <w:tcBorders>
              <w:top w:val="single" w:color="auto" w:sz="4" w:space="0"/>
              <w:left w:val="single" w:color="auto" w:sz="4" w:space="0"/>
              <w:bottom w:val="single" w:color="auto" w:sz="4" w:space="0"/>
              <w:right w:val="single" w:color="auto" w:sz="4" w:space="0"/>
            </w:tcBorders>
            <w:vAlign w:val="center"/>
          </w:tcPr>
          <w:p w14:paraId="5A80FAB0">
            <w:pPr>
              <w:keepNext w:val="0"/>
              <w:keepLines w:val="0"/>
              <w:widowControl/>
              <w:suppressLineNumbers w:val="0"/>
              <w:spacing w:line="240" w:lineRule="auto"/>
              <w:jc w:val="left"/>
              <w:textAlignment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5.1.2.7.自动化扫码组件 1套</w:t>
            </w:r>
          </w:p>
        </w:tc>
        <w:tc>
          <w:tcPr>
            <w:tcW w:w="747" w:type="dxa"/>
            <w:tcBorders>
              <w:top w:val="single" w:color="auto" w:sz="4" w:space="0"/>
              <w:left w:val="single" w:color="auto" w:sz="4" w:space="0"/>
              <w:bottom w:val="single" w:color="auto" w:sz="4" w:space="0"/>
              <w:right w:val="single" w:color="auto" w:sz="4" w:space="0"/>
            </w:tcBorders>
            <w:vAlign w:val="center"/>
          </w:tcPr>
          <w:p w14:paraId="0C18A1BA">
            <w:pPr>
              <w:spacing w:before="60" w:after="60" w:line="240" w:lineRule="auto"/>
              <w:rPr>
                <w:rFonts w:hint="default" w:ascii="Times New Roman" w:hAnsi="Times New Roman" w:eastAsia="宋体" w:cs="Times New Roman"/>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72272595">
            <w:pPr>
              <w:spacing w:before="60" w:after="60" w:line="240" w:lineRule="auto"/>
              <w:rPr>
                <w:rFonts w:hint="default" w:ascii="Times New Roman" w:hAnsi="Times New Roman" w:eastAsia="宋体" w:cs="Times New Roman"/>
                <w:sz w:val="21"/>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0D317A05">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239B6EFB">
            <w:pPr>
              <w:spacing w:before="60" w:after="60" w:line="240" w:lineRule="auto"/>
              <w:rPr>
                <w:rFonts w:hint="default" w:ascii="Times New Roman" w:hAnsi="Times New Roman" w:eastAsia="宋体" w:cs="Times New Roman"/>
                <w:sz w:val="21"/>
                <w:szCs w:val="21"/>
                <w:highlight w:val="none"/>
              </w:rPr>
            </w:pPr>
          </w:p>
        </w:tc>
        <w:tc>
          <w:tcPr>
            <w:tcW w:w="828" w:type="dxa"/>
            <w:tcBorders>
              <w:top w:val="single" w:color="auto" w:sz="4" w:space="0"/>
              <w:left w:val="single" w:color="auto" w:sz="4" w:space="0"/>
              <w:bottom w:val="single" w:color="auto" w:sz="4" w:space="0"/>
              <w:right w:val="single" w:color="auto" w:sz="4" w:space="0"/>
            </w:tcBorders>
            <w:vAlign w:val="center"/>
          </w:tcPr>
          <w:p w14:paraId="5AD4F846">
            <w:pPr>
              <w:spacing w:before="60" w:after="60" w:line="240" w:lineRule="auto"/>
              <w:rPr>
                <w:rFonts w:hint="default" w:ascii="Times New Roman" w:hAnsi="Times New Roman" w:eastAsia="宋体" w:cs="Times New Roman"/>
                <w:sz w:val="21"/>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7A6DE856">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797E9B27">
            <w:pPr>
              <w:spacing w:before="60" w:after="60" w:line="240" w:lineRule="auto"/>
              <w:rPr>
                <w:rFonts w:hint="default" w:ascii="Times New Roman" w:hAnsi="Times New Roman" w:eastAsia="宋体" w:cs="Times New Roman"/>
                <w:sz w:val="21"/>
                <w:szCs w:val="21"/>
                <w:highlight w:val="none"/>
              </w:rPr>
            </w:pPr>
          </w:p>
        </w:tc>
        <w:tc>
          <w:tcPr>
            <w:tcW w:w="754" w:type="dxa"/>
            <w:tcBorders>
              <w:top w:val="single" w:color="auto" w:sz="4" w:space="0"/>
              <w:left w:val="single" w:color="auto" w:sz="4" w:space="0"/>
              <w:bottom w:val="single" w:color="auto" w:sz="4" w:space="0"/>
              <w:right w:val="single" w:color="auto" w:sz="4" w:space="0"/>
            </w:tcBorders>
            <w:vAlign w:val="center"/>
          </w:tcPr>
          <w:p w14:paraId="0507CD23">
            <w:pPr>
              <w:spacing w:line="240" w:lineRule="auto"/>
              <w:rPr>
                <w:rFonts w:hint="default" w:ascii="Times New Roman" w:hAnsi="Times New Roman" w:eastAsia="宋体" w:cs="Times New Roman"/>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vAlign w:val="center"/>
          </w:tcPr>
          <w:p w14:paraId="255995DF">
            <w:pPr>
              <w:spacing w:line="240" w:lineRule="auto"/>
              <w:rPr>
                <w:rFonts w:hint="default" w:ascii="Times New Roman" w:hAnsi="Times New Roman" w:eastAsia="宋体" w:cs="Times New Roman"/>
                <w:sz w:val="21"/>
                <w:szCs w:val="21"/>
                <w:highlight w:val="none"/>
              </w:rPr>
            </w:pPr>
          </w:p>
        </w:tc>
      </w:tr>
      <w:tr w14:paraId="70FFE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6" w:type="dxa"/>
            <w:tcBorders>
              <w:top w:val="single" w:color="auto" w:sz="4" w:space="0"/>
              <w:left w:val="single" w:color="auto" w:sz="4" w:space="0"/>
              <w:bottom w:val="single" w:color="auto" w:sz="4" w:space="0"/>
              <w:right w:val="single" w:color="auto" w:sz="4" w:space="0"/>
            </w:tcBorders>
            <w:vAlign w:val="center"/>
          </w:tcPr>
          <w:p w14:paraId="327D37CB">
            <w:pPr>
              <w:numPr>
                <w:ilvl w:val="0"/>
                <w:numId w:val="20"/>
              </w:numPr>
              <w:spacing w:before="60" w:after="60" w:line="240" w:lineRule="auto"/>
              <w:ind w:left="425" w:leftChars="0" w:hanging="425" w:firstLineChars="0"/>
              <w:jc w:val="center"/>
              <w:rPr>
                <w:rFonts w:hint="default" w:ascii="Times New Roman" w:hAnsi="Times New Roman" w:eastAsia="宋体" w:cs="Times New Roman"/>
                <w:sz w:val="21"/>
                <w:szCs w:val="21"/>
                <w:highlight w:val="none"/>
                <w:lang w:val="en-US" w:eastAsia="zh-CN"/>
              </w:rPr>
            </w:pPr>
          </w:p>
        </w:tc>
        <w:tc>
          <w:tcPr>
            <w:tcW w:w="4035" w:type="dxa"/>
            <w:tcBorders>
              <w:top w:val="single" w:color="auto" w:sz="4" w:space="0"/>
              <w:left w:val="single" w:color="auto" w:sz="4" w:space="0"/>
              <w:bottom w:val="single" w:color="auto" w:sz="4" w:space="0"/>
              <w:right w:val="single" w:color="auto" w:sz="4" w:space="0"/>
            </w:tcBorders>
            <w:vAlign w:val="center"/>
          </w:tcPr>
          <w:p w14:paraId="0AAAB607">
            <w:pPr>
              <w:keepNext w:val="0"/>
              <w:keepLines w:val="0"/>
              <w:widowControl/>
              <w:suppressLineNumbers w:val="0"/>
              <w:spacing w:line="240" w:lineRule="auto"/>
              <w:jc w:val="left"/>
              <w:textAlignment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5.1.2.8.自动化冻存管开关盖组件 1套</w:t>
            </w:r>
          </w:p>
        </w:tc>
        <w:tc>
          <w:tcPr>
            <w:tcW w:w="747" w:type="dxa"/>
            <w:tcBorders>
              <w:top w:val="single" w:color="auto" w:sz="4" w:space="0"/>
              <w:left w:val="single" w:color="auto" w:sz="4" w:space="0"/>
              <w:bottom w:val="single" w:color="auto" w:sz="4" w:space="0"/>
              <w:right w:val="single" w:color="auto" w:sz="4" w:space="0"/>
            </w:tcBorders>
            <w:vAlign w:val="center"/>
          </w:tcPr>
          <w:p w14:paraId="65B0024A">
            <w:pPr>
              <w:spacing w:before="60" w:after="60" w:line="240" w:lineRule="auto"/>
              <w:rPr>
                <w:rFonts w:hint="default" w:ascii="Times New Roman" w:hAnsi="Times New Roman" w:eastAsia="宋体" w:cs="Times New Roman"/>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017C40E3">
            <w:pPr>
              <w:spacing w:before="60" w:after="60" w:line="240" w:lineRule="auto"/>
              <w:rPr>
                <w:rFonts w:hint="default" w:ascii="Times New Roman" w:hAnsi="Times New Roman" w:eastAsia="宋体" w:cs="Times New Roman"/>
                <w:sz w:val="21"/>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0FDD623A">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07F79006">
            <w:pPr>
              <w:spacing w:before="60" w:after="60" w:line="240" w:lineRule="auto"/>
              <w:rPr>
                <w:rFonts w:hint="default" w:ascii="Times New Roman" w:hAnsi="Times New Roman" w:eastAsia="宋体" w:cs="Times New Roman"/>
                <w:sz w:val="21"/>
                <w:szCs w:val="21"/>
                <w:highlight w:val="none"/>
              </w:rPr>
            </w:pPr>
          </w:p>
        </w:tc>
        <w:tc>
          <w:tcPr>
            <w:tcW w:w="828" w:type="dxa"/>
            <w:tcBorders>
              <w:top w:val="single" w:color="auto" w:sz="4" w:space="0"/>
              <w:left w:val="single" w:color="auto" w:sz="4" w:space="0"/>
              <w:bottom w:val="single" w:color="auto" w:sz="4" w:space="0"/>
              <w:right w:val="single" w:color="auto" w:sz="4" w:space="0"/>
            </w:tcBorders>
            <w:vAlign w:val="center"/>
          </w:tcPr>
          <w:p w14:paraId="65525808">
            <w:pPr>
              <w:spacing w:before="60" w:after="60" w:line="240" w:lineRule="auto"/>
              <w:rPr>
                <w:rFonts w:hint="default" w:ascii="Times New Roman" w:hAnsi="Times New Roman" w:eastAsia="宋体" w:cs="Times New Roman"/>
                <w:sz w:val="21"/>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1A395786">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53AEAFF8">
            <w:pPr>
              <w:spacing w:before="60" w:after="60" w:line="240" w:lineRule="auto"/>
              <w:rPr>
                <w:rFonts w:hint="default" w:ascii="Times New Roman" w:hAnsi="Times New Roman" w:eastAsia="宋体" w:cs="Times New Roman"/>
                <w:sz w:val="21"/>
                <w:szCs w:val="21"/>
                <w:highlight w:val="none"/>
              </w:rPr>
            </w:pPr>
          </w:p>
        </w:tc>
        <w:tc>
          <w:tcPr>
            <w:tcW w:w="754" w:type="dxa"/>
            <w:tcBorders>
              <w:top w:val="single" w:color="auto" w:sz="4" w:space="0"/>
              <w:left w:val="single" w:color="auto" w:sz="4" w:space="0"/>
              <w:bottom w:val="single" w:color="auto" w:sz="4" w:space="0"/>
              <w:right w:val="single" w:color="auto" w:sz="4" w:space="0"/>
            </w:tcBorders>
            <w:vAlign w:val="center"/>
          </w:tcPr>
          <w:p w14:paraId="01E2DAEE">
            <w:pPr>
              <w:spacing w:line="240" w:lineRule="auto"/>
              <w:rPr>
                <w:rFonts w:hint="default" w:ascii="Times New Roman" w:hAnsi="Times New Roman" w:eastAsia="宋体" w:cs="Times New Roman"/>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vAlign w:val="center"/>
          </w:tcPr>
          <w:p w14:paraId="7D600BF6">
            <w:pPr>
              <w:spacing w:line="240" w:lineRule="auto"/>
              <w:rPr>
                <w:rFonts w:hint="default" w:ascii="Times New Roman" w:hAnsi="Times New Roman" w:eastAsia="宋体" w:cs="Times New Roman"/>
                <w:sz w:val="21"/>
                <w:szCs w:val="21"/>
                <w:highlight w:val="none"/>
              </w:rPr>
            </w:pPr>
          </w:p>
        </w:tc>
      </w:tr>
      <w:tr w14:paraId="2C523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816" w:type="dxa"/>
            <w:tcBorders>
              <w:top w:val="single" w:color="auto" w:sz="4" w:space="0"/>
              <w:left w:val="single" w:color="auto" w:sz="4" w:space="0"/>
              <w:bottom w:val="single" w:color="auto" w:sz="4" w:space="0"/>
              <w:right w:val="single" w:color="auto" w:sz="4" w:space="0"/>
            </w:tcBorders>
            <w:vAlign w:val="center"/>
          </w:tcPr>
          <w:p w14:paraId="049A6D11">
            <w:pPr>
              <w:numPr>
                <w:ilvl w:val="0"/>
                <w:numId w:val="20"/>
              </w:numPr>
              <w:spacing w:before="60" w:after="60" w:line="240" w:lineRule="auto"/>
              <w:ind w:left="425" w:leftChars="0" w:hanging="425" w:firstLineChars="0"/>
              <w:jc w:val="center"/>
              <w:rPr>
                <w:rFonts w:hint="default" w:ascii="Times New Roman" w:hAnsi="Times New Roman" w:eastAsia="宋体" w:cs="Times New Roman"/>
                <w:sz w:val="21"/>
                <w:szCs w:val="21"/>
                <w:highlight w:val="none"/>
                <w:lang w:val="en-US" w:eastAsia="zh-CN"/>
              </w:rPr>
            </w:pPr>
          </w:p>
        </w:tc>
        <w:tc>
          <w:tcPr>
            <w:tcW w:w="4035" w:type="dxa"/>
            <w:tcBorders>
              <w:top w:val="single" w:color="auto" w:sz="4" w:space="0"/>
              <w:left w:val="single" w:color="auto" w:sz="4" w:space="0"/>
              <w:bottom w:val="single" w:color="auto" w:sz="4" w:space="0"/>
              <w:right w:val="single" w:color="auto" w:sz="4" w:space="0"/>
            </w:tcBorders>
            <w:vAlign w:val="center"/>
          </w:tcPr>
          <w:p w14:paraId="49B43FB2">
            <w:pPr>
              <w:keepNext w:val="0"/>
              <w:keepLines w:val="0"/>
              <w:widowControl/>
              <w:suppressLineNumbers w:val="0"/>
              <w:spacing w:line="240" w:lineRule="auto"/>
              <w:jc w:val="left"/>
              <w:textAlignment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5.1.2.9.自动化撕膜组件 1套</w:t>
            </w:r>
          </w:p>
        </w:tc>
        <w:tc>
          <w:tcPr>
            <w:tcW w:w="747" w:type="dxa"/>
            <w:tcBorders>
              <w:top w:val="single" w:color="auto" w:sz="4" w:space="0"/>
              <w:left w:val="single" w:color="auto" w:sz="4" w:space="0"/>
              <w:bottom w:val="single" w:color="auto" w:sz="4" w:space="0"/>
              <w:right w:val="single" w:color="auto" w:sz="4" w:space="0"/>
            </w:tcBorders>
            <w:vAlign w:val="center"/>
          </w:tcPr>
          <w:p w14:paraId="19CFC55D">
            <w:pPr>
              <w:spacing w:before="60" w:after="60" w:line="240" w:lineRule="auto"/>
              <w:rPr>
                <w:rFonts w:hint="default" w:ascii="Times New Roman" w:hAnsi="Times New Roman" w:eastAsia="宋体" w:cs="Times New Roman"/>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4C9BC4C7">
            <w:pPr>
              <w:spacing w:before="60" w:after="60" w:line="240" w:lineRule="auto"/>
              <w:rPr>
                <w:rFonts w:hint="default" w:ascii="Times New Roman" w:hAnsi="Times New Roman" w:eastAsia="宋体" w:cs="Times New Roman"/>
                <w:sz w:val="21"/>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4CFDA702">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181DED10">
            <w:pPr>
              <w:spacing w:before="60" w:after="60" w:line="240" w:lineRule="auto"/>
              <w:rPr>
                <w:rFonts w:hint="default" w:ascii="Times New Roman" w:hAnsi="Times New Roman" w:eastAsia="宋体" w:cs="Times New Roman"/>
                <w:sz w:val="21"/>
                <w:szCs w:val="21"/>
                <w:highlight w:val="none"/>
              </w:rPr>
            </w:pPr>
          </w:p>
        </w:tc>
        <w:tc>
          <w:tcPr>
            <w:tcW w:w="828" w:type="dxa"/>
            <w:tcBorders>
              <w:top w:val="single" w:color="auto" w:sz="4" w:space="0"/>
              <w:left w:val="single" w:color="auto" w:sz="4" w:space="0"/>
              <w:bottom w:val="single" w:color="auto" w:sz="4" w:space="0"/>
              <w:right w:val="single" w:color="auto" w:sz="4" w:space="0"/>
            </w:tcBorders>
            <w:vAlign w:val="center"/>
          </w:tcPr>
          <w:p w14:paraId="135DC072">
            <w:pPr>
              <w:spacing w:before="60" w:after="60" w:line="240" w:lineRule="auto"/>
              <w:rPr>
                <w:rFonts w:hint="default" w:ascii="Times New Roman" w:hAnsi="Times New Roman" w:eastAsia="宋体" w:cs="Times New Roman"/>
                <w:sz w:val="21"/>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4C697DA5">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5CBDD2FF">
            <w:pPr>
              <w:spacing w:before="60" w:after="60" w:line="240" w:lineRule="auto"/>
              <w:rPr>
                <w:rFonts w:hint="default" w:ascii="Times New Roman" w:hAnsi="Times New Roman" w:eastAsia="宋体" w:cs="Times New Roman"/>
                <w:sz w:val="21"/>
                <w:szCs w:val="21"/>
                <w:highlight w:val="none"/>
              </w:rPr>
            </w:pPr>
          </w:p>
        </w:tc>
        <w:tc>
          <w:tcPr>
            <w:tcW w:w="754" w:type="dxa"/>
            <w:tcBorders>
              <w:top w:val="single" w:color="auto" w:sz="4" w:space="0"/>
              <w:left w:val="single" w:color="auto" w:sz="4" w:space="0"/>
              <w:bottom w:val="single" w:color="auto" w:sz="4" w:space="0"/>
              <w:right w:val="single" w:color="auto" w:sz="4" w:space="0"/>
            </w:tcBorders>
            <w:vAlign w:val="center"/>
          </w:tcPr>
          <w:p w14:paraId="3C5AF418">
            <w:pPr>
              <w:spacing w:line="240" w:lineRule="auto"/>
              <w:rPr>
                <w:rFonts w:hint="default" w:ascii="Times New Roman" w:hAnsi="Times New Roman" w:eastAsia="宋体" w:cs="Times New Roman"/>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vAlign w:val="center"/>
          </w:tcPr>
          <w:p w14:paraId="68750648">
            <w:pPr>
              <w:spacing w:line="240" w:lineRule="auto"/>
              <w:rPr>
                <w:rFonts w:hint="default" w:ascii="Times New Roman" w:hAnsi="Times New Roman" w:eastAsia="宋体" w:cs="Times New Roman"/>
                <w:sz w:val="21"/>
                <w:szCs w:val="21"/>
                <w:highlight w:val="none"/>
              </w:rPr>
            </w:pPr>
          </w:p>
        </w:tc>
      </w:tr>
      <w:tr w14:paraId="22477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6" w:type="dxa"/>
            <w:tcBorders>
              <w:top w:val="single" w:color="auto" w:sz="4" w:space="0"/>
              <w:left w:val="single" w:color="auto" w:sz="4" w:space="0"/>
              <w:bottom w:val="single" w:color="auto" w:sz="4" w:space="0"/>
              <w:right w:val="single" w:color="auto" w:sz="4" w:space="0"/>
            </w:tcBorders>
            <w:vAlign w:val="center"/>
          </w:tcPr>
          <w:p w14:paraId="303CA983">
            <w:pPr>
              <w:numPr>
                <w:ilvl w:val="0"/>
                <w:numId w:val="20"/>
              </w:numPr>
              <w:spacing w:before="60" w:after="60" w:line="240" w:lineRule="auto"/>
              <w:ind w:left="425" w:leftChars="0" w:hanging="425" w:firstLineChars="0"/>
              <w:jc w:val="center"/>
              <w:rPr>
                <w:rFonts w:hint="default" w:ascii="Times New Roman" w:hAnsi="Times New Roman" w:eastAsia="宋体" w:cs="Times New Roman"/>
                <w:sz w:val="21"/>
                <w:szCs w:val="21"/>
                <w:highlight w:val="none"/>
                <w:lang w:val="en-US" w:eastAsia="zh-CN"/>
              </w:rPr>
            </w:pPr>
          </w:p>
        </w:tc>
        <w:tc>
          <w:tcPr>
            <w:tcW w:w="4035" w:type="dxa"/>
            <w:tcBorders>
              <w:top w:val="single" w:color="auto" w:sz="4" w:space="0"/>
              <w:left w:val="single" w:color="auto" w:sz="4" w:space="0"/>
              <w:bottom w:val="single" w:color="auto" w:sz="4" w:space="0"/>
              <w:right w:val="single" w:color="auto" w:sz="4" w:space="0"/>
            </w:tcBorders>
            <w:vAlign w:val="center"/>
          </w:tcPr>
          <w:p w14:paraId="13851256">
            <w:pPr>
              <w:keepNext w:val="0"/>
              <w:keepLines w:val="0"/>
              <w:widowControl/>
              <w:suppressLineNumbers w:val="0"/>
              <w:spacing w:line="240" w:lineRule="auto"/>
              <w:jc w:val="left"/>
              <w:textAlignment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5.1.2.10.自动化封膜组件 1套</w:t>
            </w:r>
          </w:p>
        </w:tc>
        <w:tc>
          <w:tcPr>
            <w:tcW w:w="747" w:type="dxa"/>
            <w:tcBorders>
              <w:top w:val="single" w:color="auto" w:sz="4" w:space="0"/>
              <w:left w:val="single" w:color="auto" w:sz="4" w:space="0"/>
              <w:bottom w:val="single" w:color="auto" w:sz="4" w:space="0"/>
              <w:right w:val="single" w:color="auto" w:sz="4" w:space="0"/>
            </w:tcBorders>
            <w:vAlign w:val="center"/>
          </w:tcPr>
          <w:p w14:paraId="4F4A7B54">
            <w:pPr>
              <w:spacing w:before="60" w:after="60" w:line="240" w:lineRule="auto"/>
              <w:rPr>
                <w:rFonts w:hint="default" w:ascii="Times New Roman" w:hAnsi="Times New Roman" w:eastAsia="宋体" w:cs="Times New Roman"/>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08C30116">
            <w:pPr>
              <w:spacing w:before="60" w:after="60" w:line="240" w:lineRule="auto"/>
              <w:rPr>
                <w:rFonts w:hint="default" w:ascii="Times New Roman" w:hAnsi="Times New Roman" w:eastAsia="宋体" w:cs="Times New Roman"/>
                <w:sz w:val="21"/>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3FA56417">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5804A392">
            <w:pPr>
              <w:spacing w:before="60" w:after="60" w:line="240" w:lineRule="auto"/>
              <w:rPr>
                <w:rFonts w:hint="default" w:ascii="Times New Roman" w:hAnsi="Times New Roman" w:eastAsia="宋体" w:cs="Times New Roman"/>
                <w:sz w:val="21"/>
                <w:szCs w:val="21"/>
                <w:highlight w:val="none"/>
              </w:rPr>
            </w:pPr>
          </w:p>
        </w:tc>
        <w:tc>
          <w:tcPr>
            <w:tcW w:w="828" w:type="dxa"/>
            <w:tcBorders>
              <w:top w:val="single" w:color="auto" w:sz="4" w:space="0"/>
              <w:left w:val="single" w:color="auto" w:sz="4" w:space="0"/>
              <w:bottom w:val="single" w:color="auto" w:sz="4" w:space="0"/>
              <w:right w:val="single" w:color="auto" w:sz="4" w:space="0"/>
            </w:tcBorders>
            <w:vAlign w:val="center"/>
          </w:tcPr>
          <w:p w14:paraId="1A223BB4">
            <w:pPr>
              <w:spacing w:before="60" w:after="60" w:line="240" w:lineRule="auto"/>
              <w:rPr>
                <w:rFonts w:hint="default" w:ascii="Times New Roman" w:hAnsi="Times New Roman" w:eastAsia="宋体" w:cs="Times New Roman"/>
                <w:sz w:val="21"/>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76484093">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319D2746">
            <w:pPr>
              <w:spacing w:before="60" w:after="60" w:line="240" w:lineRule="auto"/>
              <w:rPr>
                <w:rFonts w:hint="default" w:ascii="Times New Roman" w:hAnsi="Times New Roman" w:eastAsia="宋体" w:cs="Times New Roman"/>
                <w:sz w:val="21"/>
                <w:szCs w:val="21"/>
                <w:highlight w:val="none"/>
              </w:rPr>
            </w:pPr>
          </w:p>
        </w:tc>
        <w:tc>
          <w:tcPr>
            <w:tcW w:w="754" w:type="dxa"/>
            <w:tcBorders>
              <w:top w:val="single" w:color="auto" w:sz="4" w:space="0"/>
              <w:left w:val="single" w:color="auto" w:sz="4" w:space="0"/>
              <w:bottom w:val="single" w:color="auto" w:sz="4" w:space="0"/>
              <w:right w:val="single" w:color="auto" w:sz="4" w:space="0"/>
            </w:tcBorders>
            <w:vAlign w:val="center"/>
          </w:tcPr>
          <w:p w14:paraId="3425D109">
            <w:pPr>
              <w:spacing w:line="240" w:lineRule="auto"/>
              <w:rPr>
                <w:rFonts w:hint="default" w:ascii="Times New Roman" w:hAnsi="Times New Roman" w:eastAsia="宋体" w:cs="Times New Roman"/>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vAlign w:val="center"/>
          </w:tcPr>
          <w:p w14:paraId="5F2338DB">
            <w:pPr>
              <w:spacing w:line="240" w:lineRule="auto"/>
              <w:rPr>
                <w:rFonts w:hint="default" w:ascii="Times New Roman" w:hAnsi="Times New Roman" w:eastAsia="宋体" w:cs="Times New Roman"/>
                <w:sz w:val="21"/>
                <w:szCs w:val="21"/>
                <w:highlight w:val="none"/>
              </w:rPr>
            </w:pPr>
          </w:p>
        </w:tc>
      </w:tr>
      <w:tr w14:paraId="2FB97E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6" w:type="dxa"/>
            <w:tcBorders>
              <w:top w:val="single" w:color="auto" w:sz="4" w:space="0"/>
              <w:left w:val="single" w:color="auto" w:sz="4" w:space="0"/>
              <w:bottom w:val="single" w:color="auto" w:sz="4" w:space="0"/>
              <w:right w:val="single" w:color="auto" w:sz="4" w:space="0"/>
            </w:tcBorders>
            <w:vAlign w:val="center"/>
          </w:tcPr>
          <w:p w14:paraId="3F79FE0E">
            <w:pPr>
              <w:numPr>
                <w:ilvl w:val="0"/>
                <w:numId w:val="20"/>
              </w:numPr>
              <w:spacing w:before="60" w:after="60" w:line="240" w:lineRule="auto"/>
              <w:ind w:left="425" w:leftChars="0" w:hanging="425" w:firstLineChars="0"/>
              <w:jc w:val="center"/>
              <w:rPr>
                <w:rFonts w:hint="default" w:ascii="Times New Roman" w:hAnsi="Times New Roman" w:eastAsia="宋体" w:cs="Times New Roman"/>
                <w:sz w:val="21"/>
                <w:szCs w:val="21"/>
                <w:highlight w:val="none"/>
                <w:lang w:val="en-US" w:eastAsia="zh-CN"/>
              </w:rPr>
            </w:pPr>
          </w:p>
        </w:tc>
        <w:tc>
          <w:tcPr>
            <w:tcW w:w="4035" w:type="dxa"/>
            <w:tcBorders>
              <w:top w:val="single" w:color="auto" w:sz="4" w:space="0"/>
              <w:left w:val="single" w:color="auto" w:sz="4" w:space="0"/>
              <w:bottom w:val="single" w:color="auto" w:sz="4" w:space="0"/>
              <w:right w:val="single" w:color="auto" w:sz="4" w:space="0"/>
            </w:tcBorders>
            <w:vAlign w:val="center"/>
          </w:tcPr>
          <w:p w14:paraId="5FABE8DC">
            <w:pPr>
              <w:keepNext w:val="0"/>
              <w:keepLines w:val="0"/>
              <w:widowControl/>
              <w:suppressLineNumbers w:val="0"/>
              <w:spacing w:line="240" w:lineRule="auto"/>
              <w:jc w:val="left"/>
              <w:textAlignment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5.1.2.11.自动化液面探测组件 1套</w:t>
            </w:r>
          </w:p>
        </w:tc>
        <w:tc>
          <w:tcPr>
            <w:tcW w:w="747" w:type="dxa"/>
            <w:tcBorders>
              <w:top w:val="single" w:color="auto" w:sz="4" w:space="0"/>
              <w:left w:val="single" w:color="auto" w:sz="4" w:space="0"/>
              <w:bottom w:val="single" w:color="auto" w:sz="4" w:space="0"/>
              <w:right w:val="single" w:color="auto" w:sz="4" w:space="0"/>
            </w:tcBorders>
            <w:vAlign w:val="center"/>
          </w:tcPr>
          <w:p w14:paraId="51CCEDBF">
            <w:pPr>
              <w:spacing w:before="60" w:after="60" w:line="240" w:lineRule="auto"/>
              <w:rPr>
                <w:rFonts w:hint="default" w:ascii="Times New Roman" w:hAnsi="Times New Roman" w:eastAsia="宋体" w:cs="Times New Roman"/>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0C6C29DD">
            <w:pPr>
              <w:spacing w:before="60" w:after="60" w:line="240" w:lineRule="auto"/>
              <w:rPr>
                <w:rFonts w:hint="default" w:ascii="Times New Roman" w:hAnsi="Times New Roman" w:eastAsia="宋体" w:cs="Times New Roman"/>
                <w:sz w:val="21"/>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2A20CBAF">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0B2F3D0D">
            <w:pPr>
              <w:spacing w:before="60" w:after="60" w:line="240" w:lineRule="auto"/>
              <w:rPr>
                <w:rFonts w:hint="default" w:ascii="Times New Roman" w:hAnsi="Times New Roman" w:eastAsia="宋体" w:cs="Times New Roman"/>
                <w:sz w:val="21"/>
                <w:szCs w:val="21"/>
                <w:highlight w:val="none"/>
              </w:rPr>
            </w:pPr>
          </w:p>
        </w:tc>
        <w:tc>
          <w:tcPr>
            <w:tcW w:w="828" w:type="dxa"/>
            <w:tcBorders>
              <w:top w:val="single" w:color="auto" w:sz="4" w:space="0"/>
              <w:left w:val="single" w:color="auto" w:sz="4" w:space="0"/>
              <w:bottom w:val="single" w:color="auto" w:sz="4" w:space="0"/>
              <w:right w:val="single" w:color="auto" w:sz="4" w:space="0"/>
            </w:tcBorders>
            <w:vAlign w:val="center"/>
          </w:tcPr>
          <w:p w14:paraId="1AAE0C3F">
            <w:pPr>
              <w:spacing w:before="60" w:after="60" w:line="240" w:lineRule="auto"/>
              <w:rPr>
                <w:rFonts w:hint="default" w:ascii="Times New Roman" w:hAnsi="Times New Roman" w:eastAsia="宋体" w:cs="Times New Roman"/>
                <w:sz w:val="21"/>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17480193">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3C5DD585">
            <w:pPr>
              <w:spacing w:before="60" w:after="60" w:line="240" w:lineRule="auto"/>
              <w:rPr>
                <w:rFonts w:hint="default" w:ascii="Times New Roman" w:hAnsi="Times New Roman" w:eastAsia="宋体" w:cs="Times New Roman"/>
                <w:sz w:val="21"/>
                <w:szCs w:val="21"/>
                <w:highlight w:val="none"/>
              </w:rPr>
            </w:pPr>
          </w:p>
        </w:tc>
        <w:tc>
          <w:tcPr>
            <w:tcW w:w="754" w:type="dxa"/>
            <w:tcBorders>
              <w:top w:val="single" w:color="auto" w:sz="4" w:space="0"/>
              <w:left w:val="single" w:color="auto" w:sz="4" w:space="0"/>
              <w:bottom w:val="single" w:color="auto" w:sz="4" w:space="0"/>
              <w:right w:val="single" w:color="auto" w:sz="4" w:space="0"/>
            </w:tcBorders>
            <w:vAlign w:val="center"/>
          </w:tcPr>
          <w:p w14:paraId="4C702C0F">
            <w:pPr>
              <w:spacing w:line="240" w:lineRule="auto"/>
              <w:rPr>
                <w:rFonts w:hint="default" w:ascii="Times New Roman" w:hAnsi="Times New Roman" w:eastAsia="宋体" w:cs="Times New Roman"/>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vAlign w:val="center"/>
          </w:tcPr>
          <w:p w14:paraId="655E4AE0">
            <w:pPr>
              <w:spacing w:line="240" w:lineRule="auto"/>
              <w:rPr>
                <w:rFonts w:hint="default" w:ascii="Times New Roman" w:hAnsi="Times New Roman" w:eastAsia="宋体" w:cs="Times New Roman"/>
                <w:sz w:val="21"/>
                <w:szCs w:val="21"/>
                <w:highlight w:val="none"/>
              </w:rPr>
            </w:pPr>
          </w:p>
        </w:tc>
      </w:tr>
      <w:tr w14:paraId="50051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6" w:type="dxa"/>
            <w:tcBorders>
              <w:top w:val="single" w:color="auto" w:sz="4" w:space="0"/>
              <w:left w:val="single" w:color="auto" w:sz="4" w:space="0"/>
              <w:bottom w:val="single" w:color="auto" w:sz="4" w:space="0"/>
              <w:right w:val="single" w:color="auto" w:sz="4" w:space="0"/>
            </w:tcBorders>
            <w:vAlign w:val="center"/>
          </w:tcPr>
          <w:p w14:paraId="397624D4">
            <w:pPr>
              <w:numPr>
                <w:ilvl w:val="0"/>
                <w:numId w:val="20"/>
              </w:numPr>
              <w:spacing w:before="60" w:after="60" w:line="240" w:lineRule="auto"/>
              <w:ind w:left="425" w:leftChars="0" w:hanging="425" w:firstLineChars="0"/>
              <w:jc w:val="center"/>
              <w:rPr>
                <w:rFonts w:hint="default" w:ascii="Times New Roman" w:hAnsi="Times New Roman" w:eastAsia="宋体" w:cs="Times New Roman"/>
                <w:sz w:val="21"/>
                <w:szCs w:val="21"/>
                <w:highlight w:val="none"/>
                <w:lang w:val="en-US" w:eastAsia="zh-CN"/>
              </w:rPr>
            </w:pPr>
          </w:p>
        </w:tc>
        <w:tc>
          <w:tcPr>
            <w:tcW w:w="4035" w:type="dxa"/>
            <w:tcBorders>
              <w:top w:val="single" w:color="auto" w:sz="4" w:space="0"/>
              <w:left w:val="single" w:color="auto" w:sz="4" w:space="0"/>
              <w:bottom w:val="single" w:color="auto" w:sz="4" w:space="0"/>
              <w:right w:val="single" w:color="auto" w:sz="4" w:space="0"/>
            </w:tcBorders>
            <w:vAlign w:val="center"/>
          </w:tcPr>
          <w:p w14:paraId="1542D725">
            <w:pPr>
              <w:keepNext w:val="0"/>
              <w:keepLines w:val="0"/>
              <w:widowControl/>
              <w:suppressLineNumbers w:val="0"/>
              <w:spacing w:line="240" w:lineRule="auto"/>
              <w:jc w:val="left"/>
              <w:textAlignment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5.1.2.12.自动化高通量研磨组件 1套</w:t>
            </w:r>
          </w:p>
        </w:tc>
        <w:tc>
          <w:tcPr>
            <w:tcW w:w="747" w:type="dxa"/>
            <w:tcBorders>
              <w:top w:val="single" w:color="auto" w:sz="4" w:space="0"/>
              <w:left w:val="single" w:color="auto" w:sz="4" w:space="0"/>
              <w:bottom w:val="single" w:color="auto" w:sz="4" w:space="0"/>
              <w:right w:val="single" w:color="auto" w:sz="4" w:space="0"/>
            </w:tcBorders>
            <w:vAlign w:val="center"/>
          </w:tcPr>
          <w:p w14:paraId="2743DF2E">
            <w:pPr>
              <w:spacing w:before="60" w:after="60" w:line="240" w:lineRule="auto"/>
              <w:rPr>
                <w:rFonts w:hint="default" w:ascii="Times New Roman" w:hAnsi="Times New Roman" w:eastAsia="宋体" w:cs="Times New Roman"/>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2E762CE4">
            <w:pPr>
              <w:spacing w:before="60" w:after="60" w:line="240" w:lineRule="auto"/>
              <w:rPr>
                <w:rFonts w:hint="default" w:ascii="Times New Roman" w:hAnsi="Times New Roman" w:eastAsia="宋体" w:cs="Times New Roman"/>
                <w:sz w:val="21"/>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5457129C">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1A390548">
            <w:pPr>
              <w:spacing w:before="60" w:after="60" w:line="240" w:lineRule="auto"/>
              <w:rPr>
                <w:rFonts w:hint="default" w:ascii="Times New Roman" w:hAnsi="Times New Roman" w:eastAsia="宋体" w:cs="Times New Roman"/>
                <w:sz w:val="21"/>
                <w:szCs w:val="21"/>
                <w:highlight w:val="none"/>
              </w:rPr>
            </w:pPr>
          </w:p>
        </w:tc>
        <w:tc>
          <w:tcPr>
            <w:tcW w:w="828" w:type="dxa"/>
            <w:tcBorders>
              <w:top w:val="single" w:color="auto" w:sz="4" w:space="0"/>
              <w:left w:val="single" w:color="auto" w:sz="4" w:space="0"/>
              <w:bottom w:val="single" w:color="auto" w:sz="4" w:space="0"/>
              <w:right w:val="single" w:color="auto" w:sz="4" w:space="0"/>
            </w:tcBorders>
            <w:vAlign w:val="center"/>
          </w:tcPr>
          <w:p w14:paraId="61474C8F">
            <w:pPr>
              <w:spacing w:before="60" w:after="60" w:line="240" w:lineRule="auto"/>
              <w:rPr>
                <w:rFonts w:hint="default" w:ascii="Times New Roman" w:hAnsi="Times New Roman" w:eastAsia="宋体" w:cs="Times New Roman"/>
                <w:sz w:val="21"/>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0039CCB2">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08B61ABE">
            <w:pPr>
              <w:spacing w:before="60" w:after="60" w:line="240" w:lineRule="auto"/>
              <w:rPr>
                <w:rFonts w:hint="default" w:ascii="Times New Roman" w:hAnsi="Times New Roman" w:eastAsia="宋体" w:cs="Times New Roman"/>
                <w:sz w:val="21"/>
                <w:szCs w:val="21"/>
                <w:highlight w:val="none"/>
              </w:rPr>
            </w:pPr>
          </w:p>
        </w:tc>
        <w:tc>
          <w:tcPr>
            <w:tcW w:w="754" w:type="dxa"/>
            <w:tcBorders>
              <w:top w:val="single" w:color="auto" w:sz="4" w:space="0"/>
              <w:left w:val="single" w:color="auto" w:sz="4" w:space="0"/>
              <w:bottom w:val="single" w:color="auto" w:sz="4" w:space="0"/>
              <w:right w:val="single" w:color="auto" w:sz="4" w:space="0"/>
            </w:tcBorders>
            <w:vAlign w:val="center"/>
          </w:tcPr>
          <w:p w14:paraId="0CB705BA">
            <w:pPr>
              <w:spacing w:line="240" w:lineRule="auto"/>
              <w:rPr>
                <w:rFonts w:hint="default" w:ascii="Times New Roman" w:hAnsi="Times New Roman" w:eastAsia="宋体" w:cs="Times New Roman"/>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vAlign w:val="center"/>
          </w:tcPr>
          <w:p w14:paraId="3E28E45F">
            <w:pPr>
              <w:spacing w:line="240" w:lineRule="auto"/>
              <w:rPr>
                <w:rFonts w:hint="default" w:ascii="Times New Roman" w:hAnsi="Times New Roman" w:eastAsia="宋体" w:cs="Times New Roman"/>
                <w:sz w:val="21"/>
                <w:szCs w:val="21"/>
                <w:highlight w:val="none"/>
              </w:rPr>
            </w:pPr>
          </w:p>
        </w:tc>
      </w:tr>
      <w:tr w14:paraId="03B0F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6" w:type="dxa"/>
            <w:tcBorders>
              <w:top w:val="single" w:color="auto" w:sz="4" w:space="0"/>
              <w:left w:val="single" w:color="auto" w:sz="4" w:space="0"/>
              <w:bottom w:val="single" w:color="auto" w:sz="4" w:space="0"/>
              <w:right w:val="single" w:color="auto" w:sz="4" w:space="0"/>
            </w:tcBorders>
            <w:vAlign w:val="center"/>
          </w:tcPr>
          <w:p w14:paraId="4DD09111">
            <w:pPr>
              <w:numPr>
                <w:ilvl w:val="0"/>
                <w:numId w:val="20"/>
              </w:numPr>
              <w:spacing w:before="60" w:after="60" w:line="240" w:lineRule="auto"/>
              <w:ind w:left="425" w:leftChars="0" w:hanging="425" w:firstLineChars="0"/>
              <w:jc w:val="center"/>
              <w:rPr>
                <w:rFonts w:hint="default" w:ascii="Times New Roman" w:hAnsi="Times New Roman" w:eastAsia="宋体" w:cs="Times New Roman"/>
                <w:sz w:val="21"/>
                <w:szCs w:val="21"/>
                <w:highlight w:val="none"/>
                <w:lang w:val="en-US" w:eastAsia="zh-CN"/>
              </w:rPr>
            </w:pPr>
          </w:p>
        </w:tc>
        <w:tc>
          <w:tcPr>
            <w:tcW w:w="4035" w:type="dxa"/>
            <w:tcBorders>
              <w:top w:val="single" w:color="auto" w:sz="4" w:space="0"/>
              <w:left w:val="single" w:color="auto" w:sz="4" w:space="0"/>
              <w:bottom w:val="single" w:color="auto" w:sz="4" w:space="0"/>
              <w:right w:val="single" w:color="auto" w:sz="4" w:space="0"/>
            </w:tcBorders>
            <w:vAlign w:val="center"/>
          </w:tcPr>
          <w:p w14:paraId="3938A363">
            <w:pPr>
              <w:keepNext w:val="0"/>
              <w:keepLines w:val="0"/>
              <w:widowControl/>
              <w:suppressLineNumbers w:val="0"/>
              <w:spacing w:line="240" w:lineRule="auto"/>
              <w:jc w:val="left"/>
              <w:textAlignment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5.1.2.13.自动化离心组件 1套</w:t>
            </w:r>
          </w:p>
        </w:tc>
        <w:tc>
          <w:tcPr>
            <w:tcW w:w="747" w:type="dxa"/>
            <w:tcBorders>
              <w:top w:val="single" w:color="auto" w:sz="4" w:space="0"/>
              <w:left w:val="single" w:color="auto" w:sz="4" w:space="0"/>
              <w:bottom w:val="single" w:color="auto" w:sz="4" w:space="0"/>
              <w:right w:val="single" w:color="auto" w:sz="4" w:space="0"/>
            </w:tcBorders>
            <w:vAlign w:val="center"/>
          </w:tcPr>
          <w:p w14:paraId="693BABED">
            <w:pPr>
              <w:spacing w:before="60" w:after="60" w:line="240" w:lineRule="auto"/>
              <w:rPr>
                <w:rFonts w:hint="default" w:ascii="Times New Roman" w:hAnsi="Times New Roman" w:eastAsia="宋体" w:cs="Times New Roman"/>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0E537BF5">
            <w:pPr>
              <w:spacing w:before="60" w:after="60" w:line="240" w:lineRule="auto"/>
              <w:rPr>
                <w:rFonts w:hint="default" w:ascii="Times New Roman" w:hAnsi="Times New Roman" w:eastAsia="宋体" w:cs="Times New Roman"/>
                <w:sz w:val="21"/>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29409586">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396FC665">
            <w:pPr>
              <w:spacing w:before="60" w:after="60" w:line="240" w:lineRule="auto"/>
              <w:rPr>
                <w:rFonts w:hint="default" w:ascii="Times New Roman" w:hAnsi="Times New Roman" w:eastAsia="宋体" w:cs="Times New Roman"/>
                <w:sz w:val="21"/>
                <w:szCs w:val="21"/>
                <w:highlight w:val="none"/>
              </w:rPr>
            </w:pPr>
          </w:p>
        </w:tc>
        <w:tc>
          <w:tcPr>
            <w:tcW w:w="828" w:type="dxa"/>
            <w:tcBorders>
              <w:top w:val="single" w:color="auto" w:sz="4" w:space="0"/>
              <w:left w:val="single" w:color="auto" w:sz="4" w:space="0"/>
              <w:bottom w:val="single" w:color="auto" w:sz="4" w:space="0"/>
              <w:right w:val="single" w:color="auto" w:sz="4" w:space="0"/>
            </w:tcBorders>
            <w:vAlign w:val="center"/>
          </w:tcPr>
          <w:p w14:paraId="4F7AAB89">
            <w:pPr>
              <w:spacing w:before="60" w:after="60" w:line="240" w:lineRule="auto"/>
              <w:rPr>
                <w:rFonts w:hint="default" w:ascii="Times New Roman" w:hAnsi="Times New Roman" w:eastAsia="宋体" w:cs="Times New Roman"/>
                <w:sz w:val="21"/>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3C30E460">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6B671E5D">
            <w:pPr>
              <w:spacing w:before="60" w:after="60" w:line="240" w:lineRule="auto"/>
              <w:rPr>
                <w:rFonts w:hint="default" w:ascii="Times New Roman" w:hAnsi="Times New Roman" w:eastAsia="宋体" w:cs="Times New Roman"/>
                <w:sz w:val="21"/>
                <w:szCs w:val="21"/>
                <w:highlight w:val="none"/>
              </w:rPr>
            </w:pPr>
          </w:p>
        </w:tc>
        <w:tc>
          <w:tcPr>
            <w:tcW w:w="754" w:type="dxa"/>
            <w:tcBorders>
              <w:top w:val="single" w:color="auto" w:sz="4" w:space="0"/>
              <w:left w:val="single" w:color="auto" w:sz="4" w:space="0"/>
              <w:bottom w:val="single" w:color="auto" w:sz="4" w:space="0"/>
              <w:right w:val="single" w:color="auto" w:sz="4" w:space="0"/>
            </w:tcBorders>
            <w:vAlign w:val="center"/>
          </w:tcPr>
          <w:p w14:paraId="14240FD8">
            <w:pPr>
              <w:spacing w:line="240" w:lineRule="auto"/>
              <w:rPr>
                <w:rFonts w:hint="default" w:ascii="Times New Roman" w:hAnsi="Times New Roman" w:eastAsia="宋体" w:cs="Times New Roman"/>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vAlign w:val="center"/>
          </w:tcPr>
          <w:p w14:paraId="710FD946">
            <w:pPr>
              <w:spacing w:line="240" w:lineRule="auto"/>
              <w:rPr>
                <w:rFonts w:hint="default" w:ascii="Times New Roman" w:hAnsi="Times New Roman" w:eastAsia="宋体" w:cs="Times New Roman"/>
                <w:sz w:val="21"/>
                <w:szCs w:val="21"/>
                <w:highlight w:val="none"/>
              </w:rPr>
            </w:pPr>
          </w:p>
        </w:tc>
      </w:tr>
      <w:tr w14:paraId="6E793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6" w:type="dxa"/>
            <w:tcBorders>
              <w:top w:val="single" w:color="auto" w:sz="4" w:space="0"/>
              <w:left w:val="single" w:color="auto" w:sz="4" w:space="0"/>
              <w:bottom w:val="single" w:color="auto" w:sz="4" w:space="0"/>
              <w:right w:val="single" w:color="auto" w:sz="4" w:space="0"/>
            </w:tcBorders>
            <w:vAlign w:val="center"/>
          </w:tcPr>
          <w:p w14:paraId="04102D22">
            <w:pPr>
              <w:numPr>
                <w:ilvl w:val="0"/>
                <w:numId w:val="20"/>
              </w:numPr>
              <w:spacing w:before="60" w:after="60" w:line="240" w:lineRule="auto"/>
              <w:ind w:left="425" w:leftChars="0" w:hanging="425" w:firstLineChars="0"/>
              <w:jc w:val="center"/>
              <w:rPr>
                <w:rFonts w:hint="default" w:ascii="Times New Roman" w:hAnsi="Times New Roman" w:eastAsia="宋体" w:cs="Times New Roman"/>
                <w:sz w:val="21"/>
                <w:szCs w:val="21"/>
                <w:highlight w:val="none"/>
                <w:lang w:val="en-US" w:eastAsia="zh-CN"/>
              </w:rPr>
            </w:pPr>
          </w:p>
        </w:tc>
        <w:tc>
          <w:tcPr>
            <w:tcW w:w="4035" w:type="dxa"/>
            <w:tcBorders>
              <w:top w:val="single" w:color="auto" w:sz="4" w:space="0"/>
              <w:left w:val="single" w:color="auto" w:sz="4" w:space="0"/>
              <w:bottom w:val="single" w:color="auto" w:sz="4" w:space="0"/>
              <w:right w:val="single" w:color="auto" w:sz="4" w:space="0"/>
            </w:tcBorders>
            <w:vAlign w:val="center"/>
          </w:tcPr>
          <w:p w14:paraId="6D29EBD8">
            <w:pPr>
              <w:keepNext w:val="0"/>
              <w:keepLines w:val="0"/>
              <w:widowControl/>
              <w:suppressLineNumbers w:val="0"/>
              <w:spacing w:line="240" w:lineRule="auto"/>
              <w:jc w:val="left"/>
              <w:textAlignment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5.1.2.14.自动化混匀组件 1套</w:t>
            </w:r>
          </w:p>
        </w:tc>
        <w:tc>
          <w:tcPr>
            <w:tcW w:w="747" w:type="dxa"/>
            <w:tcBorders>
              <w:top w:val="single" w:color="auto" w:sz="4" w:space="0"/>
              <w:left w:val="single" w:color="auto" w:sz="4" w:space="0"/>
              <w:bottom w:val="single" w:color="auto" w:sz="4" w:space="0"/>
              <w:right w:val="single" w:color="auto" w:sz="4" w:space="0"/>
            </w:tcBorders>
            <w:vAlign w:val="center"/>
          </w:tcPr>
          <w:p w14:paraId="4CDFB3D1">
            <w:pPr>
              <w:spacing w:before="60" w:after="60" w:line="240" w:lineRule="auto"/>
              <w:rPr>
                <w:rFonts w:hint="default" w:ascii="Times New Roman" w:hAnsi="Times New Roman" w:eastAsia="宋体" w:cs="Times New Roman"/>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79B3F705">
            <w:pPr>
              <w:spacing w:before="60" w:after="60" w:line="240" w:lineRule="auto"/>
              <w:rPr>
                <w:rFonts w:hint="default" w:ascii="Times New Roman" w:hAnsi="Times New Roman" w:eastAsia="宋体" w:cs="Times New Roman"/>
                <w:sz w:val="21"/>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5D601298">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5A9C53B8">
            <w:pPr>
              <w:spacing w:before="60" w:after="60" w:line="240" w:lineRule="auto"/>
              <w:rPr>
                <w:rFonts w:hint="default" w:ascii="Times New Roman" w:hAnsi="Times New Roman" w:eastAsia="宋体" w:cs="Times New Roman"/>
                <w:sz w:val="21"/>
                <w:szCs w:val="21"/>
                <w:highlight w:val="none"/>
              </w:rPr>
            </w:pPr>
          </w:p>
        </w:tc>
        <w:tc>
          <w:tcPr>
            <w:tcW w:w="828" w:type="dxa"/>
            <w:tcBorders>
              <w:top w:val="single" w:color="auto" w:sz="4" w:space="0"/>
              <w:left w:val="single" w:color="auto" w:sz="4" w:space="0"/>
              <w:bottom w:val="single" w:color="auto" w:sz="4" w:space="0"/>
              <w:right w:val="single" w:color="auto" w:sz="4" w:space="0"/>
            </w:tcBorders>
            <w:vAlign w:val="center"/>
          </w:tcPr>
          <w:p w14:paraId="416BB9F0">
            <w:pPr>
              <w:spacing w:before="60" w:after="60" w:line="240" w:lineRule="auto"/>
              <w:rPr>
                <w:rFonts w:hint="default" w:ascii="Times New Roman" w:hAnsi="Times New Roman" w:eastAsia="宋体" w:cs="Times New Roman"/>
                <w:sz w:val="21"/>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5BCD0D6F">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4B388D63">
            <w:pPr>
              <w:spacing w:before="60" w:after="60" w:line="240" w:lineRule="auto"/>
              <w:rPr>
                <w:rFonts w:hint="default" w:ascii="Times New Roman" w:hAnsi="Times New Roman" w:eastAsia="宋体" w:cs="Times New Roman"/>
                <w:sz w:val="21"/>
                <w:szCs w:val="21"/>
                <w:highlight w:val="none"/>
              </w:rPr>
            </w:pPr>
          </w:p>
        </w:tc>
        <w:tc>
          <w:tcPr>
            <w:tcW w:w="754" w:type="dxa"/>
            <w:tcBorders>
              <w:top w:val="single" w:color="auto" w:sz="4" w:space="0"/>
              <w:left w:val="single" w:color="auto" w:sz="4" w:space="0"/>
              <w:bottom w:val="single" w:color="auto" w:sz="4" w:space="0"/>
              <w:right w:val="single" w:color="auto" w:sz="4" w:space="0"/>
            </w:tcBorders>
            <w:vAlign w:val="center"/>
          </w:tcPr>
          <w:p w14:paraId="2CEE53D8">
            <w:pPr>
              <w:spacing w:line="240" w:lineRule="auto"/>
              <w:rPr>
                <w:rFonts w:hint="default" w:ascii="Times New Roman" w:hAnsi="Times New Roman" w:eastAsia="宋体" w:cs="Times New Roman"/>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vAlign w:val="center"/>
          </w:tcPr>
          <w:p w14:paraId="614BECAF">
            <w:pPr>
              <w:spacing w:line="240" w:lineRule="auto"/>
              <w:rPr>
                <w:rFonts w:hint="default" w:ascii="Times New Roman" w:hAnsi="Times New Roman" w:eastAsia="宋体" w:cs="Times New Roman"/>
                <w:sz w:val="21"/>
                <w:szCs w:val="21"/>
                <w:highlight w:val="none"/>
              </w:rPr>
            </w:pPr>
          </w:p>
        </w:tc>
      </w:tr>
      <w:tr w14:paraId="5CD85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816" w:type="dxa"/>
            <w:tcBorders>
              <w:top w:val="single" w:color="auto" w:sz="4" w:space="0"/>
              <w:left w:val="single" w:color="auto" w:sz="4" w:space="0"/>
              <w:bottom w:val="single" w:color="auto" w:sz="4" w:space="0"/>
              <w:right w:val="single" w:color="auto" w:sz="4" w:space="0"/>
            </w:tcBorders>
            <w:vAlign w:val="center"/>
          </w:tcPr>
          <w:p w14:paraId="50E9BFC5">
            <w:pPr>
              <w:numPr>
                <w:ilvl w:val="0"/>
                <w:numId w:val="20"/>
              </w:numPr>
              <w:spacing w:before="60" w:after="60" w:line="240" w:lineRule="auto"/>
              <w:ind w:left="425" w:leftChars="0" w:hanging="425" w:firstLineChars="0"/>
              <w:jc w:val="center"/>
              <w:rPr>
                <w:rFonts w:hint="default" w:ascii="Times New Roman" w:hAnsi="Times New Roman" w:eastAsia="宋体" w:cs="Times New Roman"/>
                <w:sz w:val="21"/>
                <w:szCs w:val="21"/>
                <w:highlight w:val="none"/>
                <w:lang w:val="en-US" w:eastAsia="zh-CN"/>
              </w:rPr>
            </w:pPr>
          </w:p>
        </w:tc>
        <w:tc>
          <w:tcPr>
            <w:tcW w:w="4035" w:type="dxa"/>
            <w:tcBorders>
              <w:top w:val="single" w:color="auto" w:sz="4" w:space="0"/>
              <w:left w:val="single" w:color="auto" w:sz="4" w:space="0"/>
              <w:bottom w:val="single" w:color="auto" w:sz="4" w:space="0"/>
              <w:right w:val="single" w:color="auto" w:sz="4" w:space="0"/>
            </w:tcBorders>
            <w:vAlign w:val="center"/>
          </w:tcPr>
          <w:p w14:paraId="071286A8">
            <w:pPr>
              <w:keepNext w:val="0"/>
              <w:keepLines w:val="0"/>
              <w:widowControl/>
              <w:suppressLineNumbers w:val="0"/>
              <w:spacing w:line="240" w:lineRule="auto"/>
              <w:jc w:val="left"/>
              <w:textAlignment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5.1.2.15.自动化微孔板离心组件 1套</w:t>
            </w:r>
          </w:p>
        </w:tc>
        <w:tc>
          <w:tcPr>
            <w:tcW w:w="747" w:type="dxa"/>
            <w:tcBorders>
              <w:top w:val="single" w:color="auto" w:sz="4" w:space="0"/>
              <w:left w:val="single" w:color="auto" w:sz="4" w:space="0"/>
              <w:bottom w:val="single" w:color="auto" w:sz="4" w:space="0"/>
              <w:right w:val="single" w:color="auto" w:sz="4" w:space="0"/>
            </w:tcBorders>
            <w:vAlign w:val="center"/>
          </w:tcPr>
          <w:p w14:paraId="67F0D192">
            <w:pPr>
              <w:spacing w:before="60" w:after="60" w:line="240" w:lineRule="auto"/>
              <w:rPr>
                <w:rFonts w:hint="default" w:ascii="Times New Roman" w:hAnsi="Times New Roman" w:eastAsia="宋体" w:cs="Times New Roman"/>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05894C09">
            <w:pPr>
              <w:spacing w:before="60" w:after="60" w:line="240" w:lineRule="auto"/>
              <w:rPr>
                <w:rFonts w:hint="default" w:ascii="Times New Roman" w:hAnsi="Times New Roman" w:eastAsia="宋体" w:cs="Times New Roman"/>
                <w:sz w:val="21"/>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73A40700">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73322D30">
            <w:pPr>
              <w:spacing w:before="60" w:after="60" w:line="240" w:lineRule="auto"/>
              <w:rPr>
                <w:rFonts w:hint="default" w:ascii="Times New Roman" w:hAnsi="Times New Roman" w:eastAsia="宋体" w:cs="Times New Roman"/>
                <w:sz w:val="21"/>
                <w:szCs w:val="21"/>
                <w:highlight w:val="none"/>
              </w:rPr>
            </w:pPr>
          </w:p>
        </w:tc>
        <w:tc>
          <w:tcPr>
            <w:tcW w:w="828" w:type="dxa"/>
            <w:tcBorders>
              <w:top w:val="single" w:color="auto" w:sz="4" w:space="0"/>
              <w:left w:val="single" w:color="auto" w:sz="4" w:space="0"/>
              <w:bottom w:val="single" w:color="auto" w:sz="4" w:space="0"/>
              <w:right w:val="single" w:color="auto" w:sz="4" w:space="0"/>
            </w:tcBorders>
            <w:vAlign w:val="center"/>
          </w:tcPr>
          <w:p w14:paraId="593F5E20">
            <w:pPr>
              <w:spacing w:before="60" w:after="60" w:line="240" w:lineRule="auto"/>
              <w:rPr>
                <w:rFonts w:hint="default" w:ascii="Times New Roman" w:hAnsi="Times New Roman" w:eastAsia="宋体" w:cs="Times New Roman"/>
                <w:sz w:val="21"/>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364E0BF8">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1772209D">
            <w:pPr>
              <w:spacing w:before="60" w:after="60" w:line="240" w:lineRule="auto"/>
              <w:rPr>
                <w:rFonts w:hint="default" w:ascii="Times New Roman" w:hAnsi="Times New Roman" w:eastAsia="宋体" w:cs="Times New Roman"/>
                <w:sz w:val="21"/>
                <w:szCs w:val="21"/>
                <w:highlight w:val="none"/>
              </w:rPr>
            </w:pPr>
          </w:p>
        </w:tc>
        <w:tc>
          <w:tcPr>
            <w:tcW w:w="754" w:type="dxa"/>
            <w:tcBorders>
              <w:top w:val="single" w:color="auto" w:sz="4" w:space="0"/>
              <w:left w:val="single" w:color="auto" w:sz="4" w:space="0"/>
              <w:bottom w:val="single" w:color="auto" w:sz="4" w:space="0"/>
              <w:right w:val="single" w:color="auto" w:sz="4" w:space="0"/>
            </w:tcBorders>
            <w:vAlign w:val="center"/>
          </w:tcPr>
          <w:p w14:paraId="63380644">
            <w:pPr>
              <w:spacing w:line="240" w:lineRule="auto"/>
              <w:rPr>
                <w:rFonts w:hint="default" w:ascii="Times New Roman" w:hAnsi="Times New Roman" w:eastAsia="宋体" w:cs="Times New Roman"/>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vAlign w:val="center"/>
          </w:tcPr>
          <w:p w14:paraId="4EFECA83">
            <w:pPr>
              <w:spacing w:line="240" w:lineRule="auto"/>
              <w:rPr>
                <w:rFonts w:hint="default" w:ascii="Times New Roman" w:hAnsi="Times New Roman" w:eastAsia="宋体" w:cs="Times New Roman"/>
                <w:sz w:val="21"/>
                <w:szCs w:val="21"/>
                <w:highlight w:val="none"/>
              </w:rPr>
            </w:pPr>
          </w:p>
        </w:tc>
      </w:tr>
      <w:tr w14:paraId="31D17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6" w:type="dxa"/>
            <w:tcBorders>
              <w:top w:val="single" w:color="auto" w:sz="4" w:space="0"/>
              <w:left w:val="single" w:color="auto" w:sz="4" w:space="0"/>
              <w:bottom w:val="single" w:color="auto" w:sz="4" w:space="0"/>
              <w:right w:val="single" w:color="auto" w:sz="4" w:space="0"/>
            </w:tcBorders>
            <w:vAlign w:val="center"/>
          </w:tcPr>
          <w:p w14:paraId="7D3C7ADC">
            <w:pPr>
              <w:numPr>
                <w:ilvl w:val="0"/>
                <w:numId w:val="20"/>
              </w:numPr>
              <w:spacing w:before="60" w:after="60" w:line="240" w:lineRule="auto"/>
              <w:ind w:left="425" w:leftChars="0" w:hanging="425" w:firstLineChars="0"/>
              <w:jc w:val="center"/>
              <w:rPr>
                <w:rFonts w:hint="default" w:ascii="Times New Roman" w:hAnsi="Times New Roman" w:eastAsia="宋体" w:cs="Times New Roman"/>
                <w:sz w:val="21"/>
                <w:szCs w:val="21"/>
                <w:highlight w:val="none"/>
                <w:lang w:val="en-US" w:eastAsia="zh-CN"/>
              </w:rPr>
            </w:pPr>
          </w:p>
        </w:tc>
        <w:tc>
          <w:tcPr>
            <w:tcW w:w="4035" w:type="dxa"/>
            <w:tcBorders>
              <w:top w:val="single" w:color="auto" w:sz="4" w:space="0"/>
              <w:left w:val="single" w:color="auto" w:sz="4" w:space="0"/>
              <w:bottom w:val="single" w:color="auto" w:sz="4" w:space="0"/>
              <w:right w:val="single" w:color="auto" w:sz="4" w:space="0"/>
            </w:tcBorders>
            <w:vAlign w:val="center"/>
          </w:tcPr>
          <w:p w14:paraId="5380ECF4">
            <w:pPr>
              <w:keepNext w:val="0"/>
              <w:keepLines w:val="0"/>
              <w:widowControl/>
              <w:suppressLineNumbers w:val="0"/>
              <w:spacing w:line="240" w:lineRule="auto"/>
              <w:jc w:val="left"/>
              <w:textAlignment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5.1.2.16.自动化HEPA组件 1套</w:t>
            </w:r>
          </w:p>
        </w:tc>
        <w:tc>
          <w:tcPr>
            <w:tcW w:w="747" w:type="dxa"/>
            <w:tcBorders>
              <w:top w:val="single" w:color="auto" w:sz="4" w:space="0"/>
              <w:left w:val="single" w:color="auto" w:sz="4" w:space="0"/>
              <w:bottom w:val="single" w:color="auto" w:sz="4" w:space="0"/>
              <w:right w:val="single" w:color="auto" w:sz="4" w:space="0"/>
            </w:tcBorders>
            <w:vAlign w:val="center"/>
          </w:tcPr>
          <w:p w14:paraId="36B05556">
            <w:pPr>
              <w:spacing w:before="60" w:after="60" w:line="240" w:lineRule="auto"/>
              <w:rPr>
                <w:rFonts w:hint="default" w:ascii="Times New Roman" w:hAnsi="Times New Roman" w:eastAsia="宋体" w:cs="Times New Roman"/>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2FA360DB">
            <w:pPr>
              <w:spacing w:before="60" w:after="60" w:line="240" w:lineRule="auto"/>
              <w:rPr>
                <w:rFonts w:hint="default" w:ascii="Times New Roman" w:hAnsi="Times New Roman" w:eastAsia="宋体" w:cs="Times New Roman"/>
                <w:sz w:val="21"/>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04D9EE78">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3E9E61C5">
            <w:pPr>
              <w:spacing w:before="60" w:after="60" w:line="240" w:lineRule="auto"/>
              <w:rPr>
                <w:rFonts w:hint="default" w:ascii="Times New Roman" w:hAnsi="Times New Roman" w:eastAsia="宋体" w:cs="Times New Roman"/>
                <w:sz w:val="21"/>
                <w:szCs w:val="21"/>
                <w:highlight w:val="none"/>
              </w:rPr>
            </w:pPr>
          </w:p>
        </w:tc>
        <w:tc>
          <w:tcPr>
            <w:tcW w:w="828" w:type="dxa"/>
            <w:tcBorders>
              <w:top w:val="single" w:color="auto" w:sz="4" w:space="0"/>
              <w:left w:val="single" w:color="auto" w:sz="4" w:space="0"/>
              <w:bottom w:val="single" w:color="auto" w:sz="4" w:space="0"/>
              <w:right w:val="single" w:color="auto" w:sz="4" w:space="0"/>
            </w:tcBorders>
            <w:vAlign w:val="center"/>
          </w:tcPr>
          <w:p w14:paraId="4098EE77">
            <w:pPr>
              <w:spacing w:before="60" w:after="60" w:line="240" w:lineRule="auto"/>
              <w:rPr>
                <w:rFonts w:hint="default" w:ascii="Times New Roman" w:hAnsi="Times New Roman" w:eastAsia="宋体" w:cs="Times New Roman"/>
                <w:sz w:val="21"/>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2BCE53B6">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14FB1FB4">
            <w:pPr>
              <w:spacing w:before="60" w:after="60" w:line="240" w:lineRule="auto"/>
              <w:rPr>
                <w:rFonts w:hint="default" w:ascii="Times New Roman" w:hAnsi="Times New Roman" w:eastAsia="宋体" w:cs="Times New Roman"/>
                <w:sz w:val="21"/>
                <w:szCs w:val="21"/>
                <w:highlight w:val="none"/>
              </w:rPr>
            </w:pPr>
          </w:p>
        </w:tc>
        <w:tc>
          <w:tcPr>
            <w:tcW w:w="754" w:type="dxa"/>
            <w:tcBorders>
              <w:top w:val="single" w:color="auto" w:sz="4" w:space="0"/>
              <w:left w:val="single" w:color="auto" w:sz="4" w:space="0"/>
              <w:bottom w:val="single" w:color="auto" w:sz="4" w:space="0"/>
              <w:right w:val="single" w:color="auto" w:sz="4" w:space="0"/>
            </w:tcBorders>
            <w:vAlign w:val="center"/>
          </w:tcPr>
          <w:p w14:paraId="5DF79E32">
            <w:pPr>
              <w:spacing w:line="240" w:lineRule="auto"/>
              <w:rPr>
                <w:rFonts w:hint="default" w:ascii="Times New Roman" w:hAnsi="Times New Roman" w:eastAsia="宋体" w:cs="Times New Roman"/>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vAlign w:val="center"/>
          </w:tcPr>
          <w:p w14:paraId="7D18265F">
            <w:pPr>
              <w:spacing w:line="240" w:lineRule="auto"/>
              <w:rPr>
                <w:rFonts w:hint="default" w:ascii="Times New Roman" w:hAnsi="Times New Roman" w:eastAsia="宋体" w:cs="Times New Roman"/>
                <w:sz w:val="21"/>
                <w:szCs w:val="21"/>
                <w:highlight w:val="none"/>
              </w:rPr>
            </w:pPr>
          </w:p>
        </w:tc>
      </w:tr>
      <w:tr w14:paraId="69B70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6" w:type="dxa"/>
            <w:tcBorders>
              <w:top w:val="single" w:color="auto" w:sz="4" w:space="0"/>
              <w:left w:val="single" w:color="auto" w:sz="4" w:space="0"/>
              <w:bottom w:val="single" w:color="auto" w:sz="4" w:space="0"/>
              <w:right w:val="single" w:color="auto" w:sz="4" w:space="0"/>
            </w:tcBorders>
            <w:vAlign w:val="center"/>
          </w:tcPr>
          <w:p w14:paraId="028E7D4E">
            <w:pPr>
              <w:numPr>
                <w:ilvl w:val="0"/>
                <w:numId w:val="20"/>
              </w:numPr>
              <w:spacing w:before="60" w:after="60" w:line="240" w:lineRule="auto"/>
              <w:ind w:left="425" w:leftChars="0" w:hanging="425" w:firstLineChars="0"/>
              <w:jc w:val="center"/>
              <w:rPr>
                <w:rFonts w:hint="default" w:ascii="Times New Roman" w:hAnsi="Times New Roman" w:eastAsia="宋体" w:cs="Times New Roman"/>
                <w:sz w:val="21"/>
                <w:szCs w:val="21"/>
                <w:highlight w:val="none"/>
                <w:lang w:val="en-US" w:eastAsia="zh-CN"/>
              </w:rPr>
            </w:pPr>
          </w:p>
        </w:tc>
        <w:tc>
          <w:tcPr>
            <w:tcW w:w="4035" w:type="dxa"/>
            <w:tcBorders>
              <w:top w:val="single" w:color="auto" w:sz="4" w:space="0"/>
              <w:left w:val="single" w:color="auto" w:sz="4" w:space="0"/>
              <w:bottom w:val="single" w:color="auto" w:sz="4" w:space="0"/>
              <w:right w:val="single" w:color="auto" w:sz="4" w:space="0"/>
            </w:tcBorders>
            <w:vAlign w:val="center"/>
          </w:tcPr>
          <w:p w14:paraId="6EBD5D86">
            <w:pPr>
              <w:keepNext w:val="0"/>
              <w:keepLines w:val="0"/>
              <w:widowControl/>
              <w:suppressLineNumbers w:val="0"/>
              <w:spacing w:line="240" w:lineRule="auto"/>
              <w:jc w:val="left"/>
              <w:textAlignment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5.1.2.17.自动化化工作台及电控组件 1套</w:t>
            </w:r>
          </w:p>
        </w:tc>
        <w:tc>
          <w:tcPr>
            <w:tcW w:w="747" w:type="dxa"/>
            <w:tcBorders>
              <w:top w:val="single" w:color="auto" w:sz="4" w:space="0"/>
              <w:left w:val="single" w:color="auto" w:sz="4" w:space="0"/>
              <w:bottom w:val="single" w:color="auto" w:sz="4" w:space="0"/>
              <w:right w:val="single" w:color="auto" w:sz="4" w:space="0"/>
            </w:tcBorders>
            <w:vAlign w:val="center"/>
          </w:tcPr>
          <w:p w14:paraId="788118CB">
            <w:pPr>
              <w:spacing w:before="60" w:after="60" w:line="240" w:lineRule="auto"/>
              <w:rPr>
                <w:rFonts w:hint="default" w:ascii="Times New Roman" w:hAnsi="Times New Roman" w:eastAsia="宋体" w:cs="Times New Roman"/>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3C98C8C2">
            <w:pPr>
              <w:spacing w:before="60" w:after="60" w:line="240" w:lineRule="auto"/>
              <w:rPr>
                <w:rFonts w:hint="default" w:ascii="Times New Roman" w:hAnsi="Times New Roman" w:eastAsia="宋体" w:cs="Times New Roman"/>
                <w:sz w:val="21"/>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189CA5CD">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0A53A50B">
            <w:pPr>
              <w:spacing w:before="60" w:after="60" w:line="240" w:lineRule="auto"/>
              <w:rPr>
                <w:rFonts w:hint="default" w:ascii="Times New Roman" w:hAnsi="Times New Roman" w:eastAsia="宋体" w:cs="Times New Roman"/>
                <w:sz w:val="21"/>
                <w:szCs w:val="21"/>
                <w:highlight w:val="none"/>
              </w:rPr>
            </w:pPr>
          </w:p>
        </w:tc>
        <w:tc>
          <w:tcPr>
            <w:tcW w:w="828" w:type="dxa"/>
            <w:tcBorders>
              <w:top w:val="single" w:color="auto" w:sz="4" w:space="0"/>
              <w:left w:val="single" w:color="auto" w:sz="4" w:space="0"/>
              <w:bottom w:val="single" w:color="auto" w:sz="4" w:space="0"/>
              <w:right w:val="single" w:color="auto" w:sz="4" w:space="0"/>
            </w:tcBorders>
            <w:vAlign w:val="center"/>
          </w:tcPr>
          <w:p w14:paraId="3676F5AE">
            <w:pPr>
              <w:spacing w:before="60" w:after="60" w:line="240" w:lineRule="auto"/>
              <w:rPr>
                <w:rFonts w:hint="default" w:ascii="Times New Roman" w:hAnsi="Times New Roman" w:eastAsia="宋体" w:cs="Times New Roman"/>
                <w:sz w:val="21"/>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175C03A5">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74DF94AB">
            <w:pPr>
              <w:spacing w:before="60" w:after="60" w:line="240" w:lineRule="auto"/>
              <w:rPr>
                <w:rFonts w:hint="default" w:ascii="Times New Roman" w:hAnsi="Times New Roman" w:eastAsia="宋体" w:cs="Times New Roman"/>
                <w:sz w:val="21"/>
                <w:szCs w:val="21"/>
                <w:highlight w:val="none"/>
              </w:rPr>
            </w:pPr>
          </w:p>
        </w:tc>
        <w:tc>
          <w:tcPr>
            <w:tcW w:w="754" w:type="dxa"/>
            <w:tcBorders>
              <w:top w:val="single" w:color="auto" w:sz="4" w:space="0"/>
              <w:left w:val="single" w:color="auto" w:sz="4" w:space="0"/>
              <w:bottom w:val="single" w:color="auto" w:sz="4" w:space="0"/>
              <w:right w:val="single" w:color="auto" w:sz="4" w:space="0"/>
            </w:tcBorders>
            <w:vAlign w:val="center"/>
          </w:tcPr>
          <w:p w14:paraId="77A574AC">
            <w:pPr>
              <w:spacing w:line="240" w:lineRule="auto"/>
              <w:rPr>
                <w:rFonts w:hint="default" w:ascii="Times New Roman" w:hAnsi="Times New Roman" w:eastAsia="宋体" w:cs="Times New Roman"/>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vAlign w:val="center"/>
          </w:tcPr>
          <w:p w14:paraId="76ECF6DD">
            <w:pPr>
              <w:spacing w:line="240" w:lineRule="auto"/>
              <w:rPr>
                <w:rFonts w:hint="default" w:ascii="Times New Roman" w:hAnsi="Times New Roman" w:eastAsia="宋体" w:cs="Times New Roman"/>
                <w:sz w:val="21"/>
                <w:szCs w:val="21"/>
                <w:highlight w:val="none"/>
              </w:rPr>
            </w:pPr>
          </w:p>
        </w:tc>
      </w:tr>
      <w:tr w14:paraId="1513D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816" w:type="dxa"/>
            <w:tcBorders>
              <w:top w:val="single" w:color="auto" w:sz="4" w:space="0"/>
              <w:left w:val="single" w:color="auto" w:sz="4" w:space="0"/>
              <w:bottom w:val="single" w:color="auto" w:sz="4" w:space="0"/>
              <w:right w:val="single" w:color="auto" w:sz="4" w:space="0"/>
            </w:tcBorders>
            <w:vAlign w:val="center"/>
          </w:tcPr>
          <w:p w14:paraId="0AF90CD8">
            <w:pPr>
              <w:numPr>
                <w:ilvl w:val="0"/>
                <w:numId w:val="20"/>
              </w:numPr>
              <w:spacing w:before="60" w:after="60" w:line="240" w:lineRule="auto"/>
              <w:ind w:left="425" w:leftChars="0" w:hanging="425" w:firstLineChars="0"/>
              <w:jc w:val="center"/>
              <w:rPr>
                <w:rFonts w:hint="default" w:ascii="Times New Roman" w:hAnsi="Times New Roman" w:eastAsia="宋体" w:cs="Times New Roman"/>
                <w:sz w:val="21"/>
                <w:szCs w:val="21"/>
                <w:highlight w:val="none"/>
                <w:lang w:val="en-US" w:eastAsia="zh-CN"/>
              </w:rPr>
            </w:pPr>
          </w:p>
        </w:tc>
        <w:tc>
          <w:tcPr>
            <w:tcW w:w="4035" w:type="dxa"/>
            <w:tcBorders>
              <w:top w:val="single" w:color="auto" w:sz="4" w:space="0"/>
              <w:left w:val="single" w:color="auto" w:sz="4" w:space="0"/>
              <w:bottom w:val="single" w:color="auto" w:sz="4" w:space="0"/>
              <w:right w:val="single" w:color="auto" w:sz="4" w:space="0"/>
            </w:tcBorders>
            <w:vAlign w:val="center"/>
          </w:tcPr>
          <w:p w14:paraId="47389823">
            <w:pPr>
              <w:keepNext w:val="0"/>
              <w:keepLines w:val="0"/>
              <w:widowControl/>
              <w:suppressLineNumbers w:val="0"/>
              <w:spacing w:line="240" w:lineRule="auto"/>
              <w:jc w:val="left"/>
              <w:textAlignment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5.1.2.18.中央控制软件 1套</w:t>
            </w:r>
          </w:p>
        </w:tc>
        <w:tc>
          <w:tcPr>
            <w:tcW w:w="747" w:type="dxa"/>
            <w:tcBorders>
              <w:top w:val="single" w:color="auto" w:sz="4" w:space="0"/>
              <w:left w:val="single" w:color="auto" w:sz="4" w:space="0"/>
              <w:bottom w:val="single" w:color="auto" w:sz="4" w:space="0"/>
              <w:right w:val="single" w:color="auto" w:sz="4" w:space="0"/>
            </w:tcBorders>
            <w:vAlign w:val="center"/>
          </w:tcPr>
          <w:p w14:paraId="130F837F">
            <w:pPr>
              <w:spacing w:before="60" w:after="60" w:line="240" w:lineRule="auto"/>
              <w:rPr>
                <w:rFonts w:hint="default" w:ascii="Times New Roman" w:hAnsi="Times New Roman" w:eastAsia="宋体" w:cs="Times New Roman"/>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58D09040">
            <w:pPr>
              <w:spacing w:before="60" w:after="60" w:line="240" w:lineRule="auto"/>
              <w:rPr>
                <w:rFonts w:hint="default" w:ascii="Times New Roman" w:hAnsi="Times New Roman" w:eastAsia="宋体" w:cs="Times New Roman"/>
                <w:sz w:val="21"/>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4F713BCB">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747AEF36">
            <w:pPr>
              <w:spacing w:before="60" w:after="60" w:line="240" w:lineRule="auto"/>
              <w:rPr>
                <w:rFonts w:hint="default" w:ascii="Times New Roman" w:hAnsi="Times New Roman" w:eastAsia="宋体" w:cs="Times New Roman"/>
                <w:sz w:val="21"/>
                <w:szCs w:val="21"/>
                <w:highlight w:val="none"/>
              </w:rPr>
            </w:pPr>
          </w:p>
        </w:tc>
        <w:tc>
          <w:tcPr>
            <w:tcW w:w="828" w:type="dxa"/>
            <w:tcBorders>
              <w:top w:val="single" w:color="auto" w:sz="4" w:space="0"/>
              <w:left w:val="single" w:color="auto" w:sz="4" w:space="0"/>
              <w:bottom w:val="single" w:color="auto" w:sz="4" w:space="0"/>
              <w:right w:val="single" w:color="auto" w:sz="4" w:space="0"/>
            </w:tcBorders>
            <w:vAlign w:val="center"/>
          </w:tcPr>
          <w:p w14:paraId="1F91EDB6">
            <w:pPr>
              <w:spacing w:before="60" w:after="60" w:line="240" w:lineRule="auto"/>
              <w:rPr>
                <w:rFonts w:hint="default" w:ascii="Times New Roman" w:hAnsi="Times New Roman" w:eastAsia="宋体" w:cs="Times New Roman"/>
                <w:sz w:val="21"/>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5A14A4F0">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012CDF67">
            <w:pPr>
              <w:spacing w:before="60" w:after="60" w:line="240" w:lineRule="auto"/>
              <w:rPr>
                <w:rFonts w:hint="default" w:ascii="Times New Roman" w:hAnsi="Times New Roman" w:eastAsia="宋体" w:cs="Times New Roman"/>
                <w:sz w:val="21"/>
                <w:szCs w:val="21"/>
                <w:highlight w:val="none"/>
              </w:rPr>
            </w:pPr>
          </w:p>
        </w:tc>
        <w:tc>
          <w:tcPr>
            <w:tcW w:w="754" w:type="dxa"/>
            <w:tcBorders>
              <w:top w:val="single" w:color="auto" w:sz="4" w:space="0"/>
              <w:left w:val="single" w:color="auto" w:sz="4" w:space="0"/>
              <w:bottom w:val="single" w:color="auto" w:sz="4" w:space="0"/>
              <w:right w:val="single" w:color="auto" w:sz="4" w:space="0"/>
            </w:tcBorders>
            <w:vAlign w:val="center"/>
          </w:tcPr>
          <w:p w14:paraId="1359BC77">
            <w:pPr>
              <w:spacing w:line="240" w:lineRule="auto"/>
              <w:rPr>
                <w:rFonts w:hint="default" w:ascii="Times New Roman" w:hAnsi="Times New Roman" w:eastAsia="宋体" w:cs="Times New Roman"/>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vAlign w:val="center"/>
          </w:tcPr>
          <w:p w14:paraId="03732A38">
            <w:pPr>
              <w:spacing w:line="240" w:lineRule="auto"/>
              <w:rPr>
                <w:rFonts w:hint="default" w:ascii="Times New Roman" w:hAnsi="Times New Roman" w:eastAsia="宋体" w:cs="Times New Roman"/>
                <w:sz w:val="21"/>
                <w:szCs w:val="21"/>
                <w:highlight w:val="none"/>
              </w:rPr>
            </w:pPr>
          </w:p>
        </w:tc>
      </w:tr>
      <w:tr w14:paraId="66AF9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816" w:type="dxa"/>
            <w:tcBorders>
              <w:top w:val="single" w:color="auto" w:sz="4" w:space="0"/>
              <w:left w:val="single" w:color="auto" w:sz="4" w:space="0"/>
              <w:bottom w:val="single" w:color="auto" w:sz="4" w:space="0"/>
              <w:right w:val="single" w:color="auto" w:sz="4" w:space="0"/>
            </w:tcBorders>
            <w:vAlign w:val="center"/>
          </w:tcPr>
          <w:p w14:paraId="4551E5F3">
            <w:pPr>
              <w:numPr>
                <w:ilvl w:val="0"/>
                <w:numId w:val="20"/>
              </w:numPr>
              <w:spacing w:before="60" w:after="60" w:line="240" w:lineRule="auto"/>
              <w:ind w:left="425" w:leftChars="0" w:hanging="425" w:firstLineChars="0"/>
              <w:jc w:val="center"/>
              <w:rPr>
                <w:rFonts w:hint="default" w:ascii="Times New Roman" w:hAnsi="Times New Roman" w:eastAsia="宋体" w:cs="Times New Roman"/>
                <w:sz w:val="21"/>
                <w:szCs w:val="21"/>
                <w:highlight w:val="none"/>
                <w:lang w:val="en-US" w:eastAsia="zh-CN"/>
              </w:rPr>
            </w:pPr>
          </w:p>
        </w:tc>
        <w:tc>
          <w:tcPr>
            <w:tcW w:w="4035" w:type="dxa"/>
            <w:tcBorders>
              <w:top w:val="single" w:color="auto" w:sz="4" w:space="0"/>
              <w:left w:val="single" w:color="auto" w:sz="4" w:space="0"/>
              <w:bottom w:val="single" w:color="auto" w:sz="4" w:space="0"/>
              <w:right w:val="single" w:color="auto" w:sz="4" w:space="0"/>
            </w:tcBorders>
            <w:vAlign w:val="center"/>
          </w:tcPr>
          <w:p w14:paraId="1107EB9B">
            <w:pPr>
              <w:keepNext w:val="0"/>
              <w:keepLines w:val="0"/>
              <w:widowControl/>
              <w:suppressLineNumbers w:val="0"/>
              <w:spacing w:line="240" w:lineRule="auto"/>
              <w:jc w:val="left"/>
              <w:textAlignment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5.2.全自动提取模块</w:t>
            </w:r>
          </w:p>
        </w:tc>
        <w:tc>
          <w:tcPr>
            <w:tcW w:w="747" w:type="dxa"/>
            <w:tcBorders>
              <w:top w:val="single" w:color="auto" w:sz="4" w:space="0"/>
              <w:left w:val="single" w:color="auto" w:sz="4" w:space="0"/>
              <w:bottom w:val="single" w:color="auto" w:sz="4" w:space="0"/>
              <w:right w:val="single" w:color="auto" w:sz="4" w:space="0"/>
            </w:tcBorders>
            <w:vAlign w:val="center"/>
          </w:tcPr>
          <w:p w14:paraId="254B57A5">
            <w:pPr>
              <w:spacing w:before="60" w:after="60" w:line="240" w:lineRule="auto"/>
              <w:rPr>
                <w:rFonts w:hint="default" w:ascii="Times New Roman" w:hAnsi="Times New Roman" w:eastAsia="宋体" w:cs="Times New Roman"/>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31972423">
            <w:pPr>
              <w:spacing w:before="60" w:after="60" w:line="240" w:lineRule="auto"/>
              <w:rPr>
                <w:rFonts w:hint="default" w:ascii="Times New Roman" w:hAnsi="Times New Roman" w:eastAsia="宋体" w:cs="Times New Roman"/>
                <w:sz w:val="21"/>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1BF4F768">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087B5056">
            <w:pPr>
              <w:spacing w:before="60" w:after="60" w:line="240" w:lineRule="auto"/>
              <w:rPr>
                <w:rFonts w:hint="default" w:ascii="Times New Roman" w:hAnsi="Times New Roman" w:eastAsia="宋体" w:cs="Times New Roman"/>
                <w:sz w:val="21"/>
                <w:szCs w:val="21"/>
                <w:highlight w:val="none"/>
              </w:rPr>
            </w:pPr>
          </w:p>
        </w:tc>
        <w:tc>
          <w:tcPr>
            <w:tcW w:w="828" w:type="dxa"/>
            <w:tcBorders>
              <w:top w:val="single" w:color="auto" w:sz="4" w:space="0"/>
              <w:left w:val="single" w:color="auto" w:sz="4" w:space="0"/>
              <w:bottom w:val="single" w:color="auto" w:sz="4" w:space="0"/>
              <w:right w:val="single" w:color="auto" w:sz="4" w:space="0"/>
            </w:tcBorders>
            <w:vAlign w:val="center"/>
          </w:tcPr>
          <w:p w14:paraId="105D13C9">
            <w:pPr>
              <w:spacing w:before="60" w:after="60" w:line="240" w:lineRule="auto"/>
              <w:rPr>
                <w:rFonts w:hint="default" w:ascii="Times New Roman" w:hAnsi="Times New Roman" w:eastAsia="宋体" w:cs="Times New Roman"/>
                <w:sz w:val="21"/>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65DE15A4">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547B7EAE">
            <w:pPr>
              <w:spacing w:before="60" w:after="60" w:line="240" w:lineRule="auto"/>
              <w:rPr>
                <w:rFonts w:hint="default" w:ascii="Times New Roman" w:hAnsi="Times New Roman" w:eastAsia="宋体" w:cs="Times New Roman"/>
                <w:sz w:val="21"/>
                <w:szCs w:val="21"/>
                <w:highlight w:val="none"/>
              </w:rPr>
            </w:pPr>
          </w:p>
        </w:tc>
        <w:tc>
          <w:tcPr>
            <w:tcW w:w="754" w:type="dxa"/>
            <w:tcBorders>
              <w:top w:val="single" w:color="auto" w:sz="4" w:space="0"/>
              <w:left w:val="single" w:color="auto" w:sz="4" w:space="0"/>
              <w:bottom w:val="single" w:color="auto" w:sz="4" w:space="0"/>
              <w:right w:val="single" w:color="auto" w:sz="4" w:space="0"/>
            </w:tcBorders>
            <w:vAlign w:val="center"/>
          </w:tcPr>
          <w:p w14:paraId="6BA71EF4">
            <w:pPr>
              <w:spacing w:line="240" w:lineRule="auto"/>
              <w:rPr>
                <w:rFonts w:hint="default" w:ascii="Times New Roman" w:hAnsi="Times New Roman" w:eastAsia="宋体" w:cs="Times New Roman"/>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vAlign w:val="center"/>
          </w:tcPr>
          <w:p w14:paraId="51E0FDFB">
            <w:pPr>
              <w:spacing w:line="240" w:lineRule="auto"/>
              <w:rPr>
                <w:rFonts w:hint="default" w:ascii="Times New Roman" w:hAnsi="Times New Roman" w:eastAsia="宋体" w:cs="Times New Roman"/>
                <w:sz w:val="21"/>
                <w:szCs w:val="21"/>
                <w:highlight w:val="none"/>
              </w:rPr>
            </w:pPr>
          </w:p>
        </w:tc>
      </w:tr>
      <w:tr w14:paraId="7A126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6" w:type="dxa"/>
            <w:tcBorders>
              <w:top w:val="single" w:color="auto" w:sz="4" w:space="0"/>
              <w:left w:val="single" w:color="auto" w:sz="4" w:space="0"/>
              <w:bottom w:val="single" w:color="auto" w:sz="4" w:space="0"/>
              <w:right w:val="single" w:color="auto" w:sz="4" w:space="0"/>
            </w:tcBorders>
            <w:vAlign w:val="center"/>
          </w:tcPr>
          <w:p w14:paraId="534CE9DA">
            <w:pPr>
              <w:numPr>
                <w:ilvl w:val="0"/>
                <w:numId w:val="20"/>
              </w:numPr>
              <w:spacing w:before="60" w:after="60" w:line="240" w:lineRule="auto"/>
              <w:ind w:left="425" w:leftChars="0" w:hanging="425" w:firstLineChars="0"/>
              <w:jc w:val="center"/>
              <w:rPr>
                <w:rFonts w:hint="default" w:ascii="Times New Roman" w:hAnsi="Times New Roman" w:eastAsia="宋体" w:cs="Times New Roman"/>
                <w:sz w:val="21"/>
                <w:szCs w:val="21"/>
                <w:highlight w:val="none"/>
                <w:lang w:val="en-US" w:eastAsia="zh-CN"/>
              </w:rPr>
            </w:pPr>
          </w:p>
        </w:tc>
        <w:tc>
          <w:tcPr>
            <w:tcW w:w="4035" w:type="dxa"/>
            <w:tcBorders>
              <w:top w:val="single" w:color="auto" w:sz="4" w:space="0"/>
              <w:left w:val="single" w:color="auto" w:sz="4" w:space="0"/>
              <w:bottom w:val="single" w:color="auto" w:sz="4" w:space="0"/>
              <w:right w:val="single" w:color="auto" w:sz="4" w:space="0"/>
            </w:tcBorders>
            <w:vAlign w:val="center"/>
          </w:tcPr>
          <w:p w14:paraId="72BDF323">
            <w:pPr>
              <w:keepNext w:val="0"/>
              <w:keepLines w:val="0"/>
              <w:widowControl/>
              <w:suppressLineNumbers w:val="0"/>
              <w:spacing w:line="240" w:lineRule="auto"/>
              <w:jc w:val="left"/>
              <w:textAlignment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5.2.1.自动化物料转运组件 1套</w:t>
            </w:r>
          </w:p>
        </w:tc>
        <w:tc>
          <w:tcPr>
            <w:tcW w:w="747" w:type="dxa"/>
            <w:tcBorders>
              <w:top w:val="single" w:color="auto" w:sz="4" w:space="0"/>
              <w:left w:val="single" w:color="auto" w:sz="4" w:space="0"/>
              <w:bottom w:val="single" w:color="auto" w:sz="4" w:space="0"/>
              <w:right w:val="single" w:color="auto" w:sz="4" w:space="0"/>
            </w:tcBorders>
            <w:vAlign w:val="center"/>
          </w:tcPr>
          <w:p w14:paraId="29C6FD5E">
            <w:pPr>
              <w:spacing w:before="60" w:after="60" w:line="240" w:lineRule="auto"/>
              <w:rPr>
                <w:rFonts w:hint="default" w:ascii="Times New Roman" w:hAnsi="Times New Roman" w:eastAsia="宋体" w:cs="Times New Roman"/>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5C1FF5F5">
            <w:pPr>
              <w:spacing w:before="60" w:after="60" w:line="240" w:lineRule="auto"/>
              <w:rPr>
                <w:rFonts w:hint="default" w:ascii="Times New Roman" w:hAnsi="Times New Roman" w:eastAsia="宋体" w:cs="Times New Roman"/>
                <w:sz w:val="21"/>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343EA2CA">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64DC5876">
            <w:pPr>
              <w:spacing w:before="60" w:after="60" w:line="240" w:lineRule="auto"/>
              <w:rPr>
                <w:rFonts w:hint="default" w:ascii="Times New Roman" w:hAnsi="Times New Roman" w:eastAsia="宋体" w:cs="Times New Roman"/>
                <w:sz w:val="21"/>
                <w:szCs w:val="21"/>
                <w:highlight w:val="none"/>
              </w:rPr>
            </w:pPr>
          </w:p>
        </w:tc>
        <w:tc>
          <w:tcPr>
            <w:tcW w:w="828" w:type="dxa"/>
            <w:tcBorders>
              <w:top w:val="single" w:color="auto" w:sz="4" w:space="0"/>
              <w:left w:val="single" w:color="auto" w:sz="4" w:space="0"/>
              <w:bottom w:val="single" w:color="auto" w:sz="4" w:space="0"/>
              <w:right w:val="single" w:color="auto" w:sz="4" w:space="0"/>
            </w:tcBorders>
            <w:vAlign w:val="center"/>
          </w:tcPr>
          <w:p w14:paraId="2C6C9715">
            <w:pPr>
              <w:spacing w:before="60" w:after="60" w:line="240" w:lineRule="auto"/>
              <w:rPr>
                <w:rFonts w:hint="default" w:ascii="Times New Roman" w:hAnsi="Times New Roman" w:eastAsia="宋体" w:cs="Times New Roman"/>
                <w:sz w:val="21"/>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7F7C0F98">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7336CA39">
            <w:pPr>
              <w:spacing w:before="60" w:after="60" w:line="240" w:lineRule="auto"/>
              <w:rPr>
                <w:rFonts w:hint="default" w:ascii="Times New Roman" w:hAnsi="Times New Roman" w:eastAsia="宋体" w:cs="Times New Roman"/>
                <w:sz w:val="21"/>
                <w:szCs w:val="21"/>
                <w:highlight w:val="none"/>
              </w:rPr>
            </w:pPr>
          </w:p>
        </w:tc>
        <w:tc>
          <w:tcPr>
            <w:tcW w:w="754" w:type="dxa"/>
            <w:tcBorders>
              <w:top w:val="single" w:color="auto" w:sz="4" w:space="0"/>
              <w:left w:val="single" w:color="auto" w:sz="4" w:space="0"/>
              <w:bottom w:val="single" w:color="auto" w:sz="4" w:space="0"/>
              <w:right w:val="single" w:color="auto" w:sz="4" w:space="0"/>
            </w:tcBorders>
            <w:vAlign w:val="center"/>
          </w:tcPr>
          <w:p w14:paraId="2E30D93E">
            <w:pPr>
              <w:spacing w:line="240" w:lineRule="auto"/>
              <w:rPr>
                <w:rFonts w:hint="default" w:ascii="Times New Roman" w:hAnsi="Times New Roman" w:eastAsia="宋体" w:cs="Times New Roman"/>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vAlign w:val="center"/>
          </w:tcPr>
          <w:p w14:paraId="5DB68868">
            <w:pPr>
              <w:spacing w:line="240" w:lineRule="auto"/>
              <w:rPr>
                <w:rFonts w:hint="default" w:ascii="Times New Roman" w:hAnsi="Times New Roman" w:eastAsia="宋体" w:cs="Times New Roman"/>
                <w:sz w:val="21"/>
                <w:szCs w:val="21"/>
                <w:highlight w:val="none"/>
              </w:rPr>
            </w:pPr>
          </w:p>
        </w:tc>
      </w:tr>
      <w:tr w14:paraId="77DA5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6" w:type="dxa"/>
            <w:tcBorders>
              <w:top w:val="single" w:color="auto" w:sz="4" w:space="0"/>
              <w:left w:val="single" w:color="auto" w:sz="4" w:space="0"/>
              <w:bottom w:val="single" w:color="auto" w:sz="4" w:space="0"/>
              <w:right w:val="single" w:color="auto" w:sz="4" w:space="0"/>
            </w:tcBorders>
            <w:vAlign w:val="center"/>
          </w:tcPr>
          <w:p w14:paraId="69A5AFC6">
            <w:pPr>
              <w:numPr>
                <w:ilvl w:val="0"/>
                <w:numId w:val="20"/>
              </w:numPr>
              <w:spacing w:before="60" w:after="60" w:line="240" w:lineRule="auto"/>
              <w:ind w:left="425" w:leftChars="0" w:hanging="425" w:firstLineChars="0"/>
              <w:jc w:val="center"/>
              <w:rPr>
                <w:rFonts w:hint="default" w:ascii="Times New Roman" w:hAnsi="Times New Roman" w:eastAsia="宋体" w:cs="Times New Roman"/>
                <w:sz w:val="21"/>
                <w:szCs w:val="21"/>
                <w:highlight w:val="none"/>
                <w:lang w:val="en-US" w:eastAsia="zh-CN"/>
              </w:rPr>
            </w:pPr>
          </w:p>
        </w:tc>
        <w:tc>
          <w:tcPr>
            <w:tcW w:w="4035" w:type="dxa"/>
            <w:tcBorders>
              <w:top w:val="single" w:color="auto" w:sz="4" w:space="0"/>
              <w:left w:val="single" w:color="auto" w:sz="4" w:space="0"/>
              <w:bottom w:val="single" w:color="auto" w:sz="4" w:space="0"/>
              <w:right w:val="single" w:color="auto" w:sz="4" w:space="0"/>
            </w:tcBorders>
            <w:vAlign w:val="center"/>
          </w:tcPr>
          <w:p w14:paraId="055D2CA8">
            <w:pPr>
              <w:keepNext w:val="0"/>
              <w:keepLines w:val="0"/>
              <w:widowControl/>
              <w:suppressLineNumbers w:val="0"/>
              <w:spacing w:line="240" w:lineRule="auto"/>
              <w:jc w:val="left"/>
              <w:textAlignment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5.2.2.自动化高通量核酸提取组件 2套</w:t>
            </w:r>
          </w:p>
        </w:tc>
        <w:tc>
          <w:tcPr>
            <w:tcW w:w="747" w:type="dxa"/>
            <w:tcBorders>
              <w:top w:val="single" w:color="auto" w:sz="4" w:space="0"/>
              <w:left w:val="single" w:color="auto" w:sz="4" w:space="0"/>
              <w:bottom w:val="single" w:color="auto" w:sz="4" w:space="0"/>
              <w:right w:val="single" w:color="auto" w:sz="4" w:space="0"/>
            </w:tcBorders>
            <w:vAlign w:val="center"/>
          </w:tcPr>
          <w:p w14:paraId="538C8F5A">
            <w:pPr>
              <w:spacing w:before="60" w:after="60" w:line="240" w:lineRule="auto"/>
              <w:rPr>
                <w:rFonts w:hint="default" w:ascii="Times New Roman" w:hAnsi="Times New Roman" w:eastAsia="宋体" w:cs="Times New Roman"/>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15AB9835">
            <w:pPr>
              <w:spacing w:before="60" w:after="60" w:line="240" w:lineRule="auto"/>
              <w:rPr>
                <w:rFonts w:hint="default" w:ascii="Times New Roman" w:hAnsi="Times New Roman" w:eastAsia="宋体" w:cs="Times New Roman"/>
                <w:sz w:val="21"/>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79FEBE70">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07AC6583">
            <w:pPr>
              <w:spacing w:before="60" w:after="60" w:line="240" w:lineRule="auto"/>
              <w:rPr>
                <w:rFonts w:hint="default" w:ascii="Times New Roman" w:hAnsi="Times New Roman" w:eastAsia="宋体" w:cs="Times New Roman"/>
                <w:sz w:val="21"/>
                <w:szCs w:val="21"/>
                <w:highlight w:val="none"/>
              </w:rPr>
            </w:pPr>
          </w:p>
        </w:tc>
        <w:tc>
          <w:tcPr>
            <w:tcW w:w="828" w:type="dxa"/>
            <w:tcBorders>
              <w:top w:val="single" w:color="auto" w:sz="4" w:space="0"/>
              <w:left w:val="single" w:color="auto" w:sz="4" w:space="0"/>
              <w:bottom w:val="single" w:color="auto" w:sz="4" w:space="0"/>
              <w:right w:val="single" w:color="auto" w:sz="4" w:space="0"/>
            </w:tcBorders>
            <w:vAlign w:val="center"/>
          </w:tcPr>
          <w:p w14:paraId="3FFEEA54">
            <w:pPr>
              <w:spacing w:before="60" w:after="60" w:line="240" w:lineRule="auto"/>
              <w:rPr>
                <w:rFonts w:hint="default" w:ascii="Times New Roman" w:hAnsi="Times New Roman" w:eastAsia="宋体" w:cs="Times New Roman"/>
                <w:sz w:val="21"/>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50C85B31">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70CA7F6D">
            <w:pPr>
              <w:spacing w:before="60" w:after="60" w:line="240" w:lineRule="auto"/>
              <w:rPr>
                <w:rFonts w:hint="default" w:ascii="Times New Roman" w:hAnsi="Times New Roman" w:eastAsia="宋体" w:cs="Times New Roman"/>
                <w:sz w:val="21"/>
                <w:szCs w:val="21"/>
                <w:highlight w:val="none"/>
              </w:rPr>
            </w:pPr>
          </w:p>
        </w:tc>
        <w:tc>
          <w:tcPr>
            <w:tcW w:w="754" w:type="dxa"/>
            <w:tcBorders>
              <w:top w:val="single" w:color="auto" w:sz="4" w:space="0"/>
              <w:left w:val="single" w:color="auto" w:sz="4" w:space="0"/>
              <w:bottom w:val="single" w:color="auto" w:sz="4" w:space="0"/>
              <w:right w:val="single" w:color="auto" w:sz="4" w:space="0"/>
            </w:tcBorders>
            <w:vAlign w:val="center"/>
          </w:tcPr>
          <w:p w14:paraId="60E4CF8E">
            <w:pPr>
              <w:spacing w:line="240" w:lineRule="auto"/>
              <w:rPr>
                <w:rFonts w:hint="default" w:ascii="Times New Roman" w:hAnsi="Times New Roman" w:eastAsia="宋体" w:cs="Times New Roman"/>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vAlign w:val="center"/>
          </w:tcPr>
          <w:p w14:paraId="3C04A130">
            <w:pPr>
              <w:spacing w:line="240" w:lineRule="auto"/>
              <w:rPr>
                <w:rFonts w:hint="default" w:ascii="Times New Roman" w:hAnsi="Times New Roman" w:eastAsia="宋体" w:cs="Times New Roman"/>
                <w:sz w:val="21"/>
                <w:szCs w:val="21"/>
                <w:highlight w:val="none"/>
              </w:rPr>
            </w:pPr>
          </w:p>
        </w:tc>
      </w:tr>
      <w:tr w14:paraId="21568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6" w:type="dxa"/>
            <w:tcBorders>
              <w:top w:val="single" w:color="auto" w:sz="4" w:space="0"/>
              <w:left w:val="single" w:color="auto" w:sz="4" w:space="0"/>
              <w:bottom w:val="single" w:color="auto" w:sz="4" w:space="0"/>
              <w:right w:val="single" w:color="auto" w:sz="4" w:space="0"/>
            </w:tcBorders>
            <w:vAlign w:val="center"/>
          </w:tcPr>
          <w:p w14:paraId="51AF1A27">
            <w:pPr>
              <w:numPr>
                <w:ilvl w:val="0"/>
                <w:numId w:val="20"/>
              </w:numPr>
              <w:spacing w:before="60" w:after="60" w:line="240" w:lineRule="auto"/>
              <w:ind w:left="425" w:leftChars="0" w:hanging="425" w:firstLineChars="0"/>
              <w:jc w:val="center"/>
              <w:rPr>
                <w:rFonts w:hint="default" w:ascii="Times New Roman" w:hAnsi="Times New Roman" w:eastAsia="宋体" w:cs="Times New Roman"/>
                <w:sz w:val="21"/>
                <w:szCs w:val="21"/>
                <w:highlight w:val="none"/>
                <w:lang w:val="en-US" w:eastAsia="zh-CN"/>
              </w:rPr>
            </w:pPr>
          </w:p>
        </w:tc>
        <w:tc>
          <w:tcPr>
            <w:tcW w:w="4035" w:type="dxa"/>
            <w:tcBorders>
              <w:top w:val="single" w:color="auto" w:sz="4" w:space="0"/>
              <w:left w:val="single" w:color="auto" w:sz="4" w:space="0"/>
              <w:bottom w:val="single" w:color="auto" w:sz="4" w:space="0"/>
              <w:right w:val="single" w:color="auto" w:sz="4" w:space="0"/>
            </w:tcBorders>
            <w:vAlign w:val="center"/>
          </w:tcPr>
          <w:p w14:paraId="6928F578">
            <w:pPr>
              <w:keepNext w:val="0"/>
              <w:keepLines w:val="0"/>
              <w:widowControl/>
              <w:suppressLineNumbers w:val="0"/>
              <w:spacing w:line="240" w:lineRule="auto"/>
              <w:jc w:val="left"/>
              <w:textAlignment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5.2.3.自动化核酸提取组件 2套</w:t>
            </w:r>
          </w:p>
        </w:tc>
        <w:tc>
          <w:tcPr>
            <w:tcW w:w="747" w:type="dxa"/>
            <w:tcBorders>
              <w:top w:val="single" w:color="auto" w:sz="4" w:space="0"/>
              <w:left w:val="single" w:color="auto" w:sz="4" w:space="0"/>
              <w:bottom w:val="single" w:color="auto" w:sz="4" w:space="0"/>
              <w:right w:val="single" w:color="auto" w:sz="4" w:space="0"/>
            </w:tcBorders>
            <w:vAlign w:val="center"/>
          </w:tcPr>
          <w:p w14:paraId="3531226A">
            <w:pPr>
              <w:spacing w:before="60" w:after="60" w:line="240" w:lineRule="auto"/>
              <w:rPr>
                <w:rFonts w:hint="default" w:ascii="Times New Roman" w:hAnsi="Times New Roman" w:eastAsia="宋体" w:cs="Times New Roman"/>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7FEAABF2">
            <w:pPr>
              <w:spacing w:before="60" w:after="60" w:line="240" w:lineRule="auto"/>
              <w:rPr>
                <w:rFonts w:hint="default" w:ascii="Times New Roman" w:hAnsi="Times New Roman" w:eastAsia="宋体" w:cs="Times New Roman"/>
                <w:sz w:val="21"/>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5D4E223D">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219CAFFB">
            <w:pPr>
              <w:spacing w:before="60" w:after="60" w:line="240" w:lineRule="auto"/>
              <w:rPr>
                <w:rFonts w:hint="default" w:ascii="Times New Roman" w:hAnsi="Times New Roman" w:eastAsia="宋体" w:cs="Times New Roman"/>
                <w:sz w:val="21"/>
                <w:szCs w:val="21"/>
                <w:highlight w:val="none"/>
              </w:rPr>
            </w:pPr>
          </w:p>
        </w:tc>
        <w:tc>
          <w:tcPr>
            <w:tcW w:w="828" w:type="dxa"/>
            <w:tcBorders>
              <w:top w:val="single" w:color="auto" w:sz="4" w:space="0"/>
              <w:left w:val="single" w:color="auto" w:sz="4" w:space="0"/>
              <w:bottom w:val="single" w:color="auto" w:sz="4" w:space="0"/>
              <w:right w:val="single" w:color="auto" w:sz="4" w:space="0"/>
            </w:tcBorders>
            <w:vAlign w:val="center"/>
          </w:tcPr>
          <w:p w14:paraId="602E4AC8">
            <w:pPr>
              <w:spacing w:before="60" w:after="60" w:line="240" w:lineRule="auto"/>
              <w:rPr>
                <w:rFonts w:hint="default" w:ascii="Times New Roman" w:hAnsi="Times New Roman" w:eastAsia="宋体" w:cs="Times New Roman"/>
                <w:sz w:val="21"/>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41732F0D">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60065724">
            <w:pPr>
              <w:spacing w:before="60" w:after="60" w:line="240" w:lineRule="auto"/>
              <w:rPr>
                <w:rFonts w:hint="default" w:ascii="Times New Roman" w:hAnsi="Times New Roman" w:eastAsia="宋体" w:cs="Times New Roman"/>
                <w:sz w:val="21"/>
                <w:szCs w:val="21"/>
                <w:highlight w:val="none"/>
              </w:rPr>
            </w:pPr>
          </w:p>
        </w:tc>
        <w:tc>
          <w:tcPr>
            <w:tcW w:w="754" w:type="dxa"/>
            <w:tcBorders>
              <w:top w:val="single" w:color="auto" w:sz="4" w:space="0"/>
              <w:left w:val="single" w:color="auto" w:sz="4" w:space="0"/>
              <w:bottom w:val="single" w:color="auto" w:sz="4" w:space="0"/>
              <w:right w:val="single" w:color="auto" w:sz="4" w:space="0"/>
            </w:tcBorders>
            <w:vAlign w:val="center"/>
          </w:tcPr>
          <w:p w14:paraId="28968A41">
            <w:pPr>
              <w:spacing w:line="240" w:lineRule="auto"/>
              <w:rPr>
                <w:rFonts w:hint="default" w:ascii="Times New Roman" w:hAnsi="Times New Roman" w:eastAsia="宋体" w:cs="Times New Roman"/>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vAlign w:val="center"/>
          </w:tcPr>
          <w:p w14:paraId="5A15B450">
            <w:pPr>
              <w:spacing w:line="240" w:lineRule="auto"/>
              <w:rPr>
                <w:rFonts w:hint="default" w:ascii="Times New Roman" w:hAnsi="Times New Roman" w:eastAsia="宋体" w:cs="Times New Roman"/>
                <w:sz w:val="21"/>
                <w:szCs w:val="21"/>
                <w:highlight w:val="none"/>
              </w:rPr>
            </w:pPr>
          </w:p>
        </w:tc>
      </w:tr>
      <w:tr w14:paraId="4ADDF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6" w:type="dxa"/>
            <w:tcBorders>
              <w:top w:val="single" w:color="auto" w:sz="4" w:space="0"/>
              <w:left w:val="single" w:color="auto" w:sz="4" w:space="0"/>
              <w:bottom w:val="single" w:color="auto" w:sz="4" w:space="0"/>
              <w:right w:val="single" w:color="auto" w:sz="4" w:space="0"/>
            </w:tcBorders>
            <w:vAlign w:val="center"/>
          </w:tcPr>
          <w:p w14:paraId="4D30E5F4">
            <w:pPr>
              <w:numPr>
                <w:ilvl w:val="0"/>
                <w:numId w:val="20"/>
              </w:numPr>
              <w:spacing w:before="60" w:after="60" w:line="240" w:lineRule="auto"/>
              <w:ind w:left="425" w:leftChars="0" w:hanging="425" w:firstLineChars="0"/>
              <w:jc w:val="center"/>
              <w:rPr>
                <w:rFonts w:hint="default" w:ascii="Times New Roman" w:hAnsi="Times New Roman" w:eastAsia="宋体" w:cs="Times New Roman"/>
                <w:sz w:val="21"/>
                <w:szCs w:val="21"/>
                <w:highlight w:val="none"/>
                <w:lang w:val="en-US" w:eastAsia="zh-CN"/>
              </w:rPr>
            </w:pPr>
          </w:p>
        </w:tc>
        <w:tc>
          <w:tcPr>
            <w:tcW w:w="4035" w:type="dxa"/>
            <w:tcBorders>
              <w:top w:val="single" w:color="auto" w:sz="4" w:space="0"/>
              <w:left w:val="single" w:color="auto" w:sz="4" w:space="0"/>
              <w:bottom w:val="single" w:color="auto" w:sz="4" w:space="0"/>
              <w:right w:val="single" w:color="auto" w:sz="4" w:space="0"/>
            </w:tcBorders>
            <w:vAlign w:val="center"/>
          </w:tcPr>
          <w:p w14:paraId="7009BB60">
            <w:pPr>
              <w:keepNext w:val="0"/>
              <w:keepLines w:val="0"/>
              <w:widowControl/>
              <w:suppressLineNumbers w:val="0"/>
              <w:spacing w:line="240" w:lineRule="auto"/>
              <w:jc w:val="left"/>
              <w:textAlignment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5.2.4.自动化液体工作站组件 1套</w:t>
            </w:r>
          </w:p>
        </w:tc>
        <w:tc>
          <w:tcPr>
            <w:tcW w:w="747" w:type="dxa"/>
            <w:tcBorders>
              <w:top w:val="single" w:color="auto" w:sz="4" w:space="0"/>
              <w:left w:val="single" w:color="auto" w:sz="4" w:space="0"/>
              <w:bottom w:val="single" w:color="auto" w:sz="4" w:space="0"/>
              <w:right w:val="single" w:color="auto" w:sz="4" w:space="0"/>
            </w:tcBorders>
            <w:vAlign w:val="center"/>
          </w:tcPr>
          <w:p w14:paraId="4B8ABE18">
            <w:pPr>
              <w:spacing w:before="60" w:after="60" w:line="240" w:lineRule="auto"/>
              <w:rPr>
                <w:rFonts w:hint="default" w:ascii="Times New Roman" w:hAnsi="Times New Roman" w:eastAsia="宋体" w:cs="Times New Roman"/>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6820914C">
            <w:pPr>
              <w:spacing w:before="60" w:after="60" w:line="240" w:lineRule="auto"/>
              <w:rPr>
                <w:rFonts w:hint="default" w:ascii="Times New Roman" w:hAnsi="Times New Roman" w:eastAsia="宋体" w:cs="Times New Roman"/>
                <w:sz w:val="21"/>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2C0E54D9">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338C0C32">
            <w:pPr>
              <w:spacing w:before="60" w:after="60" w:line="240" w:lineRule="auto"/>
              <w:rPr>
                <w:rFonts w:hint="default" w:ascii="Times New Roman" w:hAnsi="Times New Roman" w:eastAsia="宋体" w:cs="Times New Roman"/>
                <w:sz w:val="21"/>
                <w:szCs w:val="21"/>
                <w:highlight w:val="none"/>
              </w:rPr>
            </w:pPr>
          </w:p>
        </w:tc>
        <w:tc>
          <w:tcPr>
            <w:tcW w:w="828" w:type="dxa"/>
            <w:tcBorders>
              <w:top w:val="single" w:color="auto" w:sz="4" w:space="0"/>
              <w:left w:val="single" w:color="auto" w:sz="4" w:space="0"/>
              <w:bottom w:val="single" w:color="auto" w:sz="4" w:space="0"/>
              <w:right w:val="single" w:color="auto" w:sz="4" w:space="0"/>
            </w:tcBorders>
            <w:vAlign w:val="center"/>
          </w:tcPr>
          <w:p w14:paraId="4AB5409F">
            <w:pPr>
              <w:spacing w:before="60" w:after="60" w:line="240" w:lineRule="auto"/>
              <w:rPr>
                <w:rFonts w:hint="default" w:ascii="Times New Roman" w:hAnsi="Times New Roman" w:eastAsia="宋体" w:cs="Times New Roman"/>
                <w:sz w:val="21"/>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5A7721D7">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42FA3195">
            <w:pPr>
              <w:spacing w:before="60" w:after="60" w:line="240" w:lineRule="auto"/>
              <w:rPr>
                <w:rFonts w:hint="default" w:ascii="Times New Roman" w:hAnsi="Times New Roman" w:eastAsia="宋体" w:cs="Times New Roman"/>
                <w:sz w:val="21"/>
                <w:szCs w:val="21"/>
                <w:highlight w:val="none"/>
              </w:rPr>
            </w:pPr>
          </w:p>
        </w:tc>
        <w:tc>
          <w:tcPr>
            <w:tcW w:w="754" w:type="dxa"/>
            <w:tcBorders>
              <w:top w:val="single" w:color="auto" w:sz="4" w:space="0"/>
              <w:left w:val="single" w:color="auto" w:sz="4" w:space="0"/>
              <w:bottom w:val="single" w:color="auto" w:sz="4" w:space="0"/>
              <w:right w:val="single" w:color="auto" w:sz="4" w:space="0"/>
            </w:tcBorders>
            <w:vAlign w:val="center"/>
          </w:tcPr>
          <w:p w14:paraId="21BBCA52">
            <w:pPr>
              <w:spacing w:line="240" w:lineRule="auto"/>
              <w:rPr>
                <w:rFonts w:hint="default" w:ascii="Times New Roman" w:hAnsi="Times New Roman" w:eastAsia="宋体" w:cs="Times New Roman"/>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vAlign w:val="center"/>
          </w:tcPr>
          <w:p w14:paraId="0BC8EABF">
            <w:pPr>
              <w:spacing w:line="240" w:lineRule="auto"/>
              <w:rPr>
                <w:rFonts w:hint="default" w:ascii="Times New Roman" w:hAnsi="Times New Roman" w:eastAsia="宋体" w:cs="Times New Roman"/>
                <w:sz w:val="21"/>
                <w:szCs w:val="21"/>
                <w:highlight w:val="none"/>
              </w:rPr>
            </w:pPr>
          </w:p>
        </w:tc>
      </w:tr>
      <w:tr w14:paraId="01578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6" w:type="dxa"/>
            <w:tcBorders>
              <w:top w:val="single" w:color="auto" w:sz="4" w:space="0"/>
              <w:left w:val="single" w:color="auto" w:sz="4" w:space="0"/>
              <w:bottom w:val="single" w:color="auto" w:sz="4" w:space="0"/>
              <w:right w:val="single" w:color="auto" w:sz="4" w:space="0"/>
            </w:tcBorders>
            <w:vAlign w:val="center"/>
          </w:tcPr>
          <w:p w14:paraId="603F4081">
            <w:pPr>
              <w:numPr>
                <w:ilvl w:val="0"/>
                <w:numId w:val="20"/>
              </w:numPr>
              <w:spacing w:before="60" w:after="60" w:line="240" w:lineRule="auto"/>
              <w:ind w:left="425" w:leftChars="0" w:hanging="425" w:firstLineChars="0"/>
              <w:jc w:val="center"/>
              <w:rPr>
                <w:rFonts w:hint="default" w:ascii="Times New Roman" w:hAnsi="Times New Roman" w:eastAsia="宋体" w:cs="Times New Roman"/>
                <w:sz w:val="21"/>
                <w:szCs w:val="21"/>
                <w:highlight w:val="none"/>
                <w:lang w:val="en-US" w:eastAsia="zh-CN"/>
              </w:rPr>
            </w:pPr>
          </w:p>
        </w:tc>
        <w:tc>
          <w:tcPr>
            <w:tcW w:w="4035" w:type="dxa"/>
            <w:tcBorders>
              <w:top w:val="single" w:color="auto" w:sz="4" w:space="0"/>
              <w:left w:val="single" w:color="auto" w:sz="4" w:space="0"/>
              <w:bottom w:val="single" w:color="auto" w:sz="4" w:space="0"/>
              <w:right w:val="single" w:color="auto" w:sz="4" w:space="0"/>
            </w:tcBorders>
            <w:vAlign w:val="center"/>
          </w:tcPr>
          <w:p w14:paraId="4C1B037A">
            <w:pPr>
              <w:keepNext w:val="0"/>
              <w:keepLines w:val="0"/>
              <w:widowControl/>
              <w:suppressLineNumbers w:val="0"/>
              <w:spacing w:line="240" w:lineRule="auto"/>
              <w:jc w:val="left"/>
              <w:textAlignment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5.2.5.自动化耗材供给组件 1套</w:t>
            </w:r>
          </w:p>
        </w:tc>
        <w:tc>
          <w:tcPr>
            <w:tcW w:w="747" w:type="dxa"/>
            <w:tcBorders>
              <w:top w:val="single" w:color="auto" w:sz="4" w:space="0"/>
              <w:left w:val="single" w:color="auto" w:sz="4" w:space="0"/>
              <w:bottom w:val="single" w:color="auto" w:sz="4" w:space="0"/>
              <w:right w:val="single" w:color="auto" w:sz="4" w:space="0"/>
            </w:tcBorders>
            <w:vAlign w:val="center"/>
          </w:tcPr>
          <w:p w14:paraId="7629FAC1">
            <w:pPr>
              <w:spacing w:before="60" w:after="60" w:line="240" w:lineRule="auto"/>
              <w:rPr>
                <w:rFonts w:hint="default" w:ascii="Times New Roman" w:hAnsi="Times New Roman" w:eastAsia="宋体" w:cs="Times New Roman"/>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33F573D6">
            <w:pPr>
              <w:spacing w:before="60" w:after="60" w:line="240" w:lineRule="auto"/>
              <w:rPr>
                <w:rFonts w:hint="default" w:ascii="Times New Roman" w:hAnsi="Times New Roman" w:eastAsia="宋体" w:cs="Times New Roman"/>
                <w:sz w:val="21"/>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29FD75A2">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61011916">
            <w:pPr>
              <w:spacing w:before="60" w:after="60" w:line="240" w:lineRule="auto"/>
              <w:rPr>
                <w:rFonts w:hint="default" w:ascii="Times New Roman" w:hAnsi="Times New Roman" w:eastAsia="宋体" w:cs="Times New Roman"/>
                <w:sz w:val="21"/>
                <w:szCs w:val="21"/>
                <w:highlight w:val="none"/>
              </w:rPr>
            </w:pPr>
          </w:p>
        </w:tc>
        <w:tc>
          <w:tcPr>
            <w:tcW w:w="828" w:type="dxa"/>
            <w:tcBorders>
              <w:top w:val="single" w:color="auto" w:sz="4" w:space="0"/>
              <w:left w:val="single" w:color="auto" w:sz="4" w:space="0"/>
              <w:bottom w:val="single" w:color="auto" w:sz="4" w:space="0"/>
              <w:right w:val="single" w:color="auto" w:sz="4" w:space="0"/>
            </w:tcBorders>
            <w:vAlign w:val="center"/>
          </w:tcPr>
          <w:p w14:paraId="63DC74E7">
            <w:pPr>
              <w:spacing w:before="60" w:after="60" w:line="240" w:lineRule="auto"/>
              <w:rPr>
                <w:rFonts w:hint="default" w:ascii="Times New Roman" w:hAnsi="Times New Roman" w:eastAsia="宋体" w:cs="Times New Roman"/>
                <w:sz w:val="21"/>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3915FD36">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3A80B8B9">
            <w:pPr>
              <w:spacing w:before="60" w:after="60" w:line="240" w:lineRule="auto"/>
              <w:rPr>
                <w:rFonts w:hint="default" w:ascii="Times New Roman" w:hAnsi="Times New Roman" w:eastAsia="宋体" w:cs="Times New Roman"/>
                <w:sz w:val="21"/>
                <w:szCs w:val="21"/>
                <w:highlight w:val="none"/>
              </w:rPr>
            </w:pPr>
          </w:p>
        </w:tc>
        <w:tc>
          <w:tcPr>
            <w:tcW w:w="754" w:type="dxa"/>
            <w:tcBorders>
              <w:top w:val="single" w:color="auto" w:sz="4" w:space="0"/>
              <w:left w:val="single" w:color="auto" w:sz="4" w:space="0"/>
              <w:bottom w:val="single" w:color="auto" w:sz="4" w:space="0"/>
              <w:right w:val="single" w:color="auto" w:sz="4" w:space="0"/>
            </w:tcBorders>
            <w:vAlign w:val="center"/>
          </w:tcPr>
          <w:p w14:paraId="2944A89A">
            <w:pPr>
              <w:spacing w:line="240" w:lineRule="auto"/>
              <w:rPr>
                <w:rFonts w:hint="default" w:ascii="Times New Roman" w:hAnsi="Times New Roman" w:eastAsia="宋体" w:cs="Times New Roman"/>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vAlign w:val="center"/>
          </w:tcPr>
          <w:p w14:paraId="3D3DC7EE">
            <w:pPr>
              <w:spacing w:line="240" w:lineRule="auto"/>
              <w:rPr>
                <w:rFonts w:hint="default" w:ascii="Times New Roman" w:hAnsi="Times New Roman" w:eastAsia="宋体" w:cs="Times New Roman"/>
                <w:sz w:val="21"/>
                <w:szCs w:val="21"/>
                <w:highlight w:val="none"/>
              </w:rPr>
            </w:pPr>
          </w:p>
        </w:tc>
      </w:tr>
      <w:tr w14:paraId="51900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816" w:type="dxa"/>
            <w:tcBorders>
              <w:top w:val="single" w:color="auto" w:sz="4" w:space="0"/>
              <w:left w:val="single" w:color="auto" w:sz="4" w:space="0"/>
              <w:bottom w:val="single" w:color="auto" w:sz="4" w:space="0"/>
              <w:right w:val="single" w:color="auto" w:sz="4" w:space="0"/>
            </w:tcBorders>
            <w:vAlign w:val="center"/>
          </w:tcPr>
          <w:p w14:paraId="1E450830">
            <w:pPr>
              <w:numPr>
                <w:ilvl w:val="0"/>
                <w:numId w:val="20"/>
              </w:numPr>
              <w:spacing w:before="60" w:after="60" w:line="240" w:lineRule="auto"/>
              <w:ind w:left="425" w:leftChars="0" w:hanging="425" w:firstLineChars="0"/>
              <w:jc w:val="center"/>
              <w:rPr>
                <w:rFonts w:hint="default" w:ascii="Times New Roman" w:hAnsi="Times New Roman" w:eastAsia="宋体" w:cs="Times New Roman"/>
                <w:sz w:val="21"/>
                <w:szCs w:val="21"/>
                <w:highlight w:val="none"/>
                <w:lang w:val="en-US" w:eastAsia="zh-CN"/>
              </w:rPr>
            </w:pPr>
          </w:p>
        </w:tc>
        <w:tc>
          <w:tcPr>
            <w:tcW w:w="4035" w:type="dxa"/>
            <w:tcBorders>
              <w:top w:val="single" w:color="auto" w:sz="4" w:space="0"/>
              <w:left w:val="single" w:color="auto" w:sz="4" w:space="0"/>
              <w:bottom w:val="single" w:color="auto" w:sz="4" w:space="0"/>
              <w:right w:val="single" w:color="auto" w:sz="4" w:space="0"/>
            </w:tcBorders>
            <w:vAlign w:val="center"/>
          </w:tcPr>
          <w:p w14:paraId="7FBC7725">
            <w:pPr>
              <w:keepNext w:val="0"/>
              <w:keepLines w:val="0"/>
              <w:widowControl/>
              <w:suppressLineNumbers w:val="0"/>
              <w:spacing w:line="240" w:lineRule="auto"/>
              <w:jc w:val="left"/>
              <w:textAlignment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5.2.6.自动化冰箱组件 1套</w:t>
            </w:r>
          </w:p>
        </w:tc>
        <w:tc>
          <w:tcPr>
            <w:tcW w:w="747" w:type="dxa"/>
            <w:tcBorders>
              <w:top w:val="single" w:color="auto" w:sz="4" w:space="0"/>
              <w:left w:val="single" w:color="auto" w:sz="4" w:space="0"/>
              <w:bottom w:val="single" w:color="auto" w:sz="4" w:space="0"/>
              <w:right w:val="single" w:color="auto" w:sz="4" w:space="0"/>
            </w:tcBorders>
            <w:vAlign w:val="center"/>
          </w:tcPr>
          <w:p w14:paraId="556EEC20">
            <w:pPr>
              <w:spacing w:before="60" w:after="60" w:line="240" w:lineRule="auto"/>
              <w:rPr>
                <w:rFonts w:hint="default" w:ascii="Times New Roman" w:hAnsi="Times New Roman" w:eastAsia="宋体" w:cs="Times New Roman"/>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5BDD6815">
            <w:pPr>
              <w:spacing w:before="60" w:after="60" w:line="240" w:lineRule="auto"/>
              <w:rPr>
                <w:rFonts w:hint="default" w:ascii="Times New Roman" w:hAnsi="Times New Roman" w:eastAsia="宋体" w:cs="Times New Roman"/>
                <w:sz w:val="21"/>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2C625F8E">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772EB9E8">
            <w:pPr>
              <w:spacing w:before="60" w:after="60" w:line="240" w:lineRule="auto"/>
              <w:rPr>
                <w:rFonts w:hint="default" w:ascii="Times New Roman" w:hAnsi="Times New Roman" w:eastAsia="宋体" w:cs="Times New Roman"/>
                <w:sz w:val="21"/>
                <w:szCs w:val="21"/>
                <w:highlight w:val="none"/>
              </w:rPr>
            </w:pPr>
          </w:p>
        </w:tc>
        <w:tc>
          <w:tcPr>
            <w:tcW w:w="828" w:type="dxa"/>
            <w:tcBorders>
              <w:top w:val="single" w:color="auto" w:sz="4" w:space="0"/>
              <w:left w:val="single" w:color="auto" w:sz="4" w:space="0"/>
              <w:bottom w:val="single" w:color="auto" w:sz="4" w:space="0"/>
              <w:right w:val="single" w:color="auto" w:sz="4" w:space="0"/>
            </w:tcBorders>
            <w:vAlign w:val="center"/>
          </w:tcPr>
          <w:p w14:paraId="4713439F">
            <w:pPr>
              <w:spacing w:before="60" w:after="60" w:line="240" w:lineRule="auto"/>
              <w:rPr>
                <w:rFonts w:hint="default" w:ascii="Times New Roman" w:hAnsi="Times New Roman" w:eastAsia="宋体" w:cs="Times New Roman"/>
                <w:sz w:val="21"/>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280DB1C8">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4DB56CA0">
            <w:pPr>
              <w:spacing w:before="60" w:after="60" w:line="240" w:lineRule="auto"/>
              <w:rPr>
                <w:rFonts w:hint="default" w:ascii="Times New Roman" w:hAnsi="Times New Roman" w:eastAsia="宋体" w:cs="Times New Roman"/>
                <w:sz w:val="21"/>
                <w:szCs w:val="21"/>
                <w:highlight w:val="none"/>
              </w:rPr>
            </w:pPr>
          </w:p>
        </w:tc>
        <w:tc>
          <w:tcPr>
            <w:tcW w:w="754" w:type="dxa"/>
            <w:tcBorders>
              <w:top w:val="single" w:color="auto" w:sz="4" w:space="0"/>
              <w:left w:val="single" w:color="auto" w:sz="4" w:space="0"/>
              <w:bottom w:val="single" w:color="auto" w:sz="4" w:space="0"/>
              <w:right w:val="single" w:color="auto" w:sz="4" w:space="0"/>
            </w:tcBorders>
            <w:vAlign w:val="center"/>
          </w:tcPr>
          <w:p w14:paraId="6F0B9B0A">
            <w:pPr>
              <w:spacing w:line="240" w:lineRule="auto"/>
              <w:rPr>
                <w:rFonts w:hint="default" w:ascii="Times New Roman" w:hAnsi="Times New Roman" w:eastAsia="宋体" w:cs="Times New Roman"/>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vAlign w:val="center"/>
          </w:tcPr>
          <w:p w14:paraId="4EE387B9">
            <w:pPr>
              <w:spacing w:line="240" w:lineRule="auto"/>
              <w:rPr>
                <w:rFonts w:hint="default" w:ascii="Times New Roman" w:hAnsi="Times New Roman" w:eastAsia="宋体" w:cs="Times New Roman"/>
                <w:sz w:val="21"/>
                <w:szCs w:val="21"/>
                <w:highlight w:val="none"/>
              </w:rPr>
            </w:pPr>
          </w:p>
        </w:tc>
      </w:tr>
      <w:tr w14:paraId="14365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816" w:type="dxa"/>
            <w:tcBorders>
              <w:top w:val="single" w:color="auto" w:sz="4" w:space="0"/>
              <w:left w:val="single" w:color="auto" w:sz="4" w:space="0"/>
              <w:bottom w:val="single" w:color="auto" w:sz="4" w:space="0"/>
              <w:right w:val="single" w:color="auto" w:sz="4" w:space="0"/>
            </w:tcBorders>
            <w:vAlign w:val="center"/>
          </w:tcPr>
          <w:p w14:paraId="3BAE1BB4">
            <w:pPr>
              <w:numPr>
                <w:ilvl w:val="0"/>
                <w:numId w:val="20"/>
              </w:numPr>
              <w:spacing w:before="60" w:after="60" w:line="240" w:lineRule="auto"/>
              <w:ind w:left="425" w:leftChars="0" w:hanging="425" w:firstLineChars="0"/>
              <w:jc w:val="center"/>
              <w:rPr>
                <w:rFonts w:hint="default" w:ascii="Times New Roman" w:hAnsi="Times New Roman" w:eastAsia="宋体" w:cs="Times New Roman"/>
                <w:sz w:val="21"/>
                <w:szCs w:val="21"/>
                <w:highlight w:val="none"/>
                <w:lang w:val="en-US" w:eastAsia="zh-CN"/>
              </w:rPr>
            </w:pPr>
          </w:p>
        </w:tc>
        <w:tc>
          <w:tcPr>
            <w:tcW w:w="4035" w:type="dxa"/>
            <w:tcBorders>
              <w:top w:val="single" w:color="auto" w:sz="4" w:space="0"/>
              <w:left w:val="single" w:color="auto" w:sz="4" w:space="0"/>
              <w:bottom w:val="single" w:color="auto" w:sz="4" w:space="0"/>
              <w:right w:val="single" w:color="auto" w:sz="4" w:space="0"/>
            </w:tcBorders>
            <w:vAlign w:val="center"/>
          </w:tcPr>
          <w:p w14:paraId="5AC341EE">
            <w:pPr>
              <w:keepNext w:val="0"/>
              <w:keepLines w:val="0"/>
              <w:widowControl/>
              <w:suppressLineNumbers w:val="0"/>
              <w:spacing w:line="240" w:lineRule="auto"/>
              <w:jc w:val="left"/>
              <w:textAlignment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5.2.7.自动化撕膜组件 1套</w:t>
            </w:r>
          </w:p>
        </w:tc>
        <w:tc>
          <w:tcPr>
            <w:tcW w:w="747" w:type="dxa"/>
            <w:tcBorders>
              <w:top w:val="single" w:color="auto" w:sz="4" w:space="0"/>
              <w:left w:val="single" w:color="auto" w:sz="4" w:space="0"/>
              <w:bottom w:val="single" w:color="auto" w:sz="4" w:space="0"/>
              <w:right w:val="single" w:color="auto" w:sz="4" w:space="0"/>
            </w:tcBorders>
            <w:vAlign w:val="center"/>
          </w:tcPr>
          <w:p w14:paraId="79DED55D">
            <w:pPr>
              <w:spacing w:before="60" w:after="60" w:line="240" w:lineRule="auto"/>
              <w:rPr>
                <w:rFonts w:hint="default" w:ascii="Times New Roman" w:hAnsi="Times New Roman" w:eastAsia="宋体" w:cs="Times New Roman"/>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2414CAE6">
            <w:pPr>
              <w:spacing w:before="60" w:after="60" w:line="240" w:lineRule="auto"/>
              <w:rPr>
                <w:rFonts w:hint="default" w:ascii="Times New Roman" w:hAnsi="Times New Roman" w:eastAsia="宋体" w:cs="Times New Roman"/>
                <w:sz w:val="21"/>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4FA7C0A8">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1FB8C19B">
            <w:pPr>
              <w:spacing w:before="60" w:after="60" w:line="240" w:lineRule="auto"/>
              <w:rPr>
                <w:rFonts w:hint="default" w:ascii="Times New Roman" w:hAnsi="Times New Roman" w:eastAsia="宋体" w:cs="Times New Roman"/>
                <w:sz w:val="21"/>
                <w:szCs w:val="21"/>
                <w:highlight w:val="none"/>
              </w:rPr>
            </w:pPr>
          </w:p>
        </w:tc>
        <w:tc>
          <w:tcPr>
            <w:tcW w:w="828" w:type="dxa"/>
            <w:tcBorders>
              <w:top w:val="single" w:color="auto" w:sz="4" w:space="0"/>
              <w:left w:val="single" w:color="auto" w:sz="4" w:space="0"/>
              <w:bottom w:val="single" w:color="auto" w:sz="4" w:space="0"/>
              <w:right w:val="single" w:color="auto" w:sz="4" w:space="0"/>
            </w:tcBorders>
            <w:vAlign w:val="center"/>
          </w:tcPr>
          <w:p w14:paraId="08205574">
            <w:pPr>
              <w:spacing w:before="60" w:after="60" w:line="240" w:lineRule="auto"/>
              <w:rPr>
                <w:rFonts w:hint="default" w:ascii="Times New Roman" w:hAnsi="Times New Roman" w:eastAsia="宋体" w:cs="Times New Roman"/>
                <w:sz w:val="21"/>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2DDA7DF8">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6274D320">
            <w:pPr>
              <w:spacing w:before="60" w:after="60" w:line="240" w:lineRule="auto"/>
              <w:rPr>
                <w:rFonts w:hint="default" w:ascii="Times New Roman" w:hAnsi="Times New Roman" w:eastAsia="宋体" w:cs="Times New Roman"/>
                <w:sz w:val="21"/>
                <w:szCs w:val="21"/>
                <w:highlight w:val="none"/>
              </w:rPr>
            </w:pPr>
          </w:p>
        </w:tc>
        <w:tc>
          <w:tcPr>
            <w:tcW w:w="754" w:type="dxa"/>
            <w:tcBorders>
              <w:top w:val="single" w:color="auto" w:sz="4" w:space="0"/>
              <w:left w:val="single" w:color="auto" w:sz="4" w:space="0"/>
              <w:bottom w:val="single" w:color="auto" w:sz="4" w:space="0"/>
              <w:right w:val="single" w:color="auto" w:sz="4" w:space="0"/>
            </w:tcBorders>
            <w:vAlign w:val="center"/>
          </w:tcPr>
          <w:p w14:paraId="5A70A44F">
            <w:pPr>
              <w:spacing w:line="240" w:lineRule="auto"/>
              <w:rPr>
                <w:rFonts w:hint="default" w:ascii="Times New Roman" w:hAnsi="Times New Roman" w:eastAsia="宋体" w:cs="Times New Roman"/>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vAlign w:val="center"/>
          </w:tcPr>
          <w:p w14:paraId="41D912D9">
            <w:pPr>
              <w:spacing w:line="240" w:lineRule="auto"/>
              <w:rPr>
                <w:rFonts w:hint="default" w:ascii="Times New Roman" w:hAnsi="Times New Roman" w:eastAsia="宋体" w:cs="Times New Roman"/>
                <w:sz w:val="21"/>
                <w:szCs w:val="21"/>
                <w:highlight w:val="none"/>
              </w:rPr>
            </w:pPr>
          </w:p>
        </w:tc>
      </w:tr>
      <w:tr w14:paraId="3098C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816" w:type="dxa"/>
            <w:tcBorders>
              <w:top w:val="single" w:color="auto" w:sz="4" w:space="0"/>
              <w:left w:val="single" w:color="auto" w:sz="4" w:space="0"/>
              <w:bottom w:val="single" w:color="auto" w:sz="4" w:space="0"/>
              <w:right w:val="single" w:color="auto" w:sz="4" w:space="0"/>
            </w:tcBorders>
            <w:vAlign w:val="center"/>
          </w:tcPr>
          <w:p w14:paraId="1A370EB6">
            <w:pPr>
              <w:numPr>
                <w:ilvl w:val="0"/>
                <w:numId w:val="20"/>
              </w:numPr>
              <w:spacing w:before="60" w:after="60" w:line="240" w:lineRule="auto"/>
              <w:ind w:left="425" w:leftChars="0" w:hanging="425" w:firstLineChars="0"/>
              <w:jc w:val="center"/>
              <w:rPr>
                <w:rFonts w:hint="default" w:ascii="Times New Roman" w:hAnsi="Times New Roman" w:eastAsia="宋体" w:cs="Times New Roman"/>
                <w:sz w:val="21"/>
                <w:szCs w:val="21"/>
                <w:highlight w:val="none"/>
                <w:lang w:val="en-US" w:eastAsia="zh-CN"/>
              </w:rPr>
            </w:pPr>
          </w:p>
        </w:tc>
        <w:tc>
          <w:tcPr>
            <w:tcW w:w="4035" w:type="dxa"/>
            <w:tcBorders>
              <w:top w:val="single" w:color="auto" w:sz="4" w:space="0"/>
              <w:left w:val="single" w:color="auto" w:sz="4" w:space="0"/>
              <w:bottom w:val="single" w:color="auto" w:sz="4" w:space="0"/>
              <w:right w:val="single" w:color="auto" w:sz="4" w:space="0"/>
            </w:tcBorders>
            <w:vAlign w:val="center"/>
          </w:tcPr>
          <w:p w14:paraId="78432AF6">
            <w:pPr>
              <w:keepNext w:val="0"/>
              <w:keepLines w:val="0"/>
              <w:widowControl/>
              <w:suppressLineNumbers w:val="0"/>
              <w:spacing w:line="240" w:lineRule="auto"/>
              <w:jc w:val="left"/>
              <w:textAlignment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5.2.8.自动化封膜组件 1套</w:t>
            </w:r>
          </w:p>
        </w:tc>
        <w:tc>
          <w:tcPr>
            <w:tcW w:w="747" w:type="dxa"/>
            <w:tcBorders>
              <w:top w:val="single" w:color="auto" w:sz="4" w:space="0"/>
              <w:left w:val="single" w:color="auto" w:sz="4" w:space="0"/>
              <w:bottom w:val="single" w:color="auto" w:sz="4" w:space="0"/>
              <w:right w:val="single" w:color="auto" w:sz="4" w:space="0"/>
            </w:tcBorders>
            <w:vAlign w:val="center"/>
          </w:tcPr>
          <w:p w14:paraId="38C06F1D">
            <w:pPr>
              <w:spacing w:before="60" w:after="60" w:line="240" w:lineRule="auto"/>
              <w:rPr>
                <w:rFonts w:hint="default" w:ascii="Times New Roman" w:hAnsi="Times New Roman" w:eastAsia="宋体" w:cs="Times New Roman"/>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1958255C">
            <w:pPr>
              <w:spacing w:before="60" w:after="60" w:line="240" w:lineRule="auto"/>
              <w:rPr>
                <w:rFonts w:hint="default" w:ascii="Times New Roman" w:hAnsi="Times New Roman" w:eastAsia="宋体" w:cs="Times New Roman"/>
                <w:sz w:val="21"/>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28F6C752">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25854E47">
            <w:pPr>
              <w:spacing w:before="60" w:after="60" w:line="240" w:lineRule="auto"/>
              <w:rPr>
                <w:rFonts w:hint="default" w:ascii="Times New Roman" w:hAnsi="Times New Roman" w:eastAsia="宋体" w:cs="Times New Roman"/>
                <w:sz w:val="21"/>
                <w:szCs w:val="21"/>
                <w:highlight w:val="none"/>
              </w:rPr>
            </w:pPr>
          </w:p>
        </w:tc>
        <w:tc>
          <w:tcPr>
            <w:tcW w:w="828" w:type="dxa"/>
            <w:tcBorders>
              <w:top w:val="single" w:color="auto" w:sz="4" w:space="0"/>
              <w:left w:val="single" w:color="auto" w:sz="4" w:space="0"/>
              <w:bottom w:val="single" w:color="auto" w:sz="4" w:space="0"/>
              <w:right w:val="single" w:color="auto" w:sz="4" w:space="0"/>
            </w:tcBorders>
            <w:vAlign w:val="center"/>
          </w:tcPr>
          <w:p w14:paraId="460C41F1">
            <w:pPr>
              <w:spacing w:before="60" w:after="60" w:line="240" w:lineRule="auto"/>
              <w:rPr>
                <w:rFonts w:hint="default" w:ascii="Times New Roman" w:hAnsi="Times New Roman" w:eastAsia="宋体" w:cs="Times New Roman"/>
                <w:sz w:val="21"/>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4839116C">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1C731D18">
            <w:pPr>
              <w:spacing w:before="60" w:after="60" w:line="240" w:lineRule="auto"/>
              <w:rPr>
                <w:rFonts w:hint="default" w:ascii="Times New Roman" w:hAnsi="Times New Roman" w:eastAsia="宋体" w:cs="Times New Roman"/>
                <w:sz w:val="21"/>
                <w:szCs w:val="21"/>
                <w:highlight w:val="none"/>
              </w:rPr>
            </w:pPr>
          </w:p>
        </w:tc>
        <w:tc>
          <w:tcPr>
            <w:tcW w:w="754" w:type="dxa"/>
            <w:tcBorders>
              <w:top w:val="single" w:color="auto" w:sz="4" w:space="0"/>
              <w:left w:val="single" w:color="auto" w:sz="4" w:space="0"/>
              <w:bottom w:val="single" w:color="auto" w:sz="4" w:space="0"/>
              <w:right w:val="single" w:color="auto" w:sz="4" w:space="0"/>
            </w:tcBorders>
            <w:vAlign w:val="center"/>
          </w:tcPr>
          <w:p w14:paraId="675674D8">
            <w:pPr>
              <w:spacing w:line="240" w:lineRule="auto"/>
              <w:rPr>
                <w:rFonts w:hint="default" w:ascii="Times New Roman" w:hAnsi="Times New Roman" w:eastAsia="宋体" w:cs="Times New Roman"/>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vAlign w:val="center"/>
          </w:tcPr>
          <w:p w14:paraId="3B0738AC">
            <w:pPr>
              <w:spacing w:line="240" w:lineRule="auto"/>
              <w:rPr>
                <w:rFonts w:hint="default" w:ascii="Times New Roman" w:hAnsi="Times New Roman" w:eastAsia="宋体" w:cs="Times New Roman"/>
                <w:sz w:val="21"/>
                <w:szCs w:val="21"/>
                <w:highlight w:val="none"/>
              </w:rPr>
            </w:pPr>
          </w:p>
        </w:tc>
      </w:tr>
      <w:tr w14:paraId="029C6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6" w:type="dxa"/>
            <w:tcBorders>
              <w:top w:val="single" w:color="auto" w:sz="4" w:space="0"/>
              <w:left w:val="single" w:color="auto" w:sz="4" w:space="0"/>
              <w:bottom w:val="single" w:color="auto" w:sz="4" w:space="0"/>
              <w:right w:val="single" w:color="auto" w:sz="4" w:space="0"/>
            </w:tcBorders>
            <w:vAlign w:val="center"/>
          </w:tcPr>
          <w:p w14:paraId="2D3764B9">
            <w:pPr>
              <w:numPr>
                <w:ilvl w:val="0"/>
                <w:numId w:val="20"/>
              </w:numPr>
              <w:spacing w:before="60" w:after="60" w:line="240" w:lineRule="auto"/>
              <w:ind w:left="425" w:leftChars="0" w:hanging="425" w:firstLineChars="0"/>
              <w:jc w:val="center"/>
              <w:rPr>
                <w:rFonts w:hint="default" w:ascii="Times New Roman" w:hAnsi="Times New Roman" w:eastAsia="宋体" w:cs="Times New Roman"/>
                <w:sz w:val="21"/>
                <w:szCs w:val="21"/>
                <w:highlight w:val="none"/>
                <w:lang w:val="en-US" w:eastAsia="zh-CN"/>
              </w:rPr>
            </w:pPr>
          </w:p>
        </w:tc>
        <w:tc>
          <w:tcPr>
            <w:tcW w:w="4035" w:type="dxa"/>
            <w:tcBorders>
              <w:top w:val="single" w:color="auto" w:sz="4" w:space="0"/>
              <w:left w:val="single" w:color="auto" w:sz="4" w:space="0"/>
              <w:bottom w:val="single" w:color="auto" w:sz="4" w:space="0"/>
              <w:right w:val="single" w:color="auto" w:sz="4" w:space="0"/>
            </w:tcBorders>
            <w:vAlign w:val="center"/>
          </w:tcPr>
          <w:p w14:paraId="30BAAA21">
            <w:pPr>
              <w:keepNext w:val="0"/>
              <w:keepLines w:val="0"/>
              <w:widowControl/>
              <w:suppressLineNumbers w:val="0"/>
              <w:spacing w:line="240" w:lineRule="auto"/>
              <w:jc w:val="left"/>
              <w:textAlignment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5.2.9.自动化微孔板离心组件 1套</w:t>
            </w:r>
          </w:p>
        </w:tc>
        <w:tc>
          <w:tcPr>
            <w:tcW w:w="747" w:type="dxa"/>
            <w:tcBorders>
              <w:top w:val="single" w:color="auto" w:sz="4" w:space="0"/>
              <w:left w:val="single" w:color="auto" w:sz="4" w:space="0"/>
              <w:bottom w:val="single" w:color="auto" w:sz="4" w:space="0"/>
              <w:right w:val="single" w:color="auto" w:sz="4" w:space="0"/>
            </w:tcBorders>
            <w:vAlign w:val="center"/>
          </w:tcPr>
          <w:p w14:paraId="0EA6B765">
            <w:pPr>
              <w:spacing w:before="60" w:after="60" w:line="240" w:lineRule="auto"/>
              <w:rPr>
                <w:rFonts w:hint="default" w:ascii="Times New Roman" w:hAnsi="Times New Roman" w:eastAsia="宋体" w:cs="Times New Roman"/>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53EE4714">
            <w:pPr>
              <w:spacing w:before="60" w:after="60" w:line="240" w:lineRule="auto"/>
              <w:rPr>
                <w:rFonts w:hint="default" w:ascii="Times New Roman" w:hAnsi="Times New Roman" w:eastAsia="宋体" w:cs="Times New Roman"/>
                <w:sz w:val="21"/>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2A3C35C6">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1EDAE682">
            <w:pPr>
              <w:spacing w:before="60" w:after="60" w:line="240" w:lineRule="auto"/>
              <w:rPr>
                <w:rFonts w:hint="default" w:ascii="Times New Roman" w:hAnsi="Times New Roman" w:eastAsia="宋体" w:cs="Times New Roman"/>
                <w:sz w:val="21"/>
                <w:szCs w:val="21"/>
                <w:highlight w:val="none"/>
              </w:rPr>
            </w:pPr>
          </w:p>
        </w:tc>
        <w:tc>
          <w:tcPr>
            <w:tcW w:w="828" w:type="dxa"/>
            <w:tcBorders>
              <w:top w:val="single" w:color="auto" w:sz="4" w:space="0"/>
              <w:left w:val="single" w:color="auto" w:sz="4" w:space="0"/>
              <w:bottom w:val="single" w:color="auto" w:sz="4" w:space="0"/>
              <w:right w:val="single" w:color="auto" w:sz="4" w:space="0"/>
            </w:tcBorders>
            <w:vAlign w:val="center"/>
          </w:tcPr>
          <w:p w14:paraId="6FEBE6F9">
            <w:pPr>
              <w:spacing w:before="60" w:after="60" w:line="240" w:lineRule="auto"/>
              <w:rPr>
                <w:rFonts w:hint="default" w:ascii="Times New Roman" w:hAnsi="Times New Roman" w:eastAsia="宋体" w:cs="Times New Roman"/>
                <w:sz w:val="21"/>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00BCAB18">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4A680125">
            <w:pPr>
              <w:spacing w:before="60" w:after="60" w:line="240" w:lineRule="auto"/>
              <w:rPr>
                <w:rFonts w:hint="default" w:ascii="Times New Roman" w:hAnsi="Times New Roman" w:eastAsia="宋体" w:cs="Times New Roman"/>
                <w:sz w:val="21"/>
                <w:szCs w:val="21"/>
                <w:highlight w:val="none"/>
              </w:rPr>
            </w:pPr>
          </w:p>
        </w:tc>
        <w:tc>
          <w:tcPr>
            <w:tcW w:w="754" w:type="dxa"/>
            <w:tcBorders>
              <w:top w:val="single" w:color="auto" w:sz="4" w:space="0"/>
              <w:left w:val="single" w:color="auto" w:sz="4" w:space="0"/>
              <w:bottom w:val="single" w:color="auto" w:sz="4" w:space="0"/>
              <w:right w:val="single" w:color="auto" w:sz="4" w:space="0"/>
            </w:tcBorders>
            <w:vAlign w:val="center"/>
          </w:tcPr>
          <w:p w14:paraId="10006A41">
            <w:pPr>
              <w:spacing w:line="240" w:lineRule="auto"/>
              <w:rPr>
                <w:rFonts w:hint="default" w:ascii="Times New Roman" w:hAnsi="Times New Roman" w:eastAsia="宋体" w:cs="Times New Roman"/>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vAlign w:val="center"/>
          </w:tcPr>
          <w:p w14:paraId="3A4FE7C7">
            <w:pPr>
              <w:spacing w:line="240" w:lineRule="auto"/>
              <w:rPr>
                <w:rFonts w:hint="default" w:ascii="Times New Roman" w:hAnsi="Times New Roman" w:eastAsia="宋体" w:cs="Times New Roman"/>
                <w:sz w:val="21"/>
                <w:szCs w:val="21"/>
                <w:highlight w:val="none"/>
              </w:rPr>
            </w:pPr>
          </w:p>
        </w:tc>
      </w:tr>
      <w:tr w14:paraId="6E3E5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816" w:type="dxa"/>
            <w:tcBorders>
              <w:top w:val="single" w:color="auto" w:sz="4" w:space="0"/>
              <w:left w:val="single" w:color="auto" w:sz="4" w:space="0"/>
              <w:bottom w:val="single" w:color="auto" w:sz="4" w:space="0"/>
              <w:right w:val="single" w:color="auto" w:sz="4" w:space="0"/>
            </w:tcBorders>
            <w:vAlign w:val="center"/>
          </w:tcPr>
          <w:p w14:paraId="0E7684C5">
            <w:pPr>
              <w:numPr>
                <w:ilvl w:val="0"/>
                <w:numId w:val="20"/>
              </w:numPr>
              <w:spacing w:before="60" w:after="60" w:line="240" w:lineRule="auto"/>
              <w:ind w:left="425" w:leftChars="0" w:hanging="425" w:firstLineChars="0"/>
              <w:jc w:val="center"/>
              <w:rPr>
                <w:rFonts w:hint="default" w:ascii="Times New Roman" w:hAnsi="Times New Roman" w:eastAsia="宋体" w:cs="Times New Roman"/>
                <w:sz w:val="21"/>
                <w:szCs w:val="21"/>
                <w:highlight w:val="none"/>
                <w:lang w:val="en-US" w:eastAsia="zh-CN"/>
              </w:rPr>
            </w:pPr>
          </w:p>
        </w:tc>
        <w:tc>
          <w:tcPr>
            <w:tcW w:w="4035" w:type="dxa"/>
            <w:tcBorders>
              <w:top w:val="single" w:color="auto" w:sz="4" w:space="0"/>
              <w:left w:val="single" w:color="auto" w:sz="4" w:space="0"/>
              <w:bottom w:val="single" w:color="auto" w:sz="4" w:space="0"/>
              <w:right w:val="single" w:color="auto" w:sz="4" w:space="0"/>
            </w:tcBorders>
            <w:vAlign w:val="center"/>
          </w:tcPr>
          <w:p w14:paraId="20E37AA8">
            <w:pPr>
              <w:keepNext w:val="0"/>
              <w:keepLines w:val="0"/>
              <w:widowControl/>
              <w:suppressLineNumbers w:val="0"/>
              <w:spacing w:line="240" w:lineRule="auto"/>
              <w:jc w:val="left"/>
              <w:textAlignment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5.2.10.多功能酶标仪 1套</w:t>
            </w:r>
          </w:p>
        </w:tc>
        <w:tc>
          <w:tcPr>
            <w:tcW w:w="747" w:type="dxa"/>
            <w:tcBorders>
              <w:top w:val="single" w:color="auto" w:sz="4" w:space="0"/>
              <w:left w:val="single" w:color="auto" w:sz="4" w:space="0"/>
              <w:bottom w:val="single" w:color="auto" w:sz="4" w:space="0"/>
              <w:right w:val="single" w:color="auto" w:sz="4" w:space="0"/>
            </w:tcBorders>
            <w:vAlign w:val="center"/>
          </w:tcPr>
          <w:p w14:paraId="4C4F662A">
            <w:pPr>
              <w:spacing w:before="60" w:after="60" w:line="240" w:lineRule="auto"/>
              <w:rPr>
                <w:rFonts w:hint="default" w:ascii="Times New Roman" w:hAnsi="Times New Roman" w:eastAsia="宋体" w:cs="Times New Roman"/>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3431ADB1">
            <w:pPr>
              <w:spacing w:before="60" w:after="60" w:line="240" w:lineRule="auto"/>
              <w:rPr>
                <w:rFonts w:hint="default" w:ascii="Times New Roman" w:hAnsi="Times New Roman" w:eastAsia="宋体" w:cs="Times New Roman"/>
                <w:sz w:val="21"/>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5EC9FA96">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50F979FD">
            <w:pPr>
              <w:spacing w:before="60" w:after="60" w:line="240" w:lineRule="auto"/>
              <w:rPr>
                <w:rFonts w:hint="default" w:ascii="Times New Roman" w:hAnsi="Times New Roman" w:eastAsia="宋体" w:cs="Times New Roman"/>
                <w:sz w:val="21"/>
                <w:szCs w:val="21"/>
                <w:highlight w:val="none"/>
              </w:rPr>
            </w:pPr>
          </w:p>
        </w:tc>
        <w:tc>
          <w:tcPr>
            <w:tcW w:w="828" w:type="dxa"/>
            <w:tcBorders>
              <w:top w:val="single" w:color="auto" w:sz="4" w:space="0"/>
              <w:left w:val="single" w:color="auto" w:sz="4" w:space="0"/>
              <w:bottom w:val="single" w:color="auto" w:sz="4" w:space="0"/>
              <w:right w:val="single" w:color="auto" w:sz="4" w:space="0"/>
            </w:tcBorders>
            <w:vAlign w:val="center"/>
          </w:tcPr>
          <w:p w14:paraId="148220BC">
            <w:pPr>
              <w:spacing w:before="60" w:after="60" w:line="240" w:lineRule="auto"/>
              <w:rPr>
                <w:rFonts w:hint="default" w:ascii="Times New Roman" w:hAnsi="Times New Roman" w:eastAsia="宋体" w:cs="Times New Roman"/>
                <w:sz w:val="21"/>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5256DC31">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2BA78754">
            <w:pPr>
              <w:spacing w:before="60" w:after="60" w:line="240" w:lineRule="auto"/>
              <w:rPr>
                <w:rFonts w:hint="default" w:ascii="Times New Roman" w:hAnsi="Times New Roman" w:eastAsia="宋体" w:cs="Times New Roman"/>
                <w:sz w:val="21"/>
                <w:szCs w:val="21"/>
                <w:highlight w:val="none"/>
              </w:rPr>
            </w:pPr>
          </w:p>
        </w:tc>
        <w:tc>
          <w:tcPr>
            <w:tcW w:w="754" w:type="dxa"/>
            <w:tcBorders>
              <w:top w:val="single" w:color="auto" w:sz="4" w:space="0"/>
              <w:left w:val="single" w:color="auto" w:sz="4" w:space="0"/>
              <w:bottom w:val="single" w:color="auto" w:sz="4" w:space="0"/>
              <w:right w:val="single" w:color="auto" w:sz="4" w:space="0"/>
            </w:tcBorders>
            <w:vAlign w:val="center"/>
          </w:tcPr>
          <w:p w14:paraId="518B69C3">
            <w:pPr>
              <w:spacing w:line="240" w:lineRule="auto"/>
              <w:rPr>
                <w:rFonts w:hint="default" w:ascii="Times New Roman" w:hAnsi="Times New Roman" w:eastAsia="宋体" w:cs="Times New Roman"/>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vAlign w:val="center"/>
          </w:tcPr>
          <w:p w14:paraId="7C95372B">
            <w:pPr>
              <w:spacing w:line="240" w:lineRule="auto"/>
              <w:rPr>
                <w:rFonts w:hint="default" w:ascii="Times New Roman" w:hAnsi="Times New Roman" w:eastAsia="宋体" w:cs="Times New Roman"/>
                <w:sz w:val="21"/>
                <w:szCs w:val="21"/>
                <w:highlight w:val="none"/>
              </w:rPr>
            </w:pPr>
          </w:p>
        </w:tc>
      </w:tr>
      <w:tr w14:paraId="32042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6" w:type="dxa"/>
            <w:tcBorders>
              <w:top w:val="single" w:color="auto" w:sz="4" w:space="0"/>
              <w:left w:val="single" w:color="auto" w:sz="4" w:space="0"/>
              <w:bottom w:val="single" w:color="auto" w:sz="4" w:space="0"/>
              <w:right w:val="single" w:color="auto" w:sz="4" w:space="0"/>
            </w:tcBorders>
            <w:vAlign w:val="center"/>
          </w:tcPr>
          <w:p w14:paraId="021748E8">
            <w:pPr>
              <w:numPr>
                <w:ilvl w:val="0"/>
                <w:numId w:val="20"/>
              </w:numPr>
              <w:spacing w:before="60" w:after="60" w:line="240" w:lineRule="auto"/>
              <w:ind w:left="425" w:leftChars="0" w:hanging="425" w:firstLineChars="0"/>
              <w:jc w:val="center"/>
              <w:rPr>
                <w:rFonts w:hint="default" w:ascii="Times New Roman" w:hAnsi="Times New Roman" w:eastAsia="宋体" w:cs="Times New Roman"/>
                <w:sz w:val="21"/>
                <w:szCs w:val="21"/>
                <w:highlight w:val="none"/>
                <w:lang w:val="en-US" w:eastAsia="zh-CN"/>
              </w:rPr>
            </w:pPr>
          </w:p>
        </w:tc>
        <w:tc>
          <w:tcPr>
            <w:tcW w:w="4035" w:type="dxa"/>
            <w:tcBorders>
              <w:top w:val="single" w:color="auto" w:sz="4" w:space="0"/>
              <w:left w:val="single" w:color="auto" w:sz="4" w:space="0"/>
              <w:bottom w:val="single" w:color="auto" w:sz="4" w:space="0"/>
              <w:right w:val="single" w:color="auto" w:sz="4" w:space="0"/>
            </w:tcBorders>
            <w:vAlign w:val="center"/>
          </w:tcPr>
          <w:p w14:paraId="7F249AC0">
            <w:pPr>
              <w:keepNext w:val="0"/>
              <w:keepLines w:val="0"/>
              <w:widowControl/>
              <w:suppressLineNumbers w:val="0"/>
              <w:spacing w:line="240" w:lineRule="auto"/>
              <w:jc w:val="left"/>
              <w:textAlignment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5.2.11.自动化qPCR仪组件 1套</w:t>
            </w:r>
          </w:p>
        </w:tc>
        <w:tc>
          <w:tcPr>
            <w:tcW w:w="747" w:type="dxa"/>
            <w:tcBorders>
              <w:top w:val="single" w:color="auto" w:sz="4" w:space="0"/>
              <w:left w:val="single" w:color="auto" w:sz="4" w:space="0"/>
              <w:bottom w:val="single" w:color="auto" w:sz="4" w:space="0"/>
              <w:right w:val="single" w:color="auto" w:sz="4" w:space="0"/>
            </w:tcBorders>
            <w:vAlign w:val="center"/>
          </w:tcPr>
          <w:p w14:paraId="3EB46959">
            <w:pPr>
              <w:spacing w:before="60" w:after="60" w:line="240" w:lineRule="auto"/>
              <w:rPr>
                <w:rFonts w:hint="default" w:ascii="Times New Roman" w:hAnsi="Times New Roman" w:eastAsia="宋体" w:cs="Times New Roman"/>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0E4E71CC">
            <w:pPr>
              <w:spacing w:before="60" w:after="60" w:line="240" w:lineRule="auto"/>
              <w:rPr>
                <w:rFonts w:hint="default" w:ascii="Times New Roman" w:hAnsi="Times New Roman" w:eastAsia="宋体" w:cs="Times New Roman"/>
                <w:sz w:val="21"/>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5B6B9140">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2545A341">
            <w:pPr>
              <w:spacing w:before="60" w:after="60" w:line="240" w:lineRule="auto"/>
              <w:rPr>
                <w:rFonts w:hint="default" w:ascii="Times New Roman" w:hAnsi="Times New Roman" w:eastAsia="宋体" w:cs="Times New Roman"/>
                <w:sz w:val="21"/>
                <w:szCs w:val="21"/>
                <w:highlight w:val="none"/>
              </w:rPr>
            </w:pPr>
          </w:p>
        </w:tc>
        <w:tc>
          <w:tcPr>
            <w:tcW w:w="828" w:type="dxa"/>
            <w:tcBorders>
              <w:top w:val="single" w:color="auto" w:sz="4" w:space="0"/>
              <w:left w:val="single" w:color="auto" w:sz="4" w:space="0"/>
              <w:bottom w:val="single" w:color="auto" w:sz="4" w:space="0"/>
              <w:right w:val="single" w:color="auto" w:sz="4" w:space="0"/>
            </w:tcBorders>
            <w:vAlign w:val="center"/>
          </w:tcPr>
          <w:p w14:paraId="0D760070">
            <w:pPr>
              <w:spacing w:before="60" w:after="60" w:line="240" w:lineRule="auto"/>
              <w:rPr>
                <w:rFonts w:hint="default" w:ascii="Times New Roman" w:hAnsi="Times New Roman" w:eastAsia="宋体" w:cs="Times New Roman"/>
                <w:sz w:val="21"/>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5D3AB08F">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23565650">
            <w:pPr>
              <w:spacing w:before="60" w:after="60" w:line="240" w:lineRule="auto"/>
              <w:rPr>
                <w:rFonts w:hint="default" w:ascii="Times New Roman" w:hAnsi="Times New Roman" w:eastAsia="宋体" w:cs="Times New Roman"/>
                <w:sz w:val="21"/>
                <w:szCs w:val="21"/>
                <w:highlight w:val="none"/>
              </w:rPr>
            </w:pPr>
          </w:p>
        </w:tc>
        <w:tc>
          <w:tcPr>
            <w:tcW w:w="754" w:type="dxa"/>
            <w:tcBorders>
              <w:top w:val="single" w:color="auto" w:sz="4" w:space="0"/>
              <w:left w:val="single" w:color="auto" w:sz="4" w:space="0"/>
              <w:bottom w:val="single" w:color="auto" w:sz="4" w:space="0"/>
              <w:right w:val="single" w:color="auto" w:sz="4" w:space="0"/>
            </w:tcBorders>
            <w:vAlign w:val="center"/>
          </w:tcPr>
          <w:p w14:paraId="305A146A">
            <w:pPr>
              <w:spacing w:line="240" w:lineRule="auto"/>
              <w:rPr>
                <w:rFonts w:hint="default" w:ascii="Times New Roman" w:hAnsi="Times New Roman" w:eastAsia="宋体" w:cs="Times New Roman"/>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vAlign w:val="center"/>
          </w:tcPr>
          <w:p w14:paraId="6833569A">
            <w:pPr>
              <w:spacing w:line="240" w:lineRule="auto"/>
              <w:rPr>
                <w:rFonts w:hint="default" w:ascii="Times New Roman" w:hAnsi="Times New Roman" w:eastAsia="宋体" w:cs="Times New Roman"/>
                <w:sz w:val="21"/>
                <w:szCs w:val="21"/>
                <w:highlight w:val="none"/>
              </w:rPr>
            </w:pPr>
          </w:p>
        </w:tc>
      </w:tr>
      <w:tr w14:paraId="493AA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816" w:type="dxa"/>
            <w:tcBorders>
              <w:top w:val="single" w:color="auto" w:sz="4" w:space="0"/>
              <w:left w:val="single" w:color="auto" w:sz="4" w:space="0"/>
              <w:bottom w:val="single" w:color="auto" w:sz="4" w:space="0"/>
              <w:right w:val="single" w:color="auto" w:sz="4" w:space="0"/>
            </w:tcBorders>
            <w:vAlign w:val="center"/>
          </w:tcPr>
          <w:p w14:paraId="66EA9A99">
            <w:pPr>
              <w:numPr>
                <w:ilvl w:val="0"/>
                <w:numId w:val="20"/>
              </w:numPr>
              <w:spacing w:before="60" w:after="60" w:line="240" w:lineRule="auto"/>
              <w:ind w:left="425" w:leftChars="0" w:hanging="425" w:firstLineChars="0"/>
              <w:jc w:val="center"/>
              <w:rPr>
                <w:rFonts w:hint="default" w:ascii="Times New Roman" w:hAnsi="Times New Roman" w:eastAsia="宋体" w:cs="Times New Roman"/>
                <w:sz w:val="21"/>
                <w:szCs w:val="21"/>
                <w:highlight w:val="none"/>
                <w:lang w:val="en-US" w:eastAsia="zh-CN"/>
              </w:rPr>
            </w:pPr>
          </w:p>
        </w:tc>
        <w:tc>
          <w:tcPr>
            <w:tcW w:w="4035" w:type="dxa"/>
            <w:tcBorders>
              <w:top w:val="single" w:color="auto" w:sz="4" w:space="0"/>
              <w:left w:val="single" w:color="auto" w:sz="4" w:space="0"/>
              <w:bottom w:val="single" w:color="auto" w:sz="4" w:space="0"/>
              <w:right w:val="single" w:color="auto" w:sz="4" w:space="0"/>
            </w:tcBorders>
            <w:vAlign w:val="center"/>
          </w:tcPr>
          <w:p w14:paraId="3B9548EF">
            <w:pPr>
              <w:keepNext w:val="0"/>
              <w:keepLines w:val="0"/>
              <w:widowControl/>
              <w:suppressLineNumbers w:val="0"/>
              <w:spacing w:line="240" w:lineRule="auto"/>
              <w:jc w:val="left"/>
              <w:textAlignment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5.2.12.自动化HEPA组件 1套</w:t>
            </w:r>
          </w:p>
        </w:tc>
        <w:tc>
          <w:tcPr>
            <w:tcW w:w="747" w:type="dxa"/>
            <w:tcBorders>
              <w:top w:val="single" w:color="auto" w:sz="4" w:space="0"/>
              <w:left w:val="single" w:color="auto" w:sz="4" w:space="0"/>
              <w:bottom w:val="single" w:color="auto" w:sz="4" w:space="0"/>
              <w:right w:val="single" w:color="auto" w:sz="4" w:space="0"/>
            </w:tcBorders>
            <w:vAlign w:val="center"/>
          </w:tcPr>
          <w:p w14:paraId="06C2B91A">
            <w:pPr>
              <w:spacing w:before="60" w:after="60" w:line="240" w:lineRule="auto"/>
              <w:rPr>
                <w:rFonts w:hint="default" w:ascii="Times New Roman" w:hAnsi="Times New Roman" w:eastAsia="宋体" w:cs="Times New Roman"/>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6B6E02BA">
            <w:pPr>
              <w:spacing w:before="60" w:after="60" w:line="240" w:lineRule="auto"/>
              <w:rPr>
                <w:rFonts w:hint="default" w:ascii="Times New Roman" w:hAnsi="Times New Roman" w:eastAsia="宋体" w:cs="Times New Roman"/>
                <w:sz w:val="21"/>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3F059C1E">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1575ADEC">
            <w:pPr>
              <w:spacing w:before="60" w:after="60" w:line="240" w:lineRule="auto"/>
              <w:rPr>
                <w:rFonts w:hint="default" w:ascii="Times New Roman" w:hAnsi="Times New Roman" w:eastAsia="宋体" w:cs="Times New Roman"/>
                <w:sz w:val="21"/>
                <w:szCs w:val="21"/>
                <w:highlight w:val="none"/>
              </w:rPr>
            </w:pPr>
          </w:p>
        </w:tc>
        <w:tc>
          <w:tcPr>
            <w:tcW w:w="828" w:type="dxa"/>
            <w:tcBorders>
              <w:top w:val="single" w:color="auto" w:sz="4" w:space="0"/>
              <w:left w:val="single" w:color="auto" w:sz="4" w:space="0"/>
              <w:bottom w:val="single" w:color="auto" w:sz="4" w:space="0"/>
              <w:right w:val="single" w:color="auto" w:sz="4" w:space="0"/>
            </w:tcBorders>
            <w:vAlign w:val="center"/>
          </w:tcPr>
          <w:p w14:paraId="7B5E9C5D">
            <w:pPr>
              <w:spacing w:before="60" w:after="60" w:line="240" w:lineRule="auto"/>
              <w:rPr>
                <w:rFonts w:hint="default" w:ascii="Times New Roman" w:hAnsi="Times New Roman" w:eastAsia="宋体" w:cs="Times New Roman"/>
                <w:sz w:val="21"/>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651AB5A2">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09198694">
            <w:pPr>
              <w:spacing w:before="60" w:after="60" w:line="240" w:lineRule="auto"/>
              <w:rPr>
                <w:rFonts w:hint="default" w:ascii="Times New Roman" w:hAnsi="Times New Roman" w:eastAsia="宋体" w:cs="Times New Roman"/>
                <w:sz w:val="21"/>
                <w:szCs w:val="21"/>
                <w:highlight w:val="none"/>
              </w:rPr>
            </w:pPr>
          </w:p>
        </w:tc>
        <w:tc>
          <w:tcPr>
            <w:tcW w:w="754" w:type="dxa"/>
            <w:tcBorders>
              <w:top w:val="single" w:color="auto" w:sz="4" w:space="0"/>
              <w:left w:val="single" w:color="auto" w:sz="4" w:space="0"/>
              <w:bottom w:val="single" w:color="auto" w:sz="4" w:space="0"/>
              <w:right w:val="single" w:color="auto" w:sz="4" w:space="0"/>
            </w:tcBorders>
            <w:vAlign w:val="center"/>
          </w:tcPr>
          <w:p w14:paraId="4D1EC3E4">
            <w:pPr>
              <w:spacing w:line="240" w:lineRule="auto"/>
              <w:rPr>
                <w:rFonts w:hint="default" w:ascii="Times New Roman" w:hAnsi="Times New Roman" w:eastAsia="宋体" w:cs="Times New Roman"/>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vAlign w:val="center"/>
          </w:tcPr>
          <w:p w14:paraId="24652147">
            <w:pPr>
              <w:spacing w:line="240" w:lineRule="auto"/>
              <w:rPr>
                <w:rFonts w:hint="default" w:ascii="Times New Roman" w:hAnsi="Times New Roman" w:eastAsia="宋体" w:cs="Times New Roman"/>
                <w:sz w:val="21"/>
                <w:szCs w:val="21"/>
                <w:highlight w:val="none"/>
              </w:rPr>
            </w:pPr>
          </w:p>
        </w:tc>
      </w:tr>
      <w:tr w14:paraId="78781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6" w:type="dxa"/>
            <w:tcBorders>
              <w:top w:val="single" w:color="auto" w:sz="4" w:space="0"/>
              <w:left w:val="single" w:color="auto" w:sz="4" w:space="0"/>
              <w:bottom w:val="single" w:color="auto" w:sz="4" w:space="0"/>
              <w:right w:val="single" w:color="auto" w:sz="4" w:space="0"/>
            </w:tcBorders>
            <w:vAlign w:val="center"/>
          </w:tcPr>
          <w:p w14:paraId="1C04EF73">
            <w:pPr>
              <w:numPr>
                <w:ilvl w:val="0"/>
                <w:numId w:val="20"/>
              </w:numPr>
              <w:spacing w:before="60" w:after="60" w:line="240" w:lineRule="auto"/>
              <w:ind w:left="425" w:leftChars="0" w:hanging="425" w:firstLineChars="0"/>
              <w:jc w:val="center"/>
              <w:rPr>
                <w:rFonts w:hint="default" w:ascii="Times New Roman" w:hAnsi="Times New Roman" w:eastAsia="宋体" w:cs="Times New Roman"/>
                <w:sz w:val="21"/>
                <w:szCs w:val="21"/>
                <w:highlight w:val="none"/>
                <w:lang w:val="en-US" w:eastAsia="zh-CN"/>
              </w:rPr>
            </w:pPr>
          </w:p>
        </w:tc>
        <w:tc>
          <w:tcPr>
            <w:tcW w:w="4035" w:type="dxa"/>
            <w:tcBorders>
              <w:top w:val="single" w:color="auto" w:sz="4" w:space="0"/>
              <w:left w:val="single" w:color="auto" w:sz="4" w:space="0"/>
              <w:bottom w:val="single" w:color="auto" w:sz="4" w:space="0"/>
              <w:right w:val="single" w:color="auto" w:sz="4" w:space="0"/>
            </w:tcBorders>
            <w:vAlign w:val="center"/>
          </w:tcPr>
          <w:p w14:paraId="4B04F87D">
            <w:pPr>
              <w:keepNext w:val="0"/>
              <w:keepLines w:val="0"/>
              <w:widowControl/>
              <w:suppressLineNumbers w:val="0"/>
              <w:spacing w:line="240" w:lineRule="auto"/>
              <w:jc w:val="left"/>
              <w:textAlignment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5.2.13.自动化化工作台及电控组件 1套</w:t>
            </w:r>
          </w:p>
        </w:tc>
        <w:tc>
          <w:tcPr>
            <w:tcW w:w="747" w:type="dxa"/>
            <w:tcBorders>
              <w:top w:val="single" w:color="auto" w:sz="4" w:space="0"/>
              <w:left w:val="single" w:color="auto" w:sz="4" w:space="0"/>
              <w:bottom w:val="single" w:color="auto" w:sz="4" w:space="0"/>
              <w:right w:val="single" w:color="auto" w:sz="4" w:space="0"/>
            </w:tcBorders>
            <w:vAlign w:val="center"/>
          </w:tcPr>
          <w:p w14:paraId="7C21728B">
            <w:pPr>
              <w:spacing w:before="60" w:after="60" w:line="240" w:lineRule="auto"/>
              <w:rPr>
                <w:rFonts w:hint="default" w:ascii="Times New Roman" w:hAnsi="Times New Roman" w:eastAsia="宋体" w:cs="Times New Roman"/>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527AEAEC">
            <w:pPr>
              <w:spacing w:before="60" w:after="60" w:line="240" w:lineRule="auto"/>
              <w:rPr>
                <w:rFonts w:hint="default" w:ascii="Times New Roman" w:hAnsi="Times New Roman" w:eastAsia="宋体" w:cs="Times New Roman"/>
                <w:sz w:val="21"/>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586520D2">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105C0D7F">
            <w:pPr>
              <w:spacing w:before="60" w:after="60" w:line="240" w:lineRule="auto"/>
              <w:rPr>
                <w:rFonts w:hint="default" w:ascii="Times New Roman" w:hAnsi="Times New Roman" w:eastAsia="宋体" w:cs="Times New Roman"/>
                <w:sz w:val="21"/>
                <w:szCs w:val="21"/>
                <w:highlight w:val="none"/>
              </w:rPr>
            </w:pPr>
          </w:p>
        </w:tc>
        <w:tc>
          <w:tcPr>
            <w:tcW w:w="828" w:type="dxa"/>
            <w:tcBorders>
              <w:top w:val="single" w:color="auto" w:sz="4" w:space="0"/>
              <w:left w:val="single" w:color="auto" w:sz="4" w:space="0"/>
              <w:bottom w:val="single" w:color="auto" w:sz="4" w:space="0"/>
              <w:right w:val="single" w:color="auto" w:sz="4" w:space="0"/>
            </w:tcBorders>
            <w:vAlign w:val="center"/>
          </w:tcPr>
          <w:p w14:paraId="6C714A23">
            <w:pPr>
              <w:spacing w:before="60" w:after="60" w:line="240" w:lineRule="auto"/>
              <w:rPr>
                <w:rFonts w:hint="default" w:ascii="Times New Roman" w:hAnsi="Times New Roman" w:eastAsia="宋体" w:cs="Times New Roman"/>
                <w:sz w:val="21"/>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5BA6133E">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5325F2AE">
            <w:pPr>
              <w:spacing w:before="60" w:after="60" w:line="240" w:lineRule="auto"/>
              <w:rPr>
                <w:rFonts w:hint="default" w:ascii="Times New Roman" w:hAnsi="Times New Roman" w:eastAsia="宋体" w:cs="Times New Roman"/>
                <w:sz w:val="21"/>
                <w:szCs w:val="21"/>
                <w:highlight w:val="none"/>
              </w:rPr>
            </w:pPr>
          </w:p>
        </w:tc>
        <w:tc>
          <w:tcPr>
            <w:tcW w:w="754" w:type="dxa"/>
            <w:tcBorders>
              <w:top w:val="single" w:color="auto" w:sz="4" w:space="0"/>
              <w:left w:val="single" w:color="auto" w:sz="4" w:space="0"/>
              <w:bottom w:val="single" w:color="auto" w:sz="4" w:space="0"/>
              <w:right w:val="single" w:color="auto" w:sz="4" w:space="0"/>
            </w:tcBorders>
            <w:vAlign w:val="center"/>
          </w:tcPr>
          <w:p w14:paraId="680B6261">
            <w:pPr>
              <w:spacing w:line="240" w:lineRule="auto"/>
              <w:rPr>
                <w:rFonts w:hint="default" w:ascii="Times New Roman" w:hAnsi="Times New Roman" w:eastAsia="宋体" w:cs="Times New Roman"/>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vAlign w:val="center"/>
          </w:tcPr>
          <w:p w14:paraId="447F566F">
            <w:pPr>
              <w:spacing w:line="240" w:lineRule="auto"/>
              <w:rPr>
                <w:rFonts w:hint="default" w:ascii="Times New Roman" w:hAnsi="Times New Roman" w:eastAsia="宋体" w:cs="Times New Roman"/>
                <w:sz w:val="21"/>
                <w:szCs w:val="21"/>
                <w:highlight w:val="none"/>
              </w:rPr>
            </w:pPr>
          </w:p>
        </w:tc>
      </w:tr>
      <w:tr w14:paraId="7DF2A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816" w:type="dxa"/>
            <w:tcBorders>
              <w:top w:val="single" w:color="auto" w:sz="4" w:space="0"/>
              <w:left w:val="single" w:color="auto" w:sz="4" w:space="0"/>
              <w:bottom w:val="single" w:color="auto" w:sz="4" w:space="0"/>
              <w:right w:val="single" w:color="auto" w:sz="4" w:space="0"/>
            </w:tcBorders>
            <w:vAlign w:val="center"/>
          </w:tcPr>
          <w:p w14:paraId="3D1F66DB">
            <w:pPr>
              <w:numPr>
                <w:ilvl w:val="0"/>
                <w:numId w:val="20"/>
              </w:numPr>
              <w:spacing w:before="60" w:after="60" w:line="240" w:lineRule="auto"/>
              <w:ind w:left="425" w:leftChars="0" w:hanging="425" w:firstLineChars="0"/>
              <w:jc w:val="center"/>
              <w:rPr>
                <w:rFonts w:hint="default" w:ascii="Times New Roman" w:hAnsi="Times New Roman" w:eastAsia="宋体" w:cs="Times New Roman"/>
                <w:sz w:val="21"/>
                <w:szCs w:val="21"/>
                <w:highlight w:val="none"/>
                <w:lang w:val="en-US" w:eastAsia="zh-CN"/>
              </w:rPr>
            </w:pPr>
          </w:p>
        </w:tc>
        <w:tc>
          <w:tcPr>
            <w:tcW w:w="4035" w:type="dxa"/>
            <w:tcBorders>
              <w:top w:val="single" w:color="auto" w:sz="4" w:space="0"/>
              <w:left w:val="single" w:color="auto" w:sz="4" w:space="0"/>
              <w:bottom w:val="single" w:color="auto" w:sz="4" w:space="0"/>
              <w:right w:val="single" w:color="auto" w:sz="4" w:space="0"/>
            </w:tcBorders>
            <w:vAlign w:val="center"/>
          </w:tcPr>
          <w:p w14:paraId="2FE4EDDC">
            <w:pPr>
              <w:keepNext w:val="0"/>
              <w:keepLines w:val="0"/>
              <w:widowControl/>
              <w:suppressLineNumbers w:val="0"/>
              <w:spacing w:line="240" w:lineRule="auto"/>
              <w:jc w:val="left"/>
              <w:textAlignment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5.2.14.中央控制软件 1套</w:t>
            </w:r>
          </w:p>
        </w:tc>
        <w:tc>
          <w:tcPr>
            <w:tcW w:w="747" w:type="dxa"/>
            <w:tcBorders>
              <w:top w:val="single" w:color="auto" w:sz="4" w:space="0"/>
              <w:left w:val="single" w:color="auto" w:sz="4" w:space="0"/>
              <w:bottom w:val="single" w:color="auto" w:sz="4" w:space="0"/>
              <w:right w:val="single" w:color="auto" w:sz="4" w:space="0"/>
            </w:tcBorders>
            <w:vAlign w:val="center"/>
          </w:tcPr>
          <w:p w14:paraId="05191565">
            <w:pPr>
              <w:spacing w:before="60" w:after="60" w:line="240" w:lineRule="auto"/>
              <w:rPr>
                <w:rFonts w:hint="default" w:ascii="Times New Roman" w:hAnsi="Times New Roman" w:eastAsia="宋体" w:cs="Times New Roman"/>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0C6D3D19">
            <w:pPr>
              <w:spacing w:before="60" w:after="60" w:line="240" w:lineRule="auto"/>
              <w:rPr>
                <w:rFonts w:hint="default" w:ascii="Times New Roman" w:hAnsi="Times New Roman" w:eastAsia="宋体" w:cs="Times New Roman"/>
                <w:sz w:val="21"/>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3C6B08DA">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27D685DF">
            <w:pPr>
              <w:spacing w:before="60" w:after="60" w:line="240" w:lineRule="auto"/>
              <w:rPr>
                <w:rFonts w:hint="default" w:ascii="Times New Roman" w:hAnsi="Times New Roman" w:eastAsia="宋体" w:cs="Times New Roman"/>
                <w:sz w:val="21"/>
                <w:szCs w:val="21"/>
                <w:highlight w:val="none"/>
              </w:rPr>
            </w:pPr>
          </w:p>
        </w:tc>
        <w:tc>
          <w:tcPr>
            <w:tcW w:w="828" w:type="dxa"/>
            <w:tcBorders>
              <w:top w:val="single" w:color="auto" w:sz="4" w:space="0"/>
              <w:left w:val="single" w:color="auto" w:sz="4" w:space="0"/>
              <w:bottom w:val="single" w:color="auto" w:sz="4" w:space="0"/>
              <w:right w:val="single" w:color="auto" w:sz="4" w:space="0"/>
            </w:tcBorders>
            <w:vAlign w:val="center"/>
          </w:tcPr>
          <w:p w14:paraId="5BDFB389">
            <w:pPr>
              <w:spacing w:before="60" w:after="60" w:line="240" w:lineRule="auto"/>
              <w:rPr>
                <w:rFonts w:hint="default" w:ascii="Times New Roman" w:hAnsi="Times New Roman" w:eastAsia="宋体" w:cs="Times New Roman"/>
                <w:sz w:val="21"/>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68E1DC0F">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7D6AE824">
            <w:pPr>
              <w:spacing w:before="60" w:after="60" w:line="240" w:lineRule="auto"/>
              <w:rPr>
                <w:rFonts w:hint="default" w:ascii="Times New Roman" w:hAnsi="Times New Roman" w:eastAsia="宋体" w:cs="Times New Roman"/>
                <w:sz w:val="21"/>
                <w:szCs w:val="21"/>
                <w:highlight w:val="none"/>
              </w:rPr>
            </w:pPr>
          </w:p>
        </w:tc>
        <w:tc>
          <w:tcPr>
            <w:tcW w:w="754" w:type="dxa"/>
            <w:tcBorders>
              <w:top w:val="single" w:color="auto" w:sz="4" w:space="0"/>
              <w:left w:val="single" w:color="auto" w:sz="4" w:space="0"/>
              <w:bottom w:val="single" w:color="auto" w:sz="4" w:space="0"/>
              <w:right w:val="single" w:color="auto" w:sz="4" w:space="0"/>
            </w:tcBorders>
            <w:vAlign w:val="center"/>
          </w:tcPr>
          <w:p w14:paraId="3E224DCE">
            <w:pPr>
              <w:spacing w:line="240" w:lineRule="auto"/>
              <w:rPr>
                <w:rFonts w:hint="default" w:ascii="Times New Roman" w:hAnsi="Times New Roman" w:eastAsia="宋体" w:cs="Times New Roman"/>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vAlign w:val="center"/>
          </w:tcPr>
          <w:p w14:paraId="79086E2A">
            <w:pPr>
              <w:spacing w:line="240" w:lineRule="auto"/>
              <w:rPr>
                <w:rFonts w:hint="default" w:ascii="Times New Roman" w:hAnsi="Times New Roman" w:eastAsia="宋体" w:cs="Times New Roman"/>
                <w:sz w:val="21"/>
                <w:szCs w:val="21"/>
                <w:highlight w:val="none"/>
              </w:rPr>
            </w:pPr>
          </w:p>
        </w:tc>
      </w:tr>
      <w:tr w14:paraId="4CE02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816" w:type="dxa"/>
            <w:tcBorders>
              <w:top w:val="single" w:color="auto" w:sz="4" w:space="0"/>
              <w:left w:val="single" w:color="auto" w:sz="4" w:space="0"/>
              <w:bottom w:val="single" w:color="auto" w:sz="4" w:space="0"/>
              <w:right w:val="single" w:color="auto" w:sz="4" w:space="0"/>
            </w:tcBorders>
            <w:vAlign w:val="center"/>
          </w:tcPr>
          <w:p w14:paraId="68FE30D6">
            <w:pPr>
              <w:numPr>
                <w:ilvl w:val="0"/>
                <w:numId w:val="20"/>
              </w:numPr>
              <w:spacing w:before="60" w:after="60" w:line="240" w:lineRule="auto"/>
              <w:ind w:left="425" w:leftChars="0" w:hanging="425" w:firstLineChars="0"/>
              <w:jc w:val="center"/>
              <w:rPr>
                <w:rFonts w:hint="default" w:ascii="Times New Roman" w:hAnsi="Times New Roman" w:eastAsia="宋体" w:cs="Times New Roman"/>
                <w:sz w:val="21"/>
                <w:szCs w:val="21"/>
                <w:highlight w:val="none"/>
                <w:lang w:val="en-US" w:eastAsia="zh-CN"/>
              </w:rPr>
            </w:pPr>
          </w:p>
        </w:tc>
        <w:tc>
          <w:tcPr>
            <w:tcW w:w="4035" w:type="dxa"/>
            <w:tcBorders>
              <w:top w:val="single" w:color="auto" w:sz="4" w:space="0"/>
              <w:left w:val="single" w:color="auto" w:sz="4" w:space="0"/>
              <w:bottom w:val="single" w:color="auto" w:sz="4" w:space="0"/>
              <w:right w:val="single" w:color="auto" w:sz="4" w:space="0"/>
            </w:tcBorders>
            <w:vAlign w:val="center"/>
          </w:tcPr>
          <w:p w14:paraId="76A130DF">
            <w:pPr>
              <w:keepNext w:val="0"/>
              <w:keepLines w:val="0"/>
              <w:widowControl/>
              <w:suppressLineNumbers w:val="0"/>
              <w:spacing w:line="240" w:lineRule="auto"/>
              <w:jc w:val="left"/>
              <w:textAlignment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5.2.15.医用冷藏箱 5套</w:t>
            </w:r>
          </w:p>
        </w:tc>
        <w:tc>
          <w:tcPr>
            <w:tcW w:w="747" w:type="dxa"/>
            <w:tcBorders>
              <w:top w:val="single" w:color="auto" w:sz="4" w:space="0"/>
              <w:left w:val="single" w:color="auto" w:sz="4" w:space="0"/>
              <w:bottom w:val="single" w:color="auto" w:sz="4" w:space="0"/>
              <w:right w:val="single" w:color="auto" w:sz="4" w:space="0"/>
            </w:tcBorders>
            <w:vAlign w:val="center"/>
          </w:tcPr>
          <w:p w14:paraId="0E561EAF">
            <w:pPr>
              <w:spacing w:before="60" w:after="60" w:line="240" w:lineRule="auto"/>
              <w:rPr>
                <w:rFonts w:hint="default" w:ascii="Times New Roman" w:hAnsi="Times New Roman" w:eastAsia="宋体" w:cs="Times New Roman"/>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5DE2E143">
            <w:pPr>
              <w:spacing w:before="60" w:after="60" w:line="240" w:lineRule="auto"/>
              <w:rPr>
                <w:rFonts w:hint="default" w:ascii="Times New Roman" w:hAnsi="Times New Roman" w:eastAsia="宋体" w:cs="Times New Roman"/>
                <w:sz w:val="21"/>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56154D3A">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763248E8">
            <w:pPr>
              <w:spacing w:before="60" w:after="60" w:line="240" w:lineRule="auto"/>
              <w:rPr>
                <w:rFonts w:hint="default" w:ascii="Times New Roman" w:hAnsi="Times New Roman" w:eastAsia="宋体" w:cs="Times New Roman"/>
                <w:sz w:val="21"/>
                <w:szCs w:val="21"/>
                <w:highlight w:val="none"/>
              </w:rPr>
            </w:pPr>
          </w:p>
        </w:tc>
        <w:tc>
          <w:tcPr>
            <w:tcW w:w="828" w:type="dxa"/>
            <w:tcBorders>
              <w:top w:val="single" w:color="auto" w:sz="4" w:space="0"/>
              <w:left w:val="single" w:color="auto" w:sz="4" w:space="0"/>
              <w:bottom w:val="single" w:color="auto" w:sz="4" w:space="0"/>
              <w:right w:val="single" w:color="auto" w:sz="4" w:space="0"/>
            </w:tcBorders>
            <w:vAlign w:val="center"/>
          </w:tcPr>
          <w:p w14:paraId="640F1AE4">
            <w:pPr>
              <w:spacing w:before="60" w:after="60" w:line="240" w:lineRule="auto"/>
              <w:rPr>
                <w:rFonts w:hint="default" w:ascii="Times New Roman" w:hAnsi="Times New Roman" w:eastAsia="宋体" w:cs="Times New Roman"/>
                <w:sz w:val="21"/>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2B603B94">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01AAE0C7">
            <w:pPr>
              <w:spacing w:before="60" w:after="60" w:line="240" w:lineRule="auto"/>
              <w:rPr>
                <w:rFonts w:hint="default" w:ascii="Times New Roman" w:hAnsi="Times New Roman" w:eastAsia="宋体" w:cs="Times New Roman"/>
                <w:sz w:val="21"/>
                <w:szCs w:val="21"/>
                <w:highlight w:val="none"/>
              </w:rPr>
            </w:pPr>
          </w:p>
        </w:tc>
        <w:tc>
          <w:tcPr>
            <w:tcW w:w="754" w:type="dxa"/>
            <w:tcBorders>
              <w:top w:val="single" w:color="auto" w:sz="4" w:space="0"/>
              <w:left w:val="single" w:color="auto" w:sz="4" w:space="0"/>
              <w:bottom w:val="single" w:color="auto" w:sz="4" w:space="0"/>
              <w:right w:val="single" w:color="auto" w:sz="4" w:space="0"/>
            </w:tcBorders>
            <w:vAlign w:val="center"/>
          </w:tcPr>
          <w:p w14:paraId="4E31AB80">
            <w:pPr>
              <w:spacing w:line="240" w:lineRule="auto"/>
              <w:rPr>
                <w:rFonts w:hint="default" w:ascii="Times New Roman" w:hAnsi="Times New Roman" w:eastAsia="宋体" w:cs="Times New Roman"/>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vAlign w:val="center"/>
          </w:tcPr>
          <w:p w14:paraId="1E312FEA">
            <w:pPr>
              <w:spacing w:line="240" w:lineRule="auto"/>
              <w:rPr>
                <w:rFonts w:hint="default" w:ascii="Times New Roman" w:hAnsi="Times New Roman" w:eastAsia="宋体" w:cs="Times New Roman"/>
                <w:sz w:val="21"/>
                <w:szCs w:val="21"/>
                <w:highlight w:val="none"/>
              </w:rPr>
            </w:pPr>
          </w:p>
        </w:tc>
      </w:tr>
      <w:tr w14:paraId="7F0E2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6" w:type="dxa"/>
            <w:tcBorders>
              <w:top w:val="single" w:color="auto" w:sz="4" w:space="0"/>
              <w:left w:val="single" w:color="auto" w:sz="4" w:space="0"/>
              <w:bottom w:val="single" w:color="auto" w:sz="4" w:space="0"/>
              <w:right w:val="single" w:color="auto" w:sz="4" w:space="0"/>
            </w:tcBorders>
            <w:vAlign w:val="center"/>
          </w:tcPr>
          <w:p w14:paraId="71BB5AAD">
            <w:pPr>
              <w:numPr>
                <w:ilvl w:val="0"/>
                <w:numId w:val="20"/>
              </w:numPr>
              <w:spacing w:before="60" w:after="60" w:line="240" w:lineRule="auto"/>
              <w:ind w:left="425" w:leftChars="0" w:hanging="425" w:firstLineChars="0"/>
              <w:jc w:val="center"/>
              <w:rPr>
                <w:rFonts w:hint="default" w:ascii="Times New Roman" w:hAnsi="Times New Roman" w:eastAsia="宋体" w:cs="Times New Roman"/>
                <w:sz w:val="21"/>
                <w:szCs w:val="21"/>
                <w:highlight w:val="none"/>
                <w:lang w:val="en-US" w:eastAsia="zh-CN"/>
              </w:rPr>
            </w:pPr>
          </w:p>
        </w:tc>
        <w:tc>
          <w:tcPr>
            <w:tcW w:w="4035" w:type="dxa"/>
            <w:tcBorders>
              <w:top w:val="single" w:color="auto" w:sz="4" w:space="0"/>
              <w:left w:val="single" w:color="auto" w:sz="4" w:space="0"/>
              <w:bottom w:val="single" w:color="auto" w:sz="4" w:space="0"/>
              <w:right w:val="single" w:color="auto" w:sz="4" w:space="0"/>
            </w:tcBorders>
            <w:vAlign w:val="center"/>
          </w:tcPr>
          <w:p w14:paraId="307D17CD">
            <w:pPr>
              <w:keepNext w:val="0"/>
              <w:keepLines w:val="0"/>
              <w:widowControl/>
              <w:suppressLineNumbers w:val="0"/>
              <w:spacing w:line="240" w:lineRule="auto"/>
              <w:jc w:val="left"/>
              <w:textAlignment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5.2.16.-86度超低温冰箱 2套</w:t>
            </w:r>
          </w:p>
        </w:tc>
        <w:tc>
          <w:tcPr>
            <w:tcW w:w="747" w:type="dxa"/>
            <w:tcBorders>
              <w:top w:val="single" w:color="auto" w:sz="4" w:space="0"/>
              <w:left w:val="single" w:color="auto" w:sz="4" w:space="0"/>
              <w:bottom w:val="single" w:color="auto" w:sz="4" w:space="0"/>
              <w:right w:val="single" w:color="auto" w:sz="4" w:space="0"/>
            </w:tcBorders>
            <w:vAlign w:val="center"/>
          </w:tcPr>
          <w:p w14:paraId="2716FA25">
            <w:pPr>
              <w:spacing w:before="60" w:after="60" w:line="240" w:lineRule="auto"/>
              <w:rPr>
                <w:rFonts w:hint="default" w:ascii="Times New Roman" w:hAnsi="Times New Roman" w:eastAsia="宋体" w:cs="Times New Roman"/>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34F192E3">
            <w:pPr>
              <w:spacing w:before="60" w:after="60" w:line="240" w:lineRule="auto"/>
              <w:rPr>
                <w:rFonts w:hint="default" w:ascii="Times New Roman" w:hAnsi="Times New Roman" w:eastAsia="宋体" w:cs="Times New Roman"/>
                <w:sz w:val="21"/>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6676CF48">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08C43377">
            <w:pPr>
              <w:spacing w:before="60" w:after="60" w:line="240" w:lineRule="auto"/>
              <w:rPr>
                <w:rFonts w:hint="default" w:ascii="Times New Roman" w:hAnsi="Times New Roman" w:eastAsia="宋体" w:cs="Times New Roman"/>
                <w:sz w:val="21"/>
                <w:szCs w:val="21"/>
                <w:highlight w:val="none"/>
              </w:rPr>
            </w:pPr>
          </w:p>
        </w:tc>
        <w:tc>
          <w:tcPr>
            <w:tcW w:w="828" w:type="dxa"/>
            <w:tcBorders>
              <w:top w:val="single" w:color="auto" w:sz="4" w:space="0"/>
              <w:left w:val="single" w:color="auto" w:sz="4" w:space="0"/>
              <w:bottom w:val="single" w:color="auto" w:sz="4" w:space="0"/>
              <w:right w:val="single" w:color="auto" w:sz="4" w:space="0"/>
            </w:tcBorders>
            <w:vAlign w:val="center"/>
          </w:tcPr>
          <w:p w14:paraId="4D4A73FB">
            <w:pPr>
              <w:spacing w:before="60" w:after="60" w:line="240" w:lineRule="auto"/>
              <w:rPr>
                <w:rFonts w:hint="default" w:ascii="Times New Roman" w:hAnsi="Times New Roman" w:eastAsia="宋体" w:cs="Times New Roman"/>
                <w:sz w:val="21"/>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0CF0CAD9">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1595DAB5">
            <w:pPr>
              <w:spacing w:before="60" w:after="60" w:line="240" w:lineRule="auto"/>
              <w:rPr>
                <w:rFonts w:hint="default" w:ascii="Times New Roman" w:hAnsi="Times New Roman" w:eastAsia="宋体" w:cs="Times New Roman"/>
                <w:sz w:val="21"/>
                <w:szCs w:val="21"/>
                <w:highlight w:val="none"/>
              </w:rPr>
            </w:pPr>
          </w:p>
        </w:tc>
        <w:tc>
          <w:tcPr>
            <w:tcW w:w="754" w:type="dxa"/>
            <w:tcBorders>
              <w:top w:val="single" w:color="auto" w:sz="4" w:space="0"/>
              <w:left w:val="single" w:color="auto" w:sz="4" w:space="0"/>
              <w:bottom w:val="single" w:color="auto" w:sz="4" w:space="0"/>
              <w:right w:val="single" w:color="auto" w:sz="4" w:space="0"/>
            </w:tcBorders>
            <w:vAlign w:val="center"/>
          </w:tcPr>
          <w:p w14:paraId="31DA0BB1">
            <w:pPr>
              <w:spacing w:line="240" w:lineRule="auto"/>
              <w:rPr>
                <w:rFonts w:hint="default" w:ascii="Times New Roman" w:hAnsi="Times New Roman" w:eastAsia="宋体" w:cs="Times New Roman"/>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vAlign w:val="center"/>
          </w:tcPr>
          <w:p w14:paraId="382AC05E">
            <w:pPr>
              <w:spacing w:line="240" w:lineRule="auto"/>
              <w:rPr>
                <w:rFonts w:hint="default" w:ascii="Times New Roman" w:hAnsi="Times New Roman" w:eastAsia="宋体" w:cs="Times New Roman"/>
                <w:sz w:val="21"/>
                <w:szCs w:val="21"/>
                <w:highlight w:val="none"/>
              </w:rPr>
            </w:pPr>
          </w:p>
        </w:tc>
      </w:tr>
      <w:tr w14:paraId="6F641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816" w:type="dxa"/>
            <w:tcBorders>
              <w:top w:val="single" w:color="auto" w:sz="4" w:space="0"/>
              <w:left w:val="single" w:color="auto" w:sz="4" w:space="0"/>
              <w:bottom w:val="single" w:color="auto" w:sz="4" w:space="0"/>
              <w:right w:val="single" w:color="auto" w:sz="4" w:space="0"/>
            </w:tcBorders>
            <w:vAlign w:val="center"/>
          </w:tcPr>
          <w:p w14:paraId="71EF4FA6">
            <w:pPr>
              <w:numPr>
                <w:ilvl w:val="0"/>
                <w:numId w:val="20"/>
              </w:numPr>
              <w:spacing w:before="60" w:after="60" w:line="240" w:lineRule="auto"/>
              <w:ind w:left="425" w:leftChars="0" w:hanging="425" w:firstLineChars="0"/>
              <w:jc w:val="center"/>
              <w:rPr>
                <w:rFonts w:hint="default" w:ascii="Times New Roman" w:hAnsi="Times New Roman" w:eastAsia="宋体" w:cs="Times New Roman"/>
                <w:sz w:val="21"/>
                <w:szCs w:val="21"/>
                <w:highlight w:val="none"/>
                <w:lang w:val="en-US" w:eastAsia="zh-CN"/>
              </w:rPr>
            </w:pPr>
          </w:p>
        </w:tc>
        <w:tc>
          <w:tcPr>
            <w:tcW w:w="4035" w:type="dxa"/>
            <w:tcBorders>
              <w:top w:val="single" w:color="auto" w:sz="4" w:space="0"/>
              <w:left w:val="single" w:color="auto" w:sz="4" w:space="0"/>
              <w:bottom w:val="single" w:color="auto" w:sz="4" w:space="0"/>
              <w:right w:val="single" w:color="auto" w:sz="4" w:space="0"/>
            </w:tcBorders>
            <w:vAlign w:val="center"/>
          </w:tcPr>
          <w:p w14:paraId="7532D71F">
            <w:pPr>
              <w:keepNext w:val="0"/>
              <w:keepLines w:val="0"/>
              <w:widowControl/>
              <w:suppressLineNumbers w:val="0"/>
              <w:spacing w:line="240" w:lineRule="auto"/>
              <w:jc w:val="left"/>
              <w:textAlignment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5.2.17.多功能离心机 2套</w:t>
            </w:r>
          </w:p>
        </w:tc>
        <w:tc>
          <w:tcPr>
            <w:tcW w:w="747" w:type="dxa"/>
            <w:tcBorders>
              <w:top w:val="single" w:color="auto" w:sz="4" w:space="0"/>
              <w:left w:val="single" w:color="auto" w:sz="4" w:space="0"/>
              <w:bottom w:val="single" w:color="auto" w:sz="4" w:space="0"/>
              <w:right w:val="single" w:color="auto" w:sz="4" w:space="0"/>
            </w:tcBorders>
            <w:vAlign w:val="center"/>
          </w:tcPr>
          <w:p w14:paraId="5CC35314">
            <w:pPr>
              <w:spacing w:before="60" w:after="60" w:line="240" w:lineRule="auto"/>
              <w:rPr>
                <w:rFonts w:hint="default" w:ascii="Times New Roman" w:hAnsi="Times New Roman" w:eastAsia="宋体" w:cs="Times New Roman"/>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141F5BD4">
            <w:pPr>
              <w:spacing w:before="60" w:after="60" w:line="240" w:lineRule="auto"/>
              <w:rPr>
                <w:rFonts w:hint="default" w:ascii="Times New Roman" w:hAnsi="Times New Roman" w:eastAsia="宋体" w:cs="Times New Roman"/>
                <w:sz w:val="21"/>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54A2050D">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79051C15">
            <w:pPr>
              <w:spacing w:before="60" w:after="60" w:line="240" w:lineRule="auto"/>
              <w:rPr>
                <w:rFonts w:hint="default" w:ascii="Times New Roman" w:hAnsi="Times New Roman" w:eastAsia="宋体" w:cs="Times New Roman"/>
                <w:sz w:val="21"/>
                <w:szCs w:val="21"/>
                <w:highlight w:val="none"/>
              </w:rPr>
            </w:pPr>
          </w:p>
        </w:tc>
        <w:tc>
          <w:tcPr>
            <w:tcW w:w="828" w:type="dxa"/>
            <w:tcBorders>
              <w:top w:val="single" w:color="auto" w:sz="4" w:space="0"/>
              <w:left w:val="single" w:color="auto" w:sz="4" w:space="0"/>
              <w:bottom w:val="single" w:color="auto" w:sz="4" w:space="0"/>
              <w:right w:val="single" w:color="auto" w:sz="4" w:space="0"/>
            </w:tcBorders>
            <w:vAlign w:val="center"/>
          </w:tcPr>
          <w:p w14:paraId="4DFE22CC">
            <w:pPr>
              <w:spacing w:before="60" w:after="60" w:line="240" w:lineRule="auto"/>
              <w:rPr>
                <w:rFonts w:hint="default" w:ascii="Times New Roman" w:hAnsi="Times New Roman" w:eastAsia="宋体" w:cs="Times New Roman"/>
                <w:sz w:val="21"/>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32EE4B5C">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154A2399">
            <w:pPr>
              <w:spacing w:before="60" w:after="60" w:line="240" w:lineRule="auto"/>
              <w:rPr>
                <w:rFonts w:hint="default" w:ascii="Times New Roman" w:hAnsi="Times New Roman" w:eastAsia="宋体" w:cs="Times New Roman"/>
                <w:sz w:val="21"/>
                <w:szCs w:val="21"/>
                <w:highlight w:val="none"/>
              </w:rPr>
            </w:pPr>
          </w:p>
        </w:tc>
        <w:tc>
          <w:tcPr>
            <w:tcW w:w="754" w:type="dxa"/>
            <w:tcBorders>
              <w:top w:val="single" w:color="auto" w:sz="4" w:space="0"/>
              <w:left w:val="single" w:color="auto" w:sz="4" w:space="0"/>
              <w:bottom w:val="single" w:color="auto" w:sz="4" w:space="0"/>
              <w:right w:val="single" w:color="auto" w:sz="4" w:space="0"/>
            </w:tcBorders>
            <w:vAlign w:val="center"/>
          </w:tcPr>
          <w:p w14:paraId="3B8AA596">
            <w:pPr>
              <w:spacing w:line="240" w:lineRule="auto"/>
              <w:rPr>
                <w:rFonts w:hint="default" w:ascii="Times New Roman" w:hAnsi="Times New Roman" w:eastAsia="宋体" w:cs="Times New Roman"/>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vAlign w:val="center"/>
          </w:tcPr>
          <w:p w14:paraId="1A68582B">
            <w:pPr>
              <w:spacing w:line="240" w:lineRule="auto"/>
              <w:rPr>
                <w:rFonts w:hint="default" w:ascii="Times New Roman" w:hAnsi="Times New Roman" w:eastAsia="宋体" w:cs="Times New Roman"/>
                <w:sz w:val="21"/>
                <w:szCs w:val="21"/>
                <w:highlight w:val="none"/>
              </w:rPr>
            </w:pPr>
          </w:p>
        </w:tc>
      </w:tr>
      <w:tr w14:paraId="081C7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816" w:type="dxa"/>
            <w:tcBorders>
              <w:top w:val="single" w:color="auto" w:sz="4" w:space="0"/>
              <w:left w:val="single" w:color="auto" w:sz="4" w:space="0"/>
              <w:bottom w:val="single" w:color="auto" w:sz="4" w:space="0"/>
              <w:right w:val="single" w:color="auto" w:sz="4" w:space="0"/>
            </w:tcBorders>
            <w:vAlign w:val="center"/>
          </w:tcPr>
          <w:p w14:paraId="47EBDA78">
            <w:pPr>
              <w:numPr>
                <w:ilvl w:val="0"/>
                <w:numId w:val="20"/>
              </w:numPr>
              <w:spacing w:before="60" w:after="60" w:line="240" w:lineRule="auto"/>
              <w:ind w:left="425" w:leftChars="0" w:hanging="425" w:firstLineChars="0"/>
              <w:jc w:val="center"/>
              <w:rPr>
                <w:rFonts w:hint="default" w:ascii="Times New Roman" w:hAnsi="Times New Roman" w:eastAsia="宋体" w:cs="Times New Roman"/>
                <w:sz w:val="21"/>
                <w:szCs w:val="21"/>
                <w:highlight w:val="none"/>
                <w:lang w:val="en-US" w:eastAsia="zh-CN"/>
              </w:rPr>
            </w:pPr>
          </w:p>
        </w:tc>
        <w:tc>
          <w:tcPr>
            <w:tcW w:w="4035" w:type="dxa"/>
            <w:tcBorders>
              <w:top w:val="single" w:color="auto" w:sz="4" w:space="0"/>
              <w:left w:val="single" w:color="auto" w:sz="4" w:space="0"/>
              <w:bottom w:val="single" w:color="auto" w:sz="4" w:space="0"/>
              <w:right w:val="single" w:color="auto" w:sz="4" w:space="0"/>
            </w:tcBorders>
            <w:vAlign w:val="center"/>
          </w:tcPr>
          <w:p w14:paraId="11C9D153">
            <w:pPr>
              <w:keepNext w:val="0"/>
              <w:keepLines w:val="0"/>
              <w:widowControl/>
              <w:suppressLineNumbers w:val="0"/>
              <w:spacing w:line="240" w:lineRule="auto"/>
              <w:jc w:val="left"/>
              <w:textAlignment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5.2.18.生物安全柜 2套</w:t>
            </w:r>
          </w:p>
        </w:tc>
        <w:tc>
          <w:tcPr>
            <w:tcW w:w="747" w:type="dxa"/>
            <w:tcBorders>
              <w:top w:val="single" w:color="auto" w:sz="4" w:space="0"/>
              <w:left w:val="single" w:color="auto" w:sz="4" w:space="0"/>
              <w:bottom w:val="single" w:color="auto" w:sz="4" w:space="0"/>
              <w:right w:val="single" w:color="auto" w:sz="4" w:space="0"/>
            </w:tcBorders>
            <w:vAlign w:val="center"/>
          </w:tcPr>
          <w:p w14:paraId="7A1ED26D">
            <w:pPr>
              <w:spacing w:before="60" w:after="60" w:line="240" w:lineRule="auto"/>
              <w:rPr>
                <w:rFonts w:hint="default" w:ascii="Times New Roman" w:hAnsi="Times New Roman" w:eastAsia="宋体" w:cs="Times New Roman"/>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294947FA">
            <w:pPr>
              <w:spacing w:before="60" w:after="60" w:line="240" w:lineRule="auto"/>
              <w:rPr>
                <w:rFonts w:hint="default" w:ascii="Times New Roman" w:hAnsi="Times New Roman" w:eastAsia="宋体" w:cs="Times New Roman"/>
                <w:sz w:val="21"/>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3A2B727B">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48652327">
            <w:pPr>
              <w:spacing w:before="60" w:after="60" w:line="240" w:lineRule="auto"/>
              <w:rPr>
                <w:rFonts w:hint="default" w:ascii="Times New Roman" w:hAnsi="Times New Roman" w:eastAsia="宋体" w:cs="Times New Roman"/>
                <w:sz w:val="21"/>
                <w:szCs w:val="21"/>
                <w:highlight w:val="none"/>
              </w:rPr>
            </w:pPr>
          </w:p>
        </w:tc>
        <w:tc>
          <w:tcPr>
            <w:tcW w:w="828" w:type="dxa"/>
            <w:tcBorders>
              <w:top w:val="single" w:color="auto" w:sz="4" w:space="0"/>
              <w:left w:val="single" w:color="auto" w:sz="4" w:space="0"/>
              <w:bottom w:val="single" w:color="auto" w:sz="4" w:space="0"/>
              <w:right w:val="single" w:color="auto" w:sz="4" w:space="0"/>
            </w:tcBorders>
            <w:vAlign w:val="center"/>
          </w:tcPr>
          <w:p w14:paraId="5C520420">
            <w:pPr>
              <w:spacing w:before="60" w:after="60" w:line="240" w:lineRule="auto"/>
              <w:rPr>
                <w:rFonts w:hint="default" w:ascii="Times New Roman" w:hAnsi="Times New Roman" w:eastAsia="宋体" w:cs="Times New Roman"/>
                <w:sz w:val="21"/>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3EDD6910">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1B8F6D6B">
            <w:pPr>
              <w:spacing w:before="60" w:after="60" w:line="240" w:lineRule="auto"/>
              <w:rPr>
                <w:rFonts w:hint="default" w:ascii="Times New Roman" w:hAnsi="Times New Roman" w:eastAsia="宋体" w:cs="Times New Roman"/>
                <w:sz w:val="21"/>
                <w:szCs w:val="21"/>
                <w:highlight w:val="none"/>
              </w:rPr>
            </w:pPr>
          </w:p>
        </w:tc>
        <w:tc>
          <w:tcPr>
            <w:tcW w:w="754" w:type="dxa"/>
            <w:tcBorders>
              <w:top w:val="single" w:color="auto" w:sz="4" w:space="0"/>
              <w:left w:val="single" w:color="auto" w:sz="4" w:space="0"/>
              <w:bottom w:val="single" w:color="auto" w:sz="4" w:space="0"/>
              <w:right w:val="single" w:color="auto" w:sz="4" w:space="0"/>
            </w:tcBorders>
            <w:vAlign w:val="center"/>
          </w:tcPr>
          <w:p w14:paraId="3F0A3AD6">
            <w:pPr>
              <w:spacing w:line="240" w:lineRule="auto"/>
              <w:rPr>
                <w:rFonts w:hint="default" w:ascii="Times New Roman" w:hAnsi="Times New Roman" w:eastAsia="宋体" w:cs="Times New Roman"/>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vAlign w:val="center"/>
          </w:tcPr>
          <w:p w14:paraId="48618DBD">
            <w:pPr>
              <w:spacing w:line="240" w:lineRule="auto"/>
              <w:rPr>
                <w:rFonts w:hint="default" w:ascii="Times New Roman" w:hAnsi="Times New Roman" w:eastAsia="宋体" w:cs="Times New Roman"/>
                <w:sz w:val="21"/>
                <w:szCs w:val="21"/>
                <w:highlight w:val="none"/>
              </w:rPr>
            </w:pPr>
          </w:p>
        </w:tc>
      </w:tr>
      <w:tr w14:paraId="48BF6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816" w:type="dxa"/>
            <w:tcBorders>
              <w:top w:val="single" w:color="auto" w:sz="4" w:space="0"/>
              <w:left w:val="single" w:color="auto" w:sz="4" w:space="0"/>
              <w:bottom w:val="single" w:color="auto" w:sz="4" w:space="0"/>
              <w:right w:val="single" w:color="auto" w:sz="4" w:space="0"/>
            </w:tcBorders>
            <w:vAlign w:val="center"/>
          </w:tcPr>
          <w:p w14:paraId="2C317895">
            <w:pPr>
              <w:numPr>
                <w:ilvl w:val="0"/>
                <w:numId w:val="20"/>
              </w:numPr>
              <w:spacing w:before="60" w:after="60" w:line="240" w:lineRule="auto"/>
              <w:ind w:left="425" w:leftChars="0" w:hanging="425" w:firstLineChars="0"/>
              <w:jc w:val="center"/>
              <w:rPr>
                <w:rFonts w:hint="default" w:ascii="Times New Roman" w:hAnsi="Times New Roman" w:eastAsia="宋体" w:cs="Times New Roman"/>
                <w:sz w:val="21"/>
                <w:szCs w:val="21"/>
                <w:highlight w:val="none"/>
                <w:lang w:val="en-US" w:eastAsia="zh-CN"/>
              </w:rPr>
            </w:pPr>
          </w:p>
        </w:tc>
        <w:tc>
          <w:tcPr>
            <w:tcW w:w="4035" w:type="dxa"/>
            <w:tcBorders>
              <w:top w:val="single" w:color="auto" w:sz="4" w:space="0"/>
              <w:left w:val="single" w:color="auto" w:sz="4" w:space="0"/>
              <w:bottom w:val="single" w:color="auto" w:sz="4" w:space="0"/>
              <w:right w:val="single" w:color="auto" w:sz="4" w:space="0"/>
            </w:tcBorders>
            <w:vAlign w:val="center"/>
          </w:tcPr>
          <w:p w14:paraId="2672CC9A">
            <w:pPr>
              <w:keepNext w:val="0"/>
              <w:keepLines w:val="0"/>
              <w:widowControl/>
              <w:suppressLineNumbers w:val="0"/>
              <w:spacing w:line="240" w:lineRule="auto"/>
              <w:jc w:val="left"/>
              <w:textAlignment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5.2.19.手动单道移液器 4套</w:t>
            </w:r>
          </w:p>
        </w:tc>
        <w:tc>
          <w:tcPr>
            <w:tcW w:w="747" w:type="dxa"/>
            <w:tcBorders>
              <w:top w:val="single" w:color="auto" w:sz="4" w:space="0"/>
              <w:left w:val="single" w:color="auto" w:sz="4" w:space="0"/>
              <w:bottom w:val="single" w:color="auto" w:sz="4" w:space="0"/>
              <w:right w:val="single" w:color="auto" w:sz="4" w:space="0"/>
            </w:tcBorders>
            <w:vAlign w:val="center"/>
          </w:tcPr>
          <w:p w14:paraId="4B0F1575">
            <w:pPr>
              <w:spacing w:before="60" w:after="60" w:line="240" w:lineRule="auto"/>
              <w:rPr>
                <w:rFonts w:hint="default" w:ascii="Times New Roman" w:hAnsi="Times New Roman" w:eastAsia="宋体" w:cs="Times New Roman"/>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0B160246">
            <w:pPr>
              <w:spacing w:before="60" w:after="60" w:line="240" w:lineRule="auto"/>
              <w:rPr>
                <w:rFonts w:hint="default" w:ascii="Times New Roman" w:hAnsi="Times New Roman" w:eastAsia="宋体" w:cs="Times New Roman"/>
                <w:sz w:val="21"/>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21B0CA88">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3BC6A686">
            <w:pPr>
              <w:spacing w:before="60" w:after="60" w:line="240" w:lineRule="auto"/>
              <w:rPr>
                <w:rFonts w:hint="default" w:ascii="Times New Roman" w:hAnsi="Times New Roman" w:eastAsia="宋体" w:cs="Times New Roman"/>
                <w:sz w:val="21"/>
                <w:szCs w:val="21"/>
                <w:highlight w:val="none"/>
              </w:rPr>
            </w:pPr>
          </w:p>
        </w:tc>
        <w:tc>
          <w:tcPr>
            <w:tcW w:w="828" w:type="dxa"/>
            <w:tcBorders>
              <w:top w:val="single" w:color="auto" w:sz="4" w:space="0"/>
              <w:left w:val="single" w:color="auto" w:sz="4" w:space="0"/>
              <w:bottom w:val="single" w:color="auto" w:sz="4" w:space="0"/>
              <w:right w:val="single" w:color="auto" w:sz="4" w:space="0"/>
            </w:tcBorders>
            <w:vAlign w:val="center"/>
          </w:tcPr>
          <w:p w14:paraId="731A7EFB">
            <w:pPr>
              <w:spacing w:before="60" w:after="60" w:line="240" w:lineRule="auto"/>
              <w:rPr>
                <w:rFonts w:hint="default" w:ascii="Times New Roman" w:hAnsi="Times New Roman" w:eastAsia="宋体" w:cs="Times New Roman"/>
                <w:sz w:val="21"/>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2C0D0029">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4DCCC076">
            <w:pPr>
              <w:spacing w:before="60" w:after="60" w:line="240" w:lineRule="auto"/>
              <w:rPr>
                <w:rFonts w:hint="default" w:ascii="Times New Roman" w:hAnsi="Times New Roman" w:eastAsia="宋体" w:cs="Times New Roman"/>
                <w:sz w:val="21"/>
                <w:szCs w:val="21"/>
                <w:highlight w:val="none"/>
              </w:rPr>
            </w:pPr>
          </w:p>
        </w:tc>
        <w:tc>
          <w:tcPr>
            <w:tcW w:w="754" w:type="dxa"/>
            <w:tcBorders>
              <w:top w:val="single" w:color="auto" w:sz="4" w:space="0"/>
              <w:left w:val="single" w:color="auto" w:sz="4" w:space="0"/>
              <w:bottom w:val="single" w:color="auto" w:sz="4" w:space="0"/>
              <w:right w:val="single" w:color="auto" w:sz="4" w:space="0"/>
            </w:tcBorders>
            <w:vAlign w:val="center"/>
          </w:tcPr>
          <w:p w14:paraId="3ACCD582">
            <w:pPr>
              <w:spacing w:line="240" w:lineRule="auto"/>
              <w:rPr>
                <w:rFonts w:hint="default" w:ascii="Times New Roman" w:hAnsi="Times New Roman" w:eastAsia="宋体" w:cs="Times New Roman"/>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vAlign w:val="center"/>
          </w:tcPr>
          <w:p w14:paraId="2B693D64">
            <w:pPr>
              <w:spacing w:line="240" w:lineRule="auto"/>
              <w:rPr>
                <w:rFonts w:hint="default" w:ascii="Times New Roman" w:hAnsi="Times New Roman" w:eastAsia="宋体" w:cs="Times New Roman"/>
                <w:sz w:val="21"/>
                <w:szCs w:val="21"/>
                <w:highlight w:val="none"/>
              </w:rPr>
            </w:pPr>
          </w:p>
        </w:tc>
      </w:tr>
      <w:tr w14:paraId="55FBD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816" w:type="dxa"/>
            <w:tcBorders>
              <w:top w:val="single" w:color="auto" w:sz="4" w:space="0"/>
              <w:left w:val="single" w:color="auto" w:sz="4" w:space="0"/>
              <w:bottom w:val="single" w:color="auto" w:sz="4" w:space="0"/>
              <w:right w:val="single" w:color="auto" w:sz="4" w:space="0"/>
            </w:tcBorders>
            <w:vAlign w:val="center"/>
          </w:tcPr>
          <w:p w14:paraId="263D6251">
            <w:pPr>
              <w:numPr>
                <w:ilvl w:val="0"/>
                <w:numId w:val="20"/>
              </w:numPr>
              <w:spacing w:before="60" w:after="60" w:line="240" w:lineRule="auto"/>
              <w:ind w:left="425" w:leftChars="0" w:hanging="425" w:firstLineChars="0"/>
              <w:jc w:val="center"/>
              <w:rPr>
                <w:rFonts w:hint="default" w:ascii="Times New Roman" w:hAnsi="Times New Roman" w:eastAsia="宋体" w:cs="Times New Roman"/>
                <w:sz w:val="21"/>
                <w:szCs w:val="21"/>
                <w:highlight w:val="none"/>
                <w:lang w:val="en-US" w:eastAsia="zh-CN"/>
              </w:rPr>
            </w:pPr>
          </w:p>
        </w:tc>
        <w:tc>
          <w:tcPr>
            <w:tcW w:w="4035" w:type="dxa"/>
            <w:tcBorders>
              <w:top w:val="single" w:color="auto" w:sz="4" w:space="0"/>
              <w:left w:val="single" w:color="auto" w:sz="4" w:space="0"/>
              <w:bottom w:val="single" w:color="auto" w:sz="4" w:space="0"/>
              <w:right w:val="single" w:color="auto" w:sz="4" w:space="0"/>
            </w:tcBorders>
            <w:vAlign w:val="center"/>
          </w:tcPr>
          <w:p w14:paraId="73076D18">
            <w:pPr>
              <w:keepNext w:val="0"/>
              <w:keepLines w:val="0"/>
              <w:widowControl/>
              <w:suppressLineNumbers w:val="0"/>
              <w:spacing w:line="240" w:lineRule="auto"/>
              <w:jc w:val="left"/>
              <w:textAlignment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5.2.20.手动8道移液器 4套</w:t>
            </w:r>
          </w:p>
        </w:tc>
        <w:tc>
          <w:tcPr>
            <w:tcW w:w="747" w:type="dxa"/>
            <w:tcBorders>
              <w:top w:val="single" w:color="auto" w:sz="4" w:space="0"/>
              <w:left w:val="single" w:color="auto" w:sz="4" w:space="0"/>
              <w:bottom w:val="single" w:color="auto" w:sz="4" w:space="0"/>
              <w:right w:val="single" w:color="auto" w:sz="4" w:space="0"/>
            </w:tcBorders>
            <w:vAlign w:val="center"/>
          </w:tcPr>
          <w:p w14:paraId="3AD996C2">
            <w:pPr>
              <w:spacing w:before="60" w:after="60" w:line="240" w:lineRule="auto"/>
              <w:rPr>
                <w:rFonts w:hint="default" w:ascii="Times New Roman" w:hAnsi="Times New Roman" w:eastAsia="宋体" w:cs="Times New Roman"/>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138A535E">
            <w:pPr>
              <w:spacing w:before="60" w:after="60" w:line="240" w:lineRule="auto"/>
              <w:rPr>
                <w:rFonts w:hint="default" w:ascii="Times New Roman" w:hAnsi="Times New Roman" w:eastAsia="宋体" w:cs="Times New Roman"/>
                <w:sz w:val="21"/>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35FB9315">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78AFA2D3">
            <w:pPr>
              <w:spacing w:before="60" w:after="60" w:line="240" w:lineRule="auto"/>
              <w:rPr>
                <w:rFonts w:hint="default" w:ascii="Times New Roman" w:hAnsi="Times New Roman" w:eastAsia="宋体" w:cs="Times New Roman"/>
                <w:sz w:val="21"/>
                <w:szCs w:val="21"/>
                <w:highlight w:val="none"/>
              </w:rPr>
            </w:pPr>
          </w:p>
        </w:tc>
        <w:tc>
          <w:tcPr>
            <w:tcW w:w="828" w:type="dxa"/>
            <w:tcBorders>
              <w:top w:val="single" w:color="auto" w:sz="4" w:space="0"/>
              <w:left w:val="single" w:color="auto" w:sz="4" w:space="0"/>
              <w:bottom w:val="single" w:color="auto" w:sz="4" w:space="0"/>
              <w:right w:val="single" w:color="auto" w:sz="4" w:space="0"/>
            </w:tcBorders>
            <w:vAlign w:val="center"/>
          </w:tcPr>
          <w:p w14:paraId="10EEF70B">
            <w:pPr>
              <w:spacing w:before="60" w:after="60" w:line="240" w:lineRule="auto"/>
              <w:rPr>
                <w:rFonts w:hint="default" w:ascii="Times New Roman" w:hAnsi="Times New Roman" w:eastAsia="宋体" w:cs="Times New Roman"/>
                <w:sz w:val="21"/>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482E5DED">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0A90453C">
            <w:pPr>
              <w:spacing w:before="60" w:after="60" w:line="240" w:lineRule="auto"/>
              <w:rPr>
                <w:rFonts w:hint="default" w:ascii="Times New Roman" w:hAnsi="Times New Roman" w:eastAsia="宋体" w:cs="Times New Roman"/>
                <w:sz w:val="21"/>
                <w:szCs w:val="21"/>
                <w:highlight w:val="none"/>
              </w:rPr>
            </w:pPr>
          </w:p>
        </w:tc>
        <w:tc>
          <w:tcPr>
            <w:tcW w:w="754" w:type="dxa"/>
            <w:tcBorders>
              <w:top w:val="single" w:color="auto" w:sz="4" w:space="0"/>
              <w:left w:val="single" w:color="auto" w:sz="4" w:space="0"/>
              <w:bottom w:val="single" w:color="auto" w:sz="4" w:space="0"/>
              <w:right w:val="single" w:color="auto" w:sz="4" w:space="0"/>
            </w:tcBorders>
            <w:vAlign w:val="center"/>
          </w:tcPr>
          <w:p w14:paraId="0B90AC27">
            <w:pPr>
              <w:spacing w:line="240" w:lineRule="auto"/>
              <w:rPr>
                <w:rFonts w:hint="default" w:ascii="Times New Roman" w:hAnsi="Times New Roman" w:eastAsia="宋体" w:cs="Times New Roman"/>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vAlign w:val="center"/>
          </w:tcPr>
          <w:p w14:paraId="151C1655">
            <w:pPr>
              <w:spacing w:line="240" w:lineRule="auto"/>
              <w:rPr>
                <w:rFonts w:hint="default" w:ascii="Times New Roman" w:hAnsi="Times New Roman" w:eastAsia="宋体" w:cs="Times New Roman"/>
                <w:sz w:val="21"/>
                <w:szCs w:val="21"/>
                <w:highlight w:val="none"/>
              </w:rPr>
            </w:pPr>
          </w:p>
        </w:tc>
      </w:tr>
      <w:tr w14:paraId="12F28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816" w:type="dxa"/>
            <w:tcBorders>
              <w:top w:val="single" w:color="auto" w:sz="4" w:space="0"/>
              <w:left w:val="single" w:color="auto" w:sz="4" w:space="0"/>
              <w:bottom w:val="single" w:color="auto" w:sz="4" w:space="0"/>
              <w:right w:val="single" w:color="auto" w:sz="4" w:space="0"/>
            </w:tcBorders>
            <w:vAlign w:val="center"/>
          </w:tcPr>
          <w:p w14:paraId="539889D7">
            <w:pPr>
              <w:numPr>
                <w:ilvl w:val="0"/>
                <w:numId w:val="20"/>
              </w:numPr>
              <w:spacing w:before="60" w:after="60" w:line="240" w:lineRule="auto"/>
              <w:ind w:left="425" w:leftChars="0" w:hanging="425" w:firstLineChars="0"/>
              <w:jc w:val="center"/>
              <w:rPr>
                <w:rFonts w:hint="default" w:ascii="Times New Roman" w:hAnsi="Times New Roman" w:eastAsia="宋体" w:cs="Times New Roman"/>
                <w:sz w:val="21"/>
                <w:szCs w:val="21"/>
                <w:highlight w:val="none"/>
                <w:lang w:val="en-US" w:eastAsia="zh-CN"/>
              </w:rPr>
            </w:pPr>
          </w:p>
        </w:tc>
        <w:tc>
          <w:tcPr>
            <w:tcW w:w="4035" w:type="dxa"/>
            <w:tcBorders>
              <w:top w:val="single" w:color="auto" w:sz="4" w:space="0"/>
              <w:left w:val="single" w:color="auto" w:sz="4" w:space="0"/>
              <w:bottom w:val="single" w:color="auto" w:sz="4" w:space="0"/>
              <w:right w:val="single" w:color="auto" w:sz="4" w:space="0"/>
            </w:tcBorders>
            <w:vAlign w:val="center"/>
          </w:tcPr>
          <w:p w14:paraId="07850D80">
            <w:pPr>
              <w:keepNext w:val="0"/>
              <w:keepLines w:val="0"/>
              <w:widowControl/>
              <w:suppressLineNumbers w:val="0"/>
              <w:spacing w:line="240" w:lineRule="auto"/>
              <w:jc w:val="left"/>
              <w:textAlignment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5.2.21.高速冷冻离心机 1套</w:t>
            </w:r>
          </w:p>
        </w:tc>
        <w:tc>
          <w:tcPr>
            <w:tcW w:w="747" w:type="dxa"/>
            <w:tcBorders>
              <w:top w:val="single" w:color="auto" w:sz="4" w:space="0"/>
              <w:left w:val="single" w:color="auto" w:sz="4" w:space="0"/>
              <w:bottom w:val="single" w:color="auto" w:sz="4" w:space="0"/>
              <w:right w:val="single" w:color="auto" w:sz="4" w:space="0"/>
            </w:tcBorders>
            <w:vAlign w:val="center"/>
          </w:tcPr>
          <w:p w14:paraId="18371A31">
            <w:pPr>
              <w:spacing w:before="60" w:after="60" w:line="240" w:lineRule="auto"/>
              <w:rPr>
                <w:rFonts w:hint="default" w:ascii="Times New Roman" w:hAnsi="Times New Roman" w:eastAsia="宋体" w:cs="Times New Roman"/>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60B946C9">
            <w:pPr>
              <w:spacing w:before="60" w:after="60" w:line="240" w:lineRule="auto"/>
              <w:rPr>
                <w:rFonts w:hint="default" w:ascii="Times New Roman" w:hAnsi="Times New Roman" w:eastAsia="宋体" w:cs="Times New Roman"/>
                <w:sz w:val="21"/>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450545D1">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5F45EA2A">
            <w:pPr>
              <w:spacing w:before="60" w:after="60" w:line="240" w:lineRule="auto"/>
              <w:rPr>
                <w:rFonts w:hint="default" w:ascii="Times New Roman" w:hAnsi="Times New Roman" w:eastAsia="宋体" w:cs="Times New Roman"/>
                <w:sz w:val="21"/>
                <w:szCs w:val="21"/>
                <w:highlight w:val="none"/>
              </w:rPr>
            </w:pPr>
          </w:p>
        </w:tc>
        <w:tc>
          <w:tcPr>
            <w:tcW w:w="828" w:type="dxa"/>
            <w:tcBorders>
              <w:top w:val="single" w:color="auto" w:sz="4" w:space="0"/>
              <w:left w:val="single" w:color="auto" w:sz="4" w:space="0"/>
              <w:bottom w:val="single" w:color="auto" w:sz="4" w:space="0"/>
              <w:right w:val="single" w:color="auto" w:sz="4" w:space="0"/>
            </w:tcBorders>
            <w:vAlign w:val="center"/>
          </w:tcPr>
          <w:p w14:paraId="78ACE54E">
            <w:pPr>
              <w:spacing w:before="60" w:after="60" w:line="240" w:lineRule="auto"/>
              <w:rPr>
                <w:rFonts w:hint="default" w:ascii="Times New Roman" w:hAnsi="Times New Roman" w:eastAsia="宋体" w:cs="Times New Roman"/>
                <w:sz w:val="21"/>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51CAF4B3">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1D733A3C">
            <w:pPr>
              <w:spacing w:before="60" w:after="60" w:line="240" w:lineRule="auto"/>
              <w:rPr>
                <w:rFonts w:hint="default" w:ascii="Times New Roman" w:hAnsi="Times New Roman" w:eastAsia="宋体" w:cs="Times New Roman"/>
                <w:sz w:val="21"/>
                <w:szCs w:val="21"/>
                <w:highlight w:val="none"/>
              </w:rPr>
            </w:pPr>
          </w:p>
        </w:tc>
        <w:tc>
          <w:tcPr>
            <w:tcW w:w="754" w:type="dxa"/>
            <w:tcBorders>
              <w:top w:val="single" w:color="auto" w:sz="4" w:space="0"/>
              <w:left w:val="single" w:color="auto" w:sz="4" w:space="0"/>
              <w:bottom w:val="single" w:color="auto" w:sz="4" w:space="0"/>
              <w:right w:val="single" w:color="auto" w:sz="4" w:space="0"/>
            </w:tcBorders>
            <w:vAlign w:val="center"/>
          </w:tcPr>
          <w:p w14:paraId="0FC78A13">
            <w:pPr>
              <w:spacing w:line="240" w:lineRule="auto"/>
              <w:rPr>
                <w:rFonts w:hint="default" w:ascii="Times New Roman" w:hAnsi="Times New Roman" w:eastAsia="宋体" w:cs="Times New Roman"/>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vAlign w:val="center"/>
          </w:tcPr>
          <w:p w14:paraId="3D15D010">
            <w:pPr>
              <w:spacing w:line="240" w:lineRule="auto"/>
              <w:rPr>
                <w:rFonts w:hint="default" w:ascii="Times New Roman" w:hAnsi="Times New Roman" w:eastAsia="宋体" w:cs="Times New Roman"/>
                <w:sz w:val="21"/>
                <w:szCs w:val="21"/>
                <w:highlight w:val="none"/>
              </w:rPr>
            </w:pPr>
          </w:p>
        </w:tc>
      </w:tr>
      <w:tr w14:paraId="6215A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6" w:type="dxa"/>
            <w:tcBorders>
              <w:top w:val="single" w:color="auto" w:sz="4" w:space="0"/>
              <w:left w:val="single" w:color="auto" w:sz="4" w:space="0"/>
              <w:bottom w:val="single" w:color="auto" w:sz="4" w:space="0"/>
              <w:right w:val="single" w:color="auto" w:sz="4" w:space="0"/>
            </w:tcBorders>
            <w:vAlign w:val="center"/>
          </w:tcPr>
          <w:p w14:paraId="066896FE">
            <w:pPr>
              <w:numPr>
                <w:ilvl w:val="0"/>
                <w:numId w:val="20"/>
              </w:numPr>
              <w:spacing w:before="60" w:after="60" w:line="240" w:lineRule="auto"/>
              <w:ind w:left="425" w:leftChars="0" w:hanging="425" w:firstLineChars="0"/>
              <w:jc w:val="center"/>
              <w:rPr>
                <w:rFonts w:hint="default" w:ascii="Times New Roman" w:hAnsi="Times New Roman" w:eastAsia="宋体" w:cs="Times New Roman"/>
                <w:sz w:val="21"/>
                <w:szCs w:val="21"/>
                <w:highlight w:val="none"/>
                <w:lang w:val="en-US" w:eastAsia="zh-CN"/>
              </w:rPr>
            </w:pPr>
          </w:p>
        </w:tc>
        <w:tc>
          <w:tcPr>
            <w:tcW w:w="4035" w:type="dxa"/>
            <w:tcBorders>
              <w:top w:val="single" w:color="auto" w:sz="4" w:space="0"/>
              <w:left w:val="single" w:color="auto" w:sz="4" w:space="0"/>
              <w:bottom w:val="single" w:color="auto" w:sz="4" w:space="0"/>
              <w:right w:val="single" w:color="auto" w:sz="4" w:space="0"/>
            </w:tcBorders>
            <w:vAlign w:val="center"/>
          </w:tcPr>
          <w:p w14:paraId="265CCB94">
            <w:pPr>
              <w:keepNext w:val="0"/>
              <w:keepLines w:val="0"/>
              <w:widowControl/>
              <w:suppressLineNumbers w:val="0"/>
              <w:spacing w:line="240" w:lineRule="auto"/>
              <w:jc w:val="left"/>
              <w:textAlignment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5.2.22.高速台式冷冻离心机 2套</w:t>
            </w:r>
          </w:p>
        </w:tc>
        <w:tc>
          <w:tcPr>
            <w:tcW w:w="747" w:type="dxa"/>
            <w:tcBorders>
              <w:top w:val="single" w:color="auto" w:sz="4" w:space="0"/>
              <w:left w:val="single" w:color="auto" w:sz="4" w:space="0"/>
              <w:bottom w:val="single" w:color="auto" w:sz="4" w:space="0"/>
              <w:right w:val="single" w:color="auto" w:sz="4" w:space="0"/>
            </w:tcBorders>
            <w:vAlign w:val="center"/>
          </w:tcPr>
          <w:p w14:paraId="3FC45861">
            <w:pPr>
              <w:spacing w:before="60" w:after="60" w:line="240" w:lineRule="auto"/>
              <w:rPr>
                <w:rFonts w:hint="default" w:ascii="Times New Roman" w:hAnsi="Times New Roman" w:eastAsia="宋体" w:cs="Times New Roman"/>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2862C428">
            <w:pPr>
              <w:spacing w:before="60" w:after="60" w:line="240" w:lineRule="auto"/>
              <w:rPr>
                <w:rFonts w:hint="default" w:ascii="Times New Roman" w:hAnsi="Times New Roman" w:eastAsia="宋体" w:cs="Times New Roman"/>
                <w:sz w:val="21"/>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07E6E1CE">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7D2883EC">
            <w:pPr>
              <w:spacing w:before="60" w:after="60" w:line="240" w:lineRule="auto"/>
              <w:rPr>
                <w:rFonts w:hint="default" w:ascii="Times New Roman" w:hAnsi="Times New Roman" w:eastAsia="宋体" w:cs="Times New Roman"/>
                <w:sz w:val="21"/>
                <w:szCs w:val="21"/>
                <w:highlight w:val="none"/>
              </w:rPr>
            </w:pPr>
          </w:p>
        </w:tc>
        <w:tc>
          <w:tcPr>
            <w:tcW w:w="828" w:type="dxa"/>
            <w:tcBorders>
              <w:top w:val="single" w:color="auto" w:sz="4" w:space="0"/>
              <w:left w:val="single" w:color="auto" w:sz="4" w:space="0"/>
              <w:bottom w:val="single" w:color="auto" w:sz="4" w:space="0"/>
              <w:right w:val="single" w:color="auto" w:sz="4" w:space="0"/>
            </w:tcBorders>
            <w:vAlign w:val="center"/>
          </w:tcPr>
          <w:p w14:paraId="07D5FA7D">
            <w:pPr>
              <w:spacing w:before="60" w:after="60" w:line="240" w:lineRule="auto"/>
              <w:rPr>
                <w:rFonts w:hint="default" w:ascii="Times New Roman" w:hAnsi="Times New Roman" w:eastAsia="宋体" w:cs="Times New Roman"/>
                <w:sz w:val="21"/>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1639181E">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5FE0C433">
            <w:pPr>
              <w:spacing w:before="60" w:after="60" w:line="240" w:lineRule="auto"/>
              <w:rPr>
                <w:rFonts w:hint="default" w:ascii="Times New Roman" w:hAnsi="Times New Roman" w:eastAsia="宋体" w:cs="Times New Roman"/>
                <w:sz w:val="21"/>
                <w:szCs w:val="21"/>
                <w:highlight w:val="none"/>
              </w:rPr>
            </w:pPr>
          </w:p>
        </w:tc>
        <w:tc>
          <w:tcPr>
            <w:tcW w:w="754" w:type="dxa"/>
            <w:tcBorders>
              <w:top w:val="single" w:color="auto" w:sz="4" w:space="0"/>
              <w:left w:val="single" w:color="auto" w:sz="4" w:space="0"/>
              <w:bottom w:val="single" w:color="auto" w:sz="4" w:space="0"/>
              <w:right w:val="single" w:color="auto" w:sz="4" w:space="0"/>
            </w:tcBorders>
            <w:vAlign w:val="center"/>
          </w:tcPr>
          <w:p w14:paraId="3EB3BB12">
            <w:pPr>
              <w:spacing w:line="240" w:lineRule="auto"/>
              <w:rPr>
                <w:rFonts w:hint="default" w:ascii="Times New Roman" w:hAnsi="Times New Roman" w:eastAsia="宋体" w:cs="Times New Roman"/>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vAlign w:val="center"/>
          </w:tcPr>
          <w:p w14:paraId="1D878589">
            <w:pPr>
              <w:spacing w:line="240" w:lineRule="auto"/>
              <w:rPr>
                <w:rFonts w:hint="default" w:ascii="Times New Roman" w:hAnsi="Times New Roman" w:eastAsia="宋体" w:cs="Times New Roman"/>
                <w:sz w:val="21"/>
                <w:szCs w:val="21"/>
                <w:highlight w:val="none"/>
              </w:rPr>
            </w:pPr>
          </w:p>
        </w:tc>
      </w:tr>
      <w:tr w14:paraId="3DD47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816" w:type="dxa"/>
            <w:tcBorders>
              <w:top w:val="single" w:color="auto" w:sz="4" w:space="0"/>
              <w:left w:val="single" w:color="auto" w:sz="4" w:space="0"/>
              <w:bottom w:val="single" w:color="auto" w:sz="4" w:space="0"/>
              <w:right w:val="single" w:color="auto" w:sz="4" w:space="0"/>
            </w:tcBorders>
            <w:vAlign w:val="center"/>
          </w:tcPr>
          <w:p w14:paraId="3D7FA1AE">
            <w:pPr>
              <w:numPr>
                <w:ilvl w:val="0"/>
                <w:numId w:val="20"/>
              </w:numPr>
              <w:spacing w:before="60" w:after="60" w:line="240" w:lineRule="auto"/>
              <w:ind w:left="425" w:leftChars="0" w:hanging="425" w:firstLineChars="0"/>
              <w:jc w:val="center"/>
              <w:rPr>
                <w:rFonts w:hint="default" w:ascii="Times New Roman" w:hAnsi="Times New Roman" w:eastAsia="宋体" w:cs="Times New Roman"/>
                <w:sz w:val="21"/>
                <w:szCs w:val="21"/>
                <w:highlight w:val="none"/>
                <w:lang w:val="en-US" w:eastAsia="zh-CN"/>
              </w:rPr>
            </w:pPr>
          </w:p>
        </w:tc>
        <w:tc>
          <w:tcPr>
            <w:tcW w:w="4035" w:type="dxa"/>
            <w:tcBorders>
              <w:top w:val="single" w:color="auto" w:sz="4" w:space="0"/>
              <w:left w:val="single" w:color="auto" w:sz="4" w:space="0"/>
              <w:bottom w:val="single" w:color="auto" w:sz="4" w:space="0"/>
              <w:right w:val="single" w:color="auto" w:sz="4" w:space="0"/>
            </w:tcBorders>
            <w:vAlign w:val="center"/>
          </w:tcPr>
          <w:p w14:paraId="440EEF2D">
            <w:pPr>
              <w:keepNext w:val="0"/>
              <w:keepLines w:val="0"/>
              <w:widowControl/>
              <w:suppressLineNumbers w:val="0"/>
              <w:spacing w:line="240" w:lineRule="auto"/>
              <w:jc w:val="left"/>
              <w:textAlignment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5.2.23.半自动旋盖机 2套</w:t>
            </w:r>
          </w:p>
        </w:tc>
        <w:tc>
          <w:tcPr>
            <w:tcW w:w="747" w:type="dxa"/>
            <w:tcBorders>
              <w:top w:val="single" w:color="auto" w:sz="4" w:space="0"/>
              <w:left w:val="single" w:color="auto" w:sz="4" w:space="0"/>
              <w:bottom w:val="single" w:color="auto" w:sz="4" w:space="0"/>
              <w:right w:val="single" w:color="auto" w:sz="4" w:space="0"/>
            </w:tcBorders>
            <w:vAlign w:val="center"/>
          </w:tcPr>
          <w:p w14:paraId="361607D0">
            <w:pPr>
              <w:spacing w:before="60" w:after="60" w:line="240" w:lineRule="auto"/>
              <w:rPr>
                <w:rFonts w:hint="default" w:ascii="Times New Roman" w:hAnsi="Times New Roman" w:eastAsia="宋体" w:cs="Times New Roman"/>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45528D68">
            <w:pPr>
              <w:spacing w:before="60" w:after="60" w:line="240" w:lineRule="auto"/>
              <w:rPr>
                <w:rFonts w:hint="default" w:ascii="Times New Roman" w:hAnsi="Times New Roman" w:eastAsia="宋体" w:cs="Times New Roman"/>
                <w:sz w:val="21"/>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13BF4210">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6877F867">
            <w:pPr>
              <w:spacing w:before="60" w:after="60" w:line="240" w:lineRule="auto"/>
              <w:rPr>
                <w:rFonts w:hint="default" w:ascii="Times New Roman" w:hAnsi="Times New Roman" w:eastAsia="宋体" w:cs="Times New Roman"/>
                <w:sz w:val="21"/>
                <w:szCs w:val="21"/>
                <w:highlight w:val="none"/>
              </w:rPr>
            </w:pPr>
          </w:p>
        </w:tc>
        <w:tc>
          <w:tcPr>
            <w:tcW w:w="828" w:type="dxa"/>
            <w:tcBorders>
              <w:top w:val="single" w:color="auto" w:sz="4" w:space="0"/>
              <w:left w:val="single" w:color="auto" w:sz="4" w:space="0"/>
              <w:bottom w:val="single" w:color="auto" w:sz="4" w:space="0"/>
              <w:right w:val="single" w:color="auto" w:sz="4" w:space="0"/>
            </w:tcBorders>
            <w:vAlign w:val="center"/>
          </w:tcPr>
          <w:p w14:paraId="51A846B7">
            <w:pPr>
              <w:spacing w:before="60" w:after="60" w:line="240" w:lineRule="auto"/>
              <w:rPr>
                <w:rFonts w:hint="default" w:ascii="Times New Roman" w:hAnsi="Times New Roman" w:eastAsia="宋体" w:cs="Times New Roman"/>
                <w:sz w:val="21"/>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409578EF">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42EBE324">
            <w:pPr>
              <w:spacing w:before="60" w:after="60" w:line="240" w:lineRule="auto"/>
              <w:rPr>
                <w:rFonts w:hint="default" w:ascii="Times New Roman" w:hAnsi="Times New Roman" w:eastAsia="宋体" w:cs="Times New Roman"/>
                <w:sz w:val="21"/>
                <w:szCs w:val="21"/>
                <w:highlight w:val="none"/>
              </w:rPr>
            </w:pPr>
          </w:p>
        </w:tc>
        <w:tc>
          <w:tcPr>
            <w:tcW w:w="754" w:type="dxa"/>
            <w:tcBorders>
              <w:top w:val="single" w:color="auto" w:sz="4" w:space="0"/>
              <w:left w:val="single" w:color="auto" w:sz="4" w:space="0"/>
              <w:bottom w:val="single" w:color="auto" w:sz="4" w:space="0"/>
              <w:right w:val="single" w:color="auto" w:sz="4" w:space="0"/>
            </w:tcBorders>
            <w:vAlign w:val="center"/>
          </w:tcPr>
          <w:p w14:paraId="03C04EA1">
            <w:pPr>
              <w:spacing w:line="240" w:lineRule="auto"/>
              <w:rPr>
                <w:rFonts w:hint="default" w:ascii="Times New Roman" w:hAnsi="Times New Roman" w:eastAsia="宋体" w:cs="Times New Roman"/>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vAlign w:val="center"/>
          </w:tcPr>
          <w:p w14:paraId="65FF1CDE">
            <w:pPr>
              <w:spacing w:line="240" w:lineRule="auto"/>
              <w:rPr>
                <w:rFonts w:hint="default" w:ascii="Times New Roman" w:hAnsi="Times New Roman" w:eastAsia="宋体" w:cs="Times New Roman"/>
                <w:sz w:val="21"/>
                <w:szCs w:val="21"/>
                <w:highlight w:val="none"/>
              </w:rPr>
            </w:pPr>
          </w:p>
        </w:tc>
      </w:tr>
      <w:tr w14:paraId="33ED3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6" w:type="dxa"/>
            <w:tcBorders>
              <w:top w:val="single" w:color="auto" w:sz="4" w:space="0"/>
              <w:left w:val="single" w:color="auto" w:sz="4" w:space="0"/>
              <w:bottom w:val="single" w:color="auto" w:sz="4" w:space="0"/>
              <w:right w:val="single" w:color="auto" w:sz="4" w:space="0"/>
            </w:tcBorders>
            <w:vAlign w:val="center"/>
          </w:tcPr>
          <w:p w14:paraId="45E1FD0D">
            <w:pPr>
              <w:numPr>
                <w:ilvl w:val="0"/>
                <w:numId w:val="20"/>
              </w:numPr>
              <w:spacing w:before="60" w:after="60" w:line="240" w:lineRule="auto"/>
              <w:ind w:left="425" w:leftChars="0" w:hanging="425" w:firstLineChars="0"/>
              <w:jc w:val="center"/>
              <w:rPr>
                <w:rFonts w:hint="default" w:ascii="Times New Roman" w:hAnsi="Times New Roman" w:eastAsia="宋体" w:cs="Times New Roman"/>
                <w:sz w:val="21"/>
                <w:szCs w:val="21"/>
                <w:highlight w:val="none"/>
                <w:lang w:val="en-US" w:eastAsia="zh-CN"/>
              </w:rPr>
            </w:pPr>
          </w:p>
        </w:tc>
        <w:tc>
          <w:tcPr>
            <w:tcW w:w="4035" w:type="dxa"/>
            <w:tcBorders>
              <w:top w:val="single" w:color="auto" w:sz="4" w:space="0"/>
              <w:left w:val="single" w:color="auto" w:sz="4" w:space="0"/>
              <w:bottom w:val="single" w:color="auto" w:sz="4" w:space="0"/>
              <w:right w:val="single" w:color="auto" w:sz="4" w:space="0"/>
            </w:tcBorders>
            <w:vAlign w:val="center"/>
          </w:tcPr>
          <w:p w14:paraId="6C460F51">
            <w:pPr>
              <w:keepNext w:val="0"/>
              <w:keepLines w:val="0"/>
              <w:widowControl/>
              <w:suppressLineNumbers w:val="0"/>
              <w:spacing w:line="240" w:lineRule="auto"/>
              <w:jc w:val="left"/>
              <w:textAlignment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5.2.24.全自动低温研磨仪 1套</w:t>
            </w:r>
          </w:p>
        </w:tc>
        <w:tc>
          <w:tcPr>
            <w:tcW w:w="747" w:type="dxa"/>
            <w:tcBorders>
              <w:top w:val="single" w:color="auto" w:sz="4" w:space="0"/>
              <w:left w:val="single" w:color="auto" w:sz="4" w:space="0"/>
              <w:bottom w:val="single" w:color="auto" w:sz="4" w:space="0"/>
              <w:right w:val="single" w:color="auto" w:sz="4" w:space="0"/>
            </w:tcBorders>
            <w:vAlign w:val="center"/>
          </w:tcPr>
          <w:p w14:paraId="2EA55FD6">
            <w:pPr>
              <w:spacing w:before="60" w:after="60" w:line="240" w:lineRule="auto"/>
              <w:rPr>
                <w:rFonts w:hint="default" w:ascii="Times New Roman" w:hAnsi="Times New Roman" w:eastAsia="宋体" w:cs="Times New Roman"/>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3B0F9858">
            <w:pPr>
              <w:spacing w:before="60" w:after="60" w:line="240" w:lineRule="auto"/>
              <w:rPr>
                <w:rFonts w:hint="default" w:ascii="Times New Roman" w:hAnsi="Times New Roman" w:eastAsia="宋体" w:cs="Times New Roman"/>
                <w:sz w:val="21"/>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6DE0EB2C">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6F69D116">
            <w:pPr>
              <w:spacing w:before="60" w:after="60" w:line="240" w:lineRule="auto"/>
              <w:rPr>
                <w:rFonts w:hint="default" w:ascii="Times New Roman" w:hAnsi="Times New Roman" w:eastAsia="宋体" w:cs="Times New Roman"/>
                <w:sz w:val="21"/>
                <w:szCs w:val="21"/>
                <w:highlight w:val="none"/>
              </w:rPr>
            </w:pPr>
          </w:p>
        </w:tc>
        <w:tc>
          <w:tcPr>
            <w:tcW w:w="828" w:type="dxa"/>
            <w:tcBorders>
              <w:top w:val="single" w:color="auto" w:sz="4" w:space="0"/>
              <w:left w:val="single" w:color="auto" w:sz="4" w:space="0"/>
              <w:bottom w:val="single" w:color="auto" w:sz="4" w:space="0"/>
              <w:right w:val="single" w:color="auto" w:sz="4" w:space="0"/>
            </w:tcBorders>
            <w:vAlign w:val="center"/>
          </w:tcPr>
          <w:p w14:paraId="3171543D">
            <w:pPr>
              <w:spacing w:before="60" w:after="60" w:line="240" w:lineRule="auto"/>
              <w:rPr>
                <w:rFonts w:hint="default" w:ascii="Times New Roman" w:hAnsi="Times New Roman" w:eastAsia="宋体" w:cs="Times New Roman"/>
                <w:sz w:val="21"/>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478841FB">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4284B6BA">
            <w:pPr>
              <w:spacing w:before="60" w:after="60" w:line="240" w:lineRule="auto"/>
              <w:rPr>
                <w:rFonts w:hint="default" w:ascii="Times New Roman" w:hAnsi="Times New Roman" w:eastAsia="宋体" w:cs="Times New Roman"/>
                <w:sz w:val="21"/>
                <w:szCs w:val="21"/>
                <w:highlight w:val="none"/>
              </w:rPr>
            </w:pPr>
          </w:p>
        </w:tc>
        <w:tc>
          <w:tcPr>
            <w:tcW w:w="754" w:type="dxa"/>
            <w:tcBorders>
              <w:top w:val="single" w:color="auto" w:sz="4" w:space="0"/>
              <w:left w:val="single" w:color="auto" w:sz="4" w:space="0"/>
              <w:bottom w:val="single" w:color="auto" w:sz="4" w:space="0"/>
              <w:right w:val="single" w:color="auto" w:sz="4" w:space="0"/>
            </w:tcBorders>
            <w:vAlign w:val="center"/>
          </w:tcPr>
          <w:p w14:paraId="27F53F7B">
            <w:pPr>
              <w:spacing w:line="240" w:lineRule="auto"/>
              <w:rPr>
                <w:rFonts w:hint="default" w:ascii="Times New Roman" w:hAnsi="Times New Roman" w:eastAsia="宋体" w:cs="Times New Roman"/>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vAlign w:val="center"/>
          </w:tcPr>
          <w:p w14:paraId="2878B558">
            <w:pPr>
              <w:spacing w:line="240" w:lineRule="auto"/>
              <w:rPr>
                <w:rFonts w:hint="default" w:ascii="Times New Roman" w:hAnsi="Times New Roman" w:eastAsia="宋体" w:cs="Times New Roman"/>
                <w:sz w:val="21"/>
                <w:szCs w:val="21"/>
                <w:highlight w:val="none"/>
              </w:rPr>
            </w:pPr>
          </w:p>
        </w:tc>
      </w:tr>
      <w:tr w14:paraId="100CA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816" w:type="dxa"/>
            <w:tcBorders>
              <w:top w:val="single" w:color="auto" w:sz="4" w:space="0"/>
              <w:left w:val="single" w:color="auto" w:sz="4" w:space="0"/>
              <w:bottom w:val="single" w:color="auto" w:sz="4" w:space="0"/>
              <w:right w:val="single" w:color="auto" w:sz="4" w:space="0"/>
            </w:tcBorders>
            <w:vAlign w:val="center"/>
          </w:tcPr>
          <w:p w14:paraId="4D49F465">
            <w:pPr>
              <w:numPr>
                <w:ilvl w:val="0"/>
                <w:numId w:val="20"/>
              </w:numPr>
              <w:spacing w:before="60" w:after="60" w:line="240" w:lineRule="auto"/>
              <w:ind w:left="425" w:leftChars="0" w:hanging="425" w:firstLineChars="0"/>
              <w:jc w:val="center"/>
              <w:rPr>
                <w:rFonts w:hint="default" w:ascii="Times New Roman" w:hAnsi="Times New Roman" w:eastAsia="宋体" w:cs="Times New Roman"/>
                <w:sz w:val="21"/>
                <w:szCs w:val="21"/>
                <w:highlight w:val="none"/>
                <w:lang w:val="en-US" w:eastAsia="zh-CN"/>
              </w:rPr>
            </w:pPr>
          </w:p>
        </w:tc>
        <w:tc>
          <w:tcPr>
            <w:tcW w:w="4035" w:type="dxa"/>
            <w:tcBorders>
              <w:top w:val="single" w:color="auto" w:sz="4" w:space="0"/>
              <w:left w:val="single" w:color="auto" w:sz="4" w:space="0"/>
              <w:bottom w:val="single" w:color="auto" w:sz="4" w:space="0"/>
              <w:right w:val="single" w:color="auto" w:sz="4" w:space="0"/>
            </w:tcBorders>
            <w:vAlign w:val="center"/>
          </w:tcPr>
          <w:p w14:paraId="43C93171">
            <w:pPr>
              <w:keepNext w:val="0"/>
              <w:keepLines w:val="0"/>
              <w:widowControl/>
              <w:suppressLineNumbers w:val="0"/>
              <w:spacing w:line="240" w:lineRule="auto"/>
              <w:jc w:val="left"/>
              <w:textAlignment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5.2.25.全自动撕膜机 1套</w:t>
            </w:r>
          </w:p>
        </w:tc>
        <w:tc>
          <w:tcPr>
            <w:tcW w:w="747" w:type="dxa"/>
            <w:tcBorders>
              <w:top w:val="single" w:color="auto" w:sz="4" w:space="0"/>
              <w:left w:val="single" w:color="auto" w:sz="4" w:space="0"/>
              <w:bottom w:val="single" w:color="auto" w:sz="4" w:space="0"/>
              <w:right w:val="single" w:color="auto" w:sz="4" w:space="0"/>
            </w:tcBorders>
            <w:vAlign w:val="center"/>
          </w:tcPr>
          <w:p w14:paraId="05262D41">
            <w:pPr>
              <w:spacing w:before="60" w:after="60" w:line="240" w:lineRule="auto"/>
              <w:rPr>
                <w:rFonts w:hint="default" w:ascii="Times New Roman" w:hAnsi="Times New Roman" w:eastAsia="宋体" w:cs="Times New Roman"/>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62573C51">
            <w:pPr>
              <w:spacing w:before="60" w:after="60" w:line="240" w:lineRule="auto"/>
              <w:rPr>
                <w:rFonts w:hint="default" w:ascii="Times New Roman" w:hAnsi="Times New Roman" w:eastAsia="宋体" w:cs="Times New Roman"/>
                <w:sz w:val="21"/>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042635B9">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115C04F0">
            <w:pPr>
              <w:spacing w:before="60" w:after="60" w:line="240" w:lineRule="auto"/>
              <w:rPr>
                <w:rFonts w:hint="default" w:ascii="Times New Roman" w:hAnsi="Times New Roman" w:eastAsia="宋体" w:cs="Times New Roman"/>
                <w:sz w:val="21"/>
                <w:szCs w:val="21"/>
                <w:highlight w:val="none"/>
              </w:rPr>
            </w:pPr>
          </w:p>
        </w:tc>
        <w:tc>
          <w:tcPr>
            <w:tcW w:w="828" w:type="dxa"/>
            <w:tcBorders>
              <w:top w:val="single" w:color="auto" w:sz="4" w:space="0"/>
              <w:left w:val="single" w:color="auto" w:sz="4" w:space="0"/>
              <w:bottom w:val="single" w:color="auto" w:sz="4" w:space="0"/>
              <w:right w:val="single" w:color="auto" w:sz="4" w:space="0"/>
            </w:tcBorders>
            <w:vAlign w:val="center"/>
          </w:tcPr>
          <w:p w14:paraId="253ED087">
            <w:pPr>
              <w:spacing w:before="60" w:after="60" w:line="240" w:lineRule="auto"/>
              <w:rPr>
                <w:rFonts w:hint="default" w:ascii="Times New Roman" w:hAnsi="Times New Roman" w:eastAsia="宋体" w:cs="Times New Roman"/>
                <w:sz w:val="21"/>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4B923DEF">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66CB76E4">
            <w:pPr>
              <w:spacing w:before="60" w:after="60" w:line="240" w:lineRule="auto"/>
              <w:rPr>
                <w:rFonts w:hint="default" w:ascii="Times New Roman" w:hAnsi="Times New Roman" w:eastAsia="宋体" w:cs="Times New Roman"/>
                <w:sz w:val="21"/>
                <w:szCs w:val="21"/>
                <w:highlight w:val="none"/>
              </w:rPr>
            </w:pPr>
          </w:p>
        </w:tc>
        <w:tc>
          <w:tcPr>
            <w:tcW w:w="754" w:type="dxa"/>
            <w:tcBorders>
              <w:top w:val="single" w:color="auto" w:sz="4" w:space="0"/>
              <w:left w:val="single" w:color="auto" w:sz="4" w:space="0"/>
              <w:bottom w:val="single" w:color="auto" w:sz="4" w:space="0"/>
              <w:right w:val="single" w:color="auto" w:sz="4" w:space="0"/>
            </w:tcBorders>
            <w:vAlign w:val="center"/>
          </w:tcPr>
          <w:p w14:paraId="130B0ADC">
            <w:pPr>
              <w:spacing w:line="240" w:lineRule="auto"/>
              <w:rPr>
                <w:rFonts w:hint="default" w:ascii="Times New Roman" w:hAnsi="Times New Roman" w:eastAsia="宋体" w:cs="Times New Roman"/>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vAlign w:val="center"/>
          </w:tcPr>
          <w:p w14:paraId="545316F9">
            <w:pPr>
              <w:spacing w:line="240" w:lineRule="auto"/>
              <w:rPr>
                <w:rFonts w:hint="default" w:ascii="Times New Roman" w:hAnsi="Times New Roman" w:eastAsia="宋体" w:cs="Times New Roman"/>
                <w:sz w:val="21"/>
                <w:szCs w:val="21"/>
                <w:highlight w:val="none"/>
              </w:rPr>
            </w:pPr>
          </w:p>
        </w:tc>
      </w:tr>
      <w:tr w14:paraId="04FFD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816" w:type="dxa"/>
            <w:tcBorders>
              <w:top w:val="single" w:color="auto" w:sz="4" w:space="0"/>
              <w:left w:val="single" w:color="auto" w:sz="4" w:space="0"/>
              <w:bottom w:val="single" w:color="auto" w:sz="4" w:space="0"/>
              <w:right w:val="single" w:color="auto" w:sz="4" w:space="0"/>
            </w:tcBorders>
            <w:vAlign w:val="center"/>
          </w:tcPr>
          <w:p w14:paraId="284A015E">
            <w:pPr>
              <w:numPr>
                <w:ilvl w:val="0"/>
                <w:numId w:val="20"/>
              </w:numPr>
              <w:spacing w:before="60" w:after="60" w:line="240" w:lineRule="auto"/>
              <w:ind w:left="425" w:leftChars="0" w:hanging="425" w:firstLineChars="0"/>
              <w:jc w:val="center"/>
              <w:rPr>
                <w:rFonts w:hint="default" w:ascii="Times New Roman" w:hAnsi="Times New Roman" w:eastAsia="宋体" w:cs="Times New Roman"/>
                <w:sz w:val="21"/>
                <w:szCs w:val="21"/>
                <w:highlight w:val="none"/>
                <w:lang w:val="en-US" w:eastAsia="zh-CN"/>
              </w:rPr>
            </w:pPr>
          </w:p>
        </w:tc>
        <w:tc>
          <w:tcPr>
            <w:tcW w:w="4035" w:type="dxa"/>
            <w:tcBorders>
              <w:top w:val="single" w:color="auto" w:sz="4" w:space="0"/>
              <w:left w:val="single" w:color="auto" w:sz="4" w:space="0"/>
              <w:bottom w:val="single" w:color="auto" w:sz="4" w:space="0"/>
              <w:right w:val="single" w:color="auto" w:sz="4" w:space="0"/>
            </w:tcBorders>
            <w:vAlign w:val="center"/>
          </w:tcPr>
          <w:p w14:paraId="37143160">
            <w:pPr>
              <w:keepNext w:val="0"/>
              <w:keepLines w:val="0"/>
              <w:widowControl/>
              <w:suppressLineNumbers w:val="0"/>
              <w:spacing w:line="240" w:lineRule="auto"/>
              <w:jc w:val="left"/>
              <w:textAlignment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5.2.26.全自动热封膜机 1套</w:t>
            </w:r>
          </w:p>
        </w:tc>
        <w:tc>
          <w:tcPr>
            <w:tcW w:w="747" w:type="dxa"/>
            <w:tcBorders>
              <w:top w:val="single" w:color="auto" w:sz="4" w:space="0"/>
              <w:left w:val="single" w:color="auto" w:sz="4" w:space="0"/>
              <w:bottom w:val="single" w:color="auto" w:sz="4" w:space="0"/>
              <w:right w:val="single" w:color="auto" w:sz="4" w:space="0"/>
            </w:tcBorders>
            <w:vAlign w:val="center"/>
          </w:tcPr>
          <w:p w14:paraId="6DCCD33B">
            <w:pPr>
              <w:spacing w:before="60" w:after="60" w:line="240" w:lineRule="auto"/>
              <w:rPr>
                <w:rFonts w:hint="default" w:ascii="Times New Roman" w:hAnsi="Times New Roman" w:eastAsia="宋体" w:cs="Times New Roman"/>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07AA261A">
            <w:pPr>
              <w:spacing w:before="60" w:after="60" w:line="240" w:lineRule="auto"/>
              <w:rPr>
                <w:rFonts w:hint="default" w:ascii="Times New Roman" w:hAnsi="Times New Roman" w:eastAsia="宋体" w:cs="Times New Roman"/>
                <w:sz w:val="21"/>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4017FC8E">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02D3795D">
            <w:pPr>
              <w:spacing w:before="60" w:after="60" w:line="240" w:lineRule="auto"/>
              <w:rPr>
                <w:rFonts w:hint="default" w:ascii="Times New Roman" w:hAnsi="Times New Roman" w:eastAsia="宋体" w:cs="Times New Roman"/>
                <w:sz w:val="21"/>
                <w:szCs w:val="21"/>
                <w:highlight w:val="none"/>
              </w:rPr>
            </w:pPr>
          </w:p>
        </w:tc>
        <w:tc>
          <w:tcPr>
            <w:tcW w:w="828" w:type="dxa"/>
            <w:tcBorders>
              <w:top w:val="single" w:color="auto" w:sz="4" w:space="0"/>
              <w:left w:val="single" w:color="auto" w:sz="4" w:space="0"/>
              <w:bottom w:val="single" w:color="auto" w:sz="4" w:space="0"/>
              <w:right w:val="single" w:color="auto" w:sz="4" w:space="0"/>
            </w:tcBorders>
            <w:vAlign w:val="center"/>
          </w:tcPr>
          <w:p w14:paraId="7FBD4AD7">
            <w:pPr>
              <w:spacing w:before="60" w:after="60" w:line="240" w:lineRule="auto"/>
              <w:rPr>
                <w:rFonts w:hint="default" w:ascii="Times New Roman" w:hAnsi="Times New Roman" w:eastAsia="宋体" w:cs="Times New Roman"/>
                <w:sz w:val="21"/>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6ABE0012">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7AD96938">
            <w:pPr>
              <w:spacing w:before="60" w:after="60" w:line="240" w:lineRule="auto"/>
              <w:rPr>
                <w:rFonts w:hint="default" w:ascii="Times New Roman" w:hAnsi="Times New Roman" w:eastAsia="宋体" w:cs="Times New Roman"/>
                <w:sz w:val="21"/>
                <w:szCs w:val="21"/>
                <w:highlight w:val="none"/>
              </w:rPr>
            </w:pPr>
          </w:p>
        </w:tc>
        <w:tc>
          <w:tcPr>
            <w:tcW w:w="754" w:type="dxa"/>
            <w:tcBorders>
              <w:top w:val="single" w:color="auto" w:sz="4" w:space="0"/>
              <w:left w:val="single" w:color="auto" w:sz="4" w:space="0"/>
              <w:bottom w:val="single" w:color="auto" w:sz="4" w:space="0"/>
              <w:right w:val="single" w:color="auto" w:sz="4" w:space="0"/>
            </w:tcBorders>
            <w:vAlign w:val="center"/>
          </w:tcPr>
          <w:p w14:paraId="5CF20876">
            <w:pPr>
              <w:spacing w:line="240" w:lineRule="auto"/>
              <w:rPr>
                <w:rFonts w:hint="default" w:ascii="Times New Roman" w:hAnsi="Times New Roman" w:eastAsia="宋体" w:cs="Times New Roman"/>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vAlign w:val="center"/>
          </w:tcPr>
          <w:p w14:paraId="69FE7D84">
            <w:pPr>
              <w:spacing w:line="240" w:lineRule="auto"/>
              <w:rPr>
                <w:rFonts w:hint="default" w:ascii="Times New Roman" w:hAnsi="Times New Roman" w:eastAsia="宋体" w:cs="Times New Roman"/>
                <w:sz w:val="21"/>
                <w:szCs w:val="21"/>
                <w:highlight w:val="none"/>
              </w:rPr>
            </w:pPr>
          </w:p>
        </w:tc>
      </w:tr>
      <w:tr w14:paraId="2A416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6" w:type="dxa"/>
            <w:tcBorders>
              <w:top w:val="single" w:color="auto" w:sz="4" w:space="0"/>
              <w:left w:val="single" w:color="auto" w:sz="4" w:space="0"/>
              <w:bottom w:val="single" w:color="auto" w:sz="4" w:space="0"/>
              <w:right w:val="single" w:color="auto" w:sz="4" w:space="0"/>
            </w:tcBorders>
            <w:vAlign w:val="center"/>
          </w:tcPr>
          <w:p w14:paraId="40D801BF">
            <w:pPr>
              <w:numPr>
                <w:ilvl w:val="0"/>
                <w:numId w:val="20"/>
              </w:numPr>
              <w:spacing w:before="60" w:after="60" w:line="240" w:lineRule="auto"/>
              <w:ind w:left="425" w:leftChars="0" w:hanging="425" w:firstLineChars="0"/>
              <w:jc w:val="center"/>
              <w:rPr>
                <w:rFonts w:hint="default" w:ascii="Times New Roman" w:hAnsi="Times New Roman" w:eastAsia="宋体" w:cs="Times New Roman"/>
                <w:sz w:val="21"/>
                <w:szCs w:val="21"/>
                <w:highlight w:val="none"/>
                <w:lang w:val="en-US" w:eastAsia="zh-CN"/>
              </w:rPr>
            </w:pPr>
          </w:p>
        </w:tc>
        <w:tc>
          <w:tcPr>
            <w:tcW w:w="4035" w:type="dxa"/>
            <w:tcBorders>
              <w:top w:val="single" w:color="auto" w:sz="4" w:space="0"/>
              <w:left w:val="single" w:color="auto" w:sz="4" w:space="0"/>
              <w:bottom w:val="single" w:color="auto" w:sz="4" w:space="0"/>
              <w:right w:val="single" w:color="auto" w:sz="4" w:space="0"/>
            </w:tcBorders>
            <w:vAlign w:val="center"/>
          </w:tcPr>
          <w:p w14:paraId="3FE0A45F">
            <w:pPr>
              <w:keepNext w:val="0"/>
              <w:keepLines w:val="0"/>
              <w:widowControl/>
              <w:suppressLineNumbers w:val="0"/>
              <w:spacing w:line="240" w:lineRule="auto"/>
              <w:jc w:val="left"/>
              <w:textAlignment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5.2.27.全自动核酸提取仪① 2套</w:t>
            </w:r>
          </w:p>
        </w:tc>
        <w:tc>
          <w:tcPr>
            <w:tcW w:w="747" w:type="dxa"/>
            <w:tcBorders>
              <w:top w:val="single" w:color="auto" w:sz="4" w:space="0"/>
              <w:left w:val="single" w:color="auto" w:sz="4" w:space="0"/>
              <w:bottom w:val="single" w:color="auto" w:sz="4" w:space="0"/>
              <w:right w:val="single" w:color="auto" w:sz="4" w:space="0"/>
            </w:tcBorders>
            <w:vAlign w:val="center"/>
          </w:tcPr>
          <w:p w14:paraId="31A06E93">
            <w:pPr>
              <w:spacing w:before="60" w:after="60" w:line="240" w:lineRule="auto"/>
              <w:rPr>
                <w:rFonts w:hint="default" w:ascii="Times New Roman" w:hAnsi="Times New Roman" w:eastAsia="宋体" w:cs="Times New Roman"/>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40D19978">
            <w:pPr>
              <w:spacing w:before="60" w:after="60" w:line="240" w:lineRule="auto"/>
              <w:rPr>
                <w:rFonts w:hint="default" w:ascii="Times New Roman" w:hAnsi="Times New Roman" w:eastAsia="宋体" w:cs="Times New Roman"/>
                <w:sz w:val="21"/>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0EC3C14A">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4F877116">
            <w:pPr>
              <w:spacing w:before="60" w:after="60" w:line="240" w:lineRule="auto"/>
              <w:rPr>
                <w:rFonts w:hint="default" w:ascii="Times New Roman" w:hAnsi="Times New Roman" w:eastAsia="宋体" w:cs="Times New Roman"/>
                <w:sz w:val="21"/>
                <w:szCs w:val="21"/>
                <w:highlight w:val="none"/>
              </w:rPr>
            </w:pPr>
          </w:p>
        </w:tc>
        <w:tc>
          <w:tcPr>
            <w:tcW w:w="828" w:type="dxa"/>
            <w:tcBorders>
              <w:top w:val="single" w:color="auto" w:sz="4" w:space="0"/>
              <w:left w:val="single" w:color="auto" w:sz="4" w:space="0"/>
              <w:bottom w:val="single" w:color="auto" w:sz="4" w:space="0"/>
              <w:right w:val="single" w:color="auto" w:sz="4" w:space="0"/>
            </w:tcBorders>
            <w:vAlign w:val="center"/>
          </w:tcPr>
          <w:p w14:paraId="4C354B47">
            <w:pPr>
              <w:spacing w:before="60" w:after="60" w:line="240" w:lineRule="auto"/>
              <w:rPr>
                <w:rFonts w:hint="default" w:ascii="Times New Roman" w:hAnsi="Times New Roman" w:eastAsia="宋体" w:cs="Times New Roman"/>
                <w:sz w:val="21"/>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531057CF">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378E3174">
            <w:pPr>
              <w:spacing w:before="60" w:after="60" w:line="240" w:lineRule="auto"/>
              <w:rPr>
                <w:rFonts w:hint="default" w:ascii="Times New Roman" w:hAnsi="Times New Roman" w:eastAsia="宋体" w:cs="Times New Roman"/>
                <w:sz w:val="21"/>
                <w:szCs w:val="21"/>
                <w:highlight w:val="none"/>
              </w:rPr>
            </w:pPr>
          </w:p>
        </w:tc>
        <w:tc>
          <w:tcPr>
            <w:tcW w:w="754" w:type="dxa"/>
            <w:tcBorders>
              <w:top w:val="single" w:color="auto" w:sz="4" w:space="0"/>
              <w:left w:val="single" w:color="auto" w:sz="4" w:space="0"/>
              <w:bottom w:val="single" w:color="auto" w:sz="4" w:space="0"/>
              <w:right w:val="single" w:color="auto" w:sz="4" w:space="0"/>
            </w:tcBorders>
            <w:vAlign w:val="center"/>
          </w:tcPr>
          <w:p w14:paraId="7B4F622A">
            <w:pPr>
              <w:spacing w:line="240" w:lineRule="auto"/>
              <w:rPr>
                <w:rFonts w:hint="default" w:ascii="Times New Roman" w:hAnsi="Times New Roman" w:eastAsia="宋体" w:cs="Times New Roman"/>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vAlign w:val="center"/>
          </w:tcPr>
          <w:p w14:paraId="3F41A41B">
            <w:pPr>
              <w:spacing w:line="240" w:lineRule="auto"/>
              <w:rPr>
                <w:rFonts w:hint="default" w:ascii="Times New Roman" w:hAnsi="Times New Roman" w:eastAsia="宋体" w:cs="Times New Roman"/>
                <w:sz w:val="21"/>
                <w:szCs w:val="21"/>
                <w:highlight w:val="none"/>
              </w:rPr>
            </w:pPr>
          </w:p>
        </w:tc>
      </w:tr>
      <w:tr w14:paraId="4422A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6" w:type="dxa"/>
            <w:tcBorders>
              <w:top w:val="single" w:color="auto" w:sz="4" w:space="0"/>
              <w:left w:val="single" w:color="auto" w:sz="4" w:space="0"/>
              <w:bottom w:val="single" w:color="auto" w:sz="4" w:space="0"/>
              <w:right w:val="single" w:color="auto" w:sz="4" w:space="0"/>
            </w:tcBorders>
            <w:vAlign w:val="center"/>
          </w:tcPr>
          <w:p w14:paraId="692F2620">
            <w:pPr>
              <w:numPr>
                <w:ilvl w:val="0"/>
                <w:numId w:val="20"/>
              </w:numPr>
              <w:spacing w:before="60" w:after="60" w:line="240" w:lineRule="auto"/>
              <w:ind w:left="425" w:leftChars="0" w:hanging="425" w:firstLineChars="0"/>
              <w:jc w:val="center"/>
              <w:rPr>
                <w:rFonts w:hint="default" w:ascii="Times New Roman" w:hAnsi="Times New Roman" w:eastAsia="宋体" w:cs="Times New Roman"/>
                <w:sz w:val="21"/>
                <w:szCs w:val="21"/>
                <w:highlight w:val="none"/>
                <w:lang w:val="en-US" w:eastAsia="zh-CN"/>
              </w:rPr>
            </w:pPr>
          </w:p>
        </w:tc>
        <w:tc>
          <w:tcPr>
            <w:tcW w:w="4035" w:type="dxa"/>
            <w:tcBorders>
              <w:top w:val="single" w:color="auto" w:sz="4" w:space="0"/>
              <w:left w:val="single" w:color="auto" w:sz="4" w:space="0"/>
              <w:bottom w:val="single" w:color="auto" w:sz="4" w:space="0"/>
              <w:right w:val="single" w:color="auto" w:sz="4" w:space="0"/>
            </w:tcBorders>
            <w:vAlign w:val="center"/>
          </w:tcPr>
          <w:p w14:paraId="54CF3136">
            <w:pPr>
              <w:keepNext w:val="0"/>
              <w:keepLines w:val="0"/>
              <w:widowControl/>
              <w:suppressLineNumbers w:val="0"/>
              <w:spacing w:line="240" w:lineRule="auto"/>
              <w:jc w:val="left"/>
              <w:textAlignment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5.2.28.全自动核酸提取仪② 1套</w:t>
            </w:r>
          </w:p>
        </w:tc>
        <w:tc>
          <w:tcPr>
            <w:tcW w:w="747" w:type="dxa"/>
            <w:tcBorders>
              <w:top w:val="single" w:color="auto" w:sz="4" w:space="0"/>
              <w:left w:val="single" w:color="auto" w:sz="4" w:space="0"/>
              <w:bottom w:val="single" w:color="auto" w:sz="4" w:space="0"/>
              <w:right w:val="single" w:color="auto" w:sz="4" w:space="0"/>
            </w:tcBorders>
            <w:vAlign w:val="center"/>
          </w:tcPr>
          <w:p w14:paraId="4BD4D677">
            <w:pPr>
              <w:spacing w:before="60" w:after="60" w:line="240" w:lineRule="auto"/>
              <w:rPr>
                <w:rFonts w:hint="default" w:ascii="Times New Roman" w:hAnsi="Times New Roman" w:eastAsia="宋体" w:cs="Times New Roman"/>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20C0D241">
            <w:pPr>
              <w:spacing w:before="60" w:after="60" w:line="240" w:lineRule="auto"/>
              <w:rPr>
                <w:rFonts w:hint="default" w:ascii="Times New Roman" w:hAnsi="Times New Roman" w:eastAsia="宋体" w:cs="Times New Roman"/>
                <w:sz w:val="21"/>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370DBB84">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3504D5C2">
            <w:pPr>
              <w:spacing w:before="60" w:after="60" w:line="240" w:lineRule="auto"/>
              <w:rPr>
                <w:rFonts w:hint="default" w:ascii="Times New Roman" w:hAnsi="Times New Roman" w:eastAsia="宋体" w:cs="Times New Roman"/>
                <w:sz w:val="21"/>
                <w:szCs w:val="21"/>
                <w:highlight w:val="none"/>
              </w:rPr>
            </w:pPr>
          </w:p>
        </w:tc>
        <w:tc>
          <w:tcPr>
            <w:tcW w:w="828" w:type="dxa"/>
            <w:tcBorders>
              <w:top w:val="single" w:color="auto" w:sz="4" w:space="0"/>
              <w:left w:val="single" w:color="auto" w:sz="4" w:space="0"/>
              <w:bottom w:val="single" w:color="auto" w:sz="4" w:space="0"/>
              <w:right w:val="single" w:color="auto" w:sz="4" w:space="0"/>
            </w:tcBorders>
            <w:vAlign w:val="center"/>
          </w:tcPr>
          <w:p w14:paraId="4AA9B12B">
            <w:pPr>
              <w:spacing w:before="60" w:after="60" w:line="240" w:lineRule="auto"/>
              <w:rPr>
                <w:rFonts w:hint="default" w:ascii="Times New Roman" w:hAnsi="Times New Roman" w:eastAsia="宋体" w:cs="Times New Roman"/>
                <w:sz w:val="21"/>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75D9AA21">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27577CDB">
            <w:pPr>
              <w:spacing w:before="60" w:after="60" w:line="240" w:lineRule="auto"/>
              <w:rPr>
                <w:rFonts w:hint="default" w:ascii="Times New Roman" w:hAnsi="Times New Roman" w:eastAsia="宋体" w:cs="Times New Roman"/>
                <w:sz w:val="21"/>
                <w:szCs w:val="21"/>
                <w:highlight w:val="none"/>
              </w:rPr>
            </w:pPr>
          </w:p>
        </w:tc>
        <w:tc>
          <w:tcPr>
            <w:tcW w:w="754" w:type="dxa"/>
            <w:tcBorders>
              <w:top w:val="single" w:color="auto" w:sz="4" w:space="0"/>
              <w:left w:val="single" w:color="auto" w:sz="4" w:space="0"/>
              <w:bottom w:val="single" w:color="auto" w:sz="4" w:space="0"/>
              <w:right w:val="single" w:color="auto" w:sz="4" w:space="0"/>
            </w:tcBorders>
            <w:vAlign w:val="center"/>
          </w:tcPr>
          <w:p w14:paraId="368CCA90">
            <w:pPr>
              <w:spacing w:line="240" w:lineRule="auto"/>
              <w:rPr>
                <w:rFonts w:hint="default" w:ascii="Times New Roman" w:hAnsi="Times New Roman" w:eastAsia="宋体" w:cs="Times New Roman"/>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vAlign w:val="center"/>
          </w:tcPr>
          <w:p w14:paraId="292D965A">
            <w:pPr>
              <w:spacing w:line="240" w:lineRule="auto"/>
              <w:rPr>
                <w:rFonts w:hint="default" w:ascii="Times New Roman" w:hAnsi="Times New Roman" w:eastAsia="宋体" w:cs="Times New Roman"/>
                <w:sz w:val="21"/>
                <w:szCs w:val="21"/>
                <w:highlight w:val="none"/>
              </w:rPr>
            </w:pPr>
          </w:p>
        </w:tc>
      </w:tr>
      <w:tr w14:paraId="5EAD3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6" w:type="dxa"/>
            <w:tcBorders>
              <w:top w:val="single" w:color="auto" w:sz="4" w:space="0"/>
              <w:left w:val="single" w:color="auto" w:sz="4" w:space="0"/>
              <w:bottom w:val="single" w:color="auto" w:sz="4" w:space="0"/>
              <w:right w:val="single" w:color="auto" w:sz="4" w:space="0"/>
            </w:tcBorders>
            <w:vAlign w:val="center"/>
          </w:tcPr>
          <w:p w14:paraId="24DA9542">
            <w:pPr>
              <w:numPr>
                <w:ilvl w:val="0"/>
                <w:numId w:val="20"/>
              </w:numPr>
              <w:spacing w:before="60" w:after="60" w:line="240" w:lineRule="auto"/>
              <w:ind w:left="425" w:leftChars="0" w:hanging="425" w:firstLineChars="0"/>
              <w:jc w:val="center"/>
              <w:rPr>
                <w:rFonts w:hint="default" w:ascii="Times New Roman" w:hAnsi="Times New Roman" w:eastAsia="宋体" w:cs="Times New Roman"/>
                <w:sz w:val="21"/>
                <w:szCs w:val="21"/>
                <w:highlight w:val="none"/>
                <w:lang w:val="en-US" w:eastAsia="zh-CN"/>
              </w:rPr>
            </w:pPr>
          </w:p>
        </w:tc>
        <w:tc>
          <w:tcPr>
            <w:tcW w:w="4035" w:type="dxa"/>
            <w:tcBorders>
              <w:top w:val="single" w:color="auto" w:sz="4" w:space="0"/>
              <w:left w:val="single" w:color="auto" w:sz="4" w:space="0"/>
              <w:bottom w:val="single" w:color="auto" w:sz="4" w:space="0"/>
              <w:right w:val="single" w:color="auto" w:sz="4" w:space="0"/>
            </w:tcBorders>
            <w:vAlign w:val="center"/>
          </w:tcPr>
          <w:p w14:paraId="31B8CF01">
            <w:pPr>
              <w:keepNext w:val="0"/>
              <w:keepLines w:val="0"/>
              <w:widowControl/>
              <w:suppressLineNumbers w:val="0"/>
              <w:spacing w:line="240" w:lineRule="auto"/>
              <w:jc w:val="left"/>
              <w:textAlignment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5.2.29.96孔板涡旋混匀仪 2套</w:t>
            </w:r>
          </w:p>
        </w:tc>
        <w:tc>
          <w:tcPr>
            <w:tcW w:w="747" w:type="dxa"/>
            <w:tcBorders>
              <w:top w:val="single" w:color="auto" w:sz="4" w:space="0"/>
              <w:left w:val="single" w:color="auto" w:sz="4" w:space="0"/>
              <w:bottom w:val="single" w:color="auto" w:sz="4" w:space="0"/>
              <w:right w:val="single" w:color="auto" w:sz="4" w:space="0"/>
            </w:tcBorders>
            <w:vAlign w:val="center"/>
          </w:tcPr>
          <w:p w14:paraId="1A5CB816">
            <w:pPr>
              <w:spacing w:before="60" w:after="60" w:line="240" w:lineRule="auto"/>
              <w:rPr>
                <w:rFonts w:hint="default" w:ascii="Times New Roman" w:hAnsi="Times New Roman" w:eastAsia="宋体" w:cs="Times New Roman"/>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648FEABC">
            <w:pPr>
              <w:spacing w:before="60" w:after="60" w:line="240" w:lineRule="auto"/>
              <w:rPr>
                <w:rFonts w:hint="default" w:ascii="Times New Roman" w:hAnsi="Times New Roman" w:eastAsia="宋体" w:cs="Times New Roman"/>
                <w:sz w:val="21"/>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28708D94">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682F17C0">
            <w:pPr>
              <w:spacing w:before="60" w:after="60" w:line="240" w:lineRule="auto"/>
              <w:rPr>
                <w:rFonts w:hint="default" w:ascii="Times New Roman" w:hAnsi="Times New Roman" w:eastAsia="宋体" w:cs="Times New Roman"/>
                <w:sz w:val="21"/>
                <w:szCs w:val="21"/>
                <w:highlight w:val="none"/>
              </w:rPr>
            </w:pPr>
          </w:p>
        </w:tc>
        <w:tc>
          <w:tcPr>
            <w:tcW w:w="828" w:type="dxa"/>
            <w:tcBorders>
              <w:top w:val="single" w:color="auto" w:sz="4" w:space="0"/>
              <w:left w:val="single" w:color="auto" w:sz="4" w:space="0"/>
              <w:bottom w:val="single" w:color="auto" w:sz="4" w:space="0"/>
              <w:right w:val="single" w:color="auto" w:sz="4" w:space="0"/>
            </w:tcBorders>
            <w:vAlign w:val="center"/>
          </w:tcPr>
          <w:p w14:paraId="5D375A75">
            <w:pPr>
              <w:spacing w:before="60" w:after="60" w:line="240" w:lineRule="auto"/>
              <w:rPr>
                <w:rFonts w:hint="default" w:ascii="Times New Roman" w:hAnsi="Times New Roman" w:eastAsia="宋体" w:cs="Times New Roman"/>
                <w:sz w:val="21"/>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1C4A5016">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0F3C1477">
            <w:pPr>
              <w:spacing w:before="60" w:after="60" w:line="240" w:lineRule="auto"/>
              <w:rPr>
                <w:rFonts w:hint="default" w:ascii="Times New Roman" w:hAnsi="Times New Roman" w:eastAsia="宋体" w:cs="Times New Roman"/>
                <w:sz w:val="21"/>
                <w:szCs w:val="21"/>
                <w:highlight w:val="none"/>
              </w:rPr>
            </w:pPr>
          </w:p>
        </w:tc>
        <w:tc>
          <w:tcPr>
            <w:tcW w:w="754" w:type="dxa"/>
            <w:tcBorders>
              <w:top w:val="single" w:color="auto" w:sz="4" w:space="0"/>
              <w:left w:val="single" w:color="auto" w:sz="4" w:space="0"/>
              <w:bottom w:val="single" w:color="auto" w:sz="4" w:space="0"/>
              <w:right w:val="single" w:color="auto" w:sz="4" w:space="0"/>
            </w:tcBorders>
            <w:vAlign w:val="center"/>
          </w:tcPr>
          <w:p w14:paraId="19AEADDE">
            <w:pPr>
              <w:spacing w:line="240" w:lineRule="auto"/>
              <w:rPr>
                <w:rFonts w:hint="default" w:ascii="Times New Roman" w:hAnsi="Times New Roman" w:eastAsia="宋体" w:cs="Times New Roman"/>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vAlign w:val="center"/>
          </w:tcPr>
          <w:p w14:paraId="346CC496">
            <w:pPr>
              <w:spacing w:line="240" w:lineRule="auto"/>
              <w:rPr>
                <w:rFonts w:hint="default" w:ascii="Times New Roman" w:hAnsi="Times New Roman" w:eastAsia="宋体" w:cs="Times New Roman"/>
                <w:sz w:val="21"/>
                <w:szCs w:val="21"/>
                <w:highlight w:val="none"/>
              </w:rPr>
            </w:pPr>
          </w:p>
        </w:tc>
      </w:tr>
      <w:tr w14:paraId="518F8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816" w:type="dxa"/>
            <w:tcBorders>
              <w:top w:val="single" w:color="auto" w:sz="4" w:space="0"/>
              <w:left w:val="single" w:color="auto" w:sz="4" w:space="0"/>
              <w:bottom w:val="single" w:color="auto" w:sz="4" w:space="0"/>
              <w:right w:val="single" w:color="auto" w:sz="4" w:space="0"/>
            </w:tcBorders>
            <w:vAlign w:val="center"/>
          </w:tcPr>
          <w:p w14:paraId="025CB9FA">
            <w:pPr>
              <w:numPr>
                <w:ilvl w:val="0"/>
                <w:numId w:val="20"/>
              </w:numPr>
              <w:spacing w:before="60" w:after="60" w:line="240" w:lineRule="auto"/>
              <w:ind w:left="425" w:leftChars="0" w:hanging="425" w:firstLineChars="0"/>
              <w:jc w:val="center"/>
              <w:rPr>
                <w:rFonts w:hint="default" w:ascii="Times New Roman" w:hAnsi="Times New Roman" w:eastAsia="宋体" w:cs="Times New Roman"/>
                <w:sz w:val="21"/>
                <w:szCs w:val="21"/>
                <w:highlight w:val="none"/>
                <w:lang w:val="en-US" w:eastAsia="zh-CN"/>
              </w:rPr>
            </w:pPr>
          </w:p>
        </w:tc>
        <w:tc>
          <w:tcPr>
            <w:tcW w:w="4035" w:type="dxa"/>
            <w:tcBorders>
              <w:top w:val="single" w:color="auto" w:sz="4" w:space="0"/>
              <w:left w:val="single" w:color="auto" w:sz="4" w:space="0"/>
              <w:bottom w:val="single" w:color="auto" w:sz="4" w:space="0"/>
              <w:right w:val="single" w:color="auto" w:sz="4" w:space="0"/>
            </w:tcBorders>
            <w:vAlign w:val="center"/>
          </w:tcPr>
          <w:p w14:paraId="3FAB9D0C">
            <w:pPr>
              <w:keepNext w:val="0"/>
              <w:keepLines w:val="0"/>
              <w:widowControl/>
              <w:suppressLineNumbers w:val="0"/>
              <w:spacing w:line="240" w:lineRule="auto"/>
              <w:jc w:val="left"/>
              <w:textAlignment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5.2.30.孔板离心机 2套</w:t>
            </w:r>
          </w:p>
        </w:tc>
        <w:tc>
          <w:tcPr>
            <w:tcW w:w="747" w:type="dxa"/>
            <w:tcBorders>
              <w:top w:val="single" w:color="auto" w:sz="4" w:space="0"/>
              <w:left w:val="single" w:color="auto" w:sz="4" w:space="0"/>
              <w:bottom w:val="single" w:color="auto" w:sz="4" w:space="0"/>
              <w:right w:val="single" w:color="auto" w:sz="4" w:space="0"/>
            </w:tcBorders>
            <w:vAlign w:val="center"/>
          </w:tcPr>
          <w:p w14:paraId="15C1662B">
            <w:pPr>
              <w:spacing w:before="60" w:after="60" w:line="240" w:lineRule="auto"/>
              <w:rPr>
                <w:rFonts w:hint="default" w:ascii="Times New Roman" w:hAnsi="Times New Roman" w:eastAsia="宋体" w:cs="Times New Roman"/>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3FEEACB7">
            <w:pPr>
              <w:spacing w:before="60" w:after="60" w:line="240" w:lineRule="auto"/>
              <w:rPr>
                <w:rFonts w:hint="default" w:ascii="Times New Roman" w:hAnsi="Times New Roman" w:eastAsia="宋体" w:cs="Times New Roman"/>
                <w:sz w:val="21"/>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15B11EA6">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004C4D25">
            <w:pPr>
              <w:spacing w:before="60" w:after="60" w:line="240" w:lineRule="auto"/>
              <w:rPr>
                <w:rFonts w:hint="default" w:ascii="Times New Roman" w:hAnsi="Times New Roman" w:eastAsia="宋体" w:cs="Times New Roman"/>
                <w:sz w:val="21"/>
                <w:szCs w:val="21"/>
                <w:highlight w:val="none"/>
              </w:rPr>
            </w:pPr>
          </w:p>
        </w:tc>
        <w:tc>
          <w:tcPr>
            <w:tcW w:w="828" w:type="dxa"/>
            <w:tcBorders>
              <w:top w:val="single" w:color="auto" w:sz="4" w:space="0"/>
              <w:left w:val="single" w:color="auto" w:sz="4" w:space="0"/>
              <w:bottom w:val="single" w:color="auto" w:sz="4" w:space="0"/>
              <w:right w:val="single" w:color="auto" w:sz="4" w:space="0"/>
            </w:tcBorders>
            <w:vAlign w:val="center"/>
          </w:tcPr>
          <w:p w14:paraId="400D5A1B">
            <w:pPr>
              <w:spacing w:before="60" w:after="60" w:line="240" w:lineRule="auto"/>
              <w:rPr>
                <w:rFonts w:hint="default" w:ascii="Times New Roman" w:hAnsi="Times New Roman" w:eastAsia="宋体" w:cs="Times New Roman"/>
                <w:sz w:val="21"/>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58413512">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7760A2C7">
            <w:pPr>
              <w:spacing w:before="60" w:after="60" w:line="240" w:lineRule="auto"/>
              <w:rPr>
                <w:rFonts w:hint="default" w:ascii="Times New Roman" w:hAnsi="Times New Roman" w:eastAsia="宋体" w:cs="Times New Roman"/>
                <w:sz w:val="21"/>
                <w:szCs w:val="21"/>
                <w:highlight w:val="none"/>
              </w:rPr>
            </w:pPr>
          </w:p>
        </w:tc>
        <w:tc>
          <w:tcPr>
            <w:tcW w:w="754" w:type="dxa"/>
            <w:tcBorders>
              <w:top w:val="single" w:color="auto" w:sz="4" w:space="0"/>
              <w:left w:val="single" w:color="auto" w:sz="4" w:space="0"/>
              <w:bottom w:val="single" w:color="auto" w:sz="4" w:space="0"/>
              <w:right w:val="single" w:color="auto" w:sz="4" w:space="0"/>
            </w:tcBorders>
            <w:vAlign w:val="center"/>
          </w:tcPr>
          <w:p w14:paraId="2C58B0C1">
            <w:pPr>
              <w:spacing w:line="240" w:lineRule="auto"/>
              <w:rPr>
                <w:rFonts w:hint="default" w:ascii="Times New Roman" w:hAnsi="Times New Roman" w:eastAsia="宋体" w:cs="Times New Roman"/>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vAlign w:val="center"/>
          </w:tcPr>
          <w:p w14:paraId="15EFEFDD">
            <w:pPr>
              <w:spacing w:line="240" w:lineRule="auto"/>
              <w:rPr>
                <w:rFonts w:hint="default" w:ascii="Times New Roman" w:hAnsi="Times New Roman" w:eastAsia="宋体" w:cs="Times New Roman"/>
                <w:sz w:val="21"/>
                <w:szCs w:val="21"/>
                <w:highlight w:val="none"/>
              </w:rPr>
            </w:pPr>
          </w:p>
        </w:tc>
      </w:tr>
      <w:tr w14:paraId="26A17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816" w:type="dxa"/>
            <w:tcBorders>
              <w:top w:val="single" w:color="auto" w:sz="4" w:space="0"/>
              <w:left w:val="single" w:color="auto" w:sz="4" w:space="0"/>
              <w:bottom w:val="single" w:color="auto" w:sz="4" w:space="0"/>
              <w:right w:val="single" w:color="auto" w:sz="4" w:space="0"/>
            </w:tcBorders>
            <w:vAlign w:val="center"/>
          </w:tcPr>
          <w:p w14:paraId="4A61FAD9">
            <w:pPr>
              <w:numPr>
                <w:ilvl w:val="0"/>
                <w:numId w:val="20"/>
              </w:numPr>
              <w:spacing w:before="60" w:after="60" w:line="240" w:lineRule="auto"/>
              <w:ind w:left="425" w:leftChars="0" w:hanging="425" w:firstLineChars="0"/>
              <w:jc w:val="center"/>
              <w:rPr>
                <w:rFonts w:hint="default" w:ascii="Times New Roman" w:hAnsi="Times New Roman" w:eastAsia="宋体" w:cs="Times New Roman"/>
                <w:sz w:val="21"/>
                <w:szCs w:val="21"/>
                <w:highlight w:val="none"/>
                <w:lang w:val="en-US" w:eastAsia="zh-CN"/>
              </w:rPr>
            </w:pPr>
          </w:p>
        </w:tc>
        <w:tc>
          <w:tcPr>
            <w:tcW w:w="4035" w:type="dxa"/>
            <w:tcBorders>
              <w:top w:val="single" w:color="auto" w:sz="4" w:space="0"/>
              <w:left w:val="single" w:color="auto" w:sz="4" w:space="0"/>
              <w:bottom w:val="single" w:color="auto" w:sz="4" w:space="0"/>
              <w:right w:val="single" w:color="auto" w:sz="4" w:space="0"/>
            </w:tcBorders>
            <w:vAlign w:val="center"/>
          </w:tcPr>
          <w:p w14:paraId="36C09F26">
            <w:pPr>
              <w:keepNext w:val="0"/>
              <w:keepLines w:val="0"/>
              <w:widowControl/>
              <w:suppressLineNumbers w:val="0"/>
              <w:spacing w:line="240" w:lineRule="auto"/>
              <w:jc w:val="left"/>
              <w:textAlignment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5.2.31.超净工作台 2套</w:t>
            </w:r>
          </w:p>
        </w:tc>
        <w:tc>
          <w:tcPr>
            <w:tcW w:w="747" w:type="dxa"/>
            <w:tcBorders>
              <w:top w:val="single" w:color="auto" w:sz="4" w:space="0"/>
              <w:left w:val="single" w:color="auto" w:sz="4" w:space="0"/>
              <w:bottom w:val="single" w:color="auto" w:sz="4" w:space="0"/>
              <w:right w:val="single" w:color="auto" w:sz="4" w:space="0"/>
            </w:tcBorders>
            <w:vAlign w:val="center"/>
          </w:tcPr>
          <w:p w14:paraId="01822FAE">
            <w:pPr>
              <w:spacing w:before="60" w:after="60" w:line="240" w:lineRule="auto"/>
              <w:rPr>
                <w:rFonts w:hint="default" w:ascii="Times New Roman" w:hAnsi="Times New Roman" w:eastAsia="宋体" w:cs="Times New Roman"/>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513B31EE">
            <w:pPr>
              <w:spacing w:before="60" w:after="60" w:line="240" w:lineRule="auto"/>
              <w:rPr>
                <w:rFonts w:hint="default" w:ascii="Times New Roman" w:hAnsi="Times New Roman" w:eastAsia="宋体" w:cs="Times New Roman"/>
                <w:sz w:val="21"/>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0FBB4299">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5C572D2C">
            <w:pPr>
              <w:spacing w:before="60" w:after="60" w:line="240" w:lineRule="auto"/>
              <w:rPr>
                <w:rFonts w:hint="default" w:ascii="Times New Roman" w:hAnsi="Times New Roman" w:eastAsia="宋体" w:cs="Times New Roman"/>
                <w:sz w:val="21"/>
                <w:szCs w:val="21"/>
                <w:highlight w:val="none"/>
              </w:rPr>
            </w:pPr>
          </w:p>
        </w:tc>
        <w:tc>
          <w:tcPr>
            <w:tcW w:w="828" w:type="dxa"/>
            <w:tcBorders>
              <w:top w:val="single" w:color="auto" w:sz="4" w:space="0"/>
              <w:left w:val="single" w:color="auto" w:sz="4" w:space="0"/>
              <w:bottom w:val="single" w:color="auto" w:sz="4" w:space="0"/>
              <w:right w:val="single" w:color="auto" w:sz="4" w:space="0"/>
            </w:tcBorders>
            <w:vAlign w:val="center"/>
          </w:tcPr>
          <w:p w14:paraId="51A8F3B6">
            <w:pPr>
              <w:spacing w:before="60" w:after="60" w:line="240" w:lineRule="auto"/>
              <w:rPr>
                <w:rFonts w:hint="default" w:ascii="Times New Roman" w:hAnsi="Times New Roman" w:eastAsia="宋体" w:cs="Times New Roman"/>
                <w:sz w:val="21"/>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1910CC99">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5B62D241">
            <w:pPr>
              <w:spacing w:before="60" w:after="60" w:line="240" w:lineRule="auto"/>
              <w:rPr>
                <w:rFonts w:hint="default" w:ascii="Times New Roman" w:hAnsi="Times New Roman" w:eastAsia="宋体" w:cs="Times New Roman"/>
                <w:sz w:val="21"/>
                <w:szCs w:val="21"/>
                <w:highlight w:val="none"/>
              </w:rPr>
            </w:pPr>
          </w:p>
        </w:tc>
        <w:tc>
          <w:tcPr>
            <w:tcW w:w="754" w:type="dxa"/>
            <w:tcBorders>
              <w:top w:val="single" w:color="auto" w:sz="4" w:space="0"/>
              <w:left w:val="single" w:color="auto" w:sz="4" w:space="0"/>
              <w:bottom w:val="single" w:color="auto" w:sz="4" w:space="0"/>
              <w:right w:val="single" w:color="auto" w:sz="4" w:space="0"/>
            </w:tcBorders>
            <w:vAlign w:val="center"/>
          </w:tcPr>
          <w:p w14:paraId="239D75DE">
            <w:pPr>
              <w:spacing w:line="240" w:lineRule="auto"/>
              <w:rPr>
                <w:rFonts w:hint="default" w:ascii="Times New Roman" w:hAnsi="Times New Roman" w:eastAsia="宋体" w:cs="Times New Roman"/>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vAlign w:val="center"/>
          </w:tcPr>
          <w:p w14:paraId="436F3766">
            <w:pPr>
              <w:spacing w:line="240" w:lineRule="auto"/>
              <w:rPr>
                <w:rFonts w:hint="default" w:ascii="Times New Roman" w:hAnsi="Times New Roman" w:eastAsia="宋体" w:cs="Times New Roman"/>
                <w:sz w:val="21"/>
                <w:szCs w:val="21"/>
                <w:highlight w:val="none"/>
              </w:rPr>
            </w:pPr>
          </w:p>
        </w:tc>
      </w:tr>
      <w:tr w14:paraId="6B8C9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816" w:type="dxa"/>
            <w:tcBorders>
              <w:top w:val="single" w:color="auto" w:sz="4" w:space="0"/>
              <w:left w:val="single" w:color="auto" w:sz="4" w:space="0"/>
              <w:bottom w:val="single" w:color="auto" w:sz="4" w:space="0"/>
              <w:right w:val="single" w:color="auto" w:sz="4" w:space="0"/>
            </w:tcBorders>
            <w:vAlign w:val="center"/>
          </w:tcPr>
          <w:p w14:paraId="2B981168">
            <w:pPr>
              <w:numPr>
                <w:ilvl w:val="0"/>
                <w:numId w:val="20"/>
              </w:numPr>
              <w:spacing w:before="60" w:after="60" w:line="240" w:lineRule="auto"/>
              <w:ind w:left="425" w:leftChars="0" w:hanging="425" w:firstLineChars="0"/>
              <w:jc w:val="center"/>
              <w:rPr>
                <w:rFonts w:hint="default" w:ascii="Times New Roman" w:hAnsi="Times New Roman" w:eastAsia="宋体" w:cs="Times New Roman"/>
                <w:sz w:val="21"/>
                <w:szCs w:val="21"/>
                <w:highlight w:val="none"/>
                <w:lang w:val="en-US" w:eastAsia="zh-CN"/>
              </w:rPr>
            </w:pPr>
          </w:p>
        </w:tc>
        <w:tc>
          <w:tcPr>
            <w:tcW w:w="4035" w:type="dxa"/>
            <w:tcBorders>
              <w:top w:val="single" w:color="auto" w:sz="4" w:space="0"/>
              <w:left w:val="single" w:color="auto" w:sz="4" w:space="0"/>
              <w:bottom w:val="single" w:color="auto" w:sz="4" w:space="0"/>
              <w:right w:val="single" w:color="auto" w:sz="4" w:space="0"/>
            </w:tcBorders>
            <w:vAlign w:val="center"/>
          </w:tcPr>
          <w:p w14:paraId="53599D89">
            <w:pPr>
              <w:keepNext w:val="0"/>
              <w:keepLines w:val="0"/>
              <w:widowControl/>
              <w:suppressLineNumbers w:val="0"/>
              <w:spacing w:line="240" w:lineRule="auto"/>
              <w:jc w:val="left"/>
              <w:textAlignment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5.2.32.移液工作站 1套</w:t>
            </w:r>
          </w:p>
        </w:tc>
        <w:tc>
          <w:tcPr>
            <w:tcW w:w="747" w:type="dxa"/>
            <w:tcBorders>
              <w:top w:val="single" w:color="auto" w:sz="4" w:space="0"/>
              <w:left w:val="single" w:color="auto" w:sz="4" w:space="0"/>
              <w:bottom w:val="single" w:color="auto" w:sz="4" w:space="0"/>
              <w:right w:val="single" w:color="auto" w:sz="4" w:space="0"/>
            </w:tcBorders>
            <w:vAlign w:val="center"/>
          </w:tcPr>
          <w:p w14:paraId="2292D8E1">
            <w:pPr>
              <w:spacing w:before="60" w:after="60" w:line="240" w:lineRule="auto"/>
              <w:rPr>
                <w:rFonts w:hint="default" w:ascii="Times New Roman" w:hAnsi="Times New Roman" w:eastAsia="宋体" w:cs="Times New Roman"/>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4C145E30">
            <w:pPr>
              <w:spacing w:before="60" w:after="60" w:line="240" w:lineRule="auto"/>
              <w:rPr>
                <w:rFonts w:hint="default" w:ascii="Times New Roman" w:hAnsi="Times New Roman" w:eastAsia="宋体" w:cs="Times New Roman"/>
                <w:sz w:val="21"/>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0B1DE69C">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76DBED94">
            <w:pPr>
              <w:spacing w:before="60" w:after="60" w:line="240" w:lineRule="auto"/>
              <w:rPr>
                <w:rFonts w:hint="default" w:ascii="Times New Roman" w:hAnsi="Times New Roman" w:eastAsia="宋体" w:cs="Times New Roman"/>
                <w:sz w:val="21"/>
                <w:szCs w:val="21"/>
                <w:highlight w:val="none"/>
              </w:rPr>
            </w:pPr>
          </w:p>
        </w:tc>
        <w:tc>
          <w:tcPr>
            <w:tcW w:w="828" w:type="dxa"/>
            <w:tcBorders>
              <w:top w:val="single" w:color="auto" w:sz="4" w:space="0"/>
              <w:left w:val="single" w:color="auto" w:sz="4" w:space="0"/>
              <w:bottom w:val="single" w:color="auto" w:sz="4" w:space="0"/>
              <w:right w:val="single" w:color="auto" w:sz="4" w:space="0"/>
            </w:tcBorders>
            <w:vAlign w:val="center"/>
          </w:tcPr>
          <w:p w14:paraId="4DC9F5D7">
            <w:pPr>
              <w:spacing w:before="60" w:after="60" w:line="240" w:lineRule="auto"/>
              <w:rPr>
                <w:rFonts w:hint="default" w:ascii="Times New Roman" w:hAnsi="Times New Roman" w:eastAsia="宋体" w:cs="Times New Roman"/>
                <w:sz w:val="21"/>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67916B34">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70E46104">
            <w:pPr>
              <w:spacing w:before="60" w:after="60" w:line="240" w:lineRule="auto"/>
              <w:rPr>
                <w:rFonts w:hint="default" w:ascii="Times New Roman" w:hAnsi="Times New Roman" w:eastAsia="宋体" w:cs="Times New Roman"/>
                <w:sz w:val="21"/>
                <w:szCs w:val="21"/>
                <w:highlight w:val="none"/>
              </w:rPr>
            </w:pPr>
          </w:p>
        </w:tc>
        <w:tc>
          <w:tcPr>
            <w:tcW w:w="754" w:type="dxa"/>
            <w:tcBorders>
              <w:top w:val="single" w:color="auto" w:sz="4" w:space="0"/>
              <w:left w:val="single" w:color="auto" w:sz="4" w:space="0"/>
              <w:bottom w:val="single" w:color="auto" w:sz="4" w:space="0"/>
              <w:right w:val="single" w:color="auto" w:sz="4" w:space="0"/>
            </w:tcBorders>
            <w:vAlign w:val="center"/>
          </w:tcPr>
          <w:p w14:paraId="5577C10E">
            <w:pPr>
              <w:spacing w:line="240" w:lineRule="auto"/>
              <w:rPr>
                <w:rFonts w:hint="default" w:ascii="Times New Roman" w:hAnsi="Times New Roman" w:eastAsia="宋体" w:cs="Times New Roman"/>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vAlign w:val="center"/>
          </w:tcPr>
          <w:p w14:paraId="1B17B553">
            <w:pPr>
              <w:spacing w:line="240" w:lineRule="auto"/>
              <w:rPr>
                <w:rFonts w:hint="default" w:ascii="Times New Roman" w:hAnsi="Times New Roman" w:eastAsia="宋体" w:cs="Times New Roman"/>
                <w:sz w:val="21"/>
                <w:szCs w:val="21"/>
                <w:highlight w:val="none"/>
              </w:rPr>
            </w:pPr>
          </w:p>
        </w:tc>
      </w:tr>
      <w:tr w14:paraId="3ADF0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816" w:type="dxa"/>
            <w:tcBorders>
              <w:top w:val="single" w:color="auto" w:sz="4" w:space="0"/>
              <w:left w:val="single" w:color="auto" w:sz="4" w:space="0"/>
              <w:bottom w:val="single" w:color="auto" w:sz="4" w:space="0"/>
              <w:right w:val="single" w:color="auto" w:sz="4" w:space="0"/>
            </w:tcBorders>
            <w:vAlign w:val="center"/>
          </w:tcPr>
          <w:p w14:paraId="20314AA8">
            <w:pPr>
              <w:numPr>
                <w:ilvl w:val="0"/>
                <w:numId w:val="20"/>
              </w:numPr>
              <w:spacing w:before="60" w:after="60" w:line="240" w:lineRule="auto"/>
              <w:ind w:left="425" w:leftChars="0" w:hanging="425" w:firstLineChars="0"/>
              <w:jc w:val="center"/>
              <w:rPr>
                <w:rFonts w:hint="default" w:ascii="Times New Roman" w:hAnsi="Times New Roman" w:eastAsia="宋体" w:cs="Times New Roman"/>
                <w:sz w:val="21"/>
                <w:szCs w:val="21"/>
                <w:highlight w:val="none"/>
                <w:lang w:val="en-US" w:eastAsia="zh-CN"/>
              </w:rPr>
            </w:pPr>
          </w:p>
        </w:tc>
        <w:tc>
          <w:tcPr>
            <w:tcW w:w="4035" w:type="dxa"/>
            <w:tcBorders>
              <w:top w:val="single" w:color="auto" w:sz="4" w:space="0"/>
              <w:left w:val="single" w:color="auto" w:sz="4" w:space="0"/>
              <w:bottom w:val="single" w:color="auto" w:sz="4" w:space="0"/>
              <w:right w:val="single" w:color="auto" w:sz="4" w:space="0"/>
            </w:tcBorders>
            <w:vAlign w:val="center"/>
          </w:tcPr>
          <w:p w14:paraId="604451D9">
            <w:pPr>
              <w:keepNext w:val="0"/>
              <w:keepLines w:val="0"/>
              <w:widowControl/>
              <w:suppressLineNumbers w:val="0"/>
              <w:spacing w:line="240" w:lineRule="auto"/>
              <w:jc w:val="left"/>
              <w:textAlignment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5.2.33.-20度冰箱 1套</w:t>
            </w:r>
          </w:p>
        </w:tc>
        <w:tc>
          <w:tcPr>
            <w:tcW w:w="747" w:type="dxa"/>
            <w:tcBorders>
              <w:top w:val="single" w:color="auto" w:sz="4" w:space="0"/>
              <w:left w:val="single" w:color="auto" w:sz="4" w:space="0"/>
              <w:bottom w:val="single" w:color="auto" w:sz="4" w:space="0"/>
              <w:right w:val="single" w:color="auto" w:sz="4" w:space="0"/>
            </w:tcBorders>
            <w:vAlign w:val="center"/>
          </w:tcPr>
          <w:p w14:paraId="1268B0AD">
            <w:pPr>
              <w:spacing w:before="60" w:after="60" w:line="240" w:lineRule="auto"/>
              <w:rPr>
                <w:rFonts w:hint="default" w:ascii="Times New Roman" w:hAnsi="Times New Roman" w:eastAsia="宋体" w:cs="Times New Roman"/>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14B3C67D">
            <w:pPr>
              <w:spacing w:before="60" w:after="60" w:line="240" w:lineRule="auto"/>
              <w:rPr>
                <w:rFonts w:hint="default" w:ascii="Times New Roman" w:hAnsi="Times New Roman" w:eastAsia="宋体" w:cs="Times New Roman"/>
                <w:sz w:val="21"/>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65D0B044">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7FE1E5A0">
            <w:pPr>
              <w:spacing w:before="60" w:after="60" w:line="240" w:lineRule="auto"/>
              <w:rPr>
                <w:rFonts w:hint="default" w:ascii="Times New Roman" w:hAnsi="Times New Roman" w:eastAsia="宋体" w:cs="Times New Roman"/>
                <w:sz w:val="21"/>
                <w:szCs w:val="21"/>
                <w:highlight w:val="none"/>
              </w:rPr>
            </w:pPr>
          </w:p>
        </w:tc>
        <w:tc>
          <w:tcPr>
            <w:tcW w:w="828" w:type="dxa"/>
            <w:tcBorders>
              <w:top w:val="single" w:color="auto" w:sz="4" w:space="0"/>
              <w:left w:val="single" w:color="auto" w:sz="4" w:space="0"/>
              <w:bottom w:val="single" w:color="auto" w:sz="4" w:space="0"/>
              <w:right w:val="single" w:color="auto" w:sz="4" w:space="0"/>
            </w:tcBorders>
            <w:vAlign w:val="center"/>
          </w:tcPr>
          <w:p w14:paraId="01DBD19A">
            <w:pPr>
              <w:spacing w:before="60" w:after="60" w:line="240" w:lineRule="auto"/>
              <w:rPr>
                <w:rFonts w:hint="default" w:ascii="Times New Roman" w:hAnsi="Times New Roman" w:eastAsia="宋体" w:cs="Times New Roman"/>
                <w:sz w:val="21"/>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53D26936">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217F29EE">
            <w:pPr>
              <w:spacing w:before="60" w:after="60" w:line="240" w:lineRule="auto"/>
              <w:rPr>
                <w:rFonts w:hint="default" w:ascii="Times New Roman" w:hAnsi="Times New Roman" w:eastAsia="宋体" w:cs="Times New Roman"/>
                <w:sz w:val="21"/>
                <w:szCs w:val="21"/>
                <w:highlight w:val="none"/>
              </w:rPr>
            </w:pPr>
          </w:p>
        </w:tc>
        <w:tc>
          <w:tcPr>
            <w:tcW w:w="754" w:type="dxa"/>
            <w:tcBorders>
              <w:top w:val="single" w:color="auto" w:sz="4" w:space="0"/>
              <w:left w:val="single" w:color="auto" w:sz="4" w:space="0"/>
              <w:bottom w:val="single" w:color="auto" w:sz="4" w:space="0"/>
              <w:right w:val="single" w:color="auto" w:sz="4" w:space="0"/>
            </w:tcBorders>
            <w:vAlign w:val="center"/>
          </w:tcPr>
          <w:p w14:paraId="0E947682">
            <w:pPr>
              <w:spacing w:line="240" w:lineRule="auto"/>
              <w:rPr>
                <w:rFonts w:hint="default" w:ascii="Times New Roman" w:hAnsi="Times New Roman" w:eastAsia="宋体" w:cs="Times New Roman"/>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vAlign w:val="center"/>
          </w:tcPr>
          <w:p w14:paraId="7AE6A064">
            <w:pPr>
              <w:spacing w:line="240" w:lineRule="auto"/>
              <w:rPr>
                <w:rFonts w:hint="default" w:ascii="Times New Roman" w:hAnsi="Times New Roman" w:eastAsia="宋体" w:cs="Times New Roman"/>
                <w:sz w:val="21"/>
                <w:szCs w:val="21"/>
                <w:highlight w:val="none"/>
              </w:rPr>
            </w:pPr>
          </w:p>
        </w:tc>
      </w:tr>
      <w:tr w14:paraId="5B6EC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816" w:type="dxa"/>
            <w:tcBorders>
              <w:top w:val="single" w:color="auto" w:sz="4" w:space="0"/>
              <w:left w:val="single" w:color="auto" w:sz="4" w:space="0"/>
              <w:bottom w:val="single" w:color="auto" w:sz="4" w:space="0"/>
              <w:right w:val="single" w:color="auto" w:sz="4" w:space="0"/>
            </w:tcBorders>
            <w:vAlign w:val="center"/>
          </w:tcPr>
          <w:p w14:paraId="17BC4264">
            <w:pPr>
              <w:numPr>
                <w:ilvl w:val="0"/>
                <w:numId w:val="20"/>
              </w:numPr>
              <w:spacing w:before="60" w:after="60" w:line="240" w:lineRule="auto"/>
              <w:ind w:left="425" w:leftChars="0" w:hanging="425" w:firstLineChars="0"/>
              <w:jc w:val="center"/>
              <w:rPr>
                <w:rFonts w:hint="default" w:ascii="Times New Roman" w:hAnsi="Times New Roman" w:eastAsia="宋体" w:cs="Times New Roman"/>
                <w:sz w:val="21"/>
                <w:szCs w:val="21"/>
                <w:highlight w:val="none"/>
                <w:lang w:val="en-US" w:eastAsia="zh-CN"/>
              </w:rPr>
            </w:pPr>
          </w:p>
        </w:tc>
        <w:tc>
          <w:tcPr>
            <w:tcW w:w="4035" w:type="dxa"/>
            <w:tcBorders>
              <w:top w:val="single" w:color="auto" w:sz="4" w:space="0"/>
              <w:left w:val="single" w:color="auto" w:sz="4" w:space="0"/>
              <w:bottom w:val="single" w:color="auto" w:sz="4" w:space="0"/>
              <w:right w:val="single" w:color="auto" w:sz="4" w:space="0"/>
            </w:tcBorders>
            <w:vAlign w:val="center"/>
          </w:tcPr>
          <w:p w14:paraId="7EF8ECE8">
            <w:pPr>
              <w:keepNext w:val="0"/>
              <w:keepLines w:val="0"/>
              <w:widowControl/>
              <w:suppressLineNumbers w:val="0"/>
              <w:spacing w:line="240" w:lineRule="auto"/>
              <w:jc w:val="left"/>
              <w:textAlignment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5.2.34.涡旋混匀仪 2套</w:t>
            </w:r>
          </w:p>
        </w:tc>
        <w:tc>
          <w:tcPr>
            <w:tcW w:w="747" w:type="dxa"/>
            <w:tcBorders>
              <w:top w:val="single" w:color="auto" w:sz="4" w:space="0"/>
              <w:left w:val="single" w:color="auto" w:sz="4" w:space="0"/>
              <w:bottom w:val="single" w:color="auto" w:sz="4" w:space="0"/>
              <w:right w:val="single" w:color="auto" w:sz="4" w:space="0"/>
            </w:tcBorders>
            <w:vAlign w:val="center"/>
          </w:tcPr>
          <w:p w14:paraId="254CFF23">
            <w:pPr>
              <w:spacing w:before="60" w:after="60" w:line="240" w:lineRule="auto"/>
              <w:rPr>
                <w:rFonts w:hint="default" w:ascii="Times New Roman" w:hAnsi="Times New Roman" w:eastAsia="宋体" w:cs="Times New Roman"/>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6904EE5F">
            <w:pPr>
              <w:spacing w:before="60" w:after="60" w:line="240" w:lineRule="auto"/>
              <w:rPr>
                <w:rFonts w:hint="default" w:ascii="Times New Roman" w:hAnsi="Times New Roman" w:eastAsia="宋体" w:cs="Times New Roman"/>
                <w:sz w:val="21"/>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522A6CCF">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133365B7">
            <w:pPr>
              <w:spacing w:before="60" w:after="60" w:line="240" w:lineRule="auto"/>
              <w:rPr>
                <w:rFonts w:hint="default" w:ascii="Times New Roman" w:hAnsi="Times New Roman" w:eastAsia="宋体" w:cs="Times New Roman"/>
                <w:sz w:val="21"/>
                <w:szCs w:val="21"/>
                <w:highlight w:val="none"/>
              </w:rPr>
            </w:pPr>
          </w:p>
        </w:tc>
        <w:tc>
          <w:tcPr>
            <w:tcW w:w="828" w:type="dxa"/>
            <w:tcBorders>
              <w:top w:val="single" w:color="auto" w:sz="4" w:space="0"/>
              <w:left w:val="single" w:color="auto" w:sz="4" w:space="0"/>
              <w:bottom w:val="single" w:color="auto" w:sz="4" w:space="0"/>
              <w:right w:val="single" w:color="auto" w:sz="4" w:space="0"/>
            </w:tcBorders>
            <w:vAlign w:val="center"/>
          </w:tcPr>
          <w:p w14:paraId="35BC8360">
            <w:pPr>
              <w:spacing w:before="60" w:after="60" w:line="240" w:lineRule="auto"/>
              <w:rPr>
                <w:rFonts w:hint="default" w:ascii="Times New Roman" w:hAnsi="Times New Roman" w:eastAsia="宋体" w:cs="Times New Roman"/>
                <w:sz w:val="21"/>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7984F12E">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6BC8AD39">
            <w:pPr>
              <w:spacing w:before="60" w:after="60" w:line="240" w:lineRule="auto"/>
              <w:rPr>
                <w:rFonts w:hint="default" w:ascii="Times New Roman" w:hAnsi="Times New Roman" w:eastAsia="宋体" w:cs="Times New Roman"/>
                <w:sz w:val="21"/>
                <w:szCs w:val="21"/>
                <w:highlight w:val="none"/>
              </w:rPr>
            </w:pPr>
          </w:p>
        </w:tc>
        <w:tc>
          <w:tcPr>
            <w:tcW w:w="754" w:type="dxa"/>
            <w:tcBorders>
              <w:top w:val="single" w:color="auto" w:sz="4" w:space="0"/>
              <w:left w:val="single" w:color="auto" w:sz="4" w:space="0"/>
              <w:bottom w:val="single" w:color="auto" w:sz="4" w:space="0"/>
              <w:right w:val="single" w:color="auto" w:sz="4" w:space="0"/>
            </w:tcBorders>
            <w:vAlign w:val="center"/>
          </w:tcPr>
          <w:p w14:paraId="3224D3A7">
            <w:pPr>
              <w:spacing w:line="240" w:lineRule="auto"/>
              <w:rPr>
                <w:rFonts w:hint="default" w:ascii="Times New Roman" w:hAnsi="Times New Roman" w:eastAsia="宋体" w:cs="Times New Roman"/>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vAlign w:val="center"/>
          </w:tcPr>
          <w:p w14:paraId="27BB8A11">
            <w:pPr>
              <w:spacing w:line="240" w:lineRule="auto"/>
              <w:rPr>
                <w:rFonts w:hint="default" w:ascii="Times New Roman" w:hAnsi="Times New Roman" w:eastAsia="宋体" w:cs="Times New Roman"/>
                <w:sz w:val="21"/>
                <w:szCs w:val="21"/>
                <w:highlight w:val="none"/>
              </w:rPr>
            </w:pPr>
          </w:p>
        </w:tc>
      </w:tr>
      <w:tr w14:paraId="34CC1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816" w:type="dxa"/>
            <w:tcBorders>
              <w:top w:val="single" w:color="auto" w:sz="4" w:space="0"/>
              <w:left w:val="single" w:color="auto" w:sz="4" w:space="0"/>
              <w:bottom w:val="single" w:color="auto" w:sz="4" w:space="0"/>
              <w:right w:val="single" w:color="auto" w:sz="4" w:space="0"/>
            </w:tcBorders>
            <w:vAlign w:val="center"/>
          </w:tcPr>
          <w:p w14:paraId="4B7C45B3">
            <w:pPr>
              <w:numPr>
                <w:ilvl w:val="0"/>
                <w:numId w:val="20"/>
              </w:numPr>
              <w:spacing w:before="60" w:after="60" w:line="240" w:lineRule="auto"/>
              <w:ind w:left="425" w:leftChars="0" w:hanging="425" w:firstLineChars="0"/>
              <w:jc w:val="center"/>
              <w:rPr>
                <w:rFonts w:hint="default" w:ascii="Times New Roman" w:hAnsi="Times New Roman" w:eastAsia="宋体" w:cs="Times New Roman"/>
                <w:sz w:val="21"/>
                <w:szCs w:val="21"/>
                <w:highlight w:val="none"/>
                <w:lang w:val="en-US" w:eastAsia="zh-CN"/>
              </w:rPr>
            </w:pPr>
          </w:p>
        </w:tc>
        <w:tc>
          <w:tcPr>
            <w:tcW w:w="4035" w:type="dxa"/>
            <w:tcBorders>
              <w:top w:val="single" w:color="auto" w:sz="4" w:space="0"/>
              <w:left w:val="single" w:color="auto" w:sz="4" w:space="0"/>
              <w:bottom w:val="single" w:color="auto" w:sz="4" w:space="0"/>
              <w:right w:val="single" w:color="auto" w:sz="4" w:space="0"/>
            </w:tcBorders>
            <w:vAlign w:val="center"/>
          </w:tcPr>
          <w:p w14:paraId="5B7E46F0">
            <w:pPr>
              <w:keepNext w:val="0"/>
              <w:keepLines w:val="0"/>
              <w:widowControl/>
              <w:suppressLineNumbers w:val="0"/>
              <w:spacing w:line="240" w:lineRule="auto"/>
              <w:jc w:val="left"/>
              <w:textAlignment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5.2.35.瞬时离心机 2套</w:t>
            </w:r>
          </w:p>
        </w:tc>
        <w:tc>
          <w:tcPr>
            <w:tcW w:w="747" w:type="dxa"/>
            <w:tcBorders>
              <w:top w:val="single" w:color="auto" w:sz="4" w:space="0"/>
              <w:left w:val="single" w:color="auto" w:sz="4" w:space="0"/>
              <w:bottom w:val="single" w:color="auto" w:sz="4" w:space="0"/>
              <w:right w:val="single" w:color="auto" w:sz="4" w:space="0"/>
            </w:tcBorders>
            <w:vAlign w:val="center"/>
          </w:tcPr>
          <w:p w14:paraId="4F3DF882">
            <w:pPr>
              <w:spacing w:before="60" w:after="60" w:line="240" w:lineRule="auto"/>
              <w:rPr>
                <w:rFonts w:hint="default" w:ascii="Times New Roman" w:hAnsi="Times New Roman" w:eastAsia="宋体" w:cs="Times New Roman"/>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7739D8C0">
            <w:pPr>
              <w:spacing w:before="60" w:after="60" w:line="240" w:lineRule="auto"/>
              <w:rPr>
                <w:rFonts w:hint="default" w:ascii="Times New Roman" w:hAnsi="Times New Roman" w:eastAsia="宋体" w:cs="Times New Roman"/>
                <w:sz w:val="21"/>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6AC1B181">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5E432FD0">
            <w:pPr>
              <w:spacing w:before="60" w:after="60" w:line="240" w:lineRule="auto"/>
              <w:rPr>
                <w:rFonts w:hint="default" w:ascii="Times New Roman" w:hAnsi="Times New Roman" w:eastAsia="宋体" w:cs="Times New Roman"/>
                <w:sz w:val="21"/>
                <w:szCs w:val="21"/>
                <w:highlight w:val="none"/>
              </w:rPr>
            </w:pPr>
          </w:p>
        </w:tc>
        <w:tc>
          <w:tcPr>
            <w:tcW w:w="828" w:type="dxa"/>
            <w:tcBorders>
              <w:top w:val="single" w:color="auto" w:sz="4" w:space="0"/>
              <w:left w:val="single" w:color="auto" w:sz="4" w:space="0"/>
              <w:bottom w:val="single" w:color="auto" w:sz="4" w:space="0"/>
              <w:right w:val="single" w:color="auto" w:sz="4" w:space="0"/>
            </w:tcBorders>
            <w:vAlign w:val="center"/>
          </w:tcPr>
          <w:p w14:paraId="7CC113AA">
            <w:pPr>
              <w:spacing w:before="60" w:after="60" w:line="240" w:lineRule="auto"/>
              <w:rPr>
                <w:rFonts w:hint="default" w:ascii="Times New Roman" w:hAnsi="Times New Roman" w:eastAsia="宋体" w:cs="Times New Roman"/>
                <w:sz w:val="21"/>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7CB0E386">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196CCFC4">
            <w:pPr>
              <w:spacing w:before="60" w:after="60" w:line="240" w:lineRule="auto"/>
              <w:rPr>
                <w:rFonts w:hint="default" w:ascii="Times New Roman" w:hAnsi="Times New Roman" w:eastAsia="宋体" w:cs="Times New Roman"/>
                <w:sz w:val="21"/>
                <w:szCs w:val="21"/>
                <w:highlight w:val="none"/>
              </w:rPr>
            </w:pPr>
          </w:p>
        </w:tc>
        <w:tc>
          <w:tcPr>
            <w:tcW w:w="754" w:type="dxa"/>
            <w:tcBorders>
              <w:top w:val="single" w:color="auto" w:sz="4" w:space="0"/>
              <w:left w:val="single" w:color="auto" w:sz="4" w:space="0"/>
              <w:bottom w:val="single" w:color="auto" w:sz="4" w:space="0"/>
              <w:right w:val="single" w:color="auto" w:sz="4" w:space="0"/>
            </w:tcBorders>
            <w:vAlign w:val="center"/>
          </w:tcPr>
          <w:p w14:paraId="52B74C23">
            <w:pPr>
              <w:spacing w:line="240" w:lineRule="auto"/>
              <w:rPr>
                <w:rFonts w:hint="default" w:ascii="Times New Roman" w:hAnsi="Times New Roman" w:eastAsia="宋体" w:cs="Times New Roman"/>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vAlign w:val="center"/>
          </w:tcPr>
          <w:p w14:paraId="106FE6D7">
            <w:pPr>
              <w:spacing w:line="240" w:lineRule="auto"/>
              <w:rPr>
                <w:rFonts w:hint="default" w:ascii="Times New Roman" w:hAnsi="Times New Roman" w:eastAsia="宋体" w:cs="Times New Roman"/>
                <w:sz w:val="21"/>
                <w:szCs w:val="21"/>
                <w:highlight w:val="none"/>
              </w:rPr>
            </w:pPr>
          </w:p>
        </w:tc>
      </w:tr>
      <w:tr w14:paraId="0F0EF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816" w:type="dxa"/>
            <w:tcBorders>
              <w:top w:val="single" w:color="auto" w:sz="4" w:space="0"/>
              <w:left w:val="single" w:color="auto" w:sz="4" w:space="0"/>
              <w:bottom w:val="single" w:color="auto" w:sz="4" w:space="0"/>
              <w:right w:val="single" w:color="auto" w:sz="4" w:space="0"/>
            </w:tcBorders>
            <w:vAlign w:val="center"/>
          </w:tcPr>
          <w:p w14:paraId="27C02811">
            <w:pPr>
              <w:numPr>
                <w:ilvl w:val="0"/>
                <w:numId w:val="20"/>
              </w:numPr>
              <w:spacing w:before="60" w:after="60" w:line="240" w:lineRule="auto"/>
              <w:ind w:left="425" w:leftChars="0" w:hanging="425" w:firstLineChars="0"/>
              <w:jc w:val="center"/>
              <w:rPr>
                <w:rFonts w:hint="default" w:ascii="Times New Roman" w:hAnsi="Times New Roman" w:eastAsia="宋体" w:cs="Times New Roman"/>
                <w:sz w:val="21"/>
                <w:szCs w:val="21"/>
                <w:highlight w:val="none"/>
                <w:lang w:val="en-US" w:eastAsia="zh-CN"/>
              </w:rPr>
            </w:pPr>
          </w:p>
        </w:tc>
        <w:tc>
          <w:tcPr>
            <w:tcW w:w="4035" w:type="dxa"/>
            <w:tcBorders>
              <w:top w:val="single" w:color="auto" w:sz="4" w:space="0"/>
              <w:left w:val="single" w:color="auto" w:sz="4" w:space="0"/>
              <w:bottom w:val="single" w:color="auto" w:sz="4" w:space="0"/>
              <w:right w:val="single" w:color="auto" w:sz="4" w:space="0"/>
            </w:tcBorders>
            <w:vAlign w:val="center"/>
          </w:tcPr>
          <w:p w14:paraId="35EB80E0">
            <w:pPr>
              <w:keepNext w:val="0"/>
              <w:keepLines w:val="0"/>
              <w:widowControl/>
              <w:suppressLineNumbers w:val="0"/>
              <w:spacing w:line="240" w:lineRule="auto"/>
              <w:jc w:val="left"/>
              <w:textAlignment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5.2.36.灭菌器 2套</w:t>
            </w:r>
          </w:p>
        </w:tc>
        <w:tc>
          <w:tcPr>
            <w:tcW w:w="747" w:type="dxa"/>
            <w:tcBorders>
              <w:top w:val="single" w:color="auto" w:sz="4" w:space="0"/>
              <w:left w:val="single" w:color="auto" w:sz="4" w:space="0"/>
              <w:bottom w:val="single" w:color="auto" w:sz="4" w:space="0"/>
              <w:right w:val="single" w:color="auto" w:sz="4" w:space="0"/>
            </w:tcBorders>
            <w:vAlign w:val="center"/>
          </w:tcPr>
          <w:p w14:paraId="5B6E1FA5">
            <w:pPr>
              <w:spacing w:before="60" w:after="60" w:line="240" w:lineRule="auto"/>
              <w:rPr>
                <w:rFonts w:hint="default" w:ascii="Times New Roman" w:hAnsi="Times New Roman" w:eastAsia="宋体" w:cs="Times New Roman"/>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039F7831">
            <w:pPr>
              <w:spacing w:before="60" w:after="60" w:line="240" w:lineRule="auto"/>
              <w:rPr>
                <w:rFonts w:hint="default" w:ascii="Times New Roman" w:hAnsi="Times New Roman" w:eastAsia="宋体" w:cs="Times New Roman"/>
                <w:sz w:val="21"/>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491ECBB7">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47FEF2ED">
            <w:pPr>
              <w:spacing w:before="60" w:after="60" w:line="240" w:lineRule="auto"/>
              <w:rPr>
                <w:rFonts w:hint="default" w:ascii="Times New Roman" w:hAnsi="Times New Roman" w:eastAsia="宋体" w:cs="Times New Roman"/>
                <w:sz w:val="21"/>
                <w:szCs w:val="21"/>
                <w:highlight w:val="none"/>
              </w:rPr>
            </w:pPr>
          </w:p>
        </w:tc>
        <w:tc>
          <w:tcPr>
            <w:tcW w:w="828" w:type="dxa"/>
            <w:tcBorders>
              <w:top w:val="single" w:color="auto" w:sz="4" w:space="0"/>
              <w:left w:val="single" w:color="auto" w:sz="4" w:space="0"/>
              <w:bottom w:val="single" w:color="auto" w:sz="4" w:space="0"/>
              <w:right w:val="single" w:color="auto" w:sz="4" w:space="0"/>
            </w:tcBorders>
            <w:vAlign w:val="center"/>
          </w:tcPr>
          <w:p w14:paraId="56BA67F9">
            <w:pPr>
              <w:spacing w:before="60" w:after="60" w:line="240" w:lineRule="auto"/>
              <w:rPr>
                <w:rFonts w:hint="default" w:ascii="Times New Roman" w:hAnsi="Times New Roman" w:eastAsia="宋体" w:cs="Times New Roman"/>
                <w:sz w:val="21"/>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74BC5BD4">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6A607D93">
            <w:pPr>
              <w:spacing w:before="60" w:after="60" w:line="240" w:lineRule="auto"/>
              <w:rPr>
                <w:rFonts w:hint="default" w:ascii="Times New Roman" w:hAnsi="Times New Roman" w:eastAsia="宋体" w:cs="Times New Roman"/>
                <w:sz w:val="21"/>
                <w:szCs w:val="21"/>
                <w:highlight w:val="none"/>
              </w:rPr>
            </w:pPr>
          </w:p>
        </w:tc>
        <w:tc>
          <w:tcPr>
            <w:tcW w:w="754" w:type="dxa"/>
            <w:tcBorders>
              <w:top w:val="single" w:color="auto" w:sz="4" w:space="0"/>
              <w:left w:val="single" w:color="auto" w:sz="4" w:space="0"/>
              <w:bottom w:val="single" w:color="auto" w:sz="4" w:space="0"/>
              <w:right w:val="single" w:color="auto" w:sz="4" w:space="0"/>
            </w:tcBorders>
            <w:vAlign w:val="center"/>
          </w:tcPr>
          <w:p w14:paraId="556415F9">
            <w:pPr>
              <w:spacing w:line="240" w:lineRule="auto"/>
              <w:rPr>
                <w:rFonts w:hint="default" w:ascii="Times New Roman" w:hAnsi="Times New Roman" w:eastAsia="宋体" w:cs="Times New Roman"/>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vAlign w:val="center"/>
          </w:tcPr>
          <w:p w14:paraId="3B952E45">
            <w:pPr>
              <w:spacing w:line="240" w:lineRule="auto"/>
              <w:rPr>
                <w:rFonts w:hint="default" w:ascii="Times New Roman" w:hAnsi="Times New Roman" w:eastAsia="宋体" w:cs="Times New Roman"/>
                <w:sz w:val="21"/>
                <w:szCs w:val="21"/>
                <w:highlight w:val="none"/>
              </w:rPr>
            </w:pPr>
          </w:p>
        </w:tc>
      </w:tr>
      <w:tr w14:paraId="5D1C1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816" w:type="dxa"/>
            <w:tcBorders>
              <w:top w:val="single" w:color="auto" w:sz="4" w:space="0"/>
              <w:left w:val="single" w:color="auto" w:sz="4" w:space="0"/>
              <w:bottom w:val="single" w:color="auto" w:sz="4" w:space="0"/>
              <w:right w:val="single" w:color="auto" w:sz="4" w:space="0"/>
            </w:tcBorders>
            <w:vAlign w:val="center"/>
          </w:tcPr>
          <w:p w14:paraId="23825FDA">
            <w:pPr>
              <w:numPr>
                <w:ilvl w:val="0"/>
                <w:numId w:val="20"/>
              </w:numPr>
              <w:spacing w:before="60" w:after="60" w:line="240" w:lineRule="auto"/>
              <w:ind w:left="425" w:leftChars="0" w:hanging="425" w:firstLineChars="0"/>
              <w:jc w:val="center"/>
              <w:rPr>
                <w:rFonts w:hint="default" w:ascii="Times New Roman" w:hAnsi="Times New Roman" w:eastAsia="宋体" w:cs="Times New Roman"/>
                <w:sz w:val="21"/>
                <w:szCs w:val="21"/>
                <w:highlight w:val="none"/>
                <w:lang w:val="en-US" w:eastAsia="zh-CN"/>
              </w:rPr>
            </w:pPr>
          </w:p>
        </w:tc>
        <w:tc>
          <w:tcPr>
            <w:tcW w:w="4035" w:type="dxa"/>
            <w:tcBorders>
              <w:top w:val="single" w:color="auto" w:sz="4" w:space="0"/>
              <w:left w:val="single" w:color="auto" w:sz="4" w:space="0"/>
              <w:bottom w:val="single" w:color="auto" w:sz="4" w:space="0"/>
              <w:right w:val="single" w:color="auto" w:sz="4" w:space="0"/>
            </w:tcBorders>
            <w:vAlign w:val="center"/>
          </w:tcPr>
          <w:p w14:paraId="73629FA2">
            <w:pPr>
              <w:keepNext w:val="0"/>
              <w:keepLines w:val="0"/>
              <w:widowControl/>
              <w:suppressLineNumbers w:val="0"/>
              <w:spacing w:line="240" w:lineRule="auto"/>
              <w:jc w:val="left"/>
              <w:textAlignment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5.3.全自动建库模块</w:t>
            </w:r>
          </w:p>
        </w:tc>
        <w:tc>
          <w:tcPr>
            <w:tcW w:w="747" w:type="dxa"/>
            <w:tcBorders>
              <w:top w:val="single" w:color="auto" w:sz="4" w:space="0"/>
              <w:left w:val="single" w:color="auto" w:sz="4" w:space="0"/>
              <w:bottom w:val="single" w:color="auto" w:sz="4" w:space="0"/>
              <w:right w:val="single" w:color="auto" w:sz="4" w:space="0"/>
            </w:tcBorders>
            <w:vAlign w:val="center"/>
          </w:tcPr>
          <w:p w14:paraId="5F9AB227">
            <w:pPr>
              <w:spacing w:before="60" w:after="60" w:line="240" w:lineRule="auto"/>
              <w:rPr>
                <w:rFonts w:hint="default" w:ascii="Times New Roman" w:hAnsi="Times New Roman" w:eastAsia="宋体" w:cs="Times New Roman"/>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388F0FD5">
            <w:pPr>
              <w:spacing w:before="60" w:after="60" w:line="240" w:lineRule="auto"/>
              <w:rPr>
                <w:rFonts w:hint="default" w:ascii="Times New Roman" w:hAnsi="Times New Roman" w:eastAsia="宋体" w:cs="Times New Roman"/>
                <w:sz w:val="21"/>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4197224C">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1C06FFFD">
            <w:pPr>
              <w:spacing w:before="60" w:after="60" w:line="240" w:lineRule="auto"/>
              <w:rPr>
                <w:rFonts w:hint="default" w:ascii="Times New Roman" w:hAnsi="Times New Roman" w:eastAsia="宋体" w:cs="Times New Roman"/>
                <w:sz w:val="21"/>
                <w:szCs w:val="21"/>
                <w:highlight w:val="none"/>
              </w:rPr>
            </w:pPr>
          </w:p>
        </w:tc>
        <w:tc>
          <w:tcPr>
            <w:tcW w:w="828" w:type="dxa"/>
            <w:tcBorders>
              <w:top w:val="single" w:color="auto" w:sz="4" w:space="0"/>
              <w:left w:val="single" w:color="auto" w:sz="4" w:space="0"/>
              <w:bottom w:val="single" w:color="auto" w:sz="4" w:space="0"/>
              <w:right w:val="single" w:color="auto" w:sz="4" w:space="0"/>
            </w:tcBorders>
            <w:vAlign w:val="center"/>
          </w:tcPr>
          <w:p w14:paraId="54D25E7A">
            <w:pPr>
              <w:spacing w:before="60" w:after="60" w:line="240" w:lineRule="auto"/>
              <w:rPr>
                <w:rFonts w:hint="default" w:ascii="Times New Roman" w:hAnsi="Times New Roman" w:eastAsia="宋体" w:cs="Times New Roman"/>
                <w:sz w:val="21"/>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19C60281">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39DE8FCE">
            <w:pPr>
              <w:spacing w:before="60" w:after="60" w:line="240" w:lineRule="auto"/>
              <w:rPr>
                <w:rFonts w:hint="default" w:ascii="Times New Roman" w:hAnsi="Times New Roman" w:eastAsia="宋体" w:cs="Times New Roman"/>
                <w:sz w:val="21"/>
                <w:szCs w:val="21"/>
                <w:highlight w:val="none"/>
              </w:rPr>
            </w:pPr>
          </w:p>
        </w:tc>
        <w:tc>
          <w:tcPr>
            <w:tcW w:w="754" w:type="dxa"/>
            <w:tcBorders>
              <w:top w:val="single" w:color="auto" w:sz="4" w:space="0"/>
              <w:left w:val="single" w:color="auto" w:sz="4" w:space="0"/>
              <w:bottom w:val="single" w:color="auto" w:sz="4" w:space="0"/>
              <w:right w:val="single" w:color="auto" w:sz="4" w:space="0"/>
            </w:tcBorders>
            <w:vAlign w:val="center"/>
          </w:tcPr>
          <w:p w14:paraId="219572D8">
            <w:pPr>
              <w:spacing w:line="240" w:lineRule="auto"/>
              <w:rPr>
                <w:rFonts w:hint="default" w:ascii="Times New Roman" w:hAnsi="Times New Roman" w:eastAsia="宋体" w:cs="Times New Roman"/>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vAlign w:val="center"/>
          </w:tcPr>
          <w:p w14:paraId="7C27A443">
            <w:pPr>
              <w:spacing w:line="240" w:lineRule="auto"/>
              <w:rPr>
                <w:rFonts w:hint="default" w:ascii="Times New Roman" w:hAnsi="Times New Roman" w:eastAsia="宋体" w:cs="Times New Roman"/>
                <w:sz w:val="21"/>
                <w:szCs w:val="21"/>
                <w:highlight w:val="none"/>
              </w:rPr>
            </w:pPr>
          </w:p>
        </w:tc>
      </w:tr>
      <w:tr w14:paraId="33D11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6" w:type="dxa"/>
            <w:tcBorders>
              <w:top w:val="single" w:color="auto" w:sz="4" w:space="0"/>
              <w:left w:val="single" w:color="auto" w:sz="4" w:space="0"/>
              <w:bottom w:val="single" w:color="auto" w:sz="4" w:space="0"/>
              <w:right w:val="single" w:color="auto" w:sz="4" w:space="0"/>
            </w:tcBorders>
            <w:vAlign w:val="center"/>
          </w:tcPr>
          <w:p w14:paraId="6767CB23">
            <w:pPr>
              <w:numPr>
                <w:ilvl w:val="0"/>
                <w:numId w:val="20"/>
              </w:numPr>
              <w:spacing w:before="60" w:after="60" w:line="240" w:lineRule="auto"/>
              <w:ind w:left="425" w:leftChars="0" w:hanging="425" w:firstLineChars="0"/>
              <w:jc w:val="center"/>
              <w:rPr>
                <w:rFonts w:hint="default" w:ascii="Times New Roman" w:hAnsi="Times New Roman" w:eastAsia="宋体" w:cs="Times New Roman"/>
                <w:sz w:val="21"/>
                <w:szCs w:val="21"/>
                <w:highlight w:val="none"/>
                <w:lang w:val="en-US" w:eastAsia="zh-CN"/>
              </w:rPr>
            </w:pPr>
          </w:p>
        </w:tc>
        <w:tc>
          <w:tcPr>
            <w:tcW w:w="4035" w:type="dxa"/>
            <w:tcBorders>
              <w:top w:val="single" w:color="auto" w:sz="4" w:space="0"/>
              <w:left w:val="single" w:color="auto" w:sz="4" w:space="0"/>
              <w:bottom w:val="single" w:color="auto" w:sz="4" w:space="0"/>
              <w:right w:val="single" w:color="auto" w:sz="4" w:space="0"/>
            </w:tcBorders>
            <w:vAlign w:val="center"/>
          </w:tcPr>
          <w:p w14:paraId="632875EF">
            <w:pPr>
              <w:keepNext w:val="0"/>
              <w:keepLines w:val="0"/>
              <w:widowControl/>
              <w:suppressLineNumbers w:val="0"/>
              <w:spacing w:line="240" w:lineRule="auto"/>
              <w:jc w:val="left"/>
              <w:textAlignment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5.3.1.自动化物料转运组件 1套</w:t>
            </w:r>
          </w:p>
        </w:tc>
        <w:tc>
          <w:tcPr>
            <w:tcW w:w="747" w:type="dxa"/>
            <w:tcBorders>
              <w:top w:val="single" w:color="auto" w:sz="4" w:space="0"/>
              <w:left w:val="single" w:color="auto" w:sz="4" w:space="0"/>
              <w:bottom w:val="single" w:color="auto" w:sz="4" w:space="0"/>
              <w:right w:val="single" w:color="auto" w:sz="4" w:space="0"/>
            </w:tcBorders>
            <w:vAlign w:val="center"/>
          </w:tcPr>
          <w:p w14:paraId="5C909C87">
            <w:pPr>
              <w:spacing w:before="60" w:after="60" w:line="240" w:lineRule="auto"/>
              <w:rPr>
                <w:rFonts w:hint="default" w:ascii="Times New Roman" w:hAnsi="Times New Roman" w:eastAsia="宋体" w:cs="Times New Roman"/>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5C6731EA">
            <w:pPr>
              <w:spacing w:before="60" w:after="60" w:line="240" w:lineRule="auto"/>
              <w:rPr>
                <w:rFonts w:hint="default" w:ascii="Times New Roman" w:hAnsi="Times New Roman" w:eastAsia="宋体" w:cs="Times New Roman"/>
                <w:sz w:val="21"/>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6851C921">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139D506E">
            <w:pPr>
              <w:spacing w:before="60" w:after="60" w:line="240" w:lineRule="auto"/>
              <w:rPr>
                <w:rFonts w:hint="default" w:ascii="Times New Roman" w:hAnsi="Times New Roman" w:eastAsia="宋体" w:cs="Times New Roman"/>
                <w:sz w:val="21"/>
                <w:szCs w:val="21"/>
                <w:highlight w:val="none"/>
              </w:rPr>
            </w:pPr>
          </w:p>
        </w:tc>
        <w:tc>
          <w:tcPr>
            <w:tcW w:w="828" w:type="dxa"/>
            <w:tcBorders>
              <w:top w:val="single" w:color="auto" w:sz="4" w:space="0"/>
              <w:left w:val="single" w:color="auto" w:sz="4" w:space="0"/>
              <w:bottom w:val="single" w:color="auto" w:sz="4" w:space="0"/>
              <w:right w:val="single" w:color="auto" w:sz="4" w:space="0"/>
            </w:tcBorders>
            <w:vAlign w:val="center"/>
          </w:tcPr>
          <w:p w14:paraId="3BF17F79">
            <w:pPr>
              <w:spacing w:before="60" w:after="60" w:line="240" w:lineRule="auto"/>
              <w:rPr>
                <w:rFonts w:hint="default" w:ascii="Times New Roman" w:hAnsi="Times New Roman" w:eastAsia="宋体" w:cs="Times New Roman"/>
                <w:sz w:val="21"/>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1C89636E">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4882E7B0">
            <w:pPr>
              <w:spacing w:before="60" w:after="60" w:line="240" w:lineRule="auto"/>
              <w:rPr>
                <w:rFonts w:hint="default" w:ascii="Times New Roman" w:hAnsi="Times New Roman" w:eastAsia="宋体" w:cs="Times New Roman"/>
                <w:sz w:val="21"/>
                <w:szCs w:val="21"/>
                <w:highlight w:val="none"/>
              </w:rPr>
            </w:pPr>
          </w:p>
        </w:tc>
        <w:tc>
          <w:tcPr>
            <w:tcW w:w="754" w:type="dxa"/>
            <w:tcBorders>
              <w:top w:val="single" w:color="auto" w:sz="4" w:space="0"/>
              <w:left w:val="single" w:color="auto" w:sz="4" w:space="0"/>
              <w:bottom w:val="single" w:color="auto" w:sz="4" w:space="0"/>
              <w:right w:val="single" w:color="auto" w:sz="4" w:space="0"/>
            </w:tcBorders>
            <w:vAlign w:val="center"/>
          </w:tcPr>
          <w:p w14:paraId="471889B9">
            <w:pPr>
              <w:spacing w:line="240" w:lineRule="auto"/>
              <w:rPr>
                <w:rFonts w:hint="default" w:ascii="Times New Roman" w:hAnsi="Times New Roman" w:eastAsia="宋体" w:cs="Times New Roman"/>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vAlign w:val="center"/>
          </w:tcPr>
          <w:p w14:paraId="7212A171">
            <w:pPr>
              <w:spacing w:line="240" w:lineRule="auto"/>
              <w:rPr>
                <w:rFonts w:hint="default" w:ascii="Times New Roman" w:hAnsi="Times New Roman" w:eastAsia="宋体" w:cs="Times New Roman"/>
                <w:sz w:val="21"/>
                <w:szCs w:val="21"/>
                <w:highlight w:val="none"/>
              </w:rPr>
            </w:pPr>
          </w:p>
        </w:tc>
      </w:tr>
      <w:tr w14:paraId="11BA0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6" w:type="dxa"/>
            <w:tcBorders>
              <w:top w:val="single" w:color="auto" w:sz="4" w:space="0"/>
              <w:left w:val="single" w:color="auto" w:sz="4" w:space="0"/>
              <w:bottom w:val="single" w:color="auto" w:sz="4" w:space="0"/>
              <w:right w:val="single" w:color="auto" w:sz="4" w:space="0"/>
            </w:tcBorders>
            <w:vAlign w:val="center"/>
          </w:tcPr>
          <w:p w14:paraId="4F0C9896">
            <w:pPr>
              <w:numPr>
                <w:ilvl w:val="0"/>
                <w:numId w:val="20"/>
              </w:numPr>
              <w:spacing w:before="60" w:after="60" w:line="240" w:lineRule="auto"/>
              <w:ind w:left="425" w:leftChars="0" w:hanging="425" w:firstLineChars="0"/>
              <w:jc w:val="center"/>
              <w:rPr>
                <w:rFonts w:hint="default" w:ascii="Times New Roman" w:hAnsi="Times New Roman" w:eastAsia="宋体" w:cs="Times New Roman"/>
                <w:sz w:val="21"/>
                <w:szCs w:val="21"/>
                <w:highlight w:val="none"/>
                <w:lang w:val="en-US" w:eastAsia="zh-CN"/>
              </w:rPr>
            </w:pPr>
          </w:p>
        </w:tc>
        <w:tc>
          <w:tcPr>
            <w:tcW w:w="4035" w:type="dxa"/>
            <w:tcBorders>
              <w:top w:val="single" w:color="auto" w:sz="4" w:space="0"/>
              <w:left w:val="single" w:color="auto" w:sz="4" w:space="0"/>
              <w:bottom w:val="single" w:color="auto" w:sz="4" w:space="0"/>
              <w:right w:val="single" w:color="auto" w:sz="4" w:space="0"/>
            </w:tcBorders>
            <w:vAlign w:val="center"/>
          </w:tcPr>
          <w:p w14:paraId="00B541E2">
            <w:pPr>
              <w:keepNext w:val="0"/>
              <w:keepLines w:val="0"/>
              <w:widowControl/>
              <w:suppressLineNumbers w:val="0"/>
              <w:spacing w:line="240" w:lineRule="auto"/>
              <w:jc w:val="left"/>
              <w:textAlignment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5.3.2.自动化液体工作站组件① 1套</w:t>
            </w:r>
          </w:p>
        </w:tc>
        <w:tc>
          <w:tcPr>
            <w:tcW w:w="747" w:type="dxa"/>
            <w:tcBorders>
              <w:top w:val="single" w:color="auto" w:sz="4" w:space="0"/>
              <w:left w:val="single" w:color="auto" w:sz="4" w:space="0"/>
              <w:bottom w:val="single" w:color="auto" w:sz="4" w:space="0"/>
              <w:right w:val="single" w:color="auto" w:sz="4" w:space="0"/>
            </w:tcBorders>
            <w:vAlign w:val="center"/>
          </w:tcPr>
          <w:p w14:paraId="611AF84D">
            <w:pPr>
              <w:spacing w:before="60" w:after="60" w:line="240" w:lineRule="auto"/>
              <w:rPr>
                <w:rFonts w:hint="default" w:ascii="Times New Roman" w:hAnsi="Times New Roman" w:eastAsia="宋体" w:cs="Times New Roman"/>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665EE9F2">
            <w:pPr>
              <w:spacing w:before="60" w:after="60" w:line="240" w:lineRule="auto"/>
              <w:rPr>
                <w:rFonts w:hint="default" w:ascii="Times New Roman" w:hAnsi="Times New Roman" w:eastAsia="宋体" w:cs="Times New Roman"/>
                <w:sz w:val="21"/>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4C21B880">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30D2EAC5">
            <w:pPr>
              <w:spacing w:before="60" w:after="60" w:line="240" w:lineRule="auto"/>
              <w:rPr>
                <w:rFonts w:hint="default" w:ascii="Times New Roman" w:hAnsi="Times New Roman" w:eastAsia="宋体" w:cs="Times New Roman"/>
                <w:sz w:val="21"/>
                <w:szCs w:val="21"/>
                <w:highlight w:val="none"/>
              </w:rPr>
            </w:pPr>
          </w:p>
        </w:tc>
        <w:tc>
          <w:tcPr>
            <w:tcW w:w="828" w:type="dxa"/>
            <w:tcBorders>
              <w:top w:val="single" w:color="auto" w:sz="4" w:space="0"/>
              <w:left w:val="single" w:color="auto" w:sz="4" w:space="0"/>
              <w:bottom w:val="single" w:color="auto" w:sz="4" w:space="0"/>
              <w:right w:val="single" w:color="auto" w:sz="4" w:space="0"/>
            </w:tcBorders>
            <w:vAlign w:val="center"/>
          </w:tcPr>
          <w:p w14:paraId="3C3C2374">
            <w:pPr>
              <w:spacing w:before="60" w:after="60" w:line="240" w:lineRule="auto"/>
              <w:rPr>
                <w:rFonts w:hint="default" w:ascii="Times New Roman" w:hAnsi="Times New Roman" w:eastAsia="宋体" w:cs="Times New Roman"/>
                <w:sz w:val="21"/>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3F607B29">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08D3BC06">
            <w:pPr>
              <w:spacing w:before="60" w:after="60" w:line="240" w:lineRule="auto"/>
              <w:rPr>
                <w:rFonts w:hint="default" w:ascii="Times New Roman" w:hAnsi="Times New Roman" w:eastAsia="宋体" w:cs="Times New Roman"/>
                <w:sz w:val="21"/>
                <w:szCs w:val="21"/>
                <w:highlight w:val="none"/>
              </w:rPr>
            </w:pPr>
          </w:p>
        </w:tc>
        <w:tc>
          <w:tcPr>
            <w:tcW w:w="754" w:type="dxa"/>
            <w:tcBorders>
              <w:top w:val="single" w:color="auto" w:sz="4" w:space="0"/>
              <w:left w:val="single" w:color="auto" w:sz="4" w:space="0"/>
              <w:bottom w:val="single" w:color="auto" w:sz="4" w:space="0"/>
              <w:right w:val="single" w:color="auto" w:sz="4" w:space="0"/>
            </w:tcBorders>
            <w:vAlign w:val="center"/>
          </w:tcPr>
          <w:p w14:paraId="0D09E0D7">
            <w:pPr>
              <w:spacing w:line="240" w:lineRule="auto"/>
              <w:rPr>
                <w:rFonts w:hint="default" w:ascii="Times New Roman" w:hAnsi="Times New Roman" w:eastAsia="宋体" w:cs="Times New Roman"/>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vAlign w:val="center"/>
          </w:tcPr>
          <w:p w14:paraId="5F24EDA5">
            <w:pPr>
              <w:spacing w:line="240" w:lineRule="auto"/>
              <w:rPr>
                <w:rFonts w:hint="default" w:ascii="Times New Roman" w:hAnsi="Times New Roman" w:eastAsia="宋体" w:cs="Times New Roman"/>
                <w:sz w:val="21"/>
                <w:szCs w:val="21"/>
                <w:highlight w:val="none"/>
              </w:rPr>
            </w:pPr>
          </w:p>
        </w:tc>
      </w:tr>
      <w:tr w14:paraId="18838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6" w:type="dxa"/>
            <w:tcBorders>
              <w:top w:val="single" w:color="auto" w:sz="4" w:space="0"/>
              <w:left w:val="single" w:color="auto" w:sz="4" w:space="0"/>
              <w:bottom w:val="single" w:color="auto" w:sz="4" w:space="0"/>
              <w:right w:val="single" w:color="auto" w:sz="4" w:space="0"/>
            </w:tcBorders>
            <w:vAlign w:val="center"/>
          </w:tcPr>
          <w:p w14:paraId="6148EB64">
            <w:pPr>
              <w:numPr>
                <w:ilvl w:val="0"/>
                <w:numId w:val="20"/>
              </w:numPr>
              <w:spacing w:before="60" w:after="60" w:line="240" w:lineRule="auto"/>
              <w:ind w:left="425" w:leftChars="0" w:hanging="425" w:firstLineChars="0"/>
              <w:jc w:val="center"/>
              <w:rPr>
                <w:rFonts w:hint="default" w:ascii="Times New Roman" w:hAnsi="Times New Roman" w:eastAsia="宋体" w:cs="Times New Roman"/>
                <w:sz w:val="21"/>
                <w:szCs w:val="21"/>
                <w:highlight w:val="none"/>
                <w:lang w:val="en-US" w:eastAsia="zh-CN"/>
              </w:rPr>
            </w:pPr>
          </w:p>
        </w:tc>
        <w:tc>
          <w:tcPr>
            <w:tcW w:w="4035" w:type="dxa"/>
            <w:tcBorders>
              <w:top w:val="single" w:color="auto" w:sz="4" w:space="0"/>
              <w:left w:val="single" w:color="auto" w:sz="4" w:space="0"/>
              <w:bottom w:val="single" w:color="auto" w:sz="4" w:space="0"/>
              <w:right w:val="single" w:color="auto" w:sz="4" w:space="0"/>
            </w:tcBorders>
            <w:vAlign w:val="center"/>
          </w:tcPr>
          <w:p w14:paraId="357AE77B">
            <w:pPr>
              <w:keepNext w:val="0"/>
              <w:keepLines w:val="0"/>
              <w:widowControl/>
              <w:suppressLineNumbers w:val="0"/>
              <w:spacing w:line="240" w:lineRule="auto"/>
              <w:jc w:val="left"/>
              <w:textAlignment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5.3.3.自动化液体工作站组件② 1套</w:t>
            </w:r>
          </w:p>
        </w:tc>
        <w:tc>
          <w:tcPr>
            <w:tcW w:w="747" w:type="dxa"/>
            <w:tcBorders>
              <w:top w:val="single" w:color="auto" w:sz="4" w:space="0"/>
              <w:left w:val="single" w:color="auto" w:sz="4" w:space="0"/>
              <w:bottom w:val="single" w:color="auto" w:sz="4" w:space="0"/>
              <w:right w:val="single" w:color="auto" w:sz="4" w:space="0"/>
            </w:tcBorders>
            <w:vAlign w:val="center"/>
          </w:tcPr>
          <w:p w14:paraId="23DFF1AA">
            <w:pPr>
              <w:spacing w:before="60" w:after="60" w:line="240" w:lineRule="auto"/>
              <w:rPr>
                <w:rFonts w:hint="default" w:ascii="Times New Roman" w:hAnsi="Times New Roman" w:eastAsia="宋体" w:cs="Times New Roman"/>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217B8CC4">
            <w:pPr>
              <w:spacing w:before="60" w:after="60" w:line="240" w:lineRule="auto"/>
              <w:rPr>
                <w:rFonts w:hint="default" w:ascii="Times New Roman" w:hAnsi="Times New Roman" w:eastAsia="宋体" w:cs="Times New Roman"/>
                <w:sz w:val="21"/>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4E92C2F8">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29132812">
            <w:pPr>
              <w:spacing w:before="60" w:after="60" w:line="240" w:lineRule="auto"/>
              <w:rPr>
                <w:rFonts w:hint="default" w:ascii="Times New Roman" w:hAnsi="Times New Roman" w:eastAsia="宋体" w:cs="Times New Roman"/>
                <w:sz w:val="21"/>
                <w:szCs w:val="21"/>
                <w:highlight w:val="none"/>
              </w:rPr>
            </w:pPr>
          </w:p>
        </w:tc>
        <w:tc>
          <w:tcPr>
            <w:tcW w:w="828" w:type="dxa"/>
            <w:tcBorders>
              <w:top w:val="single" w:color="auto" w:sz="4" w:space="0"/>
              <w:left w:val="single" w:color="auto" w:sz="4" w:space="0"/>
              <w:bottom w:val="single" w:color="auto" w:sz="4" w:space="0"/>
              <w:right w:val="single" w:color="auto" w:sz="4" w:space="0"/>
            </w:tcBorders>
            <w:vAlign w:val="center"/>
          </w:tcPr>
          <w:p w14:paraId="5CF380D9">
            <w:pPr>
              <w:spacing w:before="60" w:after="60" w:line="240" w:lineRule="auto"/>
              <w:rPr>
                <w:rFonts w:hint="default" w:ascii="Times New Roman" w:hAnsi="Times New Roman" w:eastAsia="宋体" w:cs="Times New Roman"/>
                <w:sz w:val="21"/>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231B1994">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66B39564">
            <w:pPr>
              <w:spacing w:before="60" w:after="60" w:line="240" w:lineRule="auto"/>
              <w:rPr>
                <w:rFonts w:hint="default" w:ascii="Times New Roman" w:hAnsi="Times New Roman" w:eastAsia="宋体" w:cs="Times New Roman"/>
                <w:sz w:val="21"/>
                <w:szCs w:val="21"/>
                <w:highlight w:val="none"/>
              </w:rPr>
            </w:pPr>
          </w:p>
        </w:tc>
        <w:tc>
          <w:tcPr>
            <w:tcW w:w="754" w:type="dxa"/>
            <w:tcBorders>
              <w:top w:val="single" w:color="auto" w:sz="4" w:space="0"/>
              <w:left w:val="single" w:color="auto" w:sz="4" w:space="0"/>
              <w:bottom w:val="single" w:color="auto" w:sz="4" w:space="0"/>
              <w:right w:val="single" w:color="auto" w:sz="4" w:space="0"/>
            </w:tcBorders>
            <w:vAlign w:val="center"/>
          </w:tcPr>
          <w:p w14:paraId="7FCCA44F">
            <w:pPr>
              <w:spacing w:line="240" w:lineRule="auto"/>
              <w:rPr>
                <w:rFonts w:hint="default" w:ascii="Times New Roman" w:hAnsi="Times New Roman" w:eastAsia="宋体" w:cs="Times New Roman"/>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vAlign w:val="center"/>
          </w:tcPr>
          <w:p w14:paraId="1D175479">
            <w:pPr>
              <w:spacing w:line="240" w:lineRule="auto"/>
              <w:rPr>
                <w:rFonts w:hint="default" w:ascii="Times New Roman" w:hAnsi="Times New Roman" w:eastAsia="宋体" w:cs="Times New Roman"/>
                <w:sz w:val="21"/>
                <w:szCs w:val="21"/>
                <w:highlight w:val="none"/>
              </w:rPr>
            </w:pPr>
          </w:p>
        </w:tc>
      </w:tr>
      <w:tr w14:paraId="7BD71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6" w:type="dxa"/>
            <w:tcBorders>
              <w:top w:val="single" w:color="auto" w:sz="4" w:space="0"/>
              <w:left w:val="single" w:color="auto" w:sz="4" w:space="0"/>
              <w:bottom w:val="single" w:color="auto" w:sz="4" w:space="0"/>
              <w:right w:val="single" w:color="auto" w:sz="4" w:space="0"/>
            </w:tcBorders>
            <w:vAlign w:val="center"/>
          </w:tcPr>
          <w:p w14:paraId="7918FDAA">
            <w:pPr>
              <w:numPr>
                <w:ilvl w:val="0"/>
                <w:numId w:val="20"/>
              </w:numPr>
              <w:spacing w:before="60" w:after="60" w:line="240" w:lineRule="auto"/>
              <w:ind w:left="425" w:leftChars="0" w:hanging="425" w:firstLineChars="0"/>
              <w:jc w:val="center"/>
              <w:rPr>
                <w:rFonts w:hint="default" w:ascii="Times New Roman" w:hAnsi="Times New Roman" w:eastAsia="宋体" w:cs="Times New Roman"/>
                <w:sz w:val="21"/>
                <w:szCs w:val="21"/>
                <w:highlight w:val="none"/>
                <w:lang w:val="en-US" w:eastAsia="zh-CN"/>
              </w:rPr>
            </w:pPr>
          </w:p>
        </w:tc>
        <w:tc>
          <w:tcPr>
            <w:tcW w:w="4035" w:type="dxa"/>
            <w:tcBorders>
              <w:top w:val="single" w:color="auto" w:sz="4" w:space="0"/>
              <w:left w:val="single" w:color="auto" w:sz="4" w:space="0"/>
              <w:bottom w:val="single" w:color="auto" w:sz="4" w:space="0"/>
              <w:right w:val="single" w:color="auto" w:sz="4" w:space="0"/>
            </w:tcBorders>
            <w:vAlign w:val="center"/>
          </w:tcPr>
          <w:p w14:paraId="2C514F1B">
            <w:pPr>
              <w:keepNext w:val="0"/>
              <w:keepLines w:val="0"/>
              <w:widowControl/>
              <w:suppressLineNumbers w:val="0"/>
              <w:spacing w:line="240" w:lineRule="auto"/>
              <w:jc w:val="left"/>
              <w:textAlignment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5.3.4.自动化耗材供给组件 2套</w:t>
            </w:r>
          </w:p>
        </w:tc>
        <w:tc>
          <w:tcPr>
            <w:tcW w:w="747" w:type="dxa"/>
            <w:tcBorders>
              <w:top w:val="single" w:color="auto" w:sz="4" w:space="0"/>
              <w:left w:val="single" w:color="auto" w:sz="4" w:space="0"/>
              <w:bottom w:val="single" w:color="auto" w:sz="4" w:space="0"/>
              <w:right w:val="single" w:color="auto" w:sz="4" w:space="0"/>
            </w:tcBorders>
            <w:vAlign w:val="center"/>
          </w:tcPr>
          <w:p w14:paraId="2752E228">
            <w:pPr>
              <w:spacing w:before="60" w:after="60" w:line="240" w:lineRule="auto"/>
              <w:rPr>
                <w:rFonts w:hint="default" w:ascii="Times New Roman" w:hAnsi="Times New Roman" w:eastAsia="宋体" w:cs="Times New Roman"/>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7CDA1DE0">
            <w:pPr>
              <w:spacing w:before="60" w:after="60" w:line="240" w:lineRule="auto"/>
              <w:rPr>
                <w:rFonts w:hint="default" w:ascii="Times New Roman" w:hAnsi="Times New Roman" w:eastAsia="宋体" w:cs="Times New Roman"/>
                <w:sz w:val="21"/>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29408A89">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4F6C6E51">
            <w:pPr>
              <w:spacing w:before="60" w:after="60" w:line="240" w:lineRule="auto"/>
              <w:rPr>
                <w:rFonts w:hint="default" w:ascii="Times New Roman" w:hAnsi="Times New Roman" w:eastAsia="宋体" w:cs="Times New Roman"/>
                <w:sz w:val="21"/>
                <w:szCs w:val="21"/>
                <w:highlight w:val="none"/>
              </w:rPr>
            </w:pPr>
          </w:p>
        </w:tc>
        <w:tc>
          <w:tcPr>
            <w:tcW w:w="828" w:type="dxa"/>
            <w:tcBorders>
              <w:top w:val="single" w:color="auto" w:sz="4" w:space="0"/>
              <w:left w:val="single" w:color="auto" w:sz="4" w:space="0"/>
              <w:bottom w:val="single" w:color="auto" w:sz="4" w:space="0"/>
              <w:right w:val="single" w:color="auto" w:sz="4" w:space="0"/>
            </w:tcBorders>
            <w:vAlign w:val="center"/>
          </w:tcPr>
          <w:p w14:paraId="38553A3F">
            <w:pPr>
              <w:spacing w:before="60" w:after="60" w:line="240" w:lineRule="auto"/>
              <w:rPr>
                <w:rFonts w:hint="default" w:ascii="Times New Roman" w:hAnsi="Times New Roman" w:eastAsia="宋体" w:cs="Times New Roman"/>
                <w:sz w:val="21"/>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412580CF">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35F714E6">
            <w:pPr>
              <w:spacing w:before="60" w:after="60" w:line="240" w:lineRule="auto"/>
              <w:rPr>
                <w:rFonts w:hint="default" w:ascii="Times New Roman" w:hAnsi="Times New Roman" w:eastAsia="宋体" w:cs="Times New Roman"/>
                <w:sz w:val="21"/>
                <w:szCs w:val="21"/>
                <w:highlight w:val="none"/>
              </w:rPr>
            </w:pPr>
          </w:p>
        </w:tc>
        <w:tc>
          <w:tcPr>
            <w:tcW w:w="754" w:type="dxa"/>
            <w:tcBorders>
              <w:top w:val="single" w:color="auto" w:sz="4" w:space="0"/>
              <w:left w:val="single" w:color="auto" w:sz="4" w:space="0"/>
              <w:bottom w:val="single" w:color="auto" w:sz="4" w:space="0"/>
              <w:right w:val="single" w:color="auto" w:sz="4" w:space="0"/>
            </w:tcBorders>
            <w:vAlign w:val="center"/>
          </w:tcPr>
          <w:p w14:paraId="0D8FD5D9">
            <w:pPr>
              <w:spacing w:line="240" w:lineRule="auto"/>
              <w:rPr>
                <w:rFonts w:hint="default" w:ascii="Times New Roman" w:hAnsi="Times New Roman" w:eastAsia="宋体" w:cs="Times New Roman"/>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vAlign w:val="center"/>
          </w:tcPr>
          <w:p w14:paraId="7AEA258B">
            <w:pPr>
              <w:spacing w:line="240" w:lineRule="auto"/>
              <w:rPr>
                <w:rFonts w:hint="default" w:ascii="Times New Roman" w:hAnsi="Times New Roman" w:eastAsia="宋体" w:cs="Times New Roman"/>
                <w:sz w:val="21"/>
                <w:szCs w:val="21"/>
                <w:highlight w:val="none"/>
              </w:rPr>
            </w:pPr>
          </w:p>
        </w:tc>
      </w:tr>
      <w:tr w14:paraId="18232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816" w:type="dxa"/>
            <w:tcBorders>
              <w:top w:val="single" w:color="auto" w:sz="4" w:space="0"/>
              <w:left w:val="single" w:color="auto" w:sz="4" w:space="0"/>
              <w:bottom w:val="single" w:color="auto" w:sz="4" w:space="0"/>
              <w:right w:val="single" w:color="auto" w:sz="4" w:space="0"/>
            </w:tcBorders>
            <w:vAlign w:val="center"/>
          </w:tcPr>
          <w:p w14:paraId="49D39545">
            <w:pPr>
              <w:numPr>
                <w:ilvl w:val="0"/>
                <w:numId w:val="20"/>
              </w:numPr>
              <w:spacing w:before="60" w:after="60" w:line="240" w:lineRule="auto"/>
              <w:ind w:left="425" w:leftChars="0" w:hanging="425" w:firstLineChars="0"/>
              <w:jc w:val="center"/>
              <w:rPr>
                <w:rFonts w:hint="default" w:ascii="Times New Roman" w:hAnsi="Times New Roman" w:eastAsia="宋体" w:cs="Times New Roman"/>
                <w:sz w:val="21"/>
                <w:szCs w:val="21"/>
                <w:highlight w:val="none"/>
                <w:lang w:val="en-US" w:eastAsia="zh-CN"/>
              </w:rPr>
            </w:pPr>
          </w:p>
        </w:tc>
        <w:tc>
          <w:tcPr>
            <w:tcW w:w="4035" w:type="dxa"/>
            <w:tcBorders>
              <w:top w:val="single" w:color="auto" w:sz="4" w:space="0"/>
              <w:left w:val="single" w:color="auto" w:sz="4" w:space="0"/>
              <w:bottom w:val="single" w:color="auto" w:sz="4" w:space="0"/>
              <w:right w:val="single" w:color="auto" w:sz="4" w:space="0"/>
            </w:tcBorders>
            <w:vAlign w:val="center"/>
          </w:tcPr>
          <w:p w14:paraId="3B769B9C">
            <w:pPr>
              <w:keepNext w:val="0"/>
              <w:keepLines w:val="0"/>
              <w:widowControl/>
              <w:suppressLineNumbers w:val="0"/>
              <w:spacing w:line="240" w:lineRule="auto"/>
              <w:jc w:val="left"/>
              <w:textAlignment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5.3.5.自动化冰箱组件 1套</w:t>
            </w:r>
          </w:p>
        </w:tc>
        <w:tc>
          <w:tcPr>
            <w:tcW w:w="747" w:type="dxa"/>
            <w:tcBorders>
              <w:top w:val="single" w:color="auto" w:sz="4" w:space="0"/>
              <w:left w:val="single" w:color="auto" w:sz="4" w:space="0"/>
              <w:bottom w:val="single" w:color="auto" w:sz="4" w:space="0"/>
              <w:right w:val="single" w:color="auto" w:sz="4" w:space="0"/>
            </w:tcBorders>
            <w:vAlign w:val="center"/>
          </w:tcPr>
          <w:p w14:paraId="3B78A124">
            <w:pPr>
              <w:spacing w:before="60" w:after="60" w:line="240" w:lineRule="auto"/>
              <w:rPr>
                <w:rFonts w:hint="default" w:ascii="Times New Roman" w:hAnsi="Times New Roman" w:eastAsia="宋体" w:cs="Times New Roman"/>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07895E46">
            <w:pPr>
              <w:spacing w:before="60" w:after="60" w:line="240" w:lineRule="auto"/>
              <w:rPr>
                <w:rFonts w:hint="default" w:ascii="Times New Roman" w:hAnsi="Times New Roman" w:eastAsia="宋体" w:cs="Times New Roman"/>
                <w:sz w:val="21"/>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766AE3AD">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0E4E71EA">
            <w:pPr>
              <w:spacing w:before="60" w:after="60" w:line="240" w:lineRule="auto"/>
              <w:rPr>
                <w:rFonts w:hint="default" w:ascii="Times New Roman" w:hAnsi="Times New Roman" w:eastAsia="宋体" w:cs="Times New Roman"/>
                <w:sz w:val="21"/>
                <w:szCs w:val="21"/>
                <w:highlight w:val="none"/>
              </w:rPr>
            </w:pPr>
          </w:p>
        </w:tc>
        <w:tc>
          <w:tcPr>
            <w:tcW w:w="828" w:type="dxa"/>
            <w:tcBorders>
              <w:top w:val="single" w:color="auto" w:sz="4" w:space="0"/>
              <w:left w:val="single" w:color="auto" w:sz="4" w:space="0"/>
              <w:bottom w:val="single" w:color="auto" w:sz="4" w:space="0"/>
              <w:right w:val="single" w:color="auto" w:sz="4" w:space="0"/>
            </w:tcBorders>
            <w:vAlign w:val="center"/>
          </w:tcPr>
          <w:p w14:paraId="16D8211F">
            <w:pPr>
              <w:spacing w:before="60" w:after="60" w:line="240" w:lineRule="auto"/>
              <w:rPr>
                <w:rFonts w:hint="default" w:ascii="Times New Roman" w:hAnsi="Times New Roman" w:eastAsia="宋体" w:cs="Times New Roman"/>
                <w:sz w:val="21"/>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417EF82B">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2219EC39">
            <w:pPr>
              <w:spacing w:before="60" w:after="60" w:line="240" w:lineRule="auto"/>
              <w:rPr>
                <w:rFonts w:hint="default" w:ascii="Times New Roman" w:hAnsi="Times New Roman" w:eastAsia="宋体" w:cs="Times New Roman"/>
                <w:sz w:val="21"/>
                <w:szCs w:val="21"/>
                <w:highlight w:val="none"/>
              </w:rPr>
            </w:pPr>
          </w:p>
        </w:tc>
        <w:tc>
          <w:tcPr>
            <w:tcW w:w="754" w:type="dxa"/>
            <w:tcBorders>
              <w:top w:val="single" w:color="auto" w:sz="4" w:space="0"/>
              <w:left w:val="single" w:color="auto" w:sz="4" w:space="0"/>
              <w:bottom w:val="single" w:color="auto" w:sz="4" w:space="0"/>
              <w:right w:val="single" w:color="auto" w:sz="4" w:space="0"/>
            </w:tcBorders>
            <w:vAlign w:val="center"/>
          </w:tcPr>
          <w:p w14:paraId="4A3DC75B">
            <w:pPr>
              <w:spacing w:line="240" w:lineRule="auto"/>
              <w:rPr>
                <w:rFonts w:hint="default" w:ascii="Times New Roman" w:hAnsi="Times New Roman" w:eastAsia="宋体" w:cs="Times New Roman"/>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vAlign w:val="center"/>
          </w:tcPr>
          <w:p w14:paraId="46BFBDF3">
            <w:pPr>
              <w:spacing w:line="240" w:lineRule="auto"/>
              <w:rPr>
                <w:rFonts w:hint="default" w:ascii="Times New Roman" w:hAnsi="Times New Roman" w:eastAsia="宋体" w:cs="Times New Roman"/>
                <w:sz w:val="21"/>
                <w:szCs w:val="21"/>
                <w:highlight w:val="none"/>
              </w:rPr>
            </w:pPr>
          </w:p>
        </w:tc>
      </w:tr>
      <w:tr w14:paraId="4EB03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6" w:type="dxa"/>
            <w:tcBorders>
              <w:top w:val="single" w:color="auto" w:sz="4" w:space="0"/>
              <w:left w:val="single" w:color="auto" w:sz="4" w:space="0"/>
              <w:bottom w:val="single" w:color="auto" w:sz="4" w:space="0"/>
              <w:right w:val="single" w:color="auto" w:sz="4" w:space="0"/>
            </w:tcBorders>
            <w:vAlign w:val="center"/>
          </w:tcPr>
          <w:p w14:paraId="088EC632">
            <w:pPr>
              <w:numPr>
                <w:ilvl w:val="0"/>
                <w:numId w:val="20"/>
              </w:numPr>
              <w:spacing w:before="60" w:after="60" w:line="240" w:lineRule="auto"/>
              <w:ind w:left="425" w:leftChars="0" w:hanging="425" w:firstLineChars="0"/>
              <w:jc w:val="center"/>
              <w:rPr>
                <w:rFonts w:hint="default" w:ascii="Times New Roman" w:hAnsi="Times New Roman" w:eastAsia="宋体" w:cs="Times New Roman"/>
                <w:sz w:val="21"/>
                <w:szCs w:val="21"/>
                <w:highlight w:val="none"/>
                <w:lang w:val="en-US" w:eastAsia="zh-CN"/>
              </w:rPr>
            </w:pPr>
          </w:p>
        </w:tc>
        <w:tc>
          <w:tcPr>
            <w:tcW w:w="4035" w:type="dxa"/>
            <w:tcBorders>
              <w:top w:val="single" w:color="auto" w:sz="4" w:space="0"/>
              <w:left w:val="single" w:color="auto" w:sz="4" w:space="0"/>
              <w:bottom w:val="single" w:color="auto" w:sz="4" w:space="0"/>
              <w:right w:val="single" w:color="auto" w:sz="4" w:space="0"/>
            </w:tcBorders>
            <w:vAlign w:val="center"/>
          </w:tcPr>
          <w:p w14:paraId="3F635724">
            <w:pPr>
              <w:keepNext w:val="0"/>
              <w:keepLines w:val="0"/>
              <w:widowControl/>
              <w:suppressLineNumbers w:val="0"/>
              <w:spacing w:line="240" w:lineRule="auto"/>
              <w:jc w:val="left"/>
              <w:textAlignment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5.3.6.自动化微孔板离心组件 1套</w:t>
            </w:r>
          </w:p>
        </w:tc>
        <w:tc>
          <w:tcPr>
            <w:tcW w:w="747" w:type="dxa"/>
            <w:tcBorders>
              <w:top w:val="single" w:color="auto" w:sz="4" w:space="0"/>
              <w:left w:val="single" w:color="auto" w:sz="4" w:space="0"/>
              <w:bottom w:val="single" w:color="auto" w:sz="4" w:space="0"/>
              <w:right w:val="single" w:color="auto" w:sz="4" w:space="0"/>
            </w:tcBorders>
            <w:vAlign w:val="center"/>
          </w:tcPr>
          <w:p w14:paraId="674B6A84">
            <w:pPr>
              <w:spacing w:before="60" w:after="60" w:line="240" w:lineRule="auto"/>
              <w:rPr>
                <w:rFonts w:hint="default" w:ascii="Times New Roman" w:hAnsi="Times New Roman" w:eastAsia="宋体" w:cs="Times New Roman"/>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75E7CC92">
            <w:pPr>
              <w:spacing w:before="60" w:after="60" w:line="240" w:lineRule="auto"/>
              <w:rPr>
                <w:rFonts w:hint="default" w:ascii="Times New Roman" w:hAnsi="Times New Roman" w:eastAsia="宋体" w:cs="Times New Roman"/>
                <w:sz w:val="21"/>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062647D4">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4566CBF9">
            <w:pPr>
              <w:spacing w:before="60" w:after="60" w:line="240" w:lineRule="auto"/>
              <w:rPr>
                <w:rFonts w:hint="default" w:ascii="Times New Roman" w:hAnsi="Times New Roman" w:eastAsia="宋体" w:cs="Times New Roman"/>
                <w:sz w:val="21"/>
                <w:szCs w:val="21"/>
                <w:highlight w:val="none"/>
              </w:rPr>
            </w:pPr>
          </w:p>
        </w:tc>
        <w:tc>
          <w:tcPr>
            <w:tcW w:w="828" w:type="dxa"/>
            <w:tcBorders>
              <w:top w:val="single" w:color="auto" w:sz="4" w:space="0"/>
              <w:left w:val="single" w:color="auto" w:sz="4" w:space="0"/>
              <w:bottom w:val="single" w:color="auto" w:sz="4" w:space="0"/>
              <w:right w:val="single" w:color="auto" w:sz="4" w:space="0"/>
            </w:tcBorders>
            <w:vAlign w:val="center"/>
          </w:tcPr>
          <w:p w14:paraId="67E9E975">
            <w:pPr>
              <w:spacing w:before="60" w:after="60" w:line="240" w:lineRule="auto"/>
              <w:rPr>
                <w:rFonts w:hint="default" w:ascii="Times New Roman" w:hAnsi="Times New Roman" w:eastAsia="宋体" w:cs="Times New Roman"/>
                <w:sz w:val="21"/>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5183548E">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2E680E8B">
            <w:pPr>
              <w:spacing w:before="60" w:after="60" w:line="240" w:lineRule="auto"/>
              <w:rPr>
                <w:rFonts w:hint="default" w:ascii="Times New Roman" w:hAnsi="Times New Roman" w:eastAsia="宋体" w:cs="Times New Roman"/>
                <w:sz w:val="21"/>
                <w:szCs w:val="21"/>
                <w:highlight w:val="none"/>
              </w:rPr>
            </w:pPr>
          </w:p>
        </w:tc>
        <w:tc>
          <w:tcPr>
            <w:tcW w:w="754" w:type="dxa"/>
            <w:tcBorders>
              <w:top w:val="single" w:color="auto" w:sz="4" w:space="0"/>
              <w:left w:val="single" w:color="auto" w:sz="4" w:space="0"/>
              <w:bottom w:val="single" w:color="auto" w:sz="4" w:space="0"/>
              <w:right w:val="single" w:color="auto" w:sz="4" w:space="0"/>
            </w:tcBorders>
            <w:vAlign w:val="center"/>
          </w:tcPr>
          <w:p w14:paraId="7586CED4">
            <w:pPr>
              <w:spacing w:line="240" w:lineRule="auto"/>
              <w:rPr>
                <w:rFonts w:hint="default" w:ascii="Times New Roman" w:hAnsi="Times New Roman" w:eastAsia="宋体" w:cs="Times New Roman"/>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vAlign w:val="center"/>
          </w:tcPr>
          <w:p w14:paraId="51C12E00">
            <w:pPr>
              <w:spacing w:line="240" w:lineRule="auto"/>
              <w:rPr>
                <w:rFonts w:hint="default" w:ascii="Times New Roman" w:hAnsi="Times New Roman" w:eastAsia="宋体" w:cs="Times New Roman"/>
                <w:sz w:val="21"/>
                <w:szCs w:val="21"/>
                <w:highlight w:val="none"/>
              </w:rPr>
            </w:pPr>
          </w:p>
        </w:tc>
      </w:tr>
      <w:tr w14:paraId="32E1A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6" w:type="dxa"/>
            <w:tcBorders>
              <w:top w:val="single" w:color="auto" w:sz="4" w:space="0"/>
              <w:left w:val="single" w:color="auto" w:sz="4" w:space="0"/>
              <w:bottom w:val="single" w:color="auto" w:sz="4" w:space="0"/>
              <w:right w:val="single" w:color="auto" w:sz="4" w:space="0"/>
            </w:tcBorders>
            <w:vAlign w:val="center"/>
          </w:tcPr>
          <w:p w14:paraId="116010AD">
            <w:pPr>
              <w:numPr>
                <w:ilvl w:val="0"/>
                <w:numId w:val="20"/>
              </w:numPr>
              <w:spacing w:before="60" w:after="60" w:line="240" w:lineRule="auto"/>
              <w:ind w:left="425" w:leftChars="0" w:hanging="425" w:firstLineChars="0"/>
              <w:jc w:val="center"/>
              <w:rPr>
                <w:rFonts w:hint="default" w:ascii="Times New Roman" w:hAnsi="Times New Roman" w:eastAsia="宋体" w:cs="Times New Roman"/>
                <w:sz w:val="21"/>
                <w:szCs w:val="21"/>
                <w:highlight w:val="none"/>
                <w:lang w:val="en-US" w:eastAsia="zh-CN"/>
              </w:rPr>
            </w:pPr>
          </w:p>
        </w:tc>
        <w:tc>
          <w:tcPr>
            <w:tcW w:w="4035" w:type="dxa"/>
            <w:tcBorders>
              <w:top w:val="single" w:color="auto" w:sz="4" w:space="0"/>
              <w:left w:val="single" w:color="auto" w:sz="4" w:space="0"/>
              <w:bottom w:val="single" w:color="auto" w:sz="4" w:space="0"/>
              <w:right w:val="single" w:color="auto" w:sz="4" w:space="0"/>
            </w:tcBorders>
            <w:vAlign w:val="center"/>
          </w:tcPr>
          <w:p w14:paraId="67FB7549">
            <w:pPr>
              <w:keepNext w:val="0"/>
              <w:keepLines w:val="0"/>
              <w:widowControl/>
              <w:suppressLineNumbers w:val="0"/>
              <w:spacing w:line="240" w:lineRule="auto"/>
              <w:jc w:val="left"/>
              <w:textAlignment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5.3.7.自动化片段分析组件 1套</w:t>
            </w:r>
          </w:p>
        </w:tc>
        <w:tc>
          <w:tcPr>
            <w:tcW w:w="747" w:type="dxa"/>
            <w:tcBorders>
              <w:top w:val="single" w:color="auto" w:sz="4" w:space="0"/>
              <w:left w:val="single" w:color="auto" w:sz="4" w:space="0"/>
              <w:bottom w:val="single" w:color="auto" w:sz="4" w:space="0"/>
              <w:right w:val="single" w:color="auto" w:sz="4" w:space="0"/>
            </w:tcBorders>
            <w:vAlign w:val="center"/>
          </w:tcPr>
          <w:p w14:paraId="38144B37">
            <w:pPr>
              <w:spacing w:before="60" w:after="60" w:line="240" w:lineRule="auto"/>
              <w:rPr>
                <w:rFonts w:hint="default" w:ascii="Times New Roman" w:hAnsi="Times New Roman" w:eastAsia="宋体" w:cs="Times New Roman"/>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07077E96">
            <w:pPr>
              <w:spacing w:before="60" w:after="60" w:line="240" w:lineRule="auto"/>
              <w:rPr>
                <w:rFonts w:hint="default" w:ascii="Times New Roman" w:hAnsi="Times New Roman" w:eastAsia="宋体" w:cs="Times New Roman"/>
                <w:sz w:val="21"/>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711CFBDF">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2A328DF0">
            <w:pPr>
              <w:spacing w:before="60" w:after="60" w:line="240" w:lineRule="auto"/>
              <w:rPr>
                <w:rFonts w:hint="default" w:ascii="Times New Roman" w:hAnsi="Times New Roman" w:eastAsia="宋体" w:cs="Times New Roman"/>
                <w:sz w:val="21"/>
                <w:szCs w:val="21"/>
                <w:highlight w:val="none"/>
              </w:rPr>
            </w:pPr>
          </w:p>
        </w:tc>
        <w:tc>
          <w:tcPr>
            <w:tcW w:w="828" w:type="dxa"/>
            <w:tcBorders>
              <w:top w:val="single" w:color="auto" w:sz="4" w:space="0"/>
              <w:left w:val="single" w:color="auto" w:sz="4" w:space="0"/>
              <w:bottom w:val="single" w:color="auto" w:sz="4" w:space="0"/>
              <w:right w:val="single" w:color="auto" w:sz="4" w:space="0"/>
            </w:tcBorders>
            <w:vAlign w:val="center"/>
          </w:tcPr>
          <w:p w14:paraId="6F34B900">
            <w:pPr>
              <w:spacing w:before="60" w:after="60" w:line="240" w:lineRule="auto"/>
              <w:rPr>
                <w:rFonts w:hint="default" w:ascii="Times New Roman" w:hAnsi="Times New Roman" w:eastAsia="宋体" w:cs="Times New Roman"/>
                <w:sz w:val="21"/>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4BA2A42A">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16935F29">
            <w:pPr>
              <w:spacing w:before="60" w:after="60" w:line="240" w:lineRule="auto"/>
              <w:rPr>
                <w:rFonts w:hint="default" w:ascii="Times New Roman" w:hAnsi="Times New Roman" w:eastAsia="宋体" w:cs="Times New Roman"/>
                <w:sz w:val="21"/>
                <w:szCs w:val="21"/>
                <w:highlight w:val="none"/>
              </w:rPr>
            </w:pPr>
          </w:p>
        </w:tc>
        <w:tc>
          <w:tcPr>
            <w:tcW w:w="754" w:type="dxa"/>
            <w:tcBorders>
              <w:top w:val="single" w:color="auto" w:sz="4" w:space="0"/>
              <w:left w:val="single" w:color="auto" w:sz="4" w:space="0"/>
              <w:bottom w:val="single" w:color="auto" w:sz="4" w:space="0"/>
              <w:right w:val="single" w:color="auto" w:sz="4" w:space="0"/>
            </w:tcBorders>
            <w:vAlign w:val="center"/>
          </w:tcPr>
          <w:p w14:paraId="1D03CDC2">
            <w:pPr>
              <w:spacing w:line="240" w:lineRule="auto"/>
              <w:rPr>
                <w:rFonts w:hint="default" w:ascii="Times New Roman" w:hAnsi="Times New Roman" w:eastAsia="宋体" w:cs="Times New Roman"/>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vAlign w:val="center"/>
          </w:tcPr>
          <w:p w14:paraId="55149068">
            <w:pPr>
              <w:spacing w:line="240" w:lineRule="auto"/>
              <w:rPr>
                <w:rFonts w:hint="default" w:ascii="Times New Roman" w:hAnsi="Times New Roman" w:eastAsia="宋体" w:cs="Times New Roman"/>
                <w:sz w:val="21"/>
                <w:szCs w:val="21"/>
                <w:highlight w:val="none"/>
              </w:rPr>
            </w:pPr>
          </w:p>
        </w:tc>
      </w:tr>
      <w:tr w14:paraId="25545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6" w:type="dxa"/>
            <w:tcBorders>
              <w:top w:val="single" w:color="auto" w:sz="4" w:space="0"/>
              <w:left w:val="single" w:color="auto" w:sz="4" w:space="0"/>
              <w:bottom w:val="single" w:color="auto" w:sz="4" w:space="0"/>
              <w:right w:val="single" w:color="auto" w:sz="4" w:space="0"/>
            </w:tcBorders>
            <w:vAlign w:val="center"/>
          </w:tcPr>
          <w:p w14:paraId="1C23D6D5">
            <w:pPr>
              <w:numPr>
                <w:ilvl w:val="0"/>
                <w:numId w:val="20"/>
              </w:numPr>
              <w:spacing w:before="60" w:after="60" w:line="240" w:lineRule="auto"/>
              <w:ind w:left="425" w:leftChars="0" w:hanging="425" w:firstLineChars="0"/>
              <w:jc w:val="center"/>
              <w:rPr>
                <w:rFonts w:hint="default" w:ascii="Times New Roman" w:hAnsi="Times New Roman" w:eastAsia="宋体" w:cs="Times New Roman"/>
                <w:sz w:val="21"/>
                <w:szCs w:val="21"/>
                <w:highlight w:val="none"/>
                <w:lang w:val="en-US" w:eastAsia="zh-CN"/>
              </w:rPr>
            </w:pPr>
          </w:p>
        </w:tc>
        <w:tc>
          <w:tcPr>
            <w:tcW w:w="4035" w:type="dxa"/>
            <w:tcBorders>
              <w:top w:val="single" w:color="auto" w:sz="4" w:space="0"/>
              <w:left w:val="single" w:color="auto" w:sz="4" w:space="0"/>
              <w:bottom w:val="single" w:color="auto" w:sz="4" w:space="0"/>
              <w:right w:val="single" w:color="auto" w:sz="4" w:space="0"/>
            </w:tcBorders>
            <w:vAlign w:val="center"/>
          </w:tcPr>
          <w:p w14:paraId="52DAB286">
            <w:pPr>
              <w:keepNext w:val="0"/>
              <w:keepLines w:val="0"/>
              <w:widowControl/>
              <w:suppressLineNumbers w:val="0"/>
              <w:spacing w:line="240" w:lineRule="auto"/>
              <w:jc w:val="left"/>
              <w:textAlignment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5.3.8.自动化qPCR仪组件 1套</w:t>
            </w:r>
          </w:p>
        </w:tc>
        <w:tc>
          <w:tcPr>
            <w:tcW w:w="747" w:type="dxa"/>
            <w:tcBorders>
              <w:top w:val="single" w:color="auto" w:sz="4" w:space="0"/>
              <w:left w:val="single" w:color="auto" w:sz="4" w:space="0"/>
              <w:bottom w:val="single" w:color="auto" w:sz="4" w:space="0"/>
              <w:right w:val="single" w:color="auto" w:sz="4" w:space="0"/>
            </w:tcBorders>
            <w:vAlign w:val="center"/>
          </w:tcPr>
          <w:p w14:paraId="5F52886A">
            <w:pPr>
              <w:spacing w:before="60" w:after="60" w:line="240" w:lineRule="auto"/>
              <w:rPr>
                <w:rFonts w:hint="default" w:ascii="Times New Roman" w:hAnsi="Times New Roman" w:eastAsia="宋体" w:cs="Times New Roman"/>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342FD7F9">
            <w:pPr>
              <w:spacing w:before="60" w:after="60" w:line="240" w:lineRule="auto"/>
              <w:rPr>
                <w:rFonts w:hint="default" w:ascii="Times New Roman" w:hAnsi="Times New Roman" w:eastAsia="宋体" w:cs="Times New Roman"/>
                <w:sz w:val="21"/>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4184460A">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65A960C1">
            <w:pPr>
              <w:spacing w:before="60" w:after="60" w:line="240" w:lineRule="auto"/>
              <w:rPr>
                <w:rFonts w:hint="default" w:ascii="Times New Roman" w:hAnsi="Times New Roman" w:eastAsia="宋体" w:cs="Times New Roman"/>
                <w:sz w:val="21"/>
                <w:szCs w:val="21"/>
                <w:highlight w:val="none"/>
              </w:rPr>
            </w:pPr>
          </w:p>
        </w:tc>
        <w:tc>
          <w:tcPr>
            <w:tcW w:w="828" w:type="dxa"/>
            <w:tcBorders>
              <w:top w:val="single" w:color="auto" w:sz="4" w:space="0"/>
              <w:left w:val="single" w:color="auto" w:sz="4" w:space="0"/>
              <w:bottom w:val="single" w:color="auto" w:sz="4" w:space="0"/>
              <w:right w:val="single" w:color="auto" w:sz="4" w:space="0"/>
            </w:tcBorders>
            <w:vAlign w:val="center"/>
          </w:tcPr>
          <w:p w14:paraId="347DD92B">
            <w:pPr>
              <w:spacing w:before="60" w:after="60" w:line="240" w:lineRule="auto"/>
              <w:rPr>
                <w:rFonts w:hint="default" w:ascii="Times New Roman" w:hAnsi="Times New Roman" w:eastAsia="宋体" w:cs="Times New Roman"/>
                <w:sz w:val="21"/>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12F11F5D">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35B779CA">
            <w:pPr>
              <w:spacing w:before="60" w:after="60" w:line="240" w:lineRule="auto"/>
              <w:rPr>
                <w:rFonts w:hint="default" w:ascii="Times New Roman" w:hAnsi="Times New Roman" w:eastAsia="宋体" w:cs="Times New Roman"/>
                <w:sz w:val="21"/>
                <w:szCs w:val="21"/>
                <w:highlight w:val="none"/>
              </w:rPr>
            </w:pPr>
          </w:p>
        </w:tc>
        <w:tc>
          <w:tcPr>
            <w:tcW w:w="754" w:type="dxa"/>
            <w:tcBorders>
              <w:top w:val="single" w:color="auto" w:sz="4" w:space="0"/>
              <w:left w:val="single" w:color="auto" w:sz="4" w:space="0"/>
              <w:bottom w:val="single" w:color="auto" w:sz="4" w:space="0"/>
              <w:right w:val="single" w:color="auto" w:sz="4" w:space="0"/>
            </w:tcBorders>
            <w:vAlign w:val="center"/>
          </w:tcPr>
          <w:p w14:paraId="732408AE">
            <w:pPr>
              <w:spacing w:line="240" w:lineRule="auto"/>
              <w:rPr>
                <w:rFonts w:hint="default" w:ascii="Times New Roman" w:hAnsi="Times New Roman" w:eastAsia="宋体" w:cs="Times New Roman"/>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vAlign w:val="center"/>
          </w:tcPr>
          <w:p w14:paraId="18E0F168">
            <w:pPr>
              <w:spacing w:line="240" w:lineRule="auto"/>
              <w:rPr>
                <w:rFonts w:hint="default" w:ascii="Times New Roman" w:hAnsi="Times New Roman" w:eastAsia="宋体" w:cs="Times New Roman"/>
                <w:sz w:val="21"/>
                <w:szCs w:val="21"/>
                <w:highlight w:val="none"/>
              </w:rPr>
            </w:pPr>
          </w:p>
        </w:tc>
      </w:tr>
      <w:tr w14:paraId="38052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816" w:type="dxa"/>
            <w:tcBorders>
              <w:top w:val="single" w:color="auto" w:sz="4" w:space="0"/>
              <w:left w:val="single" w:color="auto" w:sz="4" w:space="0"/>
              <w:bottom w:val="single" w:color="auto" w:sz="4" w:space="0"/>
              <w:right w:val="single" w:color="auto" w:sz="4" w:space="0"/>
            </w:tcBorders>
            <w:vAlign w:val="center"/>
          </w:tcPr>
          <w:p w14:paraId="0B9119C1">
            <w:pPr>
              <w:numPr>
                <w:ilvl w:val="0"/>
                <w:numId w:val="20"/>
              </w:numPr>
              <w:spacing w:before="60" w:after="60" w:line="240" w:lineRule="auto"/>
              <w:ind w:left="425" w:leftChars="0" w:hanging="425" w:firstLineChars="0"/>
              <w:jc w:val="center"/>
              <w:rPr>
                <w:rFonts w:hint="default" w:ascii="Times New Roman" w:hAnsi="Times New Roman" w:eastAsia="宋体" w:cs="Times New Roman"/>
                <w:sz w:val="21"/>
                <w:szCs w:val="21"/>
                <w:highlight w:val="none"/>
                <w:lang w:val="en-US" w:eastAsia="zh-CN"/>
              </w:rPr>
            </w:pPr>
          </w:p>
        </w:tc>
        <w:tc>
          <w:tcPr>
            <w:tcW w:w="4035" w:type="dxa"/>
            <w:tcBorders>
              <w:top w:val="single" w:color="auto" w:sz="4" w:space="0"/>
              <w:left w:val="single" w:color="auto" w:sz="4" w:space="0"/>
              <w:bottom w:val="single" w:color="auto" w:sz="4" w:space="0"/>
              <w:right w:val="single" w:color="auto" w:sz="4" w:space="0"/>
            </w:tcBorders>
            <w:vAlign w:val="center"/>
          </w:tcPr>
          <w:p w14:paraId="676D8510">
            <w:pPr>
              <w:keepNext w:val="0"/>
              <w:keepLines w:val="0"/>
              <w:widowControl/>
              <w:suppressLineNumbers w:val="0"/>
              <w:spacing w:line="240" w:lineRule="auto"/>
              <w:jc w:val="left"/>
              <w:textAlignment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5.3.9.自动化定量组件 1套</w:t>
            </w:r>
          </w:p>
        </w:tc>
        <w:tc>
          <w:tcPr>
            <w:tcW w:w="747" w:type="dxa"/>
            <w:tcBorders>
              <w:top w:val="single" w:color="auto" w:sz="4" w:space="0"/>
              <w:left w:val="single" w:color="auto" w:sz="4" w:space="0"/>
              <w:bottom w:val="single" w:color="auto" w:sz="4" w:space="0"/>
              <w:right w:val="single" w:color="auto" w:sz="4" w:space="0"/>
            </w:tcBorders>
            <w:vAlign w:val="center"/>
          </w:tcPr>
          <w:p w14:paraId="092541E6">
            <w:pPr>
              <w:spacing w:before="60" w:after="60" w:line="240" w:lineRule="auto"/>
              <w:rPr>
                <w:rFonts w:hint="default" w:ascii="Times New Roman" w:hAnsi="Times New Roman" w:eastAsia="宋体" w:cs="Times New Roman"/>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14E56006">
            <w:pPr>
              <w:spacing w:before="60" w:after="60" w:line="240" w:lineRule="auto"/>
              <w:rPr>
                <w:rFonts w:hint="default" w:ascii="Times New Roman" w:hAnsi="Times New Roman" w:eastAsia="宋体" w:cs="Times New Roman"/>
                <w:sz w:val="21"/>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3C8D2AED">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7AE03FB9">
            <w:pPr>
              <w:spacing w:before="60" w:after="60" w:line="240" w:lineRule="auto"/>
              <w:rPr>
                <w:rFonts w:hint="default" w:ascii="Times New Roman" w:hAnsi="Times New Roman" w:eastAsia="宋体" w:cs="Times New Roman"/>
                <w:sz w:val="21"/>
                <w:szCs w:val="21"/>
                <w:highlight w:val="none"/>
              </w:rPr>
            </w:pPr>
          </w:p>
        </w:tc>
        <w:tc>
          <w:tcPr>
            <w:tcW w:w="828" w:type="dxa"/>
            <w:tcBorders>
              <w:top w:val="single" w:color="auto" w:sz="4" w:space="0"/>
              <w:left w:val="single" w:color="auto" w:sz="4" w:space="0"/>
              <w:bottom w:val="single" w:color="auto" w:sz="4" w:space="0"/>
              <w:right w:val="single" w:color="auto" w:sz="4" w:space="0"/>
            </w:tcBorders>
            <w:vAlign w:val="center"/>
          </w:tcPr>
          <w:p w14:paraId="63C1B13C">
            <w:pPr>
              <w:spacing w:before="60" w:after="60" w:line="240" w:lineRule="auto"/>
              <w:rPr>
                <w:rFonts w:hint="default" w:ascii="Times New Roman" w:hAnsi="Times New Roman" w:eastAsia="宋体" w:cs="Times New Roman"/>
                <w:sz w:val="21"/>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603E12B1">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66D1C803">
            <w:pPr>
              <w:spacing w:before="60" w:after="60" w:line="240" w:lineRule="auto"/>
              <w:rPr>
                <w:rFonts w:hint="default" w:ascii="Times New Roman" w:hAnsi="Times New Roman" w:eastAsia="宋体" w:cs="Times New Roman"/>
                <w:sz w:val="21"/>
                <w:szCs w:val="21"/>
                <w:highlight w:val="none"/>
              </w:rPr>
            </w:pPr>
          </w:p>
        </w:tc>
        <w:tc>
          <w:tcPr>
            <w:tcW w:w="754" w:type="dxa"/>
            <w:tcBorders>
              <w:top w:val="single" w:color="auto" w:sz="4" w:space="0"/>
              <w:left w:val="single" w:color="auto" w:sz="4" w:space="0"/>
              <w:bottom w:val="single" w:color="auto" w:sz="4" w:space="0"/>
              <w:right w:val="single" w:color="auto" w:sz="4" w:space="0"/>
            </w:tcBorders>
            <w:vAlign w:val="center"/>
          </w:tcPr>
          <w:p w14:paraId="1AB7AB0B">
            <w:pPr>
              <w:spacing w:line="240" w:lineRule="auto"/>
              <w:rPr>
                <w:rFonts w:hint="default" w:ascii="Times New Roman" w:hAnsi="Times New Roman" w:eastAsia="宋体" w:cs="Times New Roman"/>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vAlign w:val="center"/>
          </w:tcPr>
          <w:p w14:paraId="57336000">
            <w:pPr>
              <w:spacing w:line="240" w:lineRule="auto"/>
              <w:rPr>
                <w:rFonts w:hint="default" w:ascii="Times New Roman" w:hAnsi="Times New Roman" w:eastAsia="宋体" w:cs="Times New Roman"/>
                <w:sz w:val="21"/>
                <w:szCs w:val="21"/>
                <w:highlight w:val="none"/>
              </w:rPr>
            </w:pPr>
          </w:p>
        </w:tc>
      </w:tr>
      <w:tr w14:paraId="21515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816" w:type="dxa"/>
            <w:tcBorders>
              <w:top w:val="single" w:color="auto" w:sz="4" w:space="0"/>
              <w:left w:val="single" w:color="auto" w:sz="4" w:space="0"/>
              <w:bottom w:val="single" w:color="auto" w:sz="4" w:space="0"/>
              <w:right w:val="single" w:color="auto" w:sz="4" w:space="0"/>
            </w:tcBorders>
            <w:vAlign w:val="center"/>
          </w:tcPr>
          <w:p w14:paraId="47AC223F">
            <w:pPr>
              <w:numPr>
                <w:ilvl w:val="0"/>
                <w:numId w:val="20"/>
              </w:numPr>
              <w:spacing w:before="60" w:after="60" w:line="240" w:lineRule="auto"/>
              <w:ind w:left="425" w:leftChars="0" w:hanging="425" w:firstLineChars="0"/>
              <w:jc w:val="center"/>
              <w:rPr>
                <w:rFonts w:hint="default" w:ascii="Times New Roman" w:hAnsi="Times New Roman" w:eastAsia="宋体" w:cs="Times New Roman"/>
                <w:sz w:val="21"/>
                <w:szCs w:val="21"/>
                <w:highlight w:val="none"/>
                <w:lang w:val="en-US" w:eastAsia="zh-CN"/>
              </w:rPr>
            </w:pPr>
          </w:p>
        </w:tc>
        <w:tc>
          <w:tcPr>
            <w:tcW w:w="4035" w:type="dxa"/>
            <w:tcBorders>
              <w:top w:val="single" w:color="auto" w:sz="4" w:space="0"/>
              <w:left w:val="single" w:color="auto" w:sz="4" w:space="0"/>
              <w:bottom w:val="single" w:color="auto" w:sz="4" w:space="0"/>
              <w:right w:val="single" w:color="auto" w:sz="4" w:space="0"/>
            </w:tcBorders>
            <w:vAlign w:val="center"/>
          </w:tcPr>
          <w:p w14:paraId="62FFFFF5">
            <w:pPr>
              <w:keepNext w:val="0"/>
              <w:keepLines w:val="0"/>
              <w:widowControl/>
              <w:suppressLineNumbers w:val="0"/>
              <w:spacing w:line="240" w:lineRule="auto"/>
              <w:jc w:val="left"/>
              <w:textAlignment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5.3.10.自动化撕膜组件 1套</w:t>
            </w:r>
          </w:p>
        </w:tc>
        <w:tc>
          <w:tcPr>
            <w:tcW w:w="747" w:type="dxa"/>
            <w:tcBorders>
              <w:top w:val="single" w:color="auto" w:sz="4" w:space="0"/>
              <w:left w:val="single" w:color="auto" w:sz="4" w:space="0"/>
              <w:bottom w:val="single" w:color="auto" w:sz="4" w:space="0"/>
              <w:right w:val="single" w:color="auto" w:sz="4" w:space="0"/>
            </w:tcBorders>
            <w:vAlign w:val="center"/>
          </w:tcPr>
          <w:p w14:paraId="0E057320">
            <w:pPr>
              <w:spacing w:before="60" w:after="60" w:line="240" w:lineRule="auto"/>
              <w:rPr>
                <w:rFonts w:hint="default" w:ascii="Times New Roman" w:hAnsi="Times New Roman" w:eastAsia="宋体" w:cs="Times New Roman"/>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0060CABF">
            <w:pPr>
              <w:spacing w:before="60" w:after="60" w:line="240" w:lineRule="auto"/>
              <w:rPr>
                <w:rFonts w:hint="default" w:ascii="Times New Roman" w:hAnsi="Times New Roman" w:eastAsia="宋体" w:cs="Times New Roman"/>
                <w:sz w:val="21"/>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71B2C7D5">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4CEF406D">
            <w:pPr>
              <w:spacing w:before="60" w:after="60" w:line="240" w:lineRule="auto"/>
              <w:rPr>
                <w:rFonts w:hint="default" w:ascii="Times New Roman" w:hAnsi="Times New Roman" w:eastAsia="宋体" w:cs="Times New Roman"/>
                <w:sz w:val="21"/>
                <w:szCs w:val="21"/>
                <w:highlight w:val="none"/>
              </w:rPr>
            </w:pPr>
          </w:p>
        </w:tc>
        <w:tc>
          <w:tcPr>
            <w:tcW w:w="828" w:type="dxa"/>
            <w:tcBorders>
              <w:top w:val="single" w:color="auto" w:sz="4" w:space="0"/>
              <w:left w:val="single" w:color="auto" w:sz="4" w:space="0"/>
              <w:bottom w:val="single" w:color="auto" w:sz="4" w:space="0"/>
              <w:right w:val="single" w:color="auto" w:sz="4" w:space="0"/>
            </w:tcBorders>
            <w:vAlign w:val="center"/>
          </w:tcPr>
          <w:p w14:paraId="3CF71836">
            <w:pPr>
              <w:spacing w:before="60" w:after="60" w:line="240" w:lineRule="auto"/>
              <w:rPr>
                <w:rFonts w:hint="default" w:ascii="Times New Roman" w:hAnsi="Times New Roman" w:eastAsia="宋体" w:cs="Times New Roman"/>
                <w:sz w:val="21"/>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069C7187">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0FDED8AC">
            <w:pPr>
              <w:spacing w:before="60" w:after="60" w:line="240" w:lineRule="auto"/>
              <w:rPr>
                <w:rFonts w:hint="default" w:ascii="Times New Roman" w:hAnsi="Times New Roman" w:eastAsia="宋体" w:cs="Times New Roman"/>
                <w:sz w:val="21"/>
                <w:szCs w:val="21"/>
                <w:highlight w:val="none"/>
              </w:rPr>
            </w:pPr>
          </w:p>
        </w:tc>
        <w:tc>
          <w:tcPr>
            <w:tcW w:w="754" w:type="dxa"/>
            <w:tcBorders>
              <w:top w:val="single" w:color="auto" w:sz="4" w:space="0"/>
              <w:left w:val="single" w:color="auto" w:sz="4" w:space="0"/>
              <w:bottom w:val="single" w:color="auto" w:sz="4" w:space="0"/>
              <w:right w:val="single" w:color="auto" w:sz="4" w:space="0"/>
            </w:tcBorders>
            <w:vAlign w:val="center"/>
          </w:tcPr>
          <w:p w14:paraId="592827FB">
            <w:pPr>
              <w:spacing w:line="240" w:lineRule="auto"/>
              <w:rPr>
                <w:rFonts w:hint="default" w:ascii="Times New Roman" w:hAnsi="Times New Roman" w:eastAsia="宋体" w:cs="Times New Roman"/>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vAlign w:val="center"/>
          </w:tcPr>
          <w:p w14:paraId="7A8A2B8F">
            <w:pPr>
              <w:spacing w:line="240" w:lineRule="auto"/>
              <w:rPr>
                <w:rFonts w:hint="default" w:ascii="Times New Roman" w:hAnsi="Times New Roman" w:eastAsia="宋体" w:cs="Times New Roman"/>
                <w:sz w:val="21"/>
                <w:szCs w:val="21"/>
                <w:highlight w:val="none"/>
              </w:rPr>
            </w:pPr>
          </w:p>
        </w:tc>
      </w:tr>
      <w:tr w14:paraId="0639A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816" w:type="dxa"/>
            <w:tcBorders>
              <w:top w:val="single" w:color="auto" w:sz="4" w:space="0"/>
              <w:left w:val="single" w:color="auto" w:sz="4" w:space="0"/>
              <w:bottom w:val="single" w:color="auto" w:sz="4" w:space="0"/>
              <w:right w:val="single" w:color="auto" w:sz="4" w:space="0"/>
            </w:tcBorders>
            <w:vAlign w:val="center"/>
          </w:tcPr>
          <w:p w14:paraId="44E0514E">
            <w:pPr>
              <w:numPr>
                <w:ilvl w:val="0"/>
                <w:numId w:val="20"/>
              </w:numPr>
              <w:spacing w:before="60" w:after="60" w:line="240" w:lineRule="auto"/>
              <w:ind w:left="425" w:leftChars="0" w:hanging="425" w:firstLineChars="0"/>
              <w:jc w:val="center"/>
              <w:rPr>
                <w:rFonts w:hint="default" w:ascii="Times New Roman" w:hAnsi="Times New Roman" w:eastAsia="宋体" w:cs="Times New Roman"/>
                <w:sz w:val="21"/>
                <w:szCs w:val="21"/>
                <w:highlight w:val="none"/>
                <w:lang w:val="en-US" w:eastAsia="zh-CN"/>
              </w:rPr>
            </w:pPr>
          </w:p>
        </w:tc>
        <w:tc>
          <w:tcPr>
            <w:tcW w:w="4035" w:type="dxa"/>
            <w:tcBorders>
              <w:top w:val="single" w:color="auto" w:sz="4" w:space="0"/>
              <w:left w:val="single" w:color="auto" w:sz="4" w:space="0"/>
              <w:bottom w:val="single" w:color="auto" w:sz="4" w:space="0"/>
              <w:right w:val="single" w:color="auto" w:sz="4" w:space="0"/>
            </w:tcBorders>
            <w:vAlign w:val="center"/>
          </w:tcPr>
          <w:p w14:paraId="66C1E665">
            <w:pPr>
              <w:keepNext w:val="0"/>
              <w:keepLines w:val="0"/>
              <w:widowControl/>
              <w:suppressLineNumbers w:val="0"/>
              <w:spacing w:line="240" w:lineRule="auto"/>
              <w:jc w:val="left"/>
              <w:textAlignment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5.3.11.自动化封膜组件 1套</w:t>
            </w:r>
          </w:p>
        </w:tc>
        <w:tc>
          <w:tcPr>
            <w:tcW w:w="747" w:type="dxa"/>
            <w:tcBorders>
              <w:top w:val="single" w:color="auto" w:sz="4" w:space="0"/>
              <w:left w:val="single" w:color="auto" w:sz="4" w:space="0"/>
              <w:bottom w:val="single" w:color="auto" w:sz="4" w:space="0"/>
              <w:right w:val="single" w:color="auto" w:sz="4" w:space="0"/>
            </w:tcBorders>
            <w:vAlign w:val="center"/>
          </w:tcPr>
          <w:p w14:paraId="341C1787">
            <w:pPr>
              <w:spacing w:before="60" w:after="60" w:line="240" w:lineRule="auto"/>
              <w:rPr>
                <w:rFonts w:hint="default" w:ascii="Times New Roman" w:hAnsi="Times New Roman" w:eastAsia="宋体" w:cs="Times New Roman"/>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474CA08E">
            <w:pPr>
              <w:spacing w:before="60" w:after="60" w:line="240" w:lineRule="auto"/>
              <w:rPr>
                <w:rFonts w:hint="default" w:ascii="Times New Roman" w:hAnsi="Times New Roman" w:eastAsia="宋体" w:cs="Times New Roman"/>
                <w:sz w:val="21"/>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4D898ADA">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0083B68F">
            <w:pPr>
              <w:spacing w:before="60" w:after="60" w:line="240" w:lineRule="auto"/>
              <w:rPr>
                <w:rFonts w:hint="default" w:ascii="Times New Roman" w:hAnsi="Times New Roman" w:eastAsia="宋体" w:cs="Times New Roman"/>
                <w:sz w:val="21"/>
                <w:szCs w:val="21"/>
                <w:highlight w:val="none"/>
              </w:rPr>
            </w:pPr>
          </w:p>
        </w:tc>
        <w:tc>
          <w:tcPr>
            <w:tcW w:w="828" w:type="dxa"/>
            <w:tcBorders>
              <w:top w:val="single" w:color="auto" w:sz="4" w:space="0"/>
              <w:left w:val="single" w:color="auto" w:sz="4" w:space="0"/>
              <w:bottom w:val="single" w:color="auto" w:sz="4" w:space="0"/>
              <w:right w:val="single" w:color="auto" w:sz="4" w:space="0"/>
            </w:tcBorders>
            <w:vAlign w:val="center"/>
          </w:tcPr>
          <w:p w14:paraId="0A4A7D7D">
            <w:pPr>
              <w:spacing w:before="60" w:after="60" w:line="240" w:lineRule="auto"/>
              <w:rPr>
                <w:rFonts w:hint="default" w:ascii="Times New Roman" w:hAnsi="Times New Roman" w:eastAsia="宋体" w:cs="Times New Roman"/>
                <w:sz w:val="21"/>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18692178">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67E9B538">
            <w:pPr>
              <w:spacing w:before="60" w:after="60" w:line="240" w:lineRule="auto"/>
              <w:rPr>
                <w:rFonts w:hint="default" w:ascii="Times New Roman" w:hAnsi="Times New Roman" w:eastAsia="宋体" w:cs="Times New Roman"/>
                <w:sz w:val="21"/>
                <w:szCs w:val="21"/>
                <w:highlight w:val="none"/>
              </w:rPr>
            </w:pPr>
          </w:p>
        </w:tc>
        <w:tc>
          <w:tcPr>
            <w:tcW w:w="754" w:type="dxa"/>
            <w:tcBorders>
              <w:top w:val="single" w:color="auto" w:sz="4" w:space="0"/>
              <w:left w:val="single" w:color="auto" w:sz="4" w:space="0"/>
              <w:bottom w:val="single" w:color="auto" w:sz="4" w:space="0"/>
              <w:right w:val="single" w:color="auto" w:sz="4" w:space="0"/>
            </w:tcBorders>
            <w:vAlign w:val="center"/>
          </w:tcPr>
          <w:p w14:paraId="70AD307E">
            <w:pPr>
              <w:spacing w:line="240" w:lineRule="auto"/>
              <w:rPr>
                <w:rFonts w:hint="default" w:ascii="Times New Roman" w:hAnsi="Times New Roman" w:eastAsia="宋体" w:cs="Times New Roman"/>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vAlign w:val="center"/>
          </w:tcPr>
          <w:p w14:paraId="264519F5">
            <w:pPr>
              <w:spacing w:line="240" w:lineRule="auto"/>
              <w:rPr>
                <w:rFonts w:hint="default" w:ascii="Times New Roman" w:hAnsi="Times New Roman" w:eastAsia="宋体" w:cs="Times New Roman"/>
                <w:sz w:val="21"/>
                <w:szCs w:val="21"/>
                <w:highlight w:val="none"/>
              </w:rPr>
            </w:pPr>
          </w:p>
        </w:tc>
      </w:tr>
      <w:tr w14:paraId="1E922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6" w:type="dxa"/>
            <w:tcBorders>
              <w:top w:val="single" w:color="auto" w:sz="4" w:space="0"/>
              <w:left w:val="single" w:color="auto" w:sz="4" w:space="0"/>
              <w:bottom w:val="single" w:color="auto" w:sz="4" w:space="0"/>
              <w:right w:val="single" w:color="auto" w:sz="4" w:space="0"/>
            </w:tcBorders>
            <w:vAlign w:val="center"/>
          </w:tcPr>
          <w:p w14:paraId="5BA90078">
            <w:pPr>
              <w:numPr>
                <w:ilvl w:val="0"/>
                <w:numId w:val="20"/>
              </w:numPr>
              <w:spacing w:before="60" w:after="60" w:line="240" w:lineRule="auto"/>
              <w:ind w:left="425" w:leftChars="0" w:hanging="425" w:firstLineChars="0"/>
              <w:jc w:val="center"/>
              <w:rPr>
                <w:rFonts w:hint="default" w:ascii="Times New Roman" w:hAnsi="Times New Roman" w:eastAsia="宋体" w:cs="Times New Roman"/>
                <w:sz w:val="21"/>
                <w:szCs w:val="21"/>
                <w:highlight w:val="none"/>
                <w:lang w:val="en-US" w:eastAsia="zh-CN"/>
              </w:rPr>
            </w:pPr>
          </w:p>
        </w:tc>
        <w:tc>
          <w:tcPr>
            <w:tcW w:w="4035" w:type="dxa"/>
            <w:tcBorders>
              <w:top w:val="single" w:color="auto" w:sz="4" w:space="0"/>
              <w:left w:val="single" w:color="auto" w:sz="4" w:space="0"/>
              <w:bottom w:val="single" w:color="auto" w:sz="4" w:space="0"/>
              <w:right w:val="single" w:color="auto" w:sz="4" w:space="0"/>
            </w:tcBorders>
            <w:vAlign w:val="center"/>
          </w:tcPr>
          <w:p w14:paraId="17FCB9FA">
            <w:pPr>
              <w:keepNext w:val="0"/>
              <w:keepLines w:val="0"/>
              <w:widowControl/>
              <w:suppressLineNumbers w:val="0"/>
              <w:spacing w:line="240" w:lineRule="auto"/>
              <w:jc w:val="left"/>
              <w:textAlignment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5.3.12.自动化热循环组件 4套</w:t>
            </w:r>
          </w:p>
        </w:tc>
        <w:tc>
          <w:tcPr>
            <w:tcW w:w="747" w:type="dxa"/>
            <w:tcBorders>
              <w:top w:val="single" w:color="auto" w:sz="4" w:space="0"/>
              <w:left w:val="single" w:color="auto" w:sz="4" w:space="0"/>
              <w:bottom w:val="single" w:color="auto" w:sz="4" w:space="0"/>
              <w:right w:val="single" w:color="auto" w:sz="4" w:space="0"/>
            </w:tcBorders>
            <w:vAlign w:val="center"/>
          </w:tcPr>
          <w:p w14:paraId="39693576">
            <w:pPr>
              <w:spacing w:before="60" w:after="60" w:line="240" w:lineRule="auto"/>
              <w:rPr>
                <w:rFonts w:hint="default" w:ascii="Times New Roman" w:hAnsi="Times New Roman" w:eastAsia="宋体" w:cs="Times New Roman"/>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4C8E5B64">
            <w:pPr>
              <w:spacing w:before="60" w:after="60" w:line="240" w:lineRule="auto"/>
              <w:rPr>
                <w:rFonts w:hint="default" w:ascii="Times New Roman" w:hAnsi="Times New Roman" w:eastAsia="宋体" w:cs="Times New Roman"/>
                <w:sz w:val="21"/>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57424B20">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1BC0676C">
            <w:pPr>
              <w:spacing w:before="60" w:after="60" w:line="240" w:lineRule="auto"/>
              <w:rPr>
                <w:rFonts w:hint="default" w:ascii="Times New Roman" w:hAnsi="Times New Roman" w:eastAsia="宋体" w:cs="Times New Roman"/>
                <w:sz w:val="21"/>
                <w:szCs w:val="21"/>
                <w:highlight w:val="none"/>
              </w:rPr>
            </w:pPr>
          </w:p>
        </w:tc>
        <w:tc>
          <w:tcPr>
            <w:tcW w:w="828" w:type="dxa"/>
            <w:tcBorders>
              <w:top w:val="single" w:color="auto" w:sz="4" w:space="0"/>
              <w:left w:val="single" w:color="auto" w:sz="4" w:space="0"/>
              <w:bottom w:val="single" w:color="auto" w:sz="4" w:space="0"/>
              <w:right w:val="single" w:color="auto" w:sz="4" w:space="0"/>
            </w:tcBorders>
            <w:vAlign w:val="center"/>
          </w:tcPr>
          <w:p w14:paraId="6D7E31C2">
            <w:pPr>
              <w:spacing w:before="60" w:after="60" w:line="240" w:lineRule="auto"/>
              <w:rPr>
                <w:rFonts w:hint="default" w:ascii="Times New Roman" w:hAnsi="Times New Roman" w:eastAsia="宋体" w:cs="Times New Roman"/>
                <w:sz w:val="21"/>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27EB7A41">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175ADE18">
            <w:pPr>
              <w:spacing w:before="60" w:after="60" w:line="240" w:lineRule="auto"/>
              <w:rPr>
                <w:rFonts w:hint="default" w:ascii="Times New Roman" w:hAnsi="Times New Roman" w:eastAsia="宋体" w:cs="Times New Roman"/>
                <w:sz w:val="21"/>
                <w:szCs w:val="21"/>
                <w:highlight w:val="none"/>
              </w:rPr>
            </w:pPr>
          </w:p>
        </w:tc>
        <w:tc>
          <w:tcPr>
            <w:tcW w:w="754" w:type="dxa"/>
            <w:tcBorders>
              <w:top w:val="single" w:color="auto" w:sz="4" w:space="0"/>
              <w:left w:val="single" w:color="auto" w:sz="4" w:space="0"/>
              <w:bottom w:val="single" w:color="auto" w:sz="4" w:space="0"/>
              <w:right w:val="single" w:color="auto" w:sz="4" w:space="0"/>
            </w:tcBorders>
            <w:vAlign w:val="center"/>
          </w:tcPr>
          <w:p w14:paraId="0FF29692">
            <w:pPr>
              <w:spacing w:line="240" w:lineRule="auto"/>
              <w:rPr>
                <w:rFonts w:hint="default" w:ascii="Times New Roman" w:hAnsi="Times New Roman" w:eastAsia="宋体" w:cs="Times New Roman"/>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vAlign w:val="center"/>
          </w:tcPr>
          <w:p w14:paraId="00E73073">
            <w:pPr>
              <w:spacing w:line="240" w:lineRule="auto"/>
              <w:rPr>
                <w:rFonts w:hint="default" w:ascii="Times New Roman" w:hAnsi="Times New Roman" w:eastAsia="宋体" w:cs="Times New Roman"/>
                <w:sz w:val="21"/>
                <w:szCs w:val="21"/>
                <w:highlight w:val="none"/>
              </w:rPr>
            </w:pPr>
          </w:p>
        </w:tc>
      </w:tr>
      <w:tr w14:paraId="7D536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816" w:type="dxa"/>
            <w:tcBorders>
              <w:top w:val="single" w:color="auto" w:sz="4" w:space="0"/>
              <w:left w:val="single" w:color="auto" w:sz="4" w:space="0"/>
              <w:bottom w:val="single" w:color="auto" w:sz="4" w:space="0"/>
              <w:right w:val="single" w:color="auto" w:sz="4" w:space="0"/>
            </w:tcBorders>
            <w:vAlign w:val="center"/>
          </w:tcPr>
          <w:p w14:paraId="25DD661E">
            <w:pPr>
              <w:numPr>
                <w:ilvl w:val="0"/>
                <w:numId w:val="20"/>
              </w:numPr>
              <w:spacing w:before="60" w:after="60" w:line="240" w:lineRule="auto"/>
              <w:ind w:left="425" w:leftChars="0" w:hanging="425" w:firstLineChars="0"/>
              <w:jc w:val="center"/>
              <w:rPr>
                <w:rFonts w:hint="default" w:ascii="Times New Roman" w:hAnsi="Times New Roman" w:eastAsia="宋体" w:cs="Times New Roman"/>
                <w:sz w:val="21"/>
                <w:szCs w:val="21"/>
                <w:highlight w:val="none"/>
                <w:lang w:val="en-US" w:eastAsia="zh-CN"/>
              </w:rPr>
            </w:pPr>
          </w:p>
        </w:tc>
        <w:tc>
          <w:tcPr>
            <w:tcW w:w="4035" w:type="dxa"/>
            <w:tcBorders>
              <w:top w:val="single" w:color="auto" w:sz="4" w:space="0"/>
              <w:left w:val="single" w:color="auto" w:sz="4" w:space="0"/>
              <w:bottom w:val="single" w:color="auto" w:sz="4" w:space="0"/>
              <w:right w:val="single" w:color="auto" w:sz="4" w:space="0"/>
            </w:tcBorders>
            <w:vAlign w:val="center"/>
          </w:tcPr>
          <w:p w14:paraId="5B986D2A">
            <w:pPr>
              <w:keepNext w:val="0"/>
              <w:keepLines w:val="0"/>
              <w:widowControl/>
              <w:suppressLineNumbers w:val="0"/>
              <w:spacing w:line="240" w:lineRule="auto"/>
              <w:jc w:val="left"/>
              <w:textAlignment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5.3.13.自动化HEPA组件 1套</w:t>
            </w:r>
          </w:p>
        </w:tc>
        <w:tc>
          <w:tcPr>
            <w:tcW w:w="747" w:type="dxa"/>
            <w:tcBorders>
              <w:top w:val="single" w:color="auto" w:sz="4" w:space="0"/>
              <w:left w:val="single" w:color="auto" w:sz="4" w:space="0"/>
              <w:bottom w:val="single" w:color="auto" w:sz="4" w:space="0"/>
              <w:right w:val="single" w:color="auto" w:sz="4" w:space="0"/>
            </w:tcBorders>
            <w:vAlign w:val="center"/>
          </w:tcPr>
          <w:p w14:paraId="393A563A">
            <w:pPr>
              <w:spacing w:before="60" w:after="60" w:line="240" w:lineRule="auto"/>
              <w:rPr>
                <w:rFonts w:hint="default" w:ascii="Times New Roman" w:hAnsi="Times New Roman" w:eastAsia="宋体" w:cs="Times New Roman"/>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6697FE16">
            <w:pPr>
              <w:spacing w:before="60" w:after="60" w:line="240" w:lineRule="auto"/>
              <w:rPr>
                <w:rFonts w:hint="default" w:ascii="Times New Roman" w:hAnsi="Times New Roman" w:eastAsia="宋体" w:cs="Times New Roman"/>
                <w:sz w:val="21"/>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1444E7DC">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4DE0A382">
            <w:pPr>
              <w:spacing w:before="60" w:after="60" w:line="240" w:lineRule="auto"/>
              <w:rPr>
                <w:rFonts w:hint="default" w:ascii="Times New Roman" w:hAnsi="Times New Roman" w:eastAsia="宋体" w:cs="Times New Roman"/>
                <w:sz w:val="21"/>
                <w:szCs w:val="21"/>
                <w:highlight w:val="none"/>
              </w:rPr>
            </w:pPr>
          </w:p>
        </w:tc>
        <w:tc>
          <w:tcPr>
            <w:tcW w:w="828" w:type="dxa"/>
            <w:tcBorders>
              <w:top w:val="single" w:color="auto" w:sz="4" w:space="0"/>
              <w:left w:val="single" w:color="auto" w:sz="4" w:space="0"/>
              <w:bottom w:val="single" w:color="auto" w:sz="4" w:space="0"/>
              <w:right w:val="single" w:color="auto" w:sz="4" w:space="0"/>
            </w:tcBorders>
            <w:vAlign w:val="center"/>
          </w:tcPr>
          <w:p w14:paraId="5BA0A7D7">
            <w:pPr>
              <w:spacing w:before="60" w:after="60" w:line="240" w:lineRule="auto"/>
              <w:rPr>
                <w:rFonts w:hint="default" w:ascii="Times New Roman" w:hAnsi="Times New Roman" w:eastAsia="宋体" w:cs="Times New Roman"/>
                <w:sz w:val="21"/>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2FE74DD8">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3605F492">
            <w:pPr>
              <w:spacing w:before="60" w:after="60" w:line="240" w:lineRule="auto"/>
              <w:rPr>
                <w:rFonts w:hint="default" w:ascii="Times New Roman" w:hAnsi="Times New Roman" w:eastAsia="宋体" w:cs="Times New Roman"/>
                <w:sz w:val="21"/>
                <w:szCs w:val="21"/>
                <w:highlight w:val="none"/>
              </w:rPr>
            </w:pPr>
          </w:p>
        </w:tc>
        <w:tc>
          <w:tcPr>
            <w:tcW w:w="754" w:type="dxa"/>
            <w:tcBorders>
              <w:top w:val="single" w:color="auto" w:sz="4" w:space="0"/>
              <w:left w:val="single" w:color="auto" w:sz="4" w:space="0"/>
              <w:bottom w:val="single" w:color="auto" w:sz="4" w:space="0"/>
              <w:right w:val="single" w:color="auto" w:sz="4" w:space="0"/>
            </w:tcBorders>
            <w:vAlign w:val="center"/>
          </w:tcPr>
          <w:p w14:paraId="744D56F2">
            <w:pPr>
              <w:spacing w:line="240" w:lineRule="auto"/>
              <w:rPr>
                <w:rFonts w:hint="default" w:ascii="Times New Roman" w:hAnsi="Times New Roman" w:eastAsia="宋体" w:cs="Times New Roman"/>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vAlign w:val="center"/>
          </w:tcPr>
          <w:p w14:paraId="4E60AE29">
            <w:pPr>
              <w:spacing w:line="240" w:lineRule="auto"/>
              <w:rPr>
                <w:rFonts w:hint="default" w:ascii="Times New Roman" w:hAnsi="Times New Roman" w:eastAsia="宋体" w:cs="Times New Roman"/>
                <w:sz w:val="21"/>
                <w:szCs w:val="21"/>
                <w:highlight w:val="none"/>
              </w:rPr>
            </w:pPr>
          </w:p>
        </w:tc>
      </w:tr>
      <w:tr w14:paraId="31B02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6" w:type="dxa"/>
            <w:tcBorders>
              <w:top w:val="single" w:color="auto" w:sz="4" w:space="0"/>
              <w:left w:val="single" w:color="auto" w:sz="4" w:space="0"/>
              <w:bottom w:val="single" w:color="auto" w:sz="4" w:space="0"/>
              <w:right w:val="single" w:color="auto" w:sz="4" w:space="0"/>
            </w:tcBorders>
            <w:vAlign w:val="center"/>
          </w:tcPr>
          <w:p w14:paraId="56C9BD5D">
            <w:pPr>
              <w:numPr>
                <w:ilvl w:val="0"/>
                <w:numId w:val="20"/>
              </w:numPr>
              <w:spacing w:before="60" w:after="60" w:line="240" w:lineRule="auto"/>
              <w:ind w:left="425" w:leftChars="0" w:hanging="425" w:firstLineChars="0"/>
              <w:jc w:val="center"/>
              <w:rPr>
                <w:rFonts w:hint="default" w:ascii="Times New Roman" w:hAnsi="Times New Roman" w:eastAsia="宋体" w:cs="Times New Roman"/>
                <w:sz w:val="21"/>
                <w:szCs w:val="21"/>
                <w:highlight w:val="none"/>
                <w:lang w:val="en-US" w:eastAsia="zh-CN"/>
              </w:rPr>
            </w:pPr>
          </w:p>
        </w:tc>
        <w:tc>
          <w:tcPr>
            <w:tcW w:w="4035" w:type="dxa"/>
            <w:tcBorders>
              <w:top w:val="single" w:color="auto" w:sz="4" w:space="0"/>
              <w:left w:val="single" w:color="auto" w:sz="4" w:space="0"/>
              <w:bottom w:val="single" w:color="auto" w:sz="4" w:space="0"/>
              <w:right w:val="single" w:color="auto" w:sz="4" w:space="0"/>
            </w:tcBorders>
            <w:vAlign w:val="center"/>
          </w:tcPr>
          <w:p w14:paraId="0928B891">
            <w:pPr>
              <w:keepNext w:val="0"/>
              <w:keepLines w:val="0"/>
              <w:widowControl/>
              <w:suppressLineNumbers w:val="0"/>
              <w:spacing w:line="240" w:lineRule="auto"/>
              <w:jc w:val="left"/>
              <w:textAlignment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5.3.14.自动化化工作台及电控组件 1套</w:t>
            </w:r>
          </w:p>
        </w:tc>
        <w:tc>
          <w:tcPr>
            <w:tcW w:w="747" w:type="dxa"/>
            <w:tcBorders>
              <w:top w:val="single" w:color="auto" w:sz="4" w:space="0"/>
              <w:left w:val="single" w:color="auto" w:sz="4" w:space="0"/>
              <w:bottom w:val="single" w:color="auto" w:sz="4" w:space="0"/>
              <w:right w:val="single" w:color="auto" w:sz="4" w:space="0"/>
            </w:tcBorders>
            <w:vAlign w:val="center"/>
          </w:tcPr>
          <w:p w14:paraId="256290B4">
            <w:pPr>
              <w:spacing w:before="60" w:after="60" w:line="240" w:lineRule="auto"/>
              <w:rPr>
                <w:rFonts w:hint="default" w:ascii="Times New Roman" w:hAnsi="Times New Roman" w:eastAsia="宋体" w:cs="Times New Roman"/>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24504888">
            <w:pPr>
              <w:spacing w:before="60" w:after="60" w:line="240" w:lineRule="auto"/>
              <w:rPr>
                <w:rFonts w:hint="default" w:ascii="Times New Roman" w:hAnsi="Times New Roman" w:eastAsia="宋体" w:cs="Times New Roman"/>
                <w:sz w:val="21"/>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391D1F7D">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3F95CC48">
            <w:pPr>
              <w:spacing w:before="60" w:after="60" w:line="240" w:lineRule="auto"/>
              <w:rPr>
                <w:rFonts w:hint="default" w:ascii="Times New Roman" w:hAnsi="Times New Roman" w:eastAsia="宋体" w:cs="Times New Roman"/>
                <w:sz w:val="21"/>
                <w:szCs w:val="21"/>
                <w:highlight w:val="none"/>
              </w:rPr>
            </w:pPr>
          </w:p>
        </w:tc>
        <w:tc>
          <w:tcPr>
            <w:tcW w:w="828" w:type="dxa"/>
            <w:tcBorders>
              <w:top w:val="single" w:color="auto" w:sz="4" w:space="0"/>
              <w:left w:val="single" w:color="auto" w:sz="4" w:space="0"/>
              <w:bottom w:val="single" w:color="auto" w:sz="4" w:space="0"/>
              <w:right w:val="single" w:color="auto" w:sz="4" w:space="0"/>
            </w:tcBorders>
            <w:vAlign w:val="center"/>
          </w:tcPr>
          <w:p w14:paraId="274A6F47">
            <w:pPr>
              <w:spacing w:before="60" w:after="60" w:line="240" w:lineRule="auto"/>
              <w:rPr>
                <w:rFonts w:hint="default" w:ascii="Times New Roman" w:hAnsi="Times New Roman" w:eastAsia="宋体" w:cs="Times New Roman"/>
                <w:sz w:val="21"/>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4936B925">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0B18D885">
            <w:pPr>
              <w:spacing w:before="60" w:after="60" w:line="240" w:lineRule="auto"/>
              <w:rPr>
                <w:rFonts w:hint="default" w:ascii="Times New Roman" w:hAnsi="Times New Roman" w:eastAsia="宋体" w:cs="Times New Roman"/>
                <w:sz w:val="21"/>
                <w:szCs w:val="21"/>
                <w:highlight w:val="none"/>
              </w:rPr>
            </w:pPr>
          </w:p>
        </w:tc>
        <w:tc>
          <w:tcPr>
            <w:tcW w:w="754" w:type="dxa"/>
            <w:tcBorders>
              <w:top w:val="single" w:color="auto" w:sz="4" w:space="0"/>
              <w:left w:val="single" w:color="auto" w:sz="4" w:space="0"/>
              <w:bottom w:val="single" w:color="auto" w:sz="4" w:space="0"/>
              <w:right w:val="single" w:color="auto" w:sz="4" w:space="0"/>
            </w:tcBorders>
            <w:vAlign w:val="center"/>
          </w:tcPr>
          <w:p w14:paraId="64DB7D4D">
            <w:pPr>
              <w:spacing w:line="240" w:lineRule="auto"/>
              <w:rPr>
                <w:rFonts w:hint="default" w:ascii="Times New Roman" w:hAnsi="Times New Roman" w:eastAsia="宋体" w:cs="Times New Roman"/>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vAlign w:val="center"/>
          </w:tcPr>
          <w:p w14:paraId="63EF272E">
            <w:pPr>
              <w:spacing w:line="240" w:lineRule="auto"/>
              <w:rPr>
                <w:rFonts w:hint="default" w:ascii="Times New Roman" w:hAnsi="Times New Roman" w:eastAsia="宋体" w:cs="Times New Roman"/>
                <w:sz w:val="21"/>
                <w:szCs w:val="21"/>
                <w:highlight w:val="none"/>
              </w:rPr>
            </w:pPr>
          </w:p>
        </w:tc>
      </w:tr>
      <w:tr w14:paraId="48FD8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816" w:type="dxa"/>
            <w:tcBorders>
              <w:top w:val="single" w:color="auto" w:sz="4" w:space="0"/>
              <w:left w:val="single" w:color="auto" w:sz="4" w:space="0"/>
              <w:bottom w:val="single" w:color="auto" w:sz="4" w:space="0"/>
              <w:right w:val="single" w:color="auto" w:sz="4" w:space="0"/>
            </w:tcBorders>
            <w:vAlign w:val="center"/>
          </w:tcPr>
          <w:p w14:paraId="48725C76">
            <w:pPr>
              <w:numPr>
                <w:ilvl w:val="0"/>
                <w:numId w:val="20"/>
              </w:numPr>
              <w:spacing w:before="60" w:after="60" w:line="240" w:lineRule="auto"/>
              <w:ind w:left="425" w:leftChars="0" w:hanging="425" w:firstLineChars="0"/>
              <w:jc w:val="center"/>
              <w:rPr>
                <w:rFonts w:hint="default" w:ascii="Times New Roman" w:hAnsi="Times New Roman" w:eastAsia="宋体" w:cs="Times New Roman"/>
                <w:sz w:val="21"/>
                <w:szCs w:val="21"/>
                <w:highlight w:val="none"/>
                <w:lang w:val="en-US" w:eastAsia="zh-CN"/>
              </w:rPr>
            </w:pPr>
          </w:p>
        </w:tc>
        <w:tc>
          <w:tcPr>
            <w:tcW w:w="4035" w:type="dxa"/>
            <w:tcBorders>
              <w:top w:val="single" w:color="auto" w:sz="4" w:space="0"/>
              <w:left w:val="single" w:color="auto" w:sz="4" w:space="0"/>
              <w:bottom w:val="single" w:color="auto" w:sz="4" w:space="0"/>
              <w:right w:val="single" w:color="auto" w:sz="4" w:space="0"/>
            </w:tcBorders>
            <w:vAlign w:val="center"/>
          </w:tcPr>
          <w:p w14:paraId="6CF66CF6">
            <w:pPr>
              <w:keepNext w:val="0"/>
              <w:keepLines w:val="0"/>
              <w:widowControl/>
              <w:suppressLineNumbers w:val="0"/>
              <w:spacing w:line="240" w:lineRule="auto"/>
              <w:jc w:val="left"/>
              <w:textAlignment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5.3.15.中央控制软件 1套</w:t>
            </w:r>
          </w:p>
        </w:tc>
        <w:tc>
          <w:tcPr>
            <w:tcW w:w="747" w:type="dxa"/>
            <w:tcBorders>
              <w:top w:val="single" w:color="auto" w:sz="4" w:space="0"/>
              <w:left w:val="single" w:color="auto" w:sz="4" w:space="0"/>
              <w:bottom w:val="single" w:color="auto" w:sz="4" w:space="0"/>
              <w:right w:val="single" w:color="auto" w:sz="4" w:space="0"/>
            </w:tcBorders>
            <w:vAlign w:val="center"/>
          </w:tcPr>
          <w:p w14:paraId="501E0F1B">
            <w:pPr>
              <w:spacing w:before="60" w:after="60" w:line="240" w:lineRule="auto"/>
              <w:rPr>
                <w:rFonts w:hint="default" w:ascii="Times New Roman" w:hAnsi="Times New Roman" w:eastAsia="宋体" w:cs="Times New Roman"/>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6DADD4FE">
            <w:pPr>
              <w:spacing w:before="60" w:after="60" w:line="240" w:lineRule="auto"/>
              <w:rPr>
                <w:rFonts w:hint="default" w:ascii="Times New Roman" w:hAnsi="Times New Roman" w:eastAsia="宋体" w:cs="Times New Roman"/>
                <w:sz w:val="21"/>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197EE622">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3E995CD3">
            <w:pPr>
              <w:spacing w:before="60" w:after="60" w:line="240" w:lineRule="auto"/>
              <w:rPr>
                <w:rFonts w:hint="default" w:ascii="Times New Roman" w:hAnsi="Times New Roman" w:eastAsia="宋体" w:cs="Times New Roman"/>
                <w:sz w:val="21"/>
                <w:szCs w:val="21"/>
                <w:highlight w:val="none"/>
              </w:rPr>
            </w:pPr>
          </w:p>
        </w:tc>
        <w:tc>
          <w:tcPr>
            <w:tcW w:w="828" w:type="dxa"/>
            <w:tcBorders>
              <w:top w:val="single" w:color="auto" w:sz="4" w:space="0"/>
              <w:left w:val="single" w:color="auto" w:sz="4" w:space="0"/>
              <w:bottom w:val="single" w:color="auto" w:sz="4" w:space="0"/>
              <w:right w:val="single" w:color="auto" w:sz="4" w:space="0"/>
            </w:tcBorders>
            <w:vAlign w:val="center"/>
          </w:tcPr>
          <w:p w14:paraId="280FDBA4">
            <w:pPr>
              <w:spacing w:before="60" w:after="60" w:line="240" w:lineRule="auto"/>
              <w:rPr>
                <w:rFonts w:hint="default" w:ascii="Times New Roman" w:hAnsi="Times New Roman" w:eastAsia="宋体" w:cs="Times New Roman"/>
                <w:sz w:val="21"/>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288F58B7">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7C01E1F5">
            <w:pPr>
              <w:spacing w:before="60" w:after="60" w:line="240" w:lineRule="auto"/>
              <w:rPr>
                <w:rFonts w:hint="default" w:ascii="Times New Roman" w:hAnsi="Times New Roman" w:eastAsia="宋体" w:cs="Times New Roman"/>
                <w:sz w:val="21"/>
                <w:szCs w:val="21"/>
                <w:highlight w:val="none"/>
              </w:rPr>
            </w:pPr>
          </w:p>
        </w:tc>
        <w:tc>
          <w:tcPr>
            <w:tcW w:w="754" w:type="dxa"/>
            <w:tcBorders>
              <w:top w:val="single" w:color="auto" w:sz="4" w:space="0"/>
              <w:left w:val="single" w:color="auto" w:sz="4" w:space="0"/>
              <w:bottom w:val="single" w:color="auto" w:sz="4" w:space="0"/>
              <w:right w:val="single" w:color="auto" w:sz="4" w:space="0"/>
            </w:tcBorders>
            <w:vAlign w:val="center"/>
          </w:tcPr>
          <w:p w14:paraId="57127651">
            <w:pPr>
              <w:spacing w:line="240" w:lineRule="auto"/>
              <w:rPr>
                <w:rFonts w:hint="default" w:ascii="Times New Roman" w:hAnsi="Times New Roman" w:eastAsia="宋体" w:cs="Times New Roman"/>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vAlign w:val="center"/>
          </w:tcPr>
          <w:p w14:paraId="77BD58E5">
            <w:pPr>
              <w:spacing w:line="240" w:lineRule="auto"/>
              <w:rPr>
                <w:rFonts w:hint="default" w:ascii="Times New Roman" w:hAnsi="Times New Roman" w:eastAsia="宋体" w:cs="Times New Roman"/>
                <w:sz w:val="21"/>
                <w:szCs w:val="21"/>
                <w:highlight w:val="none"/>
              </w:rPr>
            </w:pPr>
          </w:p>
        </w:tc>
      </w:tr>
      <w:tr w14:paraId="6E15C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816" w:type="dxa"/>
            <w:tcBorders>
              <w:top w:val="single" w:color="auto" w:sz="4" w:space="0"/>
              <w:left w:val="single" w:color="auto" w:sz="4" w:space="0"/>
              <w:bottom w:val="single" w:color="auto" w:sz="4" w:space="0"/>
              <w:right w:val="single" w:color="auto" w:sz="4" w:space="0"/>
            </w:tcBorders>
            <w:vAlign w:val="center"/>
          </w:tcPr>
          <w:p w14:paraId="58A0309E">
            <w:pPr>
              <w:numPr>
                <w:ilvl w:val="0"/>
                <w:numId w:val="20"/>
              </w:numPr>
              <w:spacing w:before="60" w:after="60" w:line="240" w:lineRule="auto"/>
              <w:ind w:left="425" w:leftChars="0" w:hanging="425" w:firstLineChars="0"/>
              <w:jc w:val="center"/>
              <w:rPr>
                <w:rFonts w:hint="default" w:ascii="Times New Roman" w:hAnsi="Times New Roman" w:eastAsia="宋体" w:cs="Times New Roman"/>
                <w:sz w:val="21"/>
                <w:szCs w:val="21"/>
                <w:highlight w:val="none"/>
                <w:lang w:val="en-US" w:eastAsia="zh-CN"/>
              </w:rPr>
            </w:pPr>
          </w:p>
        </w:tc>
        <w:tc>
          <w:tcPr>
            <w:tcW w:w="4035" w:type="dxa"/>
            <w:tcBorders>
              <w:top w:val="single" w:color="auto" w:sz="4" w:space="0"/>
              <w:left w:val="single" w:color="auto" w:sz="4" w:space="0"/>
              <w:bottom w:val="single" w:color="auto" w:sz="4" w:space="0"/>
              <w:right w:val="single" w:color="auto" w:sz="4" w:space="0"/>
            </w:tcBorders>
            <w:vAlign w:val="center"/>
          </w:tcPr>
          <w:p w14:paraId="52EA6DD3">
            <w:pPr>
              <w:keepNext w:val="0"/>
              <w:keepLines w:val="0"/>
              <w:widowControl/>
              <w:suppressLineNumbers w:val="0"/>
              <w:spacing w:line="240" w:lineRule="auto"/>
              <w:jc w:val="lef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5.3.16.智能数据管理分析平台 1套</w:t>
            </w:r>
          </w:p>
        </w:tc>
        <w:tc>
          <w:tcPr>
            <w:tcW w:w="747" w:type="dxa"/>
            <w:tcBorders>
              <w:top w:val="single" w:color="auto" w:sz="4" w:space="0"/>
              <w:left w:val="single" w:color="auto" w:sz="4" w:space="0"/>
              <w:bottom w:val="single" w:color="auto" w:sz="4" w:space="0"/>
              <w:right w:val="single" w:color="auto" w:sz="4" w:space="0"/>
            </w:tcBorders>
            <w:vAlign w:val="center"/>
          </w:tcPr>
          <w:p w14:paraId="6A74F37E">
            <w:pPr>
              <w:spacing w:before="60" w:after="60" w:line="240" w:lineRule="auto"/>
              <w:rPr>
                <w:rFonts w:hint="default" w:ascii="Times New Roman" w:hAnsi="Times New Roman" w:eastAsia="宋体" w:cs="Times New Roman"/>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19A52D6A">
            <w:pPr>
              <w:spacing w:before="60" w:after="60" w:line="240" w:lineRule="auto"/>
              <w:rPr>
                <w:rFonts w:hint="default" w:ascii="Times New Roman" w:hAnsi="Times New Roman" w:eastAsia="宋体" w:cs="Times New Roman"/>
                <w:sz w:val="21"/>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16157853">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3074C6C3">
            <w:pPr>
              <w:spacing w:before="60" w:after="60" w:line="240" w:lineRule="auto"/>
              <w:rPr>
                <w:rFonts w:hint="default" w:ascii="Times New Roman" w:hAnsi="Times New Roman" w:eastAsia="宋体" w:cs="Times New Roman"/>
                <w:sz w:val="21"/>
                <w:szCs w:val="21"/>
                <w:highlight w:val="none"/>
              </w:rPr>
            </w:pPr>
          </w:p>
        </w:tc>
        <w:tc>
          <w:tcPr>
            <w:tcW w:w="828" w:type="dxa"/>
            <w:tcBorders>
              <w:top w:val="single" w:color="auto" w:sz="4" w:space="0"/>
              <w:left w:val="single" w:color="auto" w:sz="4" w:space="0"/>
              <w:bottom w:val="single" w:color="auto" w:sz="4" w:space="0"/>
              <w:right w:val="single" w:color="auto" w:sz="4" w:space="0"/>
            </w:tcBorders>
            <w:vAlign w:val="center"/>
          </w:tcPr>
          <w:p w14:paraId="75A40054">
            <w:pPr>
              <w:spacing w:before="60" w:after="60" w:line="240" w:lineRule="auto"/>
              <w:rPr>
                <w:rFonts w:hint="default" w:ascii="Times New Roman" w:hAnsi="Times New Roman" w:eastAsia="宋体" w:cs="Times New Roman"/>
                <w:sz w:val="21"/>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72C050D7">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7876E217">
            <w:pPr>
              <w:spacing w:before="60" w:after="60" w:line="240" w:lineRule="auto"/>
              <w:rPr>
                <w:rFonts w:hint="default" w:ascii="Times New Roman" w:hAnsi="Times New Roman" w:eastAsia="宋体" w:cs="Times New Roman"/>
                <w:sz w:val="21"/>
                <w:szCs w:val="21"/>
                <w:highlight w:val="none"/>
              </w:rPr>
            </w:pPr>
          </w:p>
        </w:tc>
        <w:tc>
          <w:tcPr>
            <w:tcW w:w="754" w:type="dxa"/>
            <w:tcBorders>
              <w:top w:val="single" w:color="auto" w:sz="4" w:space="0"/>
              <w:left w:val="single" w:color="auto" w:sz="4" w:space="0"/>
              <w:bottom w:val="single" w:color="auto" w:sz="4" w:space="0"/>
              <w:right w:val="single" w:color="auto" w:sz="4" w:space="0"/>
            </w:tcBorders>
            <w:vAlign w:val="center"/>
          </w:tcPr>
          <w:p w14:paraId="72EA3B33">
            <w:pPr>
              <w:spacing w:line="240" w:lineRule="auto"/>
              <w:rPr>
                <w:rFonts w:hint="default" w:ascii="Times New Roman" w:hAnsi="Times New Roman" w:eastAsia="宋体" w:cs="Times New Roman"/>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vAlign w:val="center"/>
          </w:tcPr>
          <w:p w14:paraId="6DDF7503">
            <w:pPr>
              <w:spacing w:line="240" w:lineRule="auto"/>
              <w:rPr>
                <w:rFonts w:hint="default" w:ascii="Times New Roman" w:hAnsi="Times New Roman" w:eastAsia="宋体" w:cs="Times New Roman"/>
                <w:sz w:val="21"/>
                <w:szCs w:val="21"/>
                <w:highlight w:val="none"/>
              </w:rPr>
            </w:pPr>
          </w:p>
        </w:tc>
      </w:tr>
      <w:tr w14:paraId="4307D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16" w:type="dxa"/>
            <w:tcBorders>
              <w:top w:val="single" w:color="auto" w:sz="4" w:space="0"/>
              <w:left w:val="single" w:color="auto" w:sz="4" w:space="0"/>
              <w:bottom w:val="single" w:color="auto" w:sz="4" w:space="0"/>
              <w:right w:val="single" w:color="auto" w:sz="4" w:space="0"/>
            </w:tcBorders>
            <w:vAlign w:val="center"/>
          </w:tcPr>
          <w:p w14:paraId="790DF161">
            <w:pPr>
              <w:numPr>
                <w:ilvl w:val="0"/>
                <w:numId w:val="20"/>
              </w:numPr>
              <w:spacing w:before="60" w:after="60" w:line="240" w:lineRule="auto"/>
              <w:ind w:left="425" w:leftChars="0" w:hanging="425" w:firstLineChars="0"/>
              <w:jc w:val="center"/>
              <w:rPr>
                <w:rFonts w:hint="default" w:ascii="Times New Roman" w:hAnsi="Times New Roman" w:eastAsia="宋体" w:cs="Times New Roman"/>
                <w:sz w:val="21"/>
                <w:szCs w:val="21"/>
                <w:highlight w:val="none"/>
                <w:lang w:val="en-US" w:eastAsia="zh-CN"/>
              </w:rPr>
            </w:pPr>
          </w:p>
        </w:tc>
        <w:tc>
          <w:tcPr>
            <w:tcW w:w="4035" w:type="dxa"/>
            <w:tcBorders>
              <w:top w:val="single" w:color="auto" w:sz="4" w:space="0"/>
              <w:left w:val="single" w:color="auto" w:sz="4" w:space="0"/>
              <w:bottom w:val="single" w:color="auto" w:sz="4" w:space="0"/>
              <w:right w:val="single" w:color="auto" w:sz="4" w:space="0"/>
            </w:tcBorders>
            <w:vAlign w:val="center"/>
          </w:tcPr>
          <w:p w14:paraId="6D2A2465">
            <w:pPr>
              <w:keepNext w:val="0"/>
              <w:keepLines w:val="0"/>
              <w:widowControl/>
              <w:suppressLineNumbers w:val="0"/>
              <w:spacing w:line="240" w:lineRule="auto"/>
              <w:jc w:val="left"/>
              <w:textAlignment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5.4.智能交付系统 1套</w:t>
            </w:r>
          </w:p>
        </w:tc>
        <w:tc>
          <w:tcPr>
            <w:tcW w:w="747" w:type="dxa"/>
            <w:tcBorders>
              <w:top w:val="single" w:color="auto" w:sz="4" w:space="0"/>
              <w:left w:val="single" w:color="auto" w:sz="4" w:space="0"/>
              <w:bottom w:val="single" w:color="auto" w:sz="4" w:space="0"/>
              <w:right w:val="single" w:color="auto" w:sz="4" w:space="0"/>
            </w:tcBorders>
            <w:vAlign w:val="center"/>
          </w:tcPr>
          <w:p w14:paraId="4AC75728">
            <w:pPr>
              <w:spacing w:before="60" w:after="60" w:line="240" w:lineRule="auto"/>
              <w:rPr>
                <w:rFonts w:hint="default" w:ascii="Times New Roman" w:hAnsi="Times New Roman" w:eastAsia="宋体" w:cs="Times New Roman"/>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41F50A83">
            <w:pPr>
              <w:spacing w:before="60" w:after="60" w:line="240" w:lineRule="auto"/>
              <w:rPr>
                <w:rFonts w:hint="default" w:ascii="Times New Roman" w:hAnsi="Times New Roman" w:eastAsia="宋体" w:cs="Times New Roman"/>
                <w:sz w:val="21"/>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74213DC2">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0CAE6B9C">
            <w:pPr>
              <w:spacing w:before="60" w:after="60" w:line="240" w:lineRule="auto"/>
              <w:rPr>
                <w:rFonts w:hint="default" w:ascii="Times New Roman" w:hAnsi="Times New Roman" w:eastAsia="宋体" w:cs="Times New Roman"/>
                <w:sz w:val="21"/>
                <w:szCs w:val="21"/>
                <w:highlight w:val="none"/>
              </w:rPr>
            </w:pPr>
          </w:p>
        </w:tc>
        <w:tc>
          <w:tcPr>
            <w:tcW w:w="828" w:type="dxa"/>
            <w:tcBorders>
              <w:top w:val="single" w:color="auto" w:sz="4" w:space="0"/>
              <w:left w:val="single" w:color="auto" w:sz="4" w:space="0"/>
              <w:bottom w:val="single" w:color="auto" w:sz="4" w:space="0"/>
              <w:right w:val="single" w:color="auto" w:sz="4" w:space="0"/>
            </w:tcBorders>
            <w:vAlign w:val="center"/>
          </w:tcPr>
          <w:p w14:paraId="2B44D1FB">
            <w:pPr>
              <w:spacing w:before="60" w:after="60" w:line="240" w:lineRule="auto"/>
              <w:rPr>
                <w:rFonts w:hint="default" w:ascii="Times New Roman" w:hAnsi="Times New Roman" w:eastAsia="宋体" w:cs="Times New Roman"/>
                <w:sz w:val="21"/>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20DED8D6">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615A0AC2">
            <w:pPr>
              <w:spacing w:before="60" w:after="60" w:line="240" w:lineRule="auto"/>
              <w:rPr>
                <w:rFonts w:hint="default" w:ascii="Times New Roman" w:hAnsi="Times New Roman" w:eastAsia="宋体" w:cs="Times New Roman"/>
                <w:sz w:val="21"/>
                <w:szCs w:val="21"/>
                <w:highlight w:val="none"/>
              </w:rPr>
            </w:pPr>
          </w:p>
        </w:tc>
        <w:tc>
          <w:tcPr>
            <w:tcW w:w="754" w:type="dxa"/>
            <w:tcBorders>
              <w:top w:val="single" w:color="auto" w:sz="4" w:space="0"/>
              <w:left w:val="single" w:color="auto" w:sz="4" w:space="0"/>
              <w:bottom w:val="single" w:color="auto" w:sz="4" w:space="0"/>
              <w:right w:val="single" w:color="auto" w:sz="4" w:space="0"/>
            </w:tcBorders>
            <w:vAlign w:val="center"/>
          </w:tcPr>
          <w:p w14:paraId="160282ED">
            <w:pPr>
              <w:spacing w:line="240" w:lineRule="auto"/>
              <w:rPr>
                <w:rFonts w:hint="default" w:ascii="Times New Roman" w:hAnsi="Times New Roman" w:eastAsia="宋体" w:cs="Times New Roman"/>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vAlign w:val="center"/>
          </w:tcPr>
          <w:p w14:paraId="45E6B5F8">
            <w:pPr>
              <w:spacing w:line="240" w:lineRule="auto"/>
              <w:rPr>
                <w:rFonts w:hint="default" w:ascii="Times New Roman" w:hAnsi="Times New Roman" w:eastAsia="宋体" w:cs="Times New Roman"/>
                <w:sz w:val="21"/>
                <w:szCs w:val="21"/>
                <w:highlight w:val="none"/>
              </w:rPr>
            </w:pPr>
          </w:p>
        </w:tc>
      </w:tr>
      <w:tr w14:paraId="3DF65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16" w:type="dxa"/>
            <w:tcBorders>
              <w:top w:val="single" w:color="auto" w:sz="4" w:space="0"/>
              <w:left w:val="single" w:color="auto" w:sz="4" w:space="0"/>
              <w:bottom w:val="single" w:color="auto" w:sz="4" w:space="0"/>
              <w:right w:val="single" w:color="auto" w:sz="4" w:space="0"/>
            </w:tcBorders>
            <w:vAlign w:val="center"/>
          </w:tcPr>
          <w:p w14:paraId="7C1DC0CA">
            <w:pPr>
              <w:numPr>
                <w:ilvl w:val="0"/>
                <w:numId w:val="20"/>
              </w:numPr>
              <w:spacing w:before="60" w:after="60" w:line="240" w:lineRule="auto"/>
              <w:ind w:left="425" w:leftChars="0" w:hanging="425" w:firstLineChars="0"/>
              <w:jc w:val="center"/>
              <w:rPr>
                <w:rFonts w:hint="default" w:ascii="Times New Roman" w:hAnsi="Times New Roman" w:eastAsia="宋体" w:cs="Times New Roman"/>
                <w:sz w:val="21"/>
                <w:szCs w:val="21"/>
                <w:highlight w:val="none"/>
                <w:lang w:val="en-US" w:eastAsia="zh-CN"/>
              </w:rPr>
            </w:pPr>
          </w:p>
        </w:tc>
        <w:tc>
          <w:tcPr>
            <w:tcW w:w="4035" w:type="dxa"/>
            <w:tcBorders>
              <w:top w:val="single" w:color="auto" w:sz="4" w:space="0"/>
              <w:left w:val="single" w:color="auto" w:sz="4" w:space="0"/>
              <w:bottom w:val="single" w:color="auto" w:sz="4" w:space="0"/>
              <w:right w:val="single" w:color="auto" w:sz="4" w:space="0"/>
            </w:tcBorders>
            <w:vAlign w:val="center"/>
          </w:tcPr>
          <w:p w14:paraId="418F2BD8">
            <w:pPr>
              <w:keepNext w:val="0"/>
              <w:keepLines w:val="0"/>
              <w:widowControl/>
              <w:suppressLineNumbers w:val="0"/>
              <w:spacing w:line="240" w:lineRule="auto"/>
              <w:jc w:val="lef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5.5配套的试剂耗材1套</w:t>
            </w:r>
          </w:p>
        </w:tc>
        <w:tc>
          <w:tcPr>
            <w:tcW w:w="747" w:type="dxa"/>
            <w:tcBorders>
              <w:top w:val="single" w:color="auto" w:sz="4" w:space="0"/>
              <w:left w:val="single" w:color="auto" w:sz="4" w:space="0"/>
              <w:bottom w:val="single" w:color="auto" w:sz="4" w:space="0"/>
              <w:right w:val="single" w:color="auto" w:sz="4" w:space="0"/>
            </w:tcBorders>
            <w:vAlign w:val="center"/>
          </w:tcPr>
          <w:p w14:paraId="7015EEB4">
            <w:pPr>
              <w:spacing w:before="60" w:after="60" w:line="240" w:lineRule="auto"/>
              <w:rPr>
                <w:rFonts w:hint="default" w:ascii="Times New Roman" w:hAnsi="Times New Roman" w:eastAsia="宋体" w:cs="Times New Roman"/>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35738F97">
            <w:pPr>
              <w:spacing w:before="60" w:after="60" w:line="240" w:lineRule="auto"/>
              <w:rPr>
                <w:rFonts w:hint="default" w:ascii="Times New Roman" w:hAnsi="Times New Roman" w:eastAsia="宋体" w:cs="Times New Roman"/>
                <w:sz w:val="21"/>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4A644E8A">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2CE3A7C7">
            <w:pPr>
              <w:spacing w:before="60" w:after="60" w:line="240" w:lineRule="auto"/>
              <w:rPr>
                <w:rFonts w:hint="default" w:ascii="Times New Roman" w:hAnsi="Times New Roman" w:eastAsia="宋体" w:cs="Times New Roman"/>
                <w:sz w:val="21"/>
                <w:szCs w:val="21"/>
                <w:highlight w:val="none"/>
              </w:rPr>
            </w:pPr>
          </w:p>
        </w:tc>
        <w:tc>
          <w:tcPr>
            <w:tcW w:w="828" w:type="dxa"/>
            <w:tcBorders>
              <w:top w:val="single" w:color="auto" w:sz="4" w:space="0"/>
              <w:left w:val="single" w:color="auto" w:sz="4" w:space="0"/>
              <w:bottom w:val="single" w:color="auto" w:sz="4" w:space="0"/>
              <w:right w:val="single" w:color="auto" w:sz="4" w:space="0"/>
            </w:tcBorders>
            <w:vAlign w:val="center"/>
          </w:tcPr>
          <w:p w14:paraId="593FBF5D">
            <w:pPr>
              <w:spacing w:before="60" w:after="60" w:line="240" w:lineRule="auto"/>
              <w:rPr>
                <w:rFonts w:hint="default" w:ascii="Times New Roman" w:hAnsi="Times New Roman" w:eastAsia="宋体" w:cs="Times New Roman"/>
                <w:sz w:val="21"/>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714BEEC2">
            <w:pPr>
              <w:spacing w:before="60" w:after="60" w:line="240" w:lineRule="auto"/>
              <w:rPr>
                <w:rFonts w:hint="default" w:ascii="Times New Roman" w:hAnsi="Times New Roman" w:eastAsia="宋体" w:cs="Times New Roman"/>
                <w:sz w:val="21"/>
                <w:szCs w:val="21"/>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0F7CB83E">
            <w:pPr>
              <w:spacing w:before="60" w:after="60" w:line="240" w:lineRule="auto"/>
              <w:rPr>
                <w:rFonts w:hint="default" w:ascii="Times New Roman" w:hAnsi="Times New Roman" w:eastAsia="宋体" w:cs="Times New Roman"/>
                <w:sz w:val="21"/>
                <w:szCs w:val="21"/>
                <w:highlight w:val="none"/>
              </w:rPr>
            </w:pPr>
          </w:p>
        </w:tc>
        <w:tc>
          <w:tcPr>
            <w:tcW w:w="754" w:type="dxa"/>
            <w:tcBorders>
              <w:top w:val="single" w:color="auto" w:sz="4" w:space="0"/>
              <w:left w:val="single" w:color="auto" w:sz="4" w:space="0"/>
              <w:bottom w:val="single" w:color="auto" w:sz="4" w:space="0"/>
              <w:right w:val="single" w:color="auto" w:sz="4" w:space="0"/>
            </w:tcBorders>
            <w:vAlign w:val="center"/>
          </w:tcPr>
          <w:p w14:paraId="0F592EAB">
            <w:pPr>
              <w:spacing w:line="240" w:lineRule="auto"/>
              <w:rPr>
                <w:rFonts w:hint="default" w:ascii="Times New Roman" w:hAnsi="Times New Roman" w:eastAsia="宋体" w:cs="Times New Roman"/>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vAlign w:val="center"/>
          </w:tcPr>
          <w:p w14:paraId="406AB6DD">
            <w:pPr>
              <w:spacing w:line="240" w:lineRule="auto"/>
              <w:rPr>
                <w:rFonts w:hint="default" w:ascii="Times New Roman" w:hAnsi="Times New Roman" w:eastAsia="宋体" w:cs="Times New Roman"/>
                <w:sz w:val="21"/>
                <w:szCs w:val="21"/>
                <w:highlight w:val="none"/>
              </w:rPr>
            </w:pPr>
          </w:p>
        </w:tc>
      </w:tr>
      <w:tr w14:paraId="12851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816" w:type="dxa"/>
            <w:tcBorders>
              <w:top w:val="single" w:color="auto" w:sz="4" w:space="0"/>
              <w:left w:val="single" w:color="auto" w:sz="4" w:space="0"/>
              <w:bottom w:val="single" w:color="auto" w:sz="4" w:space="0"/>
              <w:right w:val="single" w:color="auto" w:sz="4" w:space="0"/>
            </w:tcBorders>
            <w:vAlign w:val="center"/>
          </w:tcPr>
          <w:p w14:paraId="1F16918E">
            <w:pPr>
              <w:spacing w:before="60" w:after="60" w:line="240" w:lineRule="auto"/>
              <w:jc w:val="center"/>
              <w:rPr>
                <w:rFonts w:hint="default" w:ascii="Times New Roman" w:hAnsi="Times New Roman" w:eastAsia="宋体" w:cs="Times New Roman"/>
                <w:sz w:val="21"/>
                <w:szCs w:val="21"/>
                <w:highlight w:val="none"/>
              </w:rPr>
            </w:pPr>
          </w:p>
        </w:tc>
        <w:tc>
          <w:tcPr>
            <w:tcW w:w="4035" w:type="dxa"/>
            <w:tcBorders>
              <w:top w:val="single" w:color="auto" w:sz="4" w:space="0"/>
              <w:left w:val="single" w:color="auto" w:sz="4" w:space="0"/>
              <w:bottom w:val="single" w:color="auto" w:sz="4" w:space="0"/>
              <w:right w:val="single" w:color="auto" w:sz="4" w:space="0"/>
            </w:tcBorders>
            <w:vAlign w:val="center"/>
          </w:tcPr>
          <w:p w14:paraId="23C8F809">
            <w:pPr>
              <w:spacing w:before="60" w:after="60" w:line="240" w:lineRule="auto"/>
              <w:jc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总价</w:t>
            </w:r>
          </w:p>
        </w:tc>
        <w:tc>
          <w:tcPr>
            <w:tcW w:w="8343" w:type="dxa"/>
            <w:gridSpan w:val="9"/>
            <w:tcBorders>
              <w:top w:val="single" w:color="auto" w:sz="4" w:space="0"/>
              <w:left w:val="single" w:color="auto" w:sz="4" w:space="0"/>
              <w:bottom w:val="single" w:color="auto" w:sz="4" w:space="0"/>
              <w:right w:val="single" w:color="auto" w:sz="4" w:space="0"/>
            </w:tcBorders>
            <w:vAlign w:val="center"/>
          </w:tcPr>
          <w:p w14:paraId="72A3FB54">
            <w:pPr>
              <w:spacing w:line="240" w:lineRule="auto"/>
              <w:rPr>
                <w:rFonts w:hint="default" w:ascii="Times New Roman" w:hAnsi="Times New Roman" w:eastAsia="宋体" w:cs="Times New Roman"/>
                <w:sz w:val="21"/>
                <w:szCs w:val="21"/>
                <w:highlight w:val="none"/>
              </w:rPr>
            </w:pPr>
          </w:p>
        </w:tc>
      </w:tr>
    </w:tbl>
    <w:p w14:paraId="2CCE38A2">
      <w:pPr>
        <w:spacing w:line="360" w:lineRule="auto"/>
        <w:rPr>
          <w:rFonts w:hint="default" w:ascii="Times New Roman" w:hAnsi="Times New Roman" w:eastAsia="宋体" w:cs="Times New Roman"/>
          <w:sz w:val="24"/>
          <w:szCs w:val="24"/>
          <w:highlight w:val="none"/>
        </w:rPr>
      </w:pPr>
    </w:p>
    <w:p w14:paraId="0651A8C4">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投标人授权代表签字：</w:t>
      </w:r>
      <w:r>
        <w:rPr>
          <w:rFonts w:hint="default" w:ascii="Times New Roman" w:hAnsi="Times New Roman" w:eastAsia="宋体" w:cs="Times New Roman"/>
          <w:sz w:val="24"/>
          <w:szCs w:val="24"/>
          <w:highlight w:val="none"/>
          <w:u w:val="single"/>
        </w:rPr>
        <w:t xml:space="preserve">               </w:t>
      </w:r>
    </w:p>
    <w:p w14:paraId="5CF321E1">
      <w:pPr>
        <w:spacing w:line="360" w:lineRule="auto"/>
        <w:rPr>
          <w:rFonts w:hint="default" w:ascii="Times New Roman" w:hAnsi="Times New Roman" w:eastAsia="宋体" w:cs="Times New Roman"/>
          <w:sz w:val="24"/>
          <w:szCs w:val="24"/>
          <w:highlight w:val="none"/>
          <w:u w:val="single"/>
        </w:rPr>
      </w:pPr>
      <w:r>
        <w:rPr>
          <w:rFonts w:hint="default" w:ascii="Times New Roman" w:hAnsi="Times New Roman" w:eastAsia="宋体" w:cs="Times New Roman"/>
          <w:sz w:val="24"/>
          <w:szCs w:val="24"/>
          <w:highlight w:val="none"/>
        </w:rPr>
        <w:t>投标人名称：</w:t>
      </w:r>
      <w:r>
        <w:rPr>
          <w:rFonts w:hint="default" w:ascii="Times New Roman" w:hAnsi="Times New Roman" w:eastAsia="宋体" w:cs="Times New Roman"/>
          <w:sz w:val="24"/>
          <w:szCs w:val="24"/>
          <w:highlight w:val="none"/>
          <w:u w:val="single"/>
        </w:rPr>
        <w:t xml:space="preserve">               </w:t>
      </w:r>
      <w:r>
        <w:rPr>
          <w:rFonts w:hint="default" w:ascii="Times New Roman" w:hAnsi="Times New Roman" w:eastAsia="宋体" w:cs="Times New Roman"/>
          <w:sz w:val="24"/>
          <w:szCs w:val="24"/>
          <w:highlight w:val="none"/>
        </w:rPr>
        <w:t>（加盖公章）</w:t>
      </w:r>
    </w:p>
    <w:p w14:paraId="601A4B49">
      <w:pPr>
        <w:spacing w:line="360" w:lineRule="auto"/>
        <w:rPr>
          <w:rFonts w:hint="default" w:ascii="Times New Roman" w:hAnsi="Times New Roman" w:eastAsia="宋体" w:cs="Times New Roman"/>
          <w:bCs/>
          <w:sz w:val="24"/>
          <w:szCs w:val="24"/>
          <w:highlight w:val="none"/>
          <w:u w:val="single"/>
        </w:rPr>
      </w:pPr>
    </w:p>
    <w:p w14:paraId="14481037">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注：1.如果按单项价格计算的结果与总价不一致,以单项价格为准修正总价。</w:t>
      </w:r>
    </w:p>
    <w:p w14:paraId="0571A955">
      <w:pPr>
        <w:spacing w:line="360" w:lineRule="auto"/>
        <w:ind w:firstLine="360" w:firstLineChars="15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2.如果不提供详细分项报价将视为没有实质性响应招标文件。</w:t>
      </w:r>
    </w:p>
    <w:p w14:paraId="5572C8BB">
      <w:pPr>
        <w:widowControl/>
        <w:spacing w:line="360" w:lineRule="auto"/>
        <w:ind w:firstLine="360" w:firstLineChars="15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3.投标人可根据实际情况对上表进行表格内容增减。</w:t>
      </w:r>
    </w:p>
    <w:p w14:paraId="118C4630">
      <w:pPr>
        <w:pStyle w:val="27"/>
        <w:ind w:firstLine="560"/>
        <w:jc w:val="both"/>
        <w:rPr>
          <w:rFonts w:hint="default" w:ascii="Times New Roman" w:hAnsi="Times New Roman" w:eastAsia="宋体" w:cs="Times New Roman"/>
          <w:highlight w:val="none"/>
        </w:rPr>
        <w:sectPr>
          <w:pgSz w:w="16838" w:h="11906" w:orient="landscape"/>
          <w:pgMar w:top="1800" w:right="1440" w:bottom="1800" w:left="1440" w:header="851" w:footer="992" w:gutter="0"/>
          <w:cols w:space="425" w:num="1"/>
          <w:docGrid w:type="lines" w:linePitch="312" w:charSpace="0"/>
        </w:sectPr>
      </w:pPr>
      <w:r>
        <w:rPr>
          <w:rFonts w:hint="default" w:ascii="Times New Roman" w:hAnsi="Times New Roman" w:eastAsia="宋体" w:cs="Times New Roman"/>
          <w:highlight w:val="none"/>
        </w:rPr>
        <w:br w:type="page"/>
      </w:r>
    </w:p>
    <w:p w14:paraId="175FC47F">
      <w:pPr>
        <w:pStyle w:val="27"/>
        <w:ind w:firstLine="560"/>
        <w:jc w:val="both"/>
        <w:rPr>
          <w:rFonts w:hint="default" w:ascii="Times New Roman" w:hAnsi="Times New Roman" w:eastAsia="宋体" w:cs="Times New Roman"/>
          <w:highlight w:val="none"/>
        </w:rPr>
      </w:pPr>
    </w:p>
    <w:p w14:paraId="789BEA75">
      <w:pPr>
        <w:pStyle w:val="3"/>
        <w:tabs>
          <w:tab w:val="left" w:pos="5580"/>
        </w:tabs>
        <w:spacing w:line="360" w:lineRule="auto"/>
        <w:jc w:val="both"/>
        <w:rPr>
          <w:rFonts w:hint="default" w:ascii="Times New Roman" w:hAnsi="Times New Roman" w:eastAsia="宋体" w:cs="Times New Roman"/>
          <w:highlight w:val="none"/>
        </w:rPr>
      </w:pPr>
      <w:r>
        <w:rPr>
          <w:rFonts w:hint="default" w:ascii="Times New Roman" w:hAnsi="Times New Roman" w:eastAsia="宋体" w:cs="Times New Roman"/>
          <w:b/>
          <w:bCs/>
          <w:highlight w:val="none"/>
        </w:rPr>
        <w:t>附件4：货物说明一览表</w:t>
      </w:r>
    </w:p>
    <w:p w14:paraId="42AF1A1E">
      <w:pPr>
        <w:pStyle w:val="13"/>
        <w:spacing w:line="360" w:lineRule="auto"/>
        <w:rPr>
          <w:rFonts w:hint="default" w:ascii="Times New Roman" w:hAnsi="Times New Roman" w:eastAsia="宋体" w:cs="Times New Roman"/>
          <w:sz w:val="24"/>
          <w:szCs w:val="24"/>
          <w:highlight w:val="none"/>
        </w:rPr>
      </w:pPr>
    </w:p>
    <w:p w14:paraId="0AABAD5B">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项目名称：</w:t>
      </w:r>
      <w:r>
        <w:rPr>
          <w:rFonts w:hint="default" w:ascii="Times New Roman" w:hAnsi="Times New Roman" w:eastAsia="宋体" w:cs="Times New Roman"/>
          <w:sz w:val="24"/>
          <w:szCs w:val="24"/>
          <w:highlight w:val="none"/>
          <w:u w:val="single"/>
        </w:rPr>
        <w:t xml:space="preserve">                               </w:t>
      </w:r>
    </w:p>
    <w:p w14:paraId="71F2B734">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szCs w:val="24"/>
          <w:highlight w:val="none"/>
        </w:rPr>
        <w:t>招标编号/包号：</w:t>
      </w:r>
      <w:r>
        <w:rPr>
          <w:rFonts w:hint="default" w:ascii="Times New Roman" w:hAnsi="Times New Roman" w:eastAsia="宋体" w:cs="Times New Roman"/>
          <w:sz w:val="24"/>
          <w:szCs w:val="24"/>
          <w:highlight w:val="none"/>
          <w:u w:val="single"/>
        </w:rPr>
        <w:t xml:space="preserve">                   /1       </w:t>
      </w:r>
    </w:p>
    <w:tbl>
      <w:tblPr>
        <w:tblStyle w:val="28"/>
        <w:tblW w:w="10205"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208"/>
        <w:gridCol w:w="937"/>
        <w:gridCol w:w="700"/>
        <w:gridCol w:w="1389"/>
        <w:gridCol w:w="1400"/>
        <w:gridCol w:w="985"/>
        <w:gridCol w:w="1155"/>
        <w:gridCol w:w="813"/>
        <w:gridCol w:w="909"/>
      </w:tblGrid>
      <w:tr w14:paraId="0B891DB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tcBorders>
              <w:top w:val="single" w:color="auto" w:sz="12" w:space="0"/>
              <w:left w:val="single" w:color="auto" w:sz="4" w:space="0"/>
              <w:bottom w:val="single" w:color="auto" w:sz="4" w:space="0"/>
              <w:right w:val="single" w:color="auto" w:sz="4" w:space="0"/>
            </w:tcBorders>
            <w:vAlign w:val="center"/>
          </w:tcPr>
          <w:p w14:paraId="1CF7A96B">
            <w:pPr>
              <w:pStyle w:val="13"/>
              <w:rPr>
                <w:rFonts w:hint="default" w:ascii="Times New Roman" w:hAnsi="Times New Roman" w:eastAsia="宋体" w:cs="Times New Roman"/>
                <w:highlight w:val="none"/>
              </w:rPr>
            </w:pPr>
            <w:r>
              <w:rPr>
                <w:rFonts w:hint="default" w:ascii="Times New Roman" w:hAnsi="Times New Roman" w:eastAsia="宋体" w:cs="Times New Roman"/>
                <w:sz w:val="24"/>
                <w:szCs w:val="24"/>
                <w:highlight w:val="none"/>
              </w:rPr>
              <w:t>序号</w:t>
            </w:r>
          </w:p>
        </w:tc>
        <w:tc>
          <w:tcPr>
            <w:tcW w:w="1208" w:type="dxa"/>
            <w:tcBorders>
              <w:top w:val="single" w:color="auto" w:sz="12" w:space="0"/>
              <w:left w:val="single" w:color="auto" w:sz="4" w:space="0"/>
              <w:bottom w:val="single" w:color="auto" w:sz="4" w:space="0"/>
              <w:right w:val="single" w:color="auto" w:sz="4" w:space="0"/>
            </w:tcBorders>
            <w:vAlign w:val="center"/>
          </w:tcPr>
          <w:p w14:paraId="712D3BCF">
            <w:pPr>
              <w:pStyle w:val="13"/>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货物名称</w:t>
            </w:r>
          </w:p>
        </w:tc>
        <w:tc>
          <w:tcPr>
            <w:tcW w:w="937" w:type="dxa"/>
            <w:tcBorders>
              <w:top w:val="single" w:color="auto" w:sz="12" w:space="0"/>
              <w:left w:val="single" w:color="auto" w:sz="4" w:space="0"/>
              <w:bottom w:val="single" w:color="auto" w:sz="4" w:space="0"/>
              <w:right w:val="single" w:color="auto" w:sz="4" w:space="0"/>
            </w:tcBorders>
            <w:vAlign w:val="center"/>
          </w:tcPr>
          <w:p w14:paraId="26BB66F6">
            <w:pPr>
              <w:pStyle w:val="13"/>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产地</w:t>
            </w:r>
          </w:p>
        </w:tc>
        <w:tc>
          <w:tcPr>
            <w:tcW w:w="700" w:type="dxa"/>
            <w:tcBorders>
              <w:top w:val="single" w:color="auto" w:sz="12" w:space="0"/>
              <w:left w:val="single" w:color="auto" w:sz="4" w:space="0"/>
              <w:bottom w:val="single" w:color="auto" w:sz="4" w:space="0"/>
              <w:right w:val="single" w:color="auto" w:sz="4" w:space="0"/>
            </w:tcBorders>
            <w:vAlign w:val="center"/>
          </w:tcPr>
          <w:p w14:paraId="28FCAB73">
            <w:pPr>
              <w:pStyle w:val="13"/>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品牌</w:t>
            </w:r>
          </w:p>
        </w:tc>
        <w:tc>
          <w:tcPr>
            <w:tcW w:w="1389" w:type="dxa"/>
            <w:tcBorders>
              <w:top w:val="single" w:color="auto" w:sz="12" w:space="0"/>
              <w:left w:val="single" w:color="auto" w:sz="4" w:space="0"/>
              <w:bottom w:val="single" w:color="auto" w:sz="4" w:space="0"/>
              <w:right w:val="single" w:color="auto" w:sz="4" w:space="0"/>
            </w:tcBorders>
            <w:vAlign w:val="center"/>
          </w:tcPr>
          <w:p w14:paraId="6CF5AFC9">
            <w:pPr>
              <w:pStyle w:val="13"/>
              <w:rPr>
                <w:rFonts w:hint="default" w:ascii="Times New Roman" w:hAnsi="Times New Roman" w:eastAsia="宋体" w:cs="Times New Roman"/>
                <w:highlight w:val="none"/>
              </w:rPr>
            </w:pPr>
            <w:r>
              <w:rPr>
                <w:rFonts w:hint="default" w:ascii="Times New Roman" w:hAnsi="Times New Roman" w:eastAsia="宋体" w:cs="Times New Roman"/>
                <w:sz w:val="24"/>
                <w:szCs w:val="24"/>
                <w:highlight w:val="none"/>
              </w:rPr>
              <w:t>制造商名称</w:t>
            </w:r>
          </w:p>
        </w:tc>
        <w:tc>
          <w:tcPr>
            <w:tcW w:w="1400" w:type="dxa"/>
            <w:tcBorders>
              <w:top w:val="single" w:color="auto" w:sz="12" w:space="0"/>
              <w:left w:val="single" w:color="auto" w:sz="4" w:space="0"/>
              <w:bottom w:val="single" w:color="auto" w:sz="4" w:space="0"/>
              <w:right w:val="single" w:color="auto" w:sz="4" w:space="0"/>
            </w:tcBorders>
            <w:vAlign w:val="center"/>
          </w:tcPr>
          <w:p w14:paraId="13629034">
            <w:pPr>
              <w:pStyle w:val="13"/>
              <w:rPr>
                <w:rFonts w:hint="default" w:ascii="Times New Roman" w:hAnsi="Times New Roman" w:eastAsia="宋体" w:cs="Times New Roman"/>
                <w:highlight w:val="none"/>
              </w:rPr>
            </w:pPr>
            <w:r>
              <w:rPr>
                <w:rFonts w:hint="default" w:ascii="Times New Roman" w:hAnsi="Times New Roman" w:eastAsia="宋体" w:cs="Times New Roman"/>
                <w:sz w:val="24"/>
                <w:szCs w:val="24"/>
                <w:highlight w:val="none"/>
              </w:rPr>
              <w:t>主要规格型号</w:t>
            </w:r>
          </w:p>
        </w:tc>
        <w:tc>
          <w:tcPr>
            <w:tcW w:w="985" w:type="dxa"/>
            <w:tcBorders>
              <w:top w:val="single" w:color="auto" w:sz="12" w:space="0"/>
              <w:left w:val="single" w:color="auto" w:sz="4" w:space="0"/>
              <w:bottom w:val="single" w:color="auto" w:sz="4" w:space="0"/>
              <w:right w:val="single" w:color="auto" w:sz="4" w:space="0"/>
            </w:tcBorders>
            <w:vAlign w:val="center"/>
          </w:tcPr>
          <w:p w14:paraId="4A8E47C4">
            <w:pPr>
              <w:pStyle w:val="13"/>
              <w:rPr>
                <w:rFonts w:hint="default" w:ascii="Times New Roman" w:hAnsi="Times New Roman" w:eastAsia="宋体" w:cs="Times New Roman"/>
                <w:highlight w:val="none"/>
              </w:rPr>
            </w:pPr>
            <w:r>
              <w:rPr>
                <w:rFonts w:hint="default" w:ascii="Times New Roman" w:hAnsi="Times New Roman" w:eastAsia="宋体" w:cs="Times New Roman"/>
                <w:sz w:val="24"/>
                <w:szCs w:val="24"/>
                <w:highlight w:val="none"/>
              </w:rPr>
              <w:t>数量</w:t>
            </w:r>
          </w:p>
        </w:tc>
        <w:tc>
          <w:tcPr>
            <w:tcW w:w="1155" w:type="dxa"/>
            <w:tcBorders>
              <w:top w:val="single" w:color="auto" w:sz="12" w:space="0"/>
              <w:left w:val="single" w:color="auto" w:sz="4" w:space="0"/>
              <w:bottom w:val="single" w:color="auto" w:sz="4" w:space="0"/>
              <w:right w:val="single" w:color="auto" w:sz="4" w:space="0"/>
            </w:tcBorders>
            <w:vAlign w:val="center"/>
          </w:tcPr>
          <w:p w14:paraId="59C0B8EE">
            <w:pPr>
              <w:pStyle w:val="13"/>
              <w:rPr>
                <w:rFonts w:hint="default" w:ascii="Times New Roman" w:hAnsi="Times New Roman" w:eastAsia="宋体" w:cs="Times New Roman"/>
                <w:highlight w:val="none"/>
              </w:rPr>
            </w:pPr>
            <w:r>
              <w:rPr>
                <w:rFonts w:hint="default" w:ascii="Times New Roman" w:hAnsi="Times New Roman" w:eastAsia="宋体" w:cs="Times New Roman"/>
                <w:sz w:val="24"/>
                <w:szCs w:val="24"/>
                <w:highlight w:val="none"/>
              </w:rPr>
              <w:t>关境内供货或关境外供货</w:t>
            </w:r>
          </w:p>
        </w:tc>
        <w:tc>
          <w:tcPr>
            <w:tcW w:w="813" w:type="dxa"/>
            <w:tcBorders>
              <w:top w:val="single" w:color="auto" w:sz="12" w:space="0"/>
              <w:left w:val="single" w:color="auto" w:sz="4" w:space="0"/>
              <w:bottom w:val="single" w:color="auto" w:sz="4" w:space="0"/>
              <w:right w:val="single" w:color="auto" w:sz="4" w:space="0"/>
            </w:tcBorders>
            <w:vAlign w:val="center"/>
          </w:tcPr>
          <w:p w14:paraId="484E0F7E">
            <w:pPr>
              <w:pStyle w:val="13"/>
              <w:rPr>
                <w:rFonts w:hint="default" w:ascii="Times New Roman" w:hAnsi="Times New Roman" w:eastAsia="宋体" w:cs="Times New Roman"/>
                <w:highlight w:val="none"/>
              </w:rPr>
            </w:pPr>
            <w:r>
              <w:rPr>
                <w:rFonts w:hint="default" w:ascii="Times New Roman" w:hAnsi="Times New Roman" w:eastAsia="宋体" w:cs="Times New Roman"/>
                <w:sz w:val="24"/>
                <w:szCs w:val="24"/>
                <w:highlight w:val="none"/>
              </w:rPr>
              <w:t>交货地点</w:t>
            </w:r>
          </w:p>
        </w:tc>
        <w:tc>
          <w:tcPr>
            <w:tcW w:w="909" w:type="dxa"/>
            <w:tcBorders>
              <w:top w:val="single" w:color="auto" w:sz="12" w:space="0"/>
              <w:left w:val="single" w:color="auto" w:sz="4" w:space="0"/>
              <w:bottom w:val="single" w:color="auto" w:sz="4" w:space="0"/>
              <w:right w:val="single" w:color="auto" w:sz="4" w:space="0"/>
            </w:tcBorders>
            <w:vAlign w:val="center"/>
          </w:tcPr>
          <w:p w14:paraId="2C276687">
            <w:pPr>
              <w:pStyle w:val="13"/>
              <w:rPr>
                <w:rFonts w:hint="default" w:ascii="Times New Roman" w:hAnsi="Times New Roman" w:eastAsia="宋体" w:cs="Times New Roman"/>
                <w:sz w:val="24"/>
                <w:szCs w:val="24"/>
                <w:highlight w:val="none"/>
                <w:lang w:eastAsia="zh-CN"/>
              </w:rPr>
            </w:pPr>
            <w:r>
              <w:rPr>
                <w:rFonts w:hint="default" w:ascii="Times New Roman" w:hAnsi="Times New Roman" w:eastAsia="宋体" w:cs="Times New Roman"/>
                <w:sz w:val="24"/>
                <w:szCs w:val="24"/>
                <w:highlight w:val="none"/>
              </w:rPr>
              <w:t>备注</w:t>
            </w:r>
            <w:r>
              <w:rPr>
                <w:rFonts w:hint="default" w:ascii="Times New Roman" w:hAnsi="Times New Roman" w:eastAsia="宋体" w:cs="Times New Roman"/>
                <w:sz w:val="24"/>
                <w:szCs w:val="24"/>
                <w:highlight w:val="none"/>
                <w:lang w:eastAsia="zh-CN"/>
              </w:rPr>
              <w:t>（</w:t>
            </w:r>
            <w:r>
              <w:rPr>
                <w:rFonts w:hint="default" w:ascii="Times New Roman" w:hAnsi="Times New Roman" w:eastAsia="宋体" w:cs="Times New Roman"/>
                <w:sz w:val="24"/>
                <w:szCs w:val="24"/>
                <w:highlight w:val="none"/>
                <w:lang w:val="en-US" w:eastAsia="zh-CN"/>
              </w:rPr>
              <w:t>是否属于强制节能产品</w:t>
            </w:r>
            <w:r>
              <w:rPr>
                <w:rFonts w:hint="default" w:ascii="Times New Roman" w:hAnsi="Times New Roman" w:eastAsia="宋体" w:cs="Times New Roman"/>
                <w:sz w:val="24"/>
                <w:szCs w:val="24"/>
                <w:highlight w:val="none"/>
                <w:lang w:eastAsia="zh-CN"/>
              </w:rPr>
              <w:t>）</w:t>
            </w:r>
          </w:p>
        </w:tc>
      </w:tr>
      <w:tr w14:paraId="657B6B3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23EE7777">
            <w:pPr>
              <w:pStyle w:val="13"/>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w:t>
            </w:r>
          </w:p>
        </w:tc>
        <w:tc>
          <w:tcPr>
            <w:tcW w:w="1208" w:type="dxa"/>
            <w:tcBorders>
              <w:top w:val="single" w:color="auto" w:sz="4" w:space="0"/>
              <w:left w:val="single" w:color="auto" w:sz="4" w:space="0"/>
              <w:bottom w:val="single" w:color="auto" w:sz="4" w:space="0"/>
              <w:right w:val="single" w:color="auto" w:sz="4" w:space="0"/>
            </w:tcBorders>
            <w:vAlign w:val="center"/>
          </w:tcPr>
          <w:p w14:paraId="027CE72A">
            <w:pPr>
              <w:pStyle w:val="13"/>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lang w:val="en-US" w:eastAsia="zh-CN"/>
              </w:rPr>
              <w:t>样本预处理工作站</w:t>
            </w:r>
          </w:p>
        </w:tc>
        <w:tc>
          <w:tcPr>
            <w:tcW w:w="937" w:type="dxa"/>
            <w:tcBorders>
              <w:top w:val="single" w:color="auto" w:sz="4" w:space="0"/>
              <w:left w:val="single" w:color="auto" w:sz="4" w:space="0"/>
              <w:bottom w:val="single" w:color="auto" w:sz="4" w:space="0"/>
              <w:right w:val="single" w:color="auto" w:sz="4" w:space="0"/>
            </w:tcBorders>
            <w:vAlign w:val="center"/>
          </w:tcPr>
          <w:p w14:paraId="406A32F0">
            <w:pPr>
              <w:pStyle w:val="13"/>
              <w:rPr>
                <w:rFonts w:hint="default" w:ascii="Times New Roman" w:hAnsi="Times New Roman" w:eastAsia="宋体" w:cs="Times New Roman"/>
                <w:sz w:val="24"/>
                <w:szCs w:val="24"/>
                <w:highlight w:val="none"/>
              </w:rPr>
            </w:pPr>
          </w:p>
        </w:tc>
        <w:tc>
          <w:tcPr>
            <w:tcW w:w="700" w:type="dxa"/>
            <w:tcBorders>
              <w:top w:val="single" w:color="auto" w:sz="4" w:space="0"/>
              <w:left w:val="single" w:color="auto" w:sz="4" w:space="0"/>
              <w:bottom w:val="single" w:color="auto" w:sz="4" w:space="0"/>
              <w:right w:val="single" w:color="auto" w:sz="4" w:space="0"/>
            </w:tcBorders>
            <w:vAlign w:val="center"/>
          </w:tcPr>
          <w:p w14:paraId="67484AC2">
            <w:pPr>
              <w:pStyle w:val="13"/>
              <w:rPr>
                <w:rFonts w:hint="default" w:ascii="Times New Roman" w:hAnsi="Times New Roman" w:eastAsia="宋体" w:cs="Times New Roman"/>
                <w:highlight w:val="none"/>
              </w:rPr>
            </w:pPr>
          </w:p>
        </w:tc>
        <w:tc>
          <w:tcPr>
            <w:tcW w:w="1389" w:type="dxa"/>
            <w:tcBorders>
              <w:top w:val="single" w:color="auto" w:sz="4" w:space="0"/>
              <w:left w:val="single" w:color="auto" w:sz="4" w:space="0"/>
              <w:bottom w:val="single" w:color="auto" w:sz="4" w:space="0"/>
              <w:right w:val="single" w:color="auto" w:sz="4" w:space="0"/>
            </w:tcBorders>
            <w:vAlign w:val="center"/>
          </w:tcPr>
          <w:p w14:paraId="159C64B3">
            <w:pPr>
              <w:pStyle w:val="13"/>
              <w:rPr>
                <w:rFonts w:hint="default" w:ascii="Times New Roman" w:hAnsi="Times New Roman" w:eastAsia="宋体" w:cs="Times New Roman"/>
                <w:highlight w:val="none"/>
              </w:rPr>
            </w:pPr>
          </w:p>
        </w:tc>
        <w:tc>
          <w:tcPr>
            <w:tcW w:w="1400" w:type="dxa"/>
            <w:tcBorders>
              <w:top w:val="single" w:color="auto" w:sz="4" w:space="0"/>
              <w:left w:val="single" w:color="auto" w:sz="4" w:space="0"/>
              <w:bottom w:val="single" w:color="auto" w:sz="4" w:space="0"/>
              <w:right w:val="single" w:color="auto" w:sz="4" w:space="0"/>
            </w:tcBorders>
            <w:vAlign w:val="center"/>
          </w:tcPr>
          <w:p w14:paraId="3F7A3CD1">
            <w:pPr>
              <w:pStyle w:val="13"/>
              <w:rPr>
                <w:rFonts w:hint="default" w:ascii="Times New Roman" w:hAnsi="Times New Roman" w:eastAsia="宋体" w:cs="Times New Roman"/>
                <w:highlight w:val="none"/>
              </w:rPr>
            </w:pPr>
          </w:p>
        </w:tc>
        <w:tc>
          <w:tcPr>
            <w:tcW w:w="985" w:type="dxa"/>
            <w:tcBorders>
              <w:top w:val="single" w:color="auto" w:sz="4" w:space="0"/>
              <w:left w:val="single" w:color="auto" w:sz="4" w:space="0"/>
              <w:bottom w:val="single" w:color="auto" w:sz="4" w:space="0"/>
              <w:right w:val="single" w:color="auto" w:sz="4" w:space="0"/>
            </w:tcBorders>
            <w:vAlign w:val="center"/>
          </w:tcPr>
          <w:p w14:paraId="7C643B58">
            <w:pPr>
              <w:pStyle w:val="13"/>
              <w:rPr>
                <w:rFonts w:hint="default" w:ascii="Times New Roman" w:hAnsi="Times New Roman" w:eastAsia="宋体" w:cs="Times New Roman"/>
                <w:highlight w:val="none"/>
              </w:rPr>
            </w:pPr>
          </w:p>
        </w:tc>
        <w:tc>
          <w:tcPr>
            <w:tcW w:w="1155" w:type="dxa"/>
            <w:tcBorders>
              <w:top w:val="single" w:color="auto" w:sz="4" w:space="0"/>
              <w:left w:val="single" w:color="auto" w:sz="4" w:space="0"/>
              <w:bottom w:val="single" w:color="auto" w:sz="4" w:space="0"/>
              <w:right w:val="single" w:color="auto" w:sz="4" w:space="0"/>
            </w:tcBorders>
          </w:tcPr>
          <w:p w14:paraId="176AA261">
            <w:pPr>
              <w:pStyle w:val="13"/>
              <w:rPr>
                <w:rFonts w:hint="default" w:ascii="Times New Roman" w:hAnsi="Times New Roman" w:eastAsia="宋体" w:cs="Times New Roman"/>
                <w:highlight w:val="none"/>
              </w:rPr>
            </w:pPr>
          </w:p>
        </w:tc>
        <w:tc>
          <w:tcPr>
            <w:tcW w:w="813" w:type="dxa"/>
            <w:tcBorders>
              <w:top w:val="single" w:color="auto" w:sz="4" w:space="0"/>
              <w:left w:val="single" w:color="auto" w:sz="4" w:space="0"/>
              <w:bottom w:val="single" w:color="auto" w:sz="4" w:space="0"/>
              <w:right w:val="single" w:color="auto" w:sz="4" w:space="0"/>
            </w:tcBorders>
          </w:tcPr>
          <w:p w14:paraId="29C8B5DD">
            <w:pPr>
              <w:pStyle w:val="13"/>
              <w:rPr>
                <w:rFonts w:hint="default" w:ascii="Times New Roman" w:hAnsi="Times New Roman" w:eastAsia="宋体" w:cs="Times New Roman"/>
                <w:highlight w:val="none"/>
              </w:rPr>
            </w:pPr>
          </w:p>
        </w:tc>
        <w:tc>
          <w:tcPr>
            <w:tcW w:w="909" w:type="dxa"/>
            <w:tcBorders>
              <w:top w:val="single" w:color="auto" w:sz="4" w:space="0"/>
              <w:left w:val="single" w:color="auto" w:sz="4" w:space="0"/>
              <w:bottom w:val="single" w:color="auto" w:sz="4" w:space="0"/>
              <w:right w:val="single" w:color="auto" w:sz="4" w:space="0"/>
            </w:tcBorders>
          </w:tcPr>
          <w:p w14:paraId="793FEEB4">
            <w:pPr>
              <w:pStyle w:val="13"/>
              <w:rPr>
                <w:rFonts w:hint="default" w:ascii="Times New Roman" w:hAnsi="Times New Roman" w:eastAsia="宋体" w:cs="Times New Roman"/>
                <w:highlight w:val="none"/>
              </w:rPr>
            </w:pPr>
          </w:p>
        </w:tc>
      </w:tr>
      <w:tr w14:paraId="1E1A324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2E3BD6CD">
            <w:pPr>
              <w:pStyle w:val="13"/>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2</w:t>
            </w:r>
          </w:p>
        </w:tc>
        <w:tc>
          <w:tcPr>
            <w:tcW w:w="1208" w:type="dxa"/>
            <w:tcBorders>
              <w:top w:val="single" w:color="auto" w:sz="4" w:space="0"/>
              <w:left w:val="single" w:color="auto" w:sz="4" w:space="0"/>
              <w:bottom w:val="single" w:color="auto" w:sz="4" w:space="0"/>
              <w:right w:val="single" w:color="auto" w:sz="4" w:space="0"/>
            </w:tcBorders>
            <w:vAlign w:val="center"/>
          </w:tcPr>
          <w:p w14:paraId="1BF59960">
            <w:pPr>
              <w:pStyle w:val="13"/>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lang w:val="en-US" w:eastAsia="zh-CN"/>
              </w:rPr>
              <w:t>全自动提取模块</w:t>
            </w:r>
          </w:p>
        </w:tc>
        <w:tc>
          <w:tcPr>
            <w:tcW w:w="937" w:type="dxa"/>
            <w:tcBorders>
              <w:top w:val="single" w:color="auto" w:sz="4" w:space="0"/>
              <w:left w:val="single" w:color="auto" w:sz="4" w:space="0"/>
              <w:bottom w:val="single" w:color="auto" w:sz="4" w:space="0"/>
              <w:right w:val="single" w:color="auto" w:sz="4" w:space="0"/>
            </w:tcBorders>
            <w:vAlign w:val="center"/>
          </w:tcPr>
          <w:p w14:paraId="26AD1B34">
            <w:pPr>
              <w:pStyle w:val="13"/>
              <w:rPr>
                <w:rFonts w:hint="default" w:ascii="Times New Roman" w:hAnsi="Times New Roman" w:eastAsia="宋体" w:cs="Times New Roman"/>
                <w:sz w:val="24"/>
                <w:szCs w:val="24"/>
                <w:highlight w:val="none"/>
              </w:rPr>
            </w:pPr>
          </w:p>
        </w:tc>
        <w:tc>
          <w:tcPr>
            <w:tcW w:w="700" w:type="dxa"/>
            <w:tcBorders>
              <w:top w:val="single" w:color="auto" w:sz="4" w:space="0"/>
              <w:left w:val="single" w:color="auto" w:sz="4" w:space="0"/>
              <w:bottom w:val="single" w:color="auto" w:sz="4" w:space="0"/>
              <w:right w:val="single" w:color="auto" w:sz="4" w:space="0"/>
            </w:tcBorders>
            <w:vAlign w:val="center"/>
          </w:tcPr>
          <w:p w14:paraId="1244D103">
            <w:pPr>
              <w:pStyle w:val="13"/>
              <w:rPr>
                <w:rFonts w:hint="default" w:ascii="Times New Roman" w:hAnsi="Times New Roman" w:eastAsia="宋体" w:cs="Times New Roman"/>
                <w:highlight w:val="none"/>
              </w:rPr>
            </w:pPr>
          </w:p>
        </w:tc>
        <w:tc>
          <w:tcPr>
            <w:tcW w:w="1389" w:type="dxa"/>
            <w:tcBorders>
              <w:top w:val="single" w:color="auto" w:sz="4" w:space="0"/>
              <w:left w:val="single" w:color="auto" w:sz="4" w:space="0"/>
              <w:bottom w:val="single" w:color="auto" w:sz="4" w:space="0"/>
              <w:right w:val="single" w:color="auto" w:sz="4" w:space="0"/>
            </w:tcBorders>
            <w:vAlign w:val="center"/>
          </w:tcPr>
          <w:p w14:paraId="3865E873">
            <w:pPr>
              <w:pStyle w:val="13"/>
              <w:rPr>
                <w:rFonts w:hint="default" w:ascii="Times New Roman" w:hAnsi="Times New Roman" w:eastAsia="宋体" w:cs="Times New Roman"/>
                <w:highlight w:val="none"/>
              </w:rPr>
            </w:pPr>
          </w:p>
        </w:tc>
        <w:tc>
          <w:tcPr>
            <w:tcW w:w="1400" w:type="dxa"/>
            <w:tcBorders>
              <w:top w:val="single" w:color="auto" w:sz="4" w:space="0"/>
              <w:left w:val="single" w:color="auto" w:sz="4" w:space="0"/>
              <w:bottom w:val="single" w:color="auto" w:sz="4" w:space="0"/>
              <w:right w:val="single" w:color="auto" w:sz="4" w:space="0"/>
            </w:tcBorders>
            <w:vAlign w:val="center"/>
          </w:tcPr>
          <w:p w14:paraId="37957DA4">
            <w:pPr>
              <w:pStyle w:val="13"/>
              <w:rPr>
                <w:rFonts w:hint="default" w:ascii="Times New Roman" w:hAnsi="Times New Roman" w:eastAsia="宋体" w:cs="Times New Roman"/>
                <w:highlight w:val="none"/>
              </w:rPr>
            </w:pPr>
          </w:p>
        </w:tc>
        <w:tc>
          <w:tcPr>
            <w:tcW w:w="985" w:type="dxa"/>
            <w:tcBorders>
              <w:top w:val="single" w:color="auto" w:sz="4" w:space="0"/>
              <w:left w:val="single" w:color="auto" w:sz="4" w:space="0"/>
              <w:bottom w:val="single" w:color="auto" w:sz="4" w:space="0"/>
              <w:right w:val="single" w:color="auto" w:sz="4" w:space="0"/>
            </w:tcBorders>
            <w:vAlign w:val="center"/>
          </w:tcPr>
          <w:p w14:paraId="0A330693">
            <w:pPr>
              <w:pStyle w:val="13"/>
              <w:rPr>
                <w:rFonts w:hint="default" w:ascii="Times New Roman" w:hAnsi="Times New Roman" w:eastAsia="宋体" w:cs="Times New Roman"/>
                <w:highlight w:val="none"/>
              </w:rPr>
            </w:pPr>
          </w:p>
        </w:tc>
        <w:tc>
          <w:tcPr>
            <w:tcW w:w="1155" w:type="dxa"/>
            <w:tcBorders>
              <w:top w:val="single" w:color="auto" w:sz="4" w:space="0"/>
              <w:left w:val="single" w:color="auto" w:sz="4" w:space="0"/>
              <w:bottom w:val="single" w:color="auto" w:sz="4" w:space="0"/>
              <w:right w:val="single" w:color="auto" w:sz="4" w:space="0"/>
            </w:tcBorders>
          </w:tcPr>
          <w:p w14:paraId="59675E8C">
            <w:pPr>
              <w:pStyle w:val="13"/>
              <w:rPr>
                <w:rFonts w:hint="default" w:ascii="Times New Roman" w:hAnsi="Times New Roman" w:eastAsia="宋体" w:cs="Times New Roman"/>
                <w:highlight w:val="none"/>
              </w:rPr>
            </w:pPr>
          </w:p>
        </w:tc>
        <w:tc>
          <w:tcPr>
            <w:tcW w:w="813" w:type="dxa"/>
            <w:tcBorders>
              <w:top w:val="single" w:color="auto" w:sz="4" w:space="0"/>
              <w:left w:val="single" w:color="auto" w:sz="4" w:space="0"/>
              <w:bottom w:val="single" w:color="auto" w:sz="4" w:space="0"/>
              <w:right w:val="single" w:color="auto" w:sz="4" w:space="0"/>
            </w:tcBorders>
          </w:tcPr>
          <w:p w14:paraId="6973B642">
            <w:pPr>
              <w:pStyle w:val="13"/>
              <w:rPr>
                <w:rFonts w:hint="default" w:ascii="Times New Roman" w:hAnsi="Times New Roman" w:eastAsia="宋体" w:cs="Times New Roman"/>
                <w:highlight w:val="none"/>
              </w:rPr>
            </w:pPr>
          </w:p>
        </w:tc>
        <w:tc>
          <w:tcPr>
            <w:tcW w:w="909" w:type="dxa"/>
            <w:tcBorders>
              <w:top w:val="single" w:color="auto" w:sz="4" w:space="0"/>
              <w:left w:val="single" w:color="auto" w:sz="4" w:space="0"/>
              <w:bottom w:val="single" w:color="auto" w:sz="4" w:space="0"/>
              <w:right w:val="single" w:color="auto" w:sz="4" w:space="0"/>
            </w:tcBorders>
          </w:tcPr>
          <w:p w14:paraId="6B649BEE">
            <w:pPr>
              <w:pStyle w:val="13"/>
              <w:rPr>
                <w:rFonts w:hint="default" w:ascii="Times New Roman" w:hAnsi="Times New Roman" w:eastAsia="宋体" w:cs="Times New Roman"/>
                <w:highlight w:val="none"/>
              </w:rPr>
            </w:pPr>
          </w:p>
        </w:tc>
      </w:tr>
      <w:tr w14:paraId="10ADA9D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68B358D3">
            <w:pPr>
              <w:pStyle w:val="13"/>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3</w:t>
            </w:r>
          </w:p>
        </w:tc>
        <w:tc>
          <w:tcPr>
            <w:tcW w:w="1208" w:type="dxa"/>
            <w:tcBorders>
              <w:top w:val="single" w:color="auto" w:sz="4" w:space="0"/>
              <w:left w:val="single" w:color="auto" w:sz="4" w:space="0"/>
              <w:bottom w:val="single" w:color="auto" w:sz="4" w:space="0"/>
              <w:right w:val="single" w:color="auto" w:sz="4" w:space="0"/>
            </w:tcBorders>
            <w:vAlign w:val="center"/>
          </w:tcPr>
          <w:p w14:paraId="081C1EFB">
            <w:pPr>
              <w:pStyle w:val="13"/>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lang w:val="en-US" w:eastAsia="zh-CN"/>
              </w:rPr>
              <w:t>全自动建库模块</w:t>
            </w:r>
          </w:p>
        </w:tc>
        <w:tc>
          <w:tcPr>
            <w:tcW w:w="937" w:type="dxa"/>
            <w:tcBorders>
              <w:top w:val="single" w:color="auto" w:sz="4" w:space="0"/>
              <w:left w:val="single" w:color="auto" w:sz="4" w:space="0"/>
              <w:bottom w:val="single" w:color="auto" w:sz="4" w:space="0"/>
              <w:right w:val="single" w:color="auto" w:sz="4" w:space="0"/>
            </w:tcBorders>
            <w:vAlign w:val="center"/>
          </w:tcPr>
          <w:p w14:paraId="1003525D">
            <w:pPr>
              <w:pStyle w:val="13"/>
              <w:rPr>
                <w:rFonts w:hint="default" w:ascii="Times New Roman" w:hAnsi="Times New Roman" w:eastAsia="宋体" w:cs="Times New Roman"/>
                <w:sz w:val="24"/>
                <w:szCs w:val="24"/>
                <w:highlight w:val="none"/>
              </w:rPr>
            </w:pPr>
          </w:p>
        </w:tc>
        <w:tc>
          <w:tcPr>
            <w:tcW w:w="700" w:type="dxa"/>
            <w:tcBorders>
              <w:top w:val="single" w:color="auto" w:sz="4" w:space="0"/>
              <w:left w:val="single" w:color="auto" w:sz="4" w:space="0"/>
              <w:bottom w:val="single" w:color="auto" w:sz="4" w:space="0"/>
              <w:right w:val="single" w:color="auto" w:sz="4" w:space="0"/>
            </w:tcBorders>
            <w:vAlign w:val="center"/>
          </w:tcPr>
          <w:p w14:paraId="769B97C8">
            <w:pPr>
              <w:pStyle w:val="13"/>
              <w:rPr>
                <w:rFonts w:hint="default" w:ascii="Times New Roman" w:hAnsi="Times New Roman" w:eastAsia="宋体" w:cs="Times New Roman"/>
                <w:highlight w:val="none"/>
              </w:rPr>
            </w:pPr>
          </w:p>
        </w:tc>
        <w:tc>
          <w:tcPr>
            <w:tcW w:w="1389" w:type="dxa"/>
            <w:tcBorders>
              <w:top w:val="single" w:color="auto" w:sz="4" w:space="0"/>
              <w:left w:val="single" w:color="auto" w:sz="4" w:space="0"/>
              <w:bottom w:val="single" w:color="auto" w:sz="4" w:space="0"/>
              <w:right w:val="single" w:color="auto" w:sz="4" w:space="0"/>
            </w:tcBorders>
            <w:vAlign w:val="center"/>
          </w:tcPr>
          <w:p w14:paraId="2638ED9F">
            <w:pPr>
              <w:pStyle w:val="13"/>
              <w:rPr>
                <w:rFonts w:hint="default" w:ascii="Times New Roman" w:hAnsi="Times New Roman" w:eastAsia="宋体" w:cs="Times New Roman"/>
                <w:highlight w:val="none"/>
              </w:rPr>
            </w:pPr>
          </w:p>
        </w:tc>
        <w:tc>
          <w:tcPr>
            <w:tcW w:w="1400" w:type="dxa"/>
            <w:tcBorders>
              <w:top w:val="single" w:color="auto" w:sz="4" w:space="0"/>
              <w:left w:val="single" w:color="auto" w:sz="4" w:space="0"/>
              <w:bottom w:val="single" w:color="auto" w:sz="4" w:space="0"/>
              <w:right w:val="single" w:color="auto" w:sz="4" w:space="0"/>
            </w:tcBorders>
            <w:vAlign w:val="center"/>
          </w:tcPr>
          <w:p w14:paraId="1AADB5AF">
            <w:pPr>
              <w:pStyle w:val="13"/>
              <w:rPr>
                <w:rFonts w:hint="default" w:ascii="Times New Roman" w:hAnsi="Times New Roman" w:eastAsia="宋体" w:cs="Times New Roman"/>
                <w:highlight w:val="none"/>
              </w:rPr>
            </w:pPr>
          </w:p>
        </w:tc>
        <w:tc>
          <w:tcPr>
            <w:tcW w:w="985" w:type="dxa"/>
            <w:tcBorders>
              <w:top w:val="single" w:color="auto" w:sz="4" w:space="0"/>
              <w:left w:val="single" w:color="auto" w:sz="4" w:space="0"/>
              <w:bottom w:val="single" w:color="auto" w:sz="4" w:space="0"/>
              <w:right w:val="single" w:color="auto" w:sz="4" w:space="0"/>
            </w:tcBorders>
            <w:vAlign w:val="center"/>
          </w:tcPr>
          <w:p w14:paraId="35AAC508">
            <w:pPr>
              <w:pStyle w:val="13"/>
              <w:rPr>
                <w:rFonts w:hint="default" w:ascii="Times New Roman" w:hAnsi="Times New Roman" w:eastAsia="宋体" w:cs="Times New Roman"/>
                <w:highlight w:val="none"/>
              </w:rPr>
            </w:pPr>
          </w:p>
        </w:tc>
        <w:tc>
          <w:tcPr>
            <w:tcW w:w="1155" w:type="dxa"/>
            <w:tcBorders>
              <w:top w:val="single" w:color="auto" w:sz="4" w:space="0"/>
              <w:left w:val="single" w:color="auto" w:sz="4" w:space="0"/>
              <w:bottom w:val="single" w:color="auto" w:sz="4" w:space="0"/>
              <w:right w:val="single" w:color="auto" w:sz="4" w:space="0"/>
            </w:tcBorders>
          </w:tcPr>
          <w:p w14:paraId="09388F93">
            <w:pPr>
              <w:pStyle w:val="13"/>
              <w:rPr>
                <w:rFonts w:hint="default" w:ascii="Times New Roman" w:hAnsi="Times New Roman" w:eastAsia="宋体" w:cs="Times New Roman"/>
                <w:highlight w:val="none"/>
              </w:rPr>
            </w:pPr>
          </w:p>
        </w:tc>
        <w:tc>
          <w:tcPr>
            <w:tcW w:w="813" w:type="dxa"/>
            <w:tcBorders>
              <w:top w:val="single" w:color="auto" w:sz="4" w:space="0"/>
              <w:left w:val="single" w:color="auto" w:sz="4" w:space="0"/>
              <w:bottom w:val="single" w:color="auto" w:sz="4" w:space="0"/>
              <w:right w:val="single" w:color="auto" w:sz="4" w:space="0"/>
            </w:tcBorders>
          </w:tcPr>
          <w:p w14:paraId="427E3A4E">
            <w:pPr>
              <w:pStyle w:val="13"/>
              <w:rPr>
                <w:rFonts w:hint="default" w:ascii="Times New Roman" w:hAnsi="Times New Roman" w:eastAsia="宋体" w:cs="Times New Roman"/>
                <w:highlight w:val="none"/>
              </w:rPr>
            </w:pPr>
          </w:p>
        </w:tc>
        <w:tc>
          <w:tcPr>
            <w:tcW w:w="909" w:type="dxa"/>
            <w:tcBorders>
              <w:top w:val="single" w:color="auto" w:sz="4" w:space="0"/>
              <w:left w:val="single" w:color="auto" w:sz="4" w:space="0"/>
              <w:bottom w:val="single" w:color="auto" w:sz="4" w:space="0"/>
              <w:right w:val="single" w:color="auto" w:sz="4" w:space="0"/>
            </w:tcBorders>
          </w:tcPr>
          <w:p w14:paraId="5AE1CAAE">
            <w:pPr>
              <w:pStyle w:val="13"/>
              <w:rPr>
                <w:rFonts w:hint="default" w:ascii="Times New Roman" w:hAnsi="Times New Roman" w:eastAsia="宋体" w:cs="Times New Roman"/>
                <w:highlight w:val="none"/>
              </w:rPr>
            </w:pPr>
          </w:p>
        </w:tc>
      </w:tr>
      <w:tr w14:paraId="69F23D7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025DAA22">
            <w:pPr>
              <w:pStyle w:val="13"/>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4</w:t>
            </w:r>
          </w:p>
        </w:tc>
        <w:tc>
          <w:tcPr>
            <w:tcW w:w="1208" w:type="dxa"/>
            <w:tcBorders>
              <w:top w:val="single" w:color="auto" w:sz="4" w:space="0"/>
              <w:left w:val="single" w:color="auto" w:sz="4" w:space="0"/>
              <w:bottom w:val="single" w:color="auto" w:sz="4" w:space="0"/>
              <w:right w:val="single" w:color="auto" w:sz="4" w:space="0"/>
            </w:tcBorders>
            <w:vAlign w:val="center"/>
          </w:tcPr>
          <w:p w14:paraId="31A0B583">
            <w:pPr>
              <w:pStyle w:val="13"/>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lang w:val="en-US" w:eastAsia="zh-CN"/>
              </w:rPr>
              <w:t>智能交付系统</w:t>
            </w:r>
          </w:p>
        </w:tc>
        <w:tc>
          <w:tcPr>
            <w:tcW w:w="937" w:type="dxa"/>
            <w:tcBorders>
              <w:top w:val="single" w:color="auto" w:sz="4" w:space="0"/>
              <w:left w:val="single" w:color="auto" w:sz="4" w:space="0"/>
              <w:bottom w:val="single" w:color="auto" w:sz="4" w:space="0"/>
              <w:right w:val="single" w:color="auto" w:sz="4" w:space="0"/>
            </w:tcBorders>
            <w:vAlign w:val="center"/>
          </w:tcPr>
          <w:p w14:paraId="4A3880A9">
            <w:pPr>
              <w:pStyle w:val="13"/>
              <w:rPr>
                <w:rFonts w:hint="default" w:ascii="Times New Roman" w:hAnsi="Times New Roman" w:eastAsia="宋体" w:cs="Times New Roman"/>
                <w:sz w:val="24"/>
                <w:szCs w:val="24"/>
                <w:highlight w:val="none"/>
              </w:rPr>
            </w:pPr>
          </w:p>
        </w:tc>
        <w:tc>
          <w:tcPr>
            <w:tcW w:w="700" w:type="dxa"/>
            <w:tcBorders>
              <w:top w:val="single" w:color="auto" w:sz="4" w:space="0"/>
              <w:left w:val="single" w:color="auto" w:sz="4" w:space="0"/>
              <w:bottom w:val="single" w:color="auto" w:sz="4" w:space="0"/>
              <w:right w:val="single" w:color="auto" w:sz="4" w:space="0"/>
            </w:tcBorders>
            <w:vAlign w:val="center"/>
          </w:tcPr>
          <w:p w14:paraId="502E34AA">
            <w:pPr>
              <w:pStyle w:val="13"/>
              <w:rPr>
                <w:rFonts w:hint="default" w:ascii="Times New Roman" w:hAnsi="Times New Roman" w:eastAsia="宋体" w:cs="Times New Roman"/>
                <w:highlight w:val="none"/>
              </w:rPr>
            </w:pPr>
          </w:p>
        </w:tc>
        <w:tc>
          <w:tcPr>
            <w:tcW w:w="1389" w:type="dxa"/>
            <w:tcBorders>
              <w:top w:val="single" w:color="auto" w:sz="4" w:space="0"/>
              <w:left w:val="single" w:color="auto" w:sz="4" w:space="0"/>
              <w:bottom w:val="single" w:color="auto" w:sz="4" w:space="0"/>
              <w:right w:val="single" w:color="auto" w:sz="4" w:space="0"/>
            </w:tcBorders>
            <w:vAlign w:val="center"/>
          </w:tcPr>
          <w:p w14:paraId="65C247A8">
            <w:pPr>
              <w:pStyle w:val="13"/>
              <w:rPr>
                <w:rFonts w:hint="default" w:ascii="Times New Roman" w:hAnsi="Times New Roman" w:eastAsia="宋体" w:cs="Times New Roman"/>
                <w:highlight w:val="none"/>
              </w:rPr>
            </w:pPr>
          </w:p>
        </w:tc>
        <w:tc>
          <w:tcPr>
            <w:tcW w:w="1400" w:type="dxa"/>
            <w:tcBorders>
              <w:top w:val="single" w:color="auto" w:sz="4" w:space="0"/>
              <w:left w:val="single" w:color="auto" w:sz="4" w:space="0"/>
              <w:bottom w:val="single" w:color="auto" w:sz="4" w:space="0"/>
              <w:right w:val="single" w:color="auto" w:sz="4" w:space="0"/>
            </w:tcBorders>
            <w:vAlign w:val="center"/>
          </w:tcPr>
          <w:p w14:paraId="300F4B01">
            <w:pPr>
              <w:pStyle w:val="13"/>
              <w:rPr>
                <w:rFonts w:hint="default" w:ascii="Times New Roman" w:hAnsi="Times New Roman" w:eastAsia="宋体" w:cs="Times New Roman"/>
                <w:highlight w:val="none"/>
              </w:rPr>
            </w:pPr>
          </w:p>
        </w:tc>
        <w:tc>
          <w:tcPr>
            <w:tcW w:w="985" w:type="dxa"/>
            <w:tcBorders>
              <w:top w:val="single" w:color="auto" w:sz="4" w:space="0"/>
              <w:left w:val="single" w:color="auto" w:sz="4" w:space="0"/>
              <w:bottom w:val="single" w:color="auto" w:sz="4" w:space="0"/>
              <w:right w:val="single" w:color="auto" w:sz="4" w:space="0"/>
            </w:tcBorders>
            <w:vAlign w:val="center"/>
          </w:tcPr>
          <w:p w14:paraId="090CC63F">
            <w:pPr>
              <w:pStyle w:val="13"/>
              <w:rPr>
                <w:rFonts w:hint="default" w:ascii="Times New Roman" w:hAnsi="Times New Roman" w:eastAsia="宋体" w:cs="Times New Roman"/>
                <w:highlight w:val="none"/>
              </w:rPr>
            </w:pPr>
          </w:p>
        </w:tc>
        <w:tc>
          <w:tcPr>
            <w:tcW w:w="1155" w:type="dxa"/>
            <w:tcBorders>
              <w:top w:val="single" w:color="auto" w:sz="4" w:space="0"/>
              <w:left w:val="single" w:color="auto" w:sz="4" w:space="0"/>
              <w:bottom w:val="single" w:color="auto" w:sz="4" w:space="0"/>
              <w:right w:val="single" w:color="auto" w:sz="4" w:space="0"/>
            </w:tcBorders>
          </w:tcPr>
          <w:p w14:paraId="269F3220">
            <w:pPr>
              <w:pStyle w:val="13"/>
              <w:rPr>
                <w:rFonts w:hint="default" w:ascii="Times New Roman" w:hAnsi="Times New Roman" w:eastAsia="宋体" w:cs="Times New Roman"/>
                <w:highlight w:val="none"/>
              </w:rPr>
            </w:pPr>
          </w:p>
        </w:tc>
        <w:tc>
          <w:tcPr>
            <w:tcW w:w="813" w:type="dxa"/>
            <w:tcBorders>
              <w:top w:val="single" w:color="auto" w:sz="4" w:space="0"/>
              <w:left w:val="single" w:color="auto" w:sz="4" w:space="0"/>
              <w:bottom w:val="single" w:color="auto" w:sz="4" w:space="0"/>
              <w:right w:val="single" w:color="auto" w:sz="4" w:space="0"/>
            </w:tcBorders>
          </w:tcPr>
          <w:p w14:paraId="79F0AD39">
            <w:pPr>
              <w:pStyle w:val="13"/>
              <w:rPr>
                <w:rFonts w:hint="default" w:ascii="Times New Roman" w:hAnsi="Times New Roman" w:eastAsia="宋体" w:cs="Times New Roman"/>
                <w:highlight w:val="none"/>
              </w:rPr>
            </w:pPr>
          </w:p>
        </w:tc>
        <w:tc>
          <w:tcPr>
            <w:tcW w:w="909" w:type="dxa"/>
            <w:tcBorders>
              <w:top w:val="single" w:color="auto" w:sz="4" w:space="0"/>
              <w:left w:val="single" w:color="auto" w:sz="4" w:space="0"/>
              <w:bottom w:val="single" w:color="auto" w:sz="4" w:space="0"/>
              <w:right w:val="single" w:color="auto" w:sz="4" w:space="0"/>
            </w:tcBorders>
          </w:tcPr>
          <w:p w14:paraId="2E1C992A">
            <w:pPr>
              <w:pStyle w:val="13"/>
              <w:rPr>
                <w:rFonts w:hint="default" w:ascii="Times New Roman" w:hAnsi="Times New Roman" w:eastAsia="宋体" w:cs="Times New Roman"/>
                <w:highlight w:val="none"/>
              </w:rPr>
            </w:pPr>
          </w:p>
        </w:tc>
      </w:tr>
    </w:tbl>
    <w:p w14:paraId="4B437B5D">
      <w:pPr>
        <w:pStyle w:val="13"/>
        <w:spacing w:line="360" w:lineRule="auto"/>
        <w:rPr>
          <w:rFonts w:hint="default" w:ascii="Times New Roman" w:hAnsi="Times New Roman" w:eastAsia="宋体" w:cs="Times New Roman"/>
          <w:sz w:val="24"/>
          <w:szCs w:val="24"/>
          <w:highlight w:val="none"/>
          <w:u w:val="single"/>
        </w:rPr>
      </w:pPr>
    </w:p>
    <w:p w14:paraId="18D06CE2">
      <w:pPr>
        <w:pStyle w:val="13"/>
        <w:spacing w:before="156" w:beforeLines="50" w:line="360" w:lineRule="auto"/>
        <w:rPr>
          <w:rFonts w:hint="default" w:ascii="Times New Roman" w:hAnsi="Times New Roman" w:eastAsia="宋体" w:cs="Times New Roman"/>
          <w:sz w:val="24"/>
          <w:szCs w:val="24"/>
          <w:highlight w:val="none"/>
        </w:rPr>
      </w:pPr>
    </w:p>
    <w:p w14:paraId="56B23D3A">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投标人授权代表签字：</w:t>
      </w:r>
      <w:r>
        <w:rPr>
          <w:rFonts w:hint="default" w:ascii="Times New Roman" w:hAnsi="Times New Roman" w:eastAsia="宋体" w:cs="Times New Roman"/>
          <w:sz w:val="24"/>
          <w:szCs w:val="24"/>
          <w:highlight w:val="none"/>
          <w:u w:val="single"/>
        </w:rPr>
        <w:t xml:space="preserve">               </w:t>
      </w:r>
    </w:p>
    <w:p w14:paraId="1038F57A">
      <w:pPr>
        <w:spacing w:line="360" w:lineRule="auto"/>
        <w:rPr>
          <w:rFonts w:hint="default" w:ascii="Times New Roman" w:hAnsi="Times New Roman" w:eastAsia="宋体" w:cs="Times New Roman"/>
          <w:sz w:val="24"/>
          <w:szCs w:val="24"/>
          <w:highlight w:val="none"/>
          <w:u w:val="single"/>
        </w:rPr>
      </w:pPr>
      <w:r>
        <w:rPr>
          <w:rFonts w:hint="default" w:ascii="Times New Roman" w:hAnsi="Times New Roman" w:eastAsia="宋体" w:cs="Times New Roman"/>
          <w:sz w:val="24"/>
          <w:szCs w:val="24"/>
          <w:highlight w:val="none"/>
        </w:rPr>
        <w:t>投标人名称：</w:t>
      </w:r>
      <w:r>
        <w:rPr>
          <w:rFonts w:hint="default" w:ascii="Times New Roman" w:hAnsi="Times New Roman" w:eastAsia="宋体" w:cs="Times New Roman"/>
          <w:sz w:val="24"/>
          <w:szCs w:val="24"/>
          <w:highlight w:val="none"/>
          <w:u w:val="single"/>
        </w:rPr>
        <w:t xml:space="preserve">               </w:t>
      </w:r>
      <w:r>
        <w:rPr>
          <w:rFonts w:hint="default" w:ascii="Times New Roman" w:hAnsi="Times New Roman" w:eastAsia="宋体" w:cs="Times New Roman"/>
          <w:sz w:val="24"/>
          <w:szCs w:val="24"/>
          <w:highlight w:val="none"/>
        </w:rPr>
        <w:t>（加盖公章）</w:t>
      </w:r>
    </w:p>
    <w:p w14:paraId="30C44FC7">
      <w:pPr>
        <w:pStyle w:val="13"/>
        <w:tabs>
          <w:tab w:val="left" w:pos="5370"/>
        </w:tabs>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注：</w:t>
      </w:r>
    </w:p>
    <w:p w14:paraId="4ACA288A">
      <w:pPr>
        <w:pStyle w:val="13"/>
        <w:numPr>
          <w:ilvl w:val="0"/>
          <w:numId w:val="21"/>
        </w:num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本表按包填写</w:t>
      </w:r>
    </w:p>
    <w:p w14:paraId="358CE459">
      <w:pPr>
        <w:pStyle w:val="13"/>
        <w:numPr>
          <w:ilvl w:val="0"/>
          <w:numId w:val="21"/>
        </w:num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若投标人所投货物为小型微型企业产品，应在备注栏标明，同时提供中小企业声明函。</w:t>
      </w:r>
    </w:p>
    <w:p w14:paraId="3D6AA9A2">
      <w:pPr>
        <w:widowControl/>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br w:type="page"/>
      </w:r>
    </w:p>
    <w:p w14:paraId="7DB42ACA">
      <w:pPr>
        <w:widowControl/>
        <w:spacing w:line="360" w:lineRule="auto"/>
        <w:rPr>
          <w:rFonts w:hint="default" w:ascii="Times New Roman" w:hAnsi="Times New Roman" w:eastAsia="宋体" w:cs="Times New Roman"/>
          <w:sz w:val="24"/>
          <w:szCs w:val="24"/>
          <w:highlight w:val="none"/>
        </w:rPr>
      </w:pPr>
    </w:p>
    <w:p w14:paraId="70794206">
      <w:pPr>
        <w:pStyle w:val="3"/>
        <w:tabs>
          <w:tab w:val="left" w:pos="5580"/>
        </w:tabs>
        <w:spacing w:line="360" w:lineRule="auto"/>
        <w:jc w:val="both"/>
        <w:rPr>
          <w:rFonts w:hint="default" w:ascii="Times New Roman" w:hAnsi="Times New Roman" w:eastAsia="宋体" w:cs="Times New Roman"/>
          <w:b/>
          <w:bCs/>
          <w:highlight w:val="none"/>
        </w:rPr>
      </w:pPr>
      <w:r>
        <w:rPr>
          <w:rFonts w:hint="default" w:ascii="Times New Roman" w:hAnsi="Times New Roman" w:eastAsia="宋体" w:cs="Times New Roman"/>
          <w:b/>
          <w:bCs/>
          <w:highlight w:val="none"/>
        </w:rPr>
        <w:t>★附件5：技术要求逐条应答表</w:t>
      </w:r>
    </w:p>
    <w:p w14:paraId="61115EE8">
      <w:pPr>
        <w:spacing w:line="360" w:lineRule="auto"/>
        <w:rPr>
          <w:rFonts w:hint="default" w:ascii="Times New Roman" w:hAnsi="Times New Roman" w:eastAsia="宋体" w:cs="Times New Roman"/>
          <w:sz w:val="24"/>
          <w:szCs w:val="24"/>
          <w:highlight w:val="none"/>
        </w:rPr>
      </w:pPr>
    </w:p>
    <w:p w14:paraId="11D0872B">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项目名称：</w:t>
      </w:r>
      <w:r>
        <w:rPr>
          <w:rFonts w:hint="default" w:ascii="Times New Roman" w:hAnsi="Times New Roman" w:eastAsia="宋体" w:cs="Times New Roman"/>
          <w:sz w:val="24"/>
          <w:szCs w:val="24"/>
          <w:highlight w:val="none"/>
          <w:u w:val="single"/>
        </w:rPr>
        <w:t xml:space="preserve">                               </w:t>
      </w:r>
    </w:p>
    <w:p w14:paraId="26AA9264">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szCs w:val="24"/>
          <w:highlight w:val="none"/>
        </w:rPr>
        <w:t>招标编号/包号：</w:t>
      </w:r>
      <w:r>
        <w:rPr>
          <w:rFonts w:hint="default" w:ascii="Times New Roman" w:hAnsi="Times New Roman" w:eastAsia="宋体" w:cs="Times New Roman"/>
          <w:sz w:val="24"/>
          <w:szCs w:val="24"/>
          <w:highlight w:val="none"/>
          <w:u w:val="single"/>
        </w:rPr>
        <w:t xml:space="preserve">                   /1       </w:t>
      </w:r>
    </w:p>
    <w:tbl>
      <w:tblPr>
        <w:tblStyle w:val="28"/>
        <w:tblW w:w="86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2100"/>
        <w:gridCol w:w="1983"/>
        <w:gridCol w:w="2196"/>
        <w:gridCol w:w="1561"/>
      </w:tblGrid>
      <w:tr w14:paraId="67A80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2" w:hRule="atLeast"/>
        </w:trPr>
        <w:tc>
          <w:tcPr>
            <w:tcW w:w="817" w:type="dxa"/>
            <w:vAlign w:val="center"/>
          </w:tcPr>
          <w:p w14:paraId="249B7A00">
            <w:pPr>
              <w:autoSpaceDE w:val="0"/>
              <w:autoSpaceDN w:val="0"/>
              <w:spacing w:line="360" w:lineRule="auto"/>
              <w:textAlignment w:val="bottom"/>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序号</w:t>
            </w:r>
          </w:p>
        </w:tc>
        <w:tc>
          <w:tcPr>
            <w:tcW w:w="2100" w:type="dxa"/>
            <w:vAlign w:val="center"/>
          </w:tcPr>
          <w:p w14:paraId="2500A670">
            <w:pPr>
              <w:autoSpaceDE w:val="0"/>
              <w:autoSpaceDN w:val="0"/>
              <w:spacing w:line="360" w:lineRule="auto"/>
              <w:textAlignment w:val="bottom"/>
              <w:rPr>
                <w:rFonts w:hint="default" w:ascii="Times New Roman" w:hAnsi="Times New Roman" w:eastAsia="宋体" w:cs="Times New Roman"/>
                <w:highlight w:val="none"/>
              </w:rPr>
            </w:pPr>
            <w:r>
              <w:rPr>
                <w:rFonts w:hint="default" w:ascii="Times New Roman" w:hAnsi="Times New Roman" w:eastAsia="宋体" w:cs="Times New Roman"/>
                <w:sz w:val="24"/>
                <w:highlight w:val="none"/>
              </w:rPr>
              <w:t>招标文件技术要求内容</w:t>
            </w:r>
          </w:p>
        </w:tc>
        <w:tc>
          <w:tcPr>
            <w:tcW w:w="1983" w:type="dxa"/>
            <w:vAlign w:val="center"/>
          </w:tcPr>
          <w:p w14:paraId="62D84F26">
            <w:pPr>
              <w:autoSpaceDE w:val="0"/>
              <w:autoSpaceDN w:val="0"/>
              <w:spacing w:line="360" w:lineRule="auto"/>
              <w:textAlignment w:val="bottom"/>
              <w:rPr>
                <w:rFonts w:hint="default" w:ascii="Times New Roman" w:hAnsi="Times New Roman" w:eastAsia="宋体" w:cs="Times New Roman"/>
                <w:highlight w:val="none"/>
              </w:rPr>
            </w:pPr>
            <w:r>
              <w:rPr>
                <w:rFonts w:hint="default" w:ascii="Times New Roman" w:hAnsi="Times New Roman" w:eastAsia="宋体" w:cs="Times New Roman"/>
                <w:sz w:val="24"/>
                <w:highlight w:val="none"/>
              </w:rPr>
              <w:t>投标文件应答内容</w:t>
            </w:r>
          </w:p>
        </w:tc>
        <w:tc>
          <w:tcPr>
            <w:tcW w:w="2196" w:type="dxa"/>
            <w:vAlign w:val="center"/>
          </w:tcPr>
          <w:p w14:paraId="276FCA27">
            <w:pPr>
              <w:autoSpaceDE w:val="0"/>
              <w:autoSpaceDN w:val="0"/>
              <w:spacing w:line="360" w:lineRule="auto"/>
              <w:textAlignment w:val="bottom"/>
              <w:rPr>
                <w:rFonts w:hint="default" w:ascii="Times New Roman" w:hAnsi="Times New Roman" w:eastAsia="宋体" w:cs="Times New Roman"/>
                <w:highlight w:val="none"/>
              </w:rPr>
            </w:pPr>
            <w:r>
              <w:rPr>
                <w:rFonts w:hint="default" w:ascii="Times New Roman" w:hAnsi="Times New Roman" w:eastAsia="宋体" w:cs="Times New Roman"/>
                <w:sz w:val="24"/>
                <w:highlight w:val="none"/>
              </w:rPr>
              <w:t>相关技术证明文件中的描述在投标文件中的具体页码（如需提供）</w:t>
            </w:r>
          </w:p>
        </w:tc>
        <w:tc>
          <w:tcPr>
            <w:tcW w:w="1561" w:type="dxa"/>
            <w:vAlign w:val="center"/>
          </w:tcPr>
          <w:p w14:paraId="45DD5D40">
            <w:pPr>
              <w:autoSpaceDE w:val="0"/>
              <w:autoSpaceDN w:val="0"/>
              <w:spacing w:line="360" w:lineRule="auto"/>
              <w:textAlignment w:val="bottom"/>
              <w:rPr>
                <w:rFonts w:hint="default" w:ascii="Times New Roman" w:hAnsi="Times New Roman" w:eastAsia="宋体" w:cs="Times New Roman"/>
                <w:highlight w:val="none"/>
              </w:rPr>
            </w:pPr>
            <w:r>
              <w:rPr>
                <w:rFonts w:hint="default" w:ascii="Times New Roman" w:hAnsi="Times New Roman" w:eastAsia="宋体" w:cs="Times New Roman"/>
                <w:sz w:val="24"/>
                <w:highlight w:val="none"/>
              </w:rPr>
              <w:t>偏离说明（无偏离，正/负偏离及偏离情况）</w:t>
            </w:r>
          </w:p>
        </w:tc>
      </w:tr>
      <w:tr w14:paraId="68F0A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817" w:type="dxa"/>
          </w:tcPr>
          <w:p w14:paraId="4209C096">
            <w:pPr>
              <w:autoSpaceDE w:val="0"/>
              <w:autoSpaceDN w:val="0"/>
              <w:spacing w:line="360" w:lineRule="auto"/>
              <w:textAlignment w:val="bottom"/>
              <w:rPr>
                <w:rFonts w:hint="default" w:ascii="Times New Roman" w:hAnsi="Times New Roman" w:eastAsia="宋体" w:cs="Times New Roman"/>
                <w:highlight w:val="none"/>
              </w:rPr>
            </w:pPr>
          </w:p>
        </w:tc>
        <w:tc>
          <w:tcPr>
            <w:tcW w:w="2100" w:type="dxa"/>
          </w:tcPr>
          <w:p w14:paraId="5BC2CE43">
            <w:pPr>
              <w:autoSpaceDE w:val="0"/>
              <w:autoSpaceDN w:val="0"/>
              <w:spacing w:line="360" w:lineRule="auto"/>
              <w:textAlignment w:val="bottom"/>
              <w:rPr>
                <w:rFonts w:hint="default" w:ascii="Times New Roman" w:hAnsi="Times New Roman" w:eastAsia="宋体" w:cs="Times New Roman"/>
                <w:highlight w:val="none"/>
              </w:rPr>
            </w:pPr>
          </w:p>
        </w:tc>
        <w:tc>
          <w:tcPr>
            <w:tcW w:w="1983" w:type="dxa"/>
          </w:tcPr>
          <w:p w14:paraId="163816C7">
            <w:pPr>
              <w:autoSpaceDE w:val="0"/>
              <w:autoSpaceDN w:val="0"/>
              <w:spacing w:line="360" w:lineRule="auto"/>
              <w:textAlignment w:val="bottom"/>
              <w:rPr>
                <w:rFonts w:hint="default" w:ascii="Times New Roman" w:hAnsi="Times New Roman" w:eastAsia="宋体" w:cs="Times New Roman"/>
                <w:highlight w:val="none"/>
              </w:rPr>
            </w:pPr>
          </w:p>
        </w:tc>
        <w:tc>
          <w:tcPr>
            <w:tcW w:w="2196" w:type="dxa"/>
          </w:tcPr>
          <w:p w14:paraId="37F75BFA">
            <w:pPr>
              <w:autoSpaceDE w:val="0"/>
              <w:autoSpaceDN w:val="0"/>
              <w:spacing w:line="360" w:lineRule="auto"/>
              <w:textAlignment w:val="bottom"/>
              <w:rPr>
                <w:rFonts w:hint="default" w:ascii="Times New Roman" w:hAnsi="Times New Roman" w:eastAsia="宋体" w:cs="Times New Roman"/>
                <w:highlight w:val="none"/>
              </w:rPr>
            </w:pPr>
          </w:p>
        </w:tc>
        <w:tc>
          <w:tcPr>
            <w:tcW w:w="1561" w:type="dxa"/>
          </w:tcPr>
          <w:p w14:paraId="576DFC7B">
            <w:pPr>
              <w:autoSpaceDE w:val="0"/>
              <w:autoSpaceDN w:val="0"/>
              <w:spacing w:line="360" w:lineRule="auto"/>
              <w:textAlignment w:val="bottom"/>
              <w:rPr>
                <w:rFonts w:hint="default" w:ascii="Times New Roman" w:hAnsi="Times New Roman" w:eastAsia="宋体" w:cs="Times New Roman"/>
                <w:highlight w:val="none"/>
              </w:rPr>
            </w:pPr>
          </w:p>
        </w:tc>
      </w:tr>
      <w:tr w14:paraId="7CD16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817" w:type="dxa"/>
          </w:tcPr>
          <w:p w14:paraId="1E34DA27">
            <w:pPr>
              <w:autoSpaceDE w:val="0"/>
              <w:autoSpaceDN w:val="0"/>
              <w:spacing w:line="360" w:lineRule="auto"/>
              <w:textAlignment w:val="bottom"/>
              <w:rPr>
                <w:rFonts w:hint="default" w:ascii="Times New Roman" w:hAnsi="Times New Roman" w:eastAsia="宋体" w:cs="Times New Roman"/>
                <w:b/>
                <w:highlight w:val="none"/>
              </w:rPr>
            </w:pPr>
          </w:p>
        </w:tc>
        <w:tc>
          <w:tcPr>
            <w:tcW w:w="2100" w:type="dxa"/>
          </w:tcPr>
          <w:p w14:paraId="66513CB5">
            <w:pPr>
              <w:autoSpaceDE w:val="0"/>
              <w:autoSpaceDN w:val="0"/>
              <w:spacing w:line="360" w:lineRule="auto"/>
              <w:textAlignment w:val="bottom"/>
              <w:rPr>
                <w:rFonts w:hint="default" w:ascii="Times New Roman" w:hAnsi="Times New Roman" w:eastAsia="宋体" w:cs="Times New Roman"/>
                <w:b/>
                <w:highlight w:val="none"/>
              </w:rPr>
            </w:pPr>
          </w:p>
        </w:tc>
        <w:tc>
          <w:tcPr>
            <w:tcW w:w="1983" w:type="dxa"/>
          </w:tcPr>
          <w:p w14:paraId="390FB6DE">
            <w:pPr>
              <w:autoSpaceDE w:val="0"/>
              <w:autoSpaceDN w:val="0"/>
              <w:spacing w:line="360" w:lineRule="auto"/>
              <w:textAlignment w:val="bottom"/>
              <w:rPr>
                <w:rFonts w:hint="default" w:ascii="Times New Roman" w:hAnsi="Times New Roman" w:eastAsia="宋体" w:cs="Times New Roman"/>
                <w:b/>
                <w:highlight w:val="none"/>
              </w:rPr>
            </w:pPr>
          </w:p>
        </w:tc>
        <w:tc>
          <w:tcPr>
            <w:tcW w:w="2196" w:type="dxa"/>
          </w:tcPr>
          <w:p w14:paraId="543AA89D">
            <w:pPr>
              <w:autoSpaceDE w:val="0"/>
              <w:autoSpaceDN w:val="0"/>
              <w:spacing w:line="360" w:lineRule="auto"/>
              <w:textAlignment w:val="bottom"/>
              <w:rPr>
                <w:rFonts w:hint="default" w:ascii="Times New Roman" w:hAnsi="Times New Roman" w:eastAsia="宋体" w:cs="Times New Roman"/>
                <w:b/>
                <w:highlight w:val="none"/>
              </w:rPr>
            </w:pPr>
          </w:p>
        </w:tc>
        <w:tc>
          <w:tcPr>
            <w:tcW w:w="1561" w:type="dxa"/>
          </w:tcPr>
          <w:p w14:paraId="07F54F29">
            <w:pPr>
              <w:autoSpaceDE w:val="0"/>
              <w:autoSpaceDN w:val="0"/>
              <w:spacing w:line="360" w:lineRule="auto"/>
              <w:textAlignment w:val="bottom"/>
              <w:rPr>
                <w:rFonts w:hint="default" w:ascii="Times New Roman" w:hAnsi="Times New Roman" w:eastAsia="宋体" w:cs="Times New Roman"/>
                <w:b/>
                <w:highlight w:val="none"/>
              </w:rPr>
            </w:pPr>
          </w:p>
        </w:tc>
      </w:tr>
      <w:tr w14:paraId="3E397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817" w:type="dxa"/>
          </w:tcPr>
          <w:p w14:paraId="6DA8DD55">
            <w:pPr>
              <w:autoSpaceDE w:val="0"/>
              <w:autoSpaceDN w:val="0"/>
              <w:spacing w:line="360" w:lineRule="auto"/>
              <w:textAlignment w:val="bottom"/>
              <w:rPr>
                <w:rFonts w:hint="default" w:ascii="Times New Roman" w:hAnsi="Times New Roman" w:eastAsia="宋体" w:cs="Times New Roman"/>
                <w:b/>
                <w:highlight w:val="none"/>
              </w:rPr>
            </w:pPr>
          </w:p>
        </w:tc>
        <w:tc>
          <w:tcPr>
            <w:tcW w:w="2100" w:type="dxa"/>
          </w:tcPr>
          <w:p w14:paraId="5F734575">
            <w:pPr>
              <w:autoSpaceDE w:val="0"/>
              <w:autoSpaceDN w:val="0"/>
              <w:spacing w:line="360" w:lineRule="auto"/>
              <w:textAlignment w:val="bottom"/>
              <w:rPr>
                <w:rFonts w:hint="default" w:ascii="Times New Roman" w:hAnsi="Times New Roman" w:eastAsia="宋体" w:cs="Times New Roman"/>
                <w:b/>
                <w:highlight w:val="none"/>
              </w:rPr>
            </w:pPr>
          </w:p>
        </w:tc>
        <w:tc>
          <w:tcPr>
            <w:tcW w:w="1983" w:type="dxa"/>
          </w:tcPr>
          <w:p w14:paraId="52E2AAB7">
            <w:pPr>
              <w:autoSpaceDE w:val="0"/>
              <w:autoSpaceDN w:val="0"/>
              <w:spacing w:line="360" w:lineRule="auto"/>
              <w:textAlignment w:val="bottom"/>
              <w:rPr>
                <w:rFonts w:hint="default" w:ascii="Times New Roman" w:hAnsi="Times New Roman" w:eastAsia="宋体" w:cs="Times New Roman"/>
                <w:b/>
                <w:highlight w:val="none"/>
              </w:rPr>
            </w:pPr>
          </w:p>
        </w:tc>
        <w:tc>
          <w:tcPr>
            <w:tcW w:w="2196" w:type="dxa"/>
          </w:tcPr>
          <w:p w14:paraId="15D8C3A1">
            <w:pPr>
              <w:autoSpaceDE w:val="0"/>
              <w:autoSpaceDN w:val="0"/>
              <w:spacing w:line="360" w:lineRule="auto"/>
              <w:textAlignment w:val="bottom"/>
              <w:rPr>
                <w:rFonts w:hint="default" w:ascii="Times New Roman" w:hAnsi="Times New Roman" w:eastAsia="宋体" w:cs="Times New Roman"/>
                <w:b/>
                <w:highlight w:val="none"/>
              </w:rPr>
            </w:pPr>
          </w:p>
        </w:tc>
        <w:tc>
          <w:tcPr>
            <w:tcW w:w="1561" w:type="dxa"/>
          </w:tcPr>
          <w:p w14:paraId="79C4599A">
            <w:pPr>
              <w:autoSpaceDE w:val="0"/>
              <w:autoSpaceDN w:val="0"/>
              <w:spacing w:line="360" w:lineRule="auto"/>
              <w:textAlignment w:val="bottom"/>
              <w:rPr>
                <w:rFonts w:hint="default" w:ascii="Times New Roman" w:hAnsi="Times New Roman" w:eastAsia="宋体" w:cs="Times New Roman"/>
                <w:b/>
                <w:highlight w:val="none"/>
              </w:rPr>
            </w:pPr>
          </w:p>
        </w:tc>
      </w:tr>
      <w:tr w14:paraId="07871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817" w:type="dxa"/>
          </w:tcPr>
          <w:p w14:paraId="4E9A4B81">
            <w:pPr>
              <w:autoSpaceDE w:val="0"/>
              <w:autoSpaceDN w:val="0"/>
              <w:spacing w:line="360" w:lineRule="auto"/>
              <w:textAlignment w:val="bottom"/>
              <w:rPr>
                <w:rFonts w:hint="default" w:ascii="Times New Roman" w:hAnsi="Times New Roman" w:eastAsia="宋体" w:cs="Times New Roman"/>
                <w:b/>
                <w:highlight w:val="none"/>
              </w:rPr>
            </w:pPr>
          </w:p>
        </w:tc>
        <w:tc>
          <w:tcPr>
            <w:tcW w:w="2100" w:type="dxa"/>
          </w:tcPr>
          <w:p w14:paraId="1BF1D135">
            <w:pPr>
              <w:autoSpaceDE w:val="0"/>
              <w:autoSpaceDN w:val="0"/>
              <w:spacing w:line="360" w:lineRule="auto"/>
              <w:textAlignment w:val="bottom"/>
              <w:rPr>
                <w:rFonts w:hint="default" w:ascii="Times New Roman" w:hAnsi="Times New Roman" w:eastAsia="宋体" w:cs="Times New Roman"/>
                <w:b/>
                <w:highlight w:val="none"/>
              </w:rPr>
            </w:pPr>
          </w:p>
        </w:tc>
        <w:tc>
          <w:tcPr>
            <w:tcW w:w="1983" w:type="dxa"/>
          </w:tcPr>
          <w:p w14:paraId="0B80CFA2">
            <w:pPr>
              <w:autoSpaceDE w:val="0"/>
              <w:autoSpaceDN w:val="0"/>
              <w:spacing w:line="360" w:lineRule="auto"/>
              <w:textAlignment w:val="bottom"/>
              <w:rPr>
                <w:rFonts w:hint="default" w:ascii="Times New Roman" w:hAnsi="Times New Roman" w:eastAsia="宋体" w:cs="Times New Roman"/>
                <w:b/>
                <w:highlight w:val="none"/>
              </w:rPr>
            </w:pPr>
          </w:p>
        </w:tc>
        <w:tc>
          <w:tcPr>
            <w:tcW w:w="2196" w:type="dxa"/>
          </w:tcPr>
          <w:p w14:paraId="3A74D9DA">
            <w:pPr>
              <w:autoSpaceDE w:val="0"/>
              <w:autoSpaceDN w:val="0"/>
              <w:spacing w:line="360" w:lineRule="auto"/>
              <w:textAlignment w:val="bottom"/>
              <w:rPr>
                <w:rFonts w:hint="default" w:ascii="Times New Roman" w:hAnsi="Times New Roman" w:eastAsia="宋体" w:cs="Times New Roman"/>
                <w:b/>
                <w:highlight w:val="none"/>
              </w:rPr>
            </w:pPr>
          </w:p>
        </w:tc>
        <w:tc>
          <w:tcPr>
            <w:tcW w:w="1561" w:type="dxa"/>
          </w:tcPr>
          <w:p w14:paraId="605A3FAA">
            <w:pPr>
              <w:autoSpaceDE w:val="0"/>
              <w:autoSpaceDN w:val="0"/>
              <w:spacing w:line="360" w:lineRule="auto"/>
              <w:textAlignment w:val="bottom"/>
              <w:rPr>
                <w:rFonts w:hint="default" w:ascii="Times New Roman" w:hAnsi="Times New Roman" w:eastAsia="宋体" w:cs="Times New Roman"/>
                <w:b/>
                <w:highlight w:val="none"/>
              </w:rPr>
            </w:pPr>
          </w:p>
        </w:tc>
      </w:tr>
      <w:tr w14:paraId="778B4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817" w:type="dxa"/>
          </w:tcPr>
          <w:p w14:paraId="100F16A8">
            <w:pPr>
              <w:autoSpaceDE w:val="0"/>
              <w:autoSpaceDN w:val="0"/>
              <w:spacing w:line="360" w:lineRule="auto"/>
              <w:textAlignment w:val="bottom"/>
              <w:rPr>
                <w:rFonts w:hint="default" w:ascii="Times New Roman" w:hAnsi="Times New Roman" w:eastAsia="宋体" w:cs="Times New Roman"/>
                <w:b/>
                <w:highlight w:val="none"/>
              </w:rPr>
            </w:pPr>
          </w:p>
        </w:tc>
        <w:tc>
          <w:tcPr>
            <w:tcW w:w="2100" w:type="dxa"/>
          </w:tcPr>
          <w:p w14:paraId="3216AF78">
            <w:pPr>
              <w:autoSpaceDE w:val="0"/>
              <w:autoSpaceDN w:val="0"/>
              <w:spacing w:line="360" w:lineRule="auto"/>
              <w:textAlignment w:val="bottom"/>
              <w:rPr>
                <w:rFonts w:hint="default" w:ascii="Times New Roman" w:hAnsi="Times New Roman" w:eastAsia="宋体" w:cs="Times New Roman"/>
                <w:b/>
                <w:highlight w:val="none"/>
              </w:rPr>
            </w:pPr>
          </w:p>
        </w:tc>
        <w:tc>
          <w:tcPr>
            <w:tcW w:w="1983" w:type="dxa"/>
          </w:tcPr>
          <w:p w14:paraId="43479226">
            <w:pPr>
              <w:autoSpaceDE w:val="0"/>
              <w:autoSpaceDN w:val="0"/>
              <w:spacing w:line="360" w:lineRule="auto"/>
              <w:textAlignment w:val="bottom"/>
              <w:rPr>
                <w:rFonts w:hint="default" w:ascii="Times New Roman" w:hAnsi="Times New Roman" w:eastAsia="宋体" w:cs="Times New Roman"/>
                <w:b/>
                <w:highlight w:val="none"/>
              </w:rPr>
            </w:pPr>
          </w:p>
        </w:tc>
        <w:tc>
          <w:tcPr>
            <w:tcW w:w="2196" w:type="dxa"/>
          </w:tcPr>
          <w:p w14:paraId="3FF99737">
            <w:pPr>
              <w:autoSpaceDE w:val="0"/>
              <w:autoSpaceDN w:val="0"/>
              <w:spacing w:line="360" w:lineRule="auto"/>
              <w:textAlignment w:val="bottom"/>
              <w:rPr>
                <w:rFonts w:hint="default" w:ascii="Times New Roman" w:hAnsi="Times New Roman" w:eastAsia="宋体" w:cs="Times New Roman"/>
                <w:b/>
                <w:highlight w:val="none"/>
              </w:rPr>
            </w:pPr>
          </w:p>
        </w:tc>
        <w:tc>
          <w:tcPr>
            <w:tcW w:w="1561" w:type="dxa"/>
          </w:tcPr>
          <w:p w14:paraId="75115117">
            <w:pPr>
              <w:autoSpaceDE w:val="0"/>
              <w:autoSpaceDN w:val="0"/>
              <w:spacing w:line="360" w:lineRule="auto"/>
              <w:textAlignment w:val="bottom"/>
              <w:rPr>
                <w:rFonts w:hint="default" w:ascii="Times New Roman" w:hAnsi="Times New Roman" w:eastAsia="宋体" w:cs="Times New Roman"/>
                <w:b/>
                <w:highlight w:val="none"/>
              </w:rPr>
            </w:pPr>
          </w:p>
        </w:tc>
      </w:tr>
      <w:tr w14:paraId="79B0F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817" w:type="dxa"/>
          </w:tcPr>
          <w:p w14:paraId="285B6751">
            <w:pPr>
              <w:autoSpaceDE w:val="0"/>
              <w:autoSpaceDN w:val="0"/>
              <w:spacing w:line="360" w:lineRule="auto"/>
              <w:textAlignment w:val="bottom"/>
              <w:rPr>
                <w:rFonts w:hint="default" w:ascii="Times New Roman" w:hAnsi="Times New Roman" w:eastAsia="宋体" w:cs="Times New Roman"/>
                <w:b/>
                <w:highlight w:val="none"/>
              </w:rPr>
            </w:pPr>
          </w:p>
        </w:tc>
        <w:tc>
          <w:tcPr>
            <w:tcW w:w="2100" w:type="dxa"/>
          </w:tcPr>
          <w:p w14:paraId="1C3A32E8">
            <w:pPr>
              <w:autoSpaceDE w:val="0"/>
              <w:autoSpaceDN w:val="0"/>
              <w:spacing w:line="360" w:lineRule="auto"/>
              <w:textAlignment w:val="bottom"/>
              <w:rPr>
                <w:rFonts w:hint="default" w:ascii="Times New Roman" w:hAnsi="Times New Roman" w:eastAsia="宋体" w:cs="Times New Roman"/>
                <w:b/>
                <w:highlight w:val="none"/>
              </w:rPr>
            </w:pPr>
          </w:p>
        </w:tc>
        <w:tc>
          <w:tcPr>
            <w:tcW w:w="1983" w:type="dxa"/>
          </w:tcPr>
          <w:p w14:paraId="550F5766">
            <w:pPr>
              <w:autoSpaceDE w:val="0"/>
              <w:autoSpaceDN w:val="0"/>
              <w:spacing w:line="360" w:lineRule="auto"/>
              <w:textAlignment w:val="bottom"/>
              <w:rPr>
                <w:rFonts w:hint="default" w:ascii="Times New Roman" w:hAnsi="Times New Roman" w:eastAsia="宋体" w:cs="Times New Roman"/>
                <w:b/>
                <w:highlight w:val="none"/>
              </w:rPr>
            </w:pPr>
          </w:p>
        </w:tc>
        <w:tc>
          <w:tcPr>
            <w:tcW w:w="2196" w:type="dxa"/>
          </w:tcPr>
          <w:p w14:paraId="2B49694B">
            <w:pPr>
              <w:autoSpaceDE w:val="0"/>
              <w:autoSpaceDN w:val="0"/>
              <w:spacing w:line="360" w:lineRule="auto"/>
              <w:textAlignment w:val="bottom"/>
              <w:rPr>
                <w:rFonts w:hint="default" w:ascii="Times New Roman" w:hAnsi="Times New Roman" w:eastAsia="宋体" w:cs="Times New Roman"/>
                <w:b/>
                <w:highlight w:val="none"/>
              </w:rPr>
            </w:pPr>
          </w:p>
        </w:tc>
        <w:tc>
          <w:tcPr>
            <w:tcW w:w="1561" w:type="dxa"/>
          </w:tcPr>
          <w:p w14:paraId="610122D1">
            <w:pPr>
              <w:autoSpaceDE w:val="0"/>
              <w:autoSpaceDN w:val="0"/>
              <w:spacing w:line="360" w:lineRule="auto"/>
              <w:textAlignment w:val="bottom"/>
              <w:rPr>
                <w:rFonts w:hint="default" w:ascii="Times New Roman" w:hAnsi="Times New Roman" w:eastAsia="宋体" w:cs="Times New Roman"/>
                <w:b/>
                <w:highlight w:val="none"/>
              </w:rPr>
            </w:pPr>
          </w:p>
        </w:tc>
      </w:tr>
      <w:tr w14:paraId="78F5C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817" w:type="dxa"/>
          </w:tcPr>
          <w:p w14:paraId="7E784D62">
            <w:pPr>
              <w:autoSpaceDE w:val="0"/>
              <w:autoSpaceDN w:val="0"/>
              <w:spacing w:line="360" w:lineRule="auto"/>
              <w:textAlignment w:val="bottom"/>
              <w:rPr>
                <w:rFonts w:hint="default" w:ascii="Times New Roman" w:hAnsi="Times New Roman" w:eastAsia="宋体" w:cs="Times New Roman"/>
                <w:b/>
                <w:highlight w:val="none"/>
              </w:rPr>
            </w:pPr>
          </w:p>
        </w:tc>
        <w:tc>
          <w:tcPr>
            <w:tcW w:w="2100" w:type="dxa"/>
          </w:tcPr>
          <w:p w14:paraId="592CB59F">
            <w:pPr>
              <w:autoSpaceDE w:val="0"/>
              <w:autoSpaceDN w:val="0"/>
              <w:spacing w:line="360" w:lineRule="auto"/>
              <w:textAlignment w:val="bottom"/>
              <w:rPr>
                <w:rFonts w:hint="default" w:ascii="Times New Roman" w:hAnsi="Times New Roman" w:eastAsia="宋体" w:cs="Times New Roman"/>
                <w:b/>
                <w:highlight w:val="none"/>
              </w:rPr>
            </w:pPr>
          </w:p>
        </w:tc>
        <w:tc>
          <w:tcPr>
            <w:tcW w:w="1983" w:type="dxa"/>
          </w:tcPr>
          <w:p w14:paraId="36A33E25">
            <w:pPr>
              <w:autoSpaceDE w:val="0"/>
              <w:autoSpaceDN w:val="0"/>
              <w:spacing w:line="360" w:lineRule="auto"/>
              <w:textAlignment w:val="bottom"/>
              <w:rPr>
                <w:rFonts w:hint="default" w:ascii="Times New Roman" w:hAnsi="Times New Roman" w:eastAsia="宋体" w:cs="Times New Roman"/>
                <w:b/>
                <w:highlight w:val="none"/>
              </w:rPr>
            </w:pPr>
          </w:p>
        </w:tc>
        <w:tc>
          <w:tcPr>
            <w:tcW w:w="2196" w:type="dxa"/>
          </w:tcPr>
          <w:p w14:paraId="0C5E4A81">
            <w:pPr>
              <w:autoSpaceDE w:val="0"/>
              <w:autoSpaceDN w:val="0"/>
              <w:spacing w:line="360" w:lineRule="auto"/>
              <w:textAlignment w:val="bottom"/>
              <w:rPr>
                <w:rFonts w:hint="default" w:ascii="Times New Roman" w:hAnsi="Times New Roman" w:eastAsia="宋体" w:cs="Times New Roman"/>
                <w:b/>
                <w:highlight w:val="none"/>
              </w:rPr>
            </w:pPr>
          </w:p>
        </w:tc>
        <w:tc>
          <w:tcPr>
            <w:tcW w:w="1561" w:type="dxa"/>
          </w:tcPr>
          <w:p w14:paraId="694EEFC8">
            <w:pPr>
              <w:autoSpaceDE w:val="0"/>
              <w:autoSpaceDN w:val="0"/>
              <w:spacing w:line="360" w:lineRule="auto"/>
              <w:textAlignment w:val="bottom"/>
              <w:rPr>
                <w:rFonts w:hint="default" w:ascii="Times New Roman" w:hAnsi="Times New Roman" w:eastAsia="宋体" w:cs="Times New Roman"/>
                <w:b/>
                <w:highlight w:val="none"/>
              </w:rPr>
            </w:pPr>
          </w:p>
        </w:tc>
      </w:tr>
      <w:tr w14:paraId="4AB87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817" w:type="dxa"/>
          </w:tcPr>
          <w:p w14:paraId="7BD274B5">
            <w:pPr>
              <w:autoSpaceDE w:val="0"/>
              <w:autoSpaceDN w:val="0"/>
              <w:spacing w:line="360" w:lineRule="auto"/>
              <w:textAlignment w:val="bottom"/>
              <w:rPr>
                <w:rFonts w:hint="default" w:ascii="Times New Roman" w:hAnsi="Times New Roman" w:eastAsia="宋体" w:cs="Times New Roman"/>
                <w:b/>
                <w:highlight w:val="none"/>
              </w:rPr>
            </w:pPr>
          </w:p>
        </w:tc>
        <w:tc>
          <w:tcPr>
            <w:tcW w:w="2100" w:type="dxa"/>
          </w:tcPr>
          <w:p w14:paraId="473378B4">
            <w:pPr>
              <w:autoSpaceDE w:val="0"/>
              <w:autoSpaceDN w:val="0"/>
              <w:spacing w:line="360" w:lineRule="auto"/>
              <w:textAlignment w:val="bottom"/>
              <w:rPr>
                <w:rFonts w:hint="default" w:ascii="Times New Roman" w:hAnsi="Times New Roman" w:eastAsia="宋体" w:cs="Times New Roman"/>
                <w:b/>
                <w:highlight w:val="none"/>
              </w:rPr>
            </w:pPr>
          </w:p>
        </w:tc>
        <w:tc>
          <w:tcPr>
            <w:tcW w:w="1983" w:type="dxa"/>
          </w:tcPr>
          <w:p w14:paraId="6552E4A9">
            <w:pPr>
              <w:autoSpaceDE w:val="0"/>
              <w:autoSpaceDN w:val="0"/>
              <w:spacing w:line="360" w:lineRule="auto"/>
              <w:textAlignment w:val="bottom"/>
              <w:rPr>
                <w:rFonts w:hint="default" w:ascii="Times New Roman" w:hAnsi="Times New Roman" w:eastAsia="宋体" w:cs="Times New Roman"/>
                <w:b/>
                <w:highlight w:val="none"/>
              </w:rPr>
            </w:pPr>
          </w:p>
        </w:tc>
        <w:tc>
          <w:tcPr>
            <w:tcW w:w="2196" w:type="dxa"/>
          </w:tcPr>
          <w:p w14:paraId="041C764C">
            <w:pPr>
              <w:autoSpaceDE w:val="0"/>
              <w:autoSpaceDN w:val="0"/>
              <w:spacing w:line="360" w:lineRule="auto"/>
              <w:textAlignment w:val="bottom"/>
              <w:rPr>
                <w:rFonts w:hint="default" w:ascii="Times New Roman" w:hAnsi="Times New Roman" w:eastAsia="宋体" w:cs="Times New Roman"/>
                <w:b/>
                <w:highlight w:val="none"/>
              </w:rPr>
            </w:pPr>
          </w:p>
        </w:tc>
        <w:tc>
          <w:tcPr>
            <w:tcW w:w="1561" w:type="dxa"/>
          </w:tcPr>
          <w:p w14:paraId="289FE9D1">
            <w:pPr>
              <w:autoSpaceDE w:val="0"/>
              <w:autoSpaceDN w:val="0"/>
              <w:spacing w:line="360" w:lineRule="auto"/>
              <w:textAlignment w:val="bottom"/>
              <w:rPr>
                <w:rFonts w:hint="default" w:ascii="Times New Roman" w:hAnsi="Times New Roman" w:eastAsia="宋体" w:cs="Times New Roman"/>
                <w:b/>
                <w:highlight w:val="none"/>
              </w:rPr>
            </w:pPr>
          </w:p>
        </w:tc>
      </w:tr>
      <w:tr w14:paraId="07224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8657" w:type="dxa"/>
            <w:gridSpan w:val="5"/>
          </w:tcPr>
          <w:p w14:paraId="6F3E97A6">
            <w:pPr>
              <w:autoSpaceDE w:val="0"/>
              <w:autoSpaceDN w:val="0"/>
              <w:spacing w:line="360" w:lineRule="auto"/>
              <w:textAlignment w:val="bottom"/>
              <w:rPr>
                <w:rFonts w:hint="default" w:ascii="Times New Roman" w:hAnsi="Times New Roman" w:eastAsia="宋体" w:cs="Times New Roman"/>
                <w:b/>
                <w:highlight w:val="none"/>
              </w:rPr>
            </w:pPr>
            <w:r>
              <w:rPr>
                <w:rFonts w:hint="default" w:ascii="Times New Roman" w:hAnsi="Times New Roman" w:eastAsia="宋体" w:cs="Times New Roman"/>
                <w:b/>
                <w:i/>
                <w:iCs/>
                <w:sz w:val="22"/>
                <w:highlight w:val="none"/>
              </w:rPr>
              <w:t>如有对招标文件其他技术要求的投标有偏离，请务必在此表展开说明，如未加以说明或者漏项缺项则视为全部满足招标文件要求。</w:t>
            </w:r>
          </w:p>
        </w:tc>
      </w:tr>
    </w:tbl>
    <w:p w14:paraId="08819FE8">
      <w:pPr>
        <w:spacing w:line="360" w:lineRule="auto"/>
        <w:rPr>
          <w:rFonts w:hint="default" w:ascii="Times New Roman" w:hAnsi="Times New Roman" w:eastAsia="宋体" w:cs="Times New Roman"/>
          <w:highlight w:val="none"/>
        </w:rPr>
      </w:pPr>
    </w:p>
    <w:p w14:paraId="73B8DAA4">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投标人授权代表签字：</w:t>
      </w:r>
      <w:r>
        <w:rPr>
          <w:rFonts w:hint="default" w:ascii="Times New Roman" w:hAnsi="Times New Roman" w:eastAsia="宋体" w:cs="Times New Roman"/>
          <w:sz w:val="24"/>
          <w:szCs w:val="24"/>
          <w:highlight w:val="none"/>
          <w:u w:val="single"/>
        </w:rPr>
        <w:t xml:space="preserve">               </w:t>
      </w:r>
    </w:p>
    <w:p w14:paraId="045523AD">
      <w:pPr>
        <w:spacing w:line="360" w:lineRule="auto"/>
        <w:rPr>
          <w:rFonts w:hint="default" w:ascii="Times New Roman" w:hAnsi="Times New Roman" w:eastAsia="宋体" w:cs="Times New Roman"/>
          <w:sz w:val="24"/>
          <w:szCs w:val="24"/>
          <w:highlight w:val="none"/>
          <w:u w:val="single"/>
        </w:rPr>
      </w:pPr>
      <w:r>
        <w:rPr>
          <w:rFonts w:hint="default" w:ascii="Times New Roman" w:hAnsi="Times New Roman" w:eastAsia="宋体" w:cs="Times New Roman"/>
          <w:sz w:val="24"/>
          <w:szCs w:val="24"/>
          <w:highlight w:val="none"/>
        </w:rPr>
        <w:t>投标人名称：</w:t>
      </w:r>
      <w:r>
        <w:rPr>
          <w:rFonts w:hint="default" w:ascii="Times New Roman" w:hAnsi="Times New Roman" w:eastAsia="宋体" w:cs="Times New Roman"/>
          <w:sz w:val="24"/>
          <w:szCs w:val="24"/>
          <w:highlight w:val="none"/>
          <w:u w:val="single"/>
        </w:rPr>
        <w:t xml:space="preserve">               </w:t>
      </w:r>
      <w:r>
        <w:rPr>
          <w:rFonts w:hint="default" w:ascii="Times New Roman" w:hAnsi="Times New Roman" w:eastAsia="宋体" w:cs="Times New Roman"/>
          <w:sz w:val="24"/>
          <w:szCs w:val="24"/>
          <w:highlight w:val="none"/>
        </w:rPr>
        <w:t>（加盖公章）</w:t>
      </w:r>
    </w:p>
    <w:p w14:paraId="01B0192B">
      <w:pPr>
        <w:spacing w:line="360" w:lineRule="auto"/>
        <w:rPr>
          <w:rFonts w:hint="default" w:ascii="Times New Roman" w:hAnsi="Times New Roman" w:eastAsia="宋体" w:cs="Times New Roman"/>
          <w:sz w:val="24"/>
          <w:szCs w:val="24"/>
          <w:highlight w:val="none"/>
          <w:u w:val="single"/>
        </w:rPr>
      </w:pPr>
      <w:r>
        <w:rPr>
          <w:rFonts w:hint="default" w:ascii="Times New Roman" w:hAnsi="Times New Roman" w:eastAsia="宋体" w:cs="Times New Roman"/>
          <w:sz w:val="24"/>
          <w:szCs w:val="24"/>
          <w:highlight w:val="none"/>
        </w:rPr>
        <w:t>日期：</w:t>
      </w:r>
      <w:r>
        <w:rPr>
          <w:rFonts w:hint="default" w:ascii="Times New Roman" w:hAnsi="Times New Roman" w:eastAsia="宋体" w:cs="Times New Roman"/>
          <w:sz w:val="24"/>
          <w:szCs w:val="24"/>
          <w:highlight w:val="none"/>
          <w:u w:val="single"/>
        </w:rPr>
        <w:t xml:space="preserve">                         </w:t>
      </w:r>
    </w:p>
    <w:p w14:paraId="3D45BDB1">
      <w:pPr>
        <w:autoSpaceDE w:val="0"/>
        <w:autoSpaceDN w:val="0"/>
        <w:spacing w:line="360" w:lineRule="auto"/>
        <w:ind w:right="471"/>
        <w:textAlignment w:val="bottom"/>
        <w:rPr>
          <w:rFonts w:hint="default" w:ascii="Times New Roman" w:hAnsi="Times New Roman" w:eastAsia="宋体" w:cs="Times New Roman"/>
          <w:sz w:val="24"/>
          <w:szCs w:val="24"/>
          <w:highlight w:val="none"/>
        </w:rPr>
      </w:pPr>
    </w:p>
    <w:p w14:paraId="1BFA0BC5">
      <w:pPr>
        <w:autoSpaceDE w:val="0"/>
        <w:autoSpaceDN w:val="0"/>
        <w:spacing w:line="360" w:lineRule="auto"/>
        <w:ind w:right="471"/>
        <w:textAlignment w:val="bottom"/>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注：</w:t>
      </w:r>
    </w:p>
    <w:p w14:paraId="1A3A68D4">
      <w:pPr>
        <w:autoSpaceDE w:val="0"/>
        <w:autoSpaceDN w:val="0"/>
        <w:spacing w:line="360" w:lineRule="auto"/>
        <w:ind w:right="471"/>
        <w:textAlignment w:val="bottom"/>
        <w:rPr>
          <w:rFonts w:hint="default" w:ascii="Times New Roman" w:hAnsi="Times New Roman" w:eastAsia="宋体" w:cs="Times New Roman"/>
          <w:b/>
          <w:bCs/>
          <w:color w:val="FF0000"/>
          <w:sz w:val="24"/>
          <w:szCs w:val="24"/>
          <w:highlight w:val="none"/>
        </w:rPr>
      </w:pPr>
      <w:r>
        <w:rPr>
          <w:rFonts w:hint="default" w:ascii="Times New Roman" w:hAnsi="Times New Roman" w:eastAsia="宋体" w:cs="Times New Roman"/>
          <w:b/>
          <w:bCs/>
          <w:color w:val="FF0000"/>
          <w:sz w:val="24"/>
          <w:szCs w:val="24"/>
          <w:highlight w:val="none"/>
        </w:rPr>
        <w:t>1、本表须针对招标文件“第四章 项目需求 三、具体要求 《一》技术要求”所有内容要求逐条应答；包括</w:t>
      </w:r>
      <w:r>
        <w:rPr>
          <w:rFonts w:hint="default" w:ascii="Times New Roman" w:hAnsi="Times New Roman" w:eastAsia="宋体" w:cs="Times New Roman"/>
          <w:b/>
          <w:color w:val="FF0000"/>
          <w:sz w:val="24"/>
          <w:szCs w:val="24"/>
          <w:highlight w:val="none"/>
        </w:rPr>
        <w:t>配置清单及零配件以及技术性能指标等等。</w:t>
      </w:r>
      <w:r>
        <w:rPr>
          <w:rFonts w:hint="default" w:ascii="Times New Roman" w:hAnsi="Times New Roman" w:eastAsia="宋体" w:cs="Times New Roman"/>
          <w:b/>
          <w:color w:val="FF0000"/>
          <w:szCs w:val="21"/>
          <w:highlight w:val="none"/>
        </w:rPr>
        <w:t>如需提供证明资料的，应附在本表格后面以便评审专家查阅。</w:t>
      </w:r>
    </w:p>
    <w:p w14:paraId="56C9D09D">
      <w:pPr>
        <w:autoSpaceDE w:val="0"/>
        <w:autoSpaceDN w:val="0"/>
        <w:spacing w:line="360" w:lineRule="auto"/>
        <w:ind w:right="471"/>
        <w:textAlignment w:val="bottom"/>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2、所应答的技术指标应有具体内容，不能简单复制招标文件内容或全部响应仅以“符合、满足、无偏离”应答；</w:t>
      </w:r>
    </w:p>
    <w:p w14:paraId="17955BA6">
      <w:pPr>
        <w:autoSpaceDE w:val="0"/>
        <w:autoSpaceDN w:val="0"/>
        <w:spacing w:line="360" w:lineRule="auto"/>
        <w:ind w:right="471"/>
        <w:textAlignment w:val="bottom"/>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3、无论正负偏离均须对偏离情况作具体说明。</w:t>
      </w:r>
    </w:p>
    <w:p w14:paraId="70CEF91F">
      <w:pPr>
        <w:spacing w:line="360" w:lineRule="auto"/>
        <w:rPr>
          <w:rFonts w:hint="default" w:ascii="Times New Roman" w:hAnsi="Times New Roman" w:eastAsia="宋体" w:cs="Times New Roman"/>
          <w:highlight w:val="none"/>
        </w:rPr>
      </w:pPr>
      <w:r>
        <w:rPr>
          <w:rFonts w:hint="default" w:ascii="Times New Roman" w:hAnsi="Times New Roman" w:eastAsia="宋体" w:cs="Times New Roman"/>
          <w:sz w:val="24"/>
          <w:szCs w:val="24"/>
          <w:highlight w:val="none"/>
        </w:rPr>
        <w:t>4、如有对招标文件其他技术要求的投标有偏离，请务必在此表展开说明，如未加以说明或者漏项缺项则视为全部满足招标文件要求。</w:t>
      </w:r>
    </w:p>
    <w:p w14:paraId="3F0B3A6B">
      <w:pPr>
        <w:spacing w:after="240" w:line="360" w:lineRule="auto"/>
        <w:rPr>
          <w:rFonts w:hint="default" w:ascii="Times New Roman" w:hAnsi="Times New Roman" w:eastAsia="宋体" w:cs="Times New Roman"/>
          <w:snapToGrid w:val="0"/>
          <w:sz w:val="28"/>
          <w:szCs w:val="20"/>
          <w:highlight w:val="none"/>
        </w:rPr>
      </w:pPr>
      <w:r>
        <w:rPr>
          <w:rFonts w:hint="default" w:ascii="Times New Roman" w:hAnsi="Times New Roman" w:eastAsia="宋体" w:cs="Times New Roman"/>
          <w:highlight w:val="none"/>
        </w:rPr>
        <w:br w:type="page"/>
      </w:r>
    </w:p>
    <w:p w14:paraId="6600BC9F">
      <w:pPr>
        <w:pStyle w:val="3"/>
        <w:tabs>
          <w:tab w:val="left" w:pos="5580"/>
        </w:tabs>
        <w:spacing w:line="360" w:lineRule="auto"/>
        <w:jc w:val="both"/>
        <w:rPr>
          <w:rFonts w:hint="default" w:ascii="Times New Roman" w:hAnsi="Times New Roman" w:eastAsia="宋体" w:cs="Times New Roman"/>
          <w:b/>
          <w:bCs/>
          <w:highlight w:val="none"/>
        </w:rPr>
      </w:pPr>
      <w:r>
        <w:rPr>
          <w:rFonts w:hint="default" w:ascii="Times New Roman" w:hAnsi="Times New Roman" w:eastAsia="宋体" w:cs="Times New Roman"/>
          <w:b/>
          <w:bCs/>
          <w:highlight w:val="none"/>
        </w:rPr>
        <w:t>★附件6：商务要求应答表</w:t>
      </w:r>
    </w:p>
    <w:p w14:paraId="7486CC88">
      <w:pPr>
        <w:spacing w:line="360" w:lineRule="auto"/>
        <w:rPr>
          <w:rFonts w:hint="default" w:ascii="Times New Roman" w:hAnsi="Times New Roman" w:eastAsia="宋体" w:cs="Times New Roman"/>
          <w:highlight w:val="none"/>
        </w:rPr>
      </w:pPr>
    </w:p>
    <w:p w14:paraId="3A0775D6">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项目名称：</w:t>
      </w:r>
      <w:r>
        <w:rPr>
          <w:rFonts w:hint="default" w:ascii="Times New Roman" w:hAnsi="Times New Roman" w:eastAsia="宋体" w:cs="Times New Roman"/>
          <w:sz w:val="24"/>
          <w:szCs w:val="24"/>
          <w:highlight w:val="none"/>
          <w:u w:val="single"/>
        </w:rPr>
        <w:t xml:space="preserve">                               </w:t>
      </w:r>
    </w:p>
    <w:p w14:paraId="69D67318">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招标编号/包号：</w:t>
      </w:r>
      <w:r>
        <w:rPr>
          <w:rFonts w:hint="default" w:ascii="Times New Roman" w:hAnsi="Times New Roman" w:eastAsia="宋体" w:cs="Times New Roman"/>
          <w:sz w:val="24"/>
          <w:szCs w:val="24"/>
          <w:highlight w:val="none"/>
          <w:u w:val="single"/>
        </w:rPr>
        <w:t xml:space="preserve">                   /1       </w:t>
      </w:r>
    </w:p>
    <w:tbl>
      <w:tblPr>
        <w:tblStyle w:val="28"/>
        <w:tblW w:w="903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0"/>
        <w:gridCol w:w="1911"/>
        <w:gridCol w:w="1739"/>
        <w:gridCol w:w="2254"/>
        <w:gridCol w:w="2254"/>
      </w:tblGrid>
      <w:tr w14:paraId="495A9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6" w:hRule="atLeast"/>
        </w:trPr>
        <w:tc>
          <w:tcPr>
            <w:tcW w:w="880" w:type="dxa"/>
            <w:vAlign w:val="center"/>
          </w:tcPr>
          <w:p w14:paraId="31B35CA1">
            <w:pPr>
              <w:tabs>
                <w:tab w:val="left" w:pos="1100"/>
              </w:tabs>
              <w:autoSpaceDE w:val="0"/>
              <w:autoSpaceDN w:val="0"/>
              <w:spacing w:line="360" w:lineRule="auto"/>
              <w:textAlignment w:val="bottom"/>
              <w:rPr>
                <w:rFonts w:hint="default" w:ascii="Times New Roman" w:hAnsi="Times New Roman" w:eastAsia="宋体" w:cs="Times New Roman"/>
                <w:highlight w:val="none"/>
              </w:rPr>
            </w:pPr>
            <w:r>
              <w:rPr>
                <w:rFonts w:hint="default" w:ascii="Times New Roman" w:hAnsi="Times New Roman" w:eastAsia="宋体" w:cs="Times New Roman"/>
                <w:sz w:val="24"/>
                <w:highlight w:val="none"/>
              </w:rPr>
              <w:t>序号</w:t>
            </w:r>
          </w:p>
        </w:tc>
        <w:tc>
          <w:tcPr>
            <w:tcW w:w="1911" w:type="dxa"/>
            <w:vAlign w:val="center"/>
          </w:tcPr>
          <w:p w14:paraId="04554AD4">
            <w:pPr>
              <w:tabs>
                <w:tab w:val="left" w:pos="1431"/>
              </w:tabs>
              <w:autoSpaceDE w:val="0"/>
              <w:autoSpaceDN w:val="0"/>
              <w:spacing w:line="360" w:lineRule="auto"/>
              <w:textAlignment w:val="bottom"/>
              <w:rPr>
                <w:rFonts w:hint="default" w:ascii="Times New Roman" w:hAnsi="Times New Roman" w:eastAsia="宋体" w:cs="Times New Roman"/>
                <w:highlight w:val="none"/>
              </w:rPr>
            </w:pPr>
            <w:r>
              <w:rPr>
                <w:rFonts w:hint="default" w:ascii="Times New Roman" w:hAnsi="Times New Roman" w:eastAsia="宋体" w:cs="Times New Roman"/>
                <w:sz w:val="24"/>
                <w:highlight w:val="none"/>
              </w:rPr>
              <w:t>招标文件商务要求内容</w:t>
            </w:r>
          </w:p>
        </w:tc>
        <w:tc>
          <w:tcPr>
            <w:tcW w:w="1739" w:type="dxa"/>
            <w:vAlign w:val="center"/>
          </w:tcPr>
          <w:p w14:paraId="20295550">
            <w:pPr>
              <w:tabs>
                <w:tab w:val="left" w:pos="1100"/>
              </w:tabs>
              <w:autoSpaceDE w:val="0"/>
              <w:autoSpaceDN w:val="0"/>
              <w:spacing w:line="360" w:lineRule="auto"/>
              <w:textAlignment w:val="bottom"/>
              <w:rPr>
                <w:rFonts w:hint="default" w:ascii="Times New Roman" w:hAnsi="Times New Roman" w:eastAsia="宋体" w:cs="Times New Roman"/>
                <w:highlight w:val="none"/>
              </w:rPr>
            </w:pPr>
            <w:r>
              <w:rPr>
                <w:rFonts w:hint="default" w:ascii="Times New Roman" w:hAnsi="Times New Roman" w:eastAsia="宋体" w:cs="Times New Roman"/>
                <w:sz w:val="24"/>
                <w:highlight w:val="none"/>
              </w:rPr>
              <w:t>投标文件应答内容</w:t>
            </w:r>
          </w:p>
        </w:tc>
        <w:tc>
          <w:tcPr>
            <w:tcW w:w="2254" w:type="dxa"/>
            <w:vAlign w:val="center"/>
          </w:tcPr>
          <w:p w14:paraId="7884A801">
            <w:pPr>
              <w:tabs>
                <w:tab w:val="left" w:pos="1100"/>
              </w:tabs>
              <w:autoSpaceDE w:val="0"/>
              <w:autoSpaceDN w:val="0"/>
              <w:spacing w:line="360" w:lineRule="auto"/>
              <w:textAlignment w:val="bottom"/>
              <w:rPr>
                <w:rFonts w:hint="default" w:ascii="Times New Roman" w:hAnsi="Times New Roman" w:eastAsia="宋体" w:cs="Times New Roman"/>
                <w:highlight w:val="none"/>
              </w:rPr>
            </w:pPr>
            <w:r>
              <w:rPr>
                <w:rFonts w:hint="default" w:ascii="Times New Roman" w:hAnsi="Times New Roman" w:eastAsia="宋体" w:cs="Times New Roman"/>
                <w:sz w:val="24"/>
                <w:highlight w:val="none"/>
              </w:rPr>
              <w:t>偏离说明（无偏离，正/负偏离及偏离情况）</w:t>
            </w:r>
          </w:p>
        </w:tc>
        <w:tc>
          <w:tcPr>
            <w:tcW w:w="2254" w:type="dxa"/>
            <w:vAlign w:val="center"/>
          </w:tcPr>
          <w:p w14:paraId="6CE8EED8">
            <w:pPr>
              <w:tabs>
                <w:tab w:val="left" w:pos="1100"/>
              </w:tabs>
              <w:autoSpaceDE w:val="0"/>
              <w:autoSpaceDN w:val="0"/>
              <w:spacing w:line="360" w:lineRule="auto"/>
              <w:textAlignment w:val="bottom"/>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相关商务证明文件中的描述在投标文件中的具体页码（如需提供）</w:t>
            </w:r>
          </w:p>
        </w:tc>
      </w:tr>
      <w:tr w14:paraId="32B89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880" w:type="dxa"/>
          </w:tcPr>
          <w:p w14:paraId="62200A0B">
            <w:pPr>
              <w:autoSpaceDE w:val="0"/>
              <w:autoSpaceDN w:val="0"/>
              <w:spacing w:line="360" w:lineRule="auto"/>
              <w:textAlignment w:val="bottom"/>
              <w:rPr>
                <w:rFonts w:hint="default" w:ascii="Times New Roman" w:hAnsi="Times New Roman" w:eastAsia="宋体" w:cs="Times New Roman"/>
                <w:highlight w:val="none"/>
              </w:rPr>
            </w:pPr>
          </w:p>
        </w:tc>
        <w:tc>
          <w:tcPr>
            <w:tcW w:w="1911" w:type="dxa"/>
          </w:tcPr>
          <w:p w14:paraId="13DD3CC1">
            <w:pPr>
              <w:autoSpaceDE w:val="0"/>
              <w:autoSpaceDN w:val="0"/>
              <w:spacing w:line="360" w:lineRule="auto"/>
              <w:textAlignment w:val="bottom"/>
              <w:rPr>
                <w:rFonts w:hint="default" w:ascii="Times New Roman" w:hAnsi="Times New Roman" w:eastAsia="宋体" w:cs="Times New Roman"/>
                <w:highlight w:val="none"/>
              </w:rPr>
            </w:pPr>
          </w:p>
        </w:tc>
        <w:tc>
          <w:tcPr>
            <w:tcW w:w="1739" w:type="dxa"/>
          </w:tcPr>
          <w:p w14:paraId="44CC6D66">
            <w:pPr>
              <w:autoSpaceDE w:val="0"/>
              <w:autoSpaceDN w:val="0"/>
              <w:spacing w:line="360" w:lineRule="auto"/>
              <w:textAlignment w:val="bottom"/>
              <w:rPr>
                <w:rFonts w:hint="default" w:ascii="Times New Roman" w:hAnsi="Times New Roman" w:eastAsia="宋体" w:cs="Times New Roman"/>
                <w:highlight w:val="none"/>
              </w:rPr>
            </w:pPr>
          </w:p>
        </w:tc>
        <w:tc>
          <w:tcPr>
            <w:tcW w:w="2254" w:type="dxa"/>
          </w:tcPr>
          <w:p w14:paraId="71F49B37">
            <w:pPr>
              <w:autoSpaceDE w:val="0"/>
              <w:autoSpaceDN w:val="0"/>
              <w:spacing w:line="360" w:lineRule="auto"/>
              <w:textAlignment w:val="bottom"/>
              <w:rPr>
                <w:rFonts w:hint="default" w:ascii="Times New Roman" w:hAnsi="Times New Roman" w:eastAsia="宋体" w:cs="Times New Roman"/>
                <w:highlight w:val="none"/>
              </w:rPr>
            </w:pPr>
          </w:p>
        </w:tc>
        <w:tc>
          <w:tcPr>
            <w:tcW w:w="2254" w:type="dxa"/>
          </w:tcPr>
          <w:p w14:paraId="239C4325">
            <w:pPr>
              <w:autoSpaceDE w:val="0"/>
              <w:autoSpaceDN w:val="0"/>
              <w:spacing w:line="360" w:lineRule="auto"/>
              <w:textAlignment w:val="bottom"/>
              <w:rPr>
                <w:rFonts w:hint="default" w:ascii="Times New Roman" w:hAnsi="Times New Roman" w:eastAsia="宋体" w:cs="Times New Roman"/>
                <w:highlight w:val="none"/>
              </w:rPr>
            </w:pPr>
          </w:p>
        </w:tc>
      </w:tr>
      <w:tr w14:paraId="77FBC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880" w:type="dxa"/>
          </w:tcPr>
          <w:p w14:paraId="35E3C8A8">
            <w:pPr>
              <w:autoSpaceDE w:val="0"/>
              <w:autoSpaceDN w:val="0"/>
              <w:spacing w:line="360" w:lineRule="auto"/>
              <w:textAlignment w:val="bottom"/>
              <w:rPr>
                <w:rFonts w:hint="default" w:ascii="Times New Roman" w:hAnsi="Times New Roman" w:eastAsia="宋体" w:cs="Times New Roman"/>
                <w:b/>
                <w:highlight w:val="none"/>
              </w:rPr>
            </w:pPr>
          </w:p>
        </w:tc>
        <w:tc>
          <w:tcPr>
            <w:tcW w:w="1911" w:type="dxa"/>
          </w:tcPr>
          <w:p w14:paraId="2BCE2E57">
            <w:pPr>
              <w:autoSpaceDE w:val="0"/>
              <w:autoSpaceDN w:val="0"/>
              <w:spacing w:line="360" w:lineRule="auto"/>
              <w:textAlignment w:val="bottom"/>
              <w:rPr>
                <w:rFonts w:hint="default" w:ascii="Times New Roman" w:hAnsi="Times New Roman" w:eastAsia="宋体" w:cs="Times New Roman"/>
                <w:b/>
                <w:highlight w:val="none"/>
              </w:rPr>
            </w:pPr>
          </w:p>
        </w:tc>
        <w:tc>
          <w:tcPr>
            <w:tcW w:w="1739" w:type="dxa"/>
          </w:tcPr>
          <w:p w14:paraId="06FA6B44">
            <w:pPr>
              <w:autoSpaceDE w:val="0"/>
              <w:autoSpaceDN w:val="0"/>
              <w:spacing w:line="360" w:lineRule="auto"/>
              <w:textAlignment w:val="bottom"/>
              <w:rPr>
                <w:rFonts w:hint="default" w:ascii="Times New Roman" w:hAnsi="Times New Roman" w:eastAsia="宋体" w:cs="Times New Roman"/>
                <w:b/>
                <w:highlight w:val="none"/>
              </w:rPr>
            </w:pPr>
          </w:p>
        </w:tc>
        <w:tc>
          <w:tcPr>
            <w:tcW w:w="2254" w:type="dxa"/>
          </w:tcPr>
          <w:p w14:paraId="0FA8C5D7">
            <w:pPr>
              <w:autoSpaceDE w:val="0"/>
              <w:autoSpaceDN w:val="0"/>
              <w:spacing w:line="360" w:lineRule="auto"/>
              <w:textAlignment w:val="bottom"/>
              <w:rPr>
                <w:rFonts w:hint="default" w:ascii="Times New Roman" w:hAnsi="Times New Roman" w:eastAsia="宋体" w:cs="Times New Roman"/>
                <w:b/>
                <w:highlight w:val="none"/>
              </w:rPr>
            </w:pPr>
          </w:p>
        </w:tc>
        <w:tc>
          <w:tcPr>
            <w:tcW w:w="2254" w:type="dxa"/>
          </w:tcPr>
          <w:p w14:paraId="20B793DB">
            <w:pPr>
              <w:autoSpaceDE w:val="0"/>
              <w:autoSpaceDN w:val="0"/>
              <w:spacing w:line="360" w:lineRule="auto"/>
              <w:textAlignment w:val="bottom"/>
              <w:rPr>
                <w:rFonts w:hint="default" w:ascii="Times New Roman" w:hAnsi="Times New Roman" w:eastAsia="宋体" w:cs="Times New Roman"/>
                <w:b/>
                <w:highlight w:val="none"/>
              </w:rPr>
            </w:pPr>
          </w:p>
        </w:tc>
      </w:tr>
      <w:tr w14:paraId="42F2D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880" w:type="dxa"/>
          </w:tcPr>
          <w:p w14:paraId="2396E21A">
            <w:pPr>
              <w:autoSpaceDE w:val="0"/>
              <w:autoSpaceDN w:val="0"/>
              <w:spacing w:line="360" w:lineRule="auto"/>
              <w:textAlignment w:val="bottom"/>
              <w:rPr>
                <w:rFonts w:hint="default" w:ascii="Times New Roman" w:hAnsi="Times New Roman" w:eastAsia="宋体" w:cs="Times New Roman"/>
                <w:b/>
                <w:highlight w:val="none"/>
              </w:rPr>
            </w:pPr>
          </w:p>
        </w:tc>
        <w:tc>
          <w:tcPr>
            <w:tcW w:w="1911" w:type="dxa"/>
          </w:tcPr>
          <w:p w14:paraId="4DC8F8E7">
            <w:pPr>
              <w:autoSpaceDE w:val="0"/>
              <w:autoSpaceDN w:val="0"/>
              <w:spacing w:line="360" w:lineRule="auto"/>
              <w:textAlignment w:val="bottom"/>
              <w:rPr>
                <w:rFonts w:hint="default" w:ascii="Times New Roman" w:hAnsi="Times New Roman" w:eastAsia="宋体" w:cs="Times New Roman"/>
                <w:b/>
                <w:highlight w:val="none"/>
              </w:rPr>
            </w:pPr>
          </w:p>
        </w:tc>
        <w:tc>
          <w:tcPr>
            <w:tcW w:w="1739" w:type="dxa"/>
          </w:tcPr>
          <w:p w14:paraId="692AA7D1">
            <w:pPr>
              <w:autoSpaceDE w:val="0"/>
              <w:autoSpaceDN w:val="0"/>
              <w:spacing w:line="360" w:lineRule="auto"/>
              <w:textAlignment w:val="bottom"/>
              <w:rPr>
                <w:rFonts w:hint="default" w:ascii="Times New Roman" w:hAnsi="Times New Roman" w:eastAsia="宋体" w:cs="Times New Roman"/>
                <w:b/>
                <w:highlight w:val="none"/>
              </w:rPr>
            </w:pPr>
          </w:p>
        </w:tc>
        <w:tc>
          <w:tcPr>
            <w:tcW w:w="2254" w:type="dxa"/>
          </w:tcPr>
          <w:p w14:paraId="0B3F74D4">
            <w:pPr>
              <w:autoSpaceDE w:val="0"/>
              <w:autoSpaceDN w:val="0"/>
              <w:spacing w:line="360" w:lineRule="auto"/>
              <w:textAlignment w:val="bottom"/>
              <w:rPr>
                <w:rFonts w:hint="default" w:ascii="Times New Roman" w:hAnsi="Times New Roman" w:eastAsia="宋体" w:cs="Times New Roman"/>
                <w:b/>
                <w:highlight w:val="none"/>
              </w:rPr>
            </w:pPr>
          </w:p>
        </w:tc>
        <w:tc>
          <w:tcPr>
            <w:tcW w:w="2254" w:type="dxa"/>
          </w:tcPr>
          <w:p w14:paraId="6ED3A68E">
            <w:pPr>
              <w:autoSpaceDE w:val="0"/>
              <w:autoSpaceDN w:val="0"/>
              <w:spacing w:line="360" w:lineRule="auto"/>
              <w:textAlignment w:val="bottom"/>
              <w:rPr>
                <w:rFonts w:hint="default" w:ascii="Times New Roman" w:hAnsi="Times New Roman" w:eastAsia="宋体" w:cs="Times New Roman"/>
                <w:b/>
                <w:highlight w:val="none"/>
              </w:rPr>
            </w:pPr>
          </w:p>
        </w:tc>
      </w:tr>
      <w:tr w14:paraId="6800D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880" w:type="dxa"/>
          </w:tcPr>
          <w:p w14:paraId="388129E4">
            <w:pPr>
              <w:autoSpaceDE w:val="0"/>
              <w:autoSpaceDN w:val="0"/>
              <w:spacing w:line="360" w:lineRule="auto"/>
              <w:textAlignment w:val="bottom"/>
              <w:rPr>
                <w:rFonts w:hint="default" w:ascii="Times New Roman" w:hAnsi="Times New Roman" w:eastAsia="宋体" w:cs="Times New Roman"/>
                <w:b/>
                <w:highlight w:val="none"/>
              </w:rPr>
            </w:pPr>
          </w:p>
        </w:tc>
        <w:tc>
          <w:tcPr>
            <w:tcW w:w="1911" w:type="dxa"/>
          </w:tcPr>
          <w:p w14:paraId="175CA193">
            <w:pPr>
              <w:autoSpaceDE w:val="0"/>
              <w:autoSpaceDN w:val="0"/>
              <w:spacing w:line="360" w:lineRule="auto"/>
              <w:textAlignment w:val="bottom"/>
              <w:rPr>
                <w:rFonts w:hint="default" w:ascii="Times New Roman" w:hAnsi="Times New Roman" w:eastAsia="宋体" w:cs="Times New Roman"/>
                <w:b/>
                <w:highlight w:val="none"/>
              </w:rPr>
            </w:pPr>
          </w:p>
        </w:tc>
        <w:tc>
          <w:tcPr>
            <w:tcW w:w="1739" w:type="dxa"/>
          </w:tcPr>
          <w:p w14:paraId="4B659FE4">
            <w:pPr>
              <w:autoSpaceDE w:val="0"/>
              <w:autoSpaceDN w:val="0"/>
              <w:spacing w:line="360" w:lineRule="auto"/>
              <w:textAlignment w:val="bottom"/>
              <w:rPr>
                <w:rFonts w:hint="default" w:ascii="Times New Roman" w:hAnsi="Times New Roman" w:eastAsia="宋体" w:cs="Times New Roman"/>
                <w:b/>
                <w:highlight w:val="none"/>
              </w:rPr>
            </w:pPr>
          </w:p>
        </w:tc>
        <w:tc>
          <w:tcPr>
            <w:tcW w:w="2254" w:type="dxa"/>
          </w:tcPr>
          <w:p w14:paraId="3A7F91A6">
            <w:pPr>
              <w:autoSpaceDE w:val="0"/>
              <w:autoSpaceDN w:val="0"/>
              <w:spacing w:line="360" w:lineRule="auto"/>
              <w:textAlignment w:val="bottom"/>
              <w:rPr>
                <w:rFonts w:hint="default" w:ascii="Times New Roman" w:hAnsi="Times New Roman" w:eastAsia="宋体" w:cs="Times New Roman"/>
                <w:b/>
                <w:highlight w:val="none"/>
              </w:rPr>
            </w:pPr>
          </w:p>
        </w:tc>
        <w:tc>
          <w:tcPr>
            <w:tcW w:w="2254" w:type="dxa"/>
          </w:tcPr>
          <w:p w14:paraId="580BBFDA">
            <w:pPr>
              <w:autoSpaceDE w:val="0"/>
              <w:autoSpaceDN w:val="0"/>
              <w:spacing w:line="360" w:lineRule="auto"/>
              <w:textAlignment w:val="bottom"/>
              <w:rPr>
                <w:rFonts w:hint="default" w:ascii="Times New Roman" w:hAnsi="Times New Roman" w:eastAsia="宋体" w:cs="Times New Roman"/>
                <w:b/>
                <w:highlight w:val="none"/>
              </w:rPr>
            </w:pPr>
          </w:p>
        </w:tc>
      </w:tr>
      <w:tr w14:paraId="5B449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880" w:type="dxa"/>
          </w:tcPr>
          <w:p w14:paraId="557CBB7A">
            <w:pPr>
              <w:autoSpaceDE w:val="0"/>
              <w:autoSpaceDN w:val="0"/>
              <w:spacing w:line="360" w:lineRule="auto"/>
              <w:textAlignment w:val="bottom"/>
              <w:rPr>
                <w:rFonts w:hint="default" w:ascii="Times New Roman" w:hAnsi="Times New Roman" w:eastAsia="宋体" w:cs="Times New Roman"/>
                <w:b/>
                <w:highlight w:val="none"/>
              </w:rPr>
            </w:pPr>
          </w:p>
        </w:tc>
        <w:tc>
          <w:tcPr>
            <w:tcW w:w="1911" w:type="dxa"/>
          </w:tcPr>
          <w:p w14:paraId="38AB8B19">
            <w:pPr>
              <w:autoSpaceDE w:val="0"/>
              <w:autoSpaceDN w:val="0"/>
              <w:spacing w:line="360" w:lineRule="auto"/>
              <w:textAlignment w:val="bottom"/>
              <w:rPr>
                <w:rFonts w:hint="default" w:ascii="Times New Roman" w:hAnsi="Times New Roman" w:eastAsia="宋体" w:cs="Times New Roman"/>
                <w:b/>
                <w:highlight w:val="none"/>
              </w:rPr>
            </w:pPr>
          </w:p>
        </w:tc>
        <w:tc>
          <w:tcPr>
            <w:tcW w:w="1739" w:type="dxa"/>
          </w:tcPr>
          <w:p w14:paraId="6A6CEB0E">
            <w:pPr>
              <w:autoSpaceDE w:val="0"/>
              <w:autoSpaceDN w:val="0"/>
              <w:spacing w:line="360" w:lineRule="auto"/>
              <w:textAlignment w:val="bottom"/>
              <w:rPr>
                <w:rFonts w:hint="default" w:ascii="Times New Roman" w:hAnsi="Times New Roman" w:eastAsia="宋体" w:cs="Times New Roman"/>
                <w:b/>
                <w:highlight w:val="none"/>
              </w:rPr>
            </w:pPr>
          </w:p>
        </w:tc>
        <w:tc>
          <w:tcPr>
            <w:tcW w:w="2254" w:type="dxa"/>
          </w:tcPr>
          <w:p w14:paraId="1AD5BB6E">
            <w:pPr>
              <w:autoSpaceDE w:val="0"/>
              <w:autoSpaceDN w:val="0"/>
              <w:spacing w:line="360" w:lineRule="auto"/>
              <w:textAlignment w:val="bottom"/>
              <w:rPr>
                <w:rFonts w:hint="default" w:ascii="Times New Roman" w:hAnsi="Times New Roman" w:eastAsia="宋体" w:cs="Times New Roman"/>
                <w:b/>
                <w:highlight w:val="none"/>
              </w:rPr>
            </w:pPr>
          </w:p>
        </w:tc>
        <w:tc>
          <w:tcPr>
            <w:tcW w:w="2254" w:type="dxa"/>
          </w:tcPr>
          <w:p w14:paraId="4A3D9438">
            <w:pPr>
              <w:autoSpaceDE w:val="0"/>
              <w:autoSpaceDN w:val="0"/>
              <w:spacing w:line="360" w:lineRule="auto"/>
              <w:textAlignment w:val="bottom"/>
              <w:rPr>
                <w:rFonts w:hint="default" w:ascii="Times New Roman" w:hAnsi="Times New Roman" w:eastAsia="宋体" w:cs="Times New Roman"/>
                <w:b/>
                <w:highlight w:val="none"/>
              </w:rPr>
            </w:pPr>
          </w:p>
        </w:tc>
      </w:tr>
      <w:tr w14:paraId="242EC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880" w:type="dxa"/>
          </w:tcPr>
          <w:p w14:paraId="5E1F8D0D">
            <w:pPr>
              <w:autoSpaceDE w:val="0"/>
              <w:autoSpaceDN w:val="0"/>
              <w:spacing w:line="360" w:lineRule="auto"/>
              <w:textAlignment w:val="bottom"/>
              <w:rPr>
                <w:rFonts w:hint="default" w:ascii="Times New Roman" w:hAnsi="Times New Roman" w:eastAsia="宋体" w:cs="Times New Roman"/>
                <w:b/>
                <w:highlight w:val="none"/>
              </w:rPr>
            </w:pPr>
          </w:p>
        </w:tc>
        <w:tc>
          <w:tcPr>
            <w:tcW w:w="1911" w:type="dxa"/>
          </w:tcPr>
          <w:p w14:paraId="3D77934D">
            <w:pPr>
              <w:autoSpaceDE w:val="0"/>
              <w:autoSpaceDN w:val="0"/>
              <w:spacing w:line="360" w:lineRule="auto"/>
              <w:textAlignment w:val="bottom"/>
              <w:rPr>
                <w:rFonts w:hint="default" w:ascii="Times New Roman" w:hAnsi="Times New Roman" w:eastAsia="宋体" w:cs="Times New Roman"/>
                <w:b/>
                <w:highlight w:val="none"/>
              </w:rPr>
            </w:pPr>
          </w:p>
        </w:tc>
        <w:tc>
          <w:tcPr>
            <w:tcW w:w="1739" w:type="dxa"/>
          </w:tcPr>
          <w:p w14:paraId="13AC5984">
            <w:pPr>
              <w:autoSpaceDE w:val="0"/>
              <w:autoSpaceDN w:val="0"/>
              <w:spacing w:line="360" w:lineRule="auto"/>
              <w:textAlignment w:val="bottom"/>
              <w:rPr>
                <w:rFonts w:hint="default" w:ascii="Times New Roman" w:hAnsi="Times New Roman" w:eastAsia="宋体" w:cs="Times New Roman"/>
                <w:b/>
                <w:highlight w:val="none"/>
              </w:rPr>
            </w:pPr>
          </w:p>
        </w:tc>
        <w:tc>
          <w:tcPr>
            <w:tcW w:w="2254" w:type="dxa"/>
          </w:tcPr>
          <w:p w14:paraId="2D84F0CB">
            <w:pPr>
              <w:autoSpaceDE w:val="0"/>
              <w:autoSpaceDN w:val="0"/>
              <w:spacing w:line="360" w:lineRule="auto"/>
              <w:textAlignment w:val="bottom"/>
              <w:rPr>
                <w:rFonts w:hint="default" w:ascii="Times New Roman" w:hAnsi="Times New Roman" w:eastAsia="宋体" w:cs="Times New Roman"/>
                <w:b/>
                <w:highlight w:val="none"/>
              </w:rPr>
            </w:pPr>
          </w:p>
        </w:tc>
        <w:tc>
          <w:tcPr>
            <w:tcW w:w="2254" w:type="dxa"/>
          </w:tcPr>
          <w:p w14:paraId="2A6D3375">
            <w:pPr>
              <w:autoSpaceDE w:val="0"/>
              <w:autoSpaceDN w:val="0"/>
              <w:spacing w:line="360" w:lineRule="auto"/>
              <w:textAlignment w:val="bottom"/>
              <w:rPr>
                <w:rFonts w:hint="default" w:ascii="Times New Roman" w:hAnsi="Times New Roman" w:eastAsia="宋体" w:cs="Times New Roman"/>
                <w:b/>
                <w:highlight w:val="none"/>
              </w:rPr>
            </w:pPr>
          </w:p>
        </w:tc>
      </w:tr>
      <w:tr w14:paraId="6BB84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880" w:type="dxa"/>
          </w:tcPr>
          <w:p w14:paraId="219D0280">
            <w:pPr>
              <w:autoSpaceDE w:val="0"/>
              <w:autoSpaceDN w:val="0"/>
              <w:spacing w:line="360" w:lineRule="auto"/>
              <w:textAlignment w:val="bottom"/>
              <w:rPr>
                <w:rFonts w:hint="default" w:ascii="Times New Roman" w:hAnsi="Times New Roman" w:eastAsia="宋体" w:cs="Times New Roman"/>
                <w:b/>
                <w:highlight w:val="none"/>
              </w:rPr>
            </w:pPr>
          </w:p>
        </w:tc>
        <w:tc>
          <w:tcPr>
            <w:tcW w:w="1911" w:type="dxa"/>
          </w:tcPr>
          <w:p w14:paraId="205EA63C">
            <w:pPr>
              <w:autoSpaceDE w:val="0"/>
              <w:autoSpaceDN w:val="0"/>
              <w:spacing w:line="360" w:lineRule="auto"/>
              <w:textAlignment w:val="bottom"/>
              <w:rPr>
                <w:rFonts w:hint="default" w:ascii="Times New Roman" w:hAnsi="Times New Roman" w:eastAsia="宋体" w:cs="Times New Roman"/>
                <w:b/>
                <w:highlight w:val="none"/>
              </w:rPr>
            </w:pPr>
          </w:p>
        </w:tc>
        <w:tc>
          <w:tcPr>
            <w:tcW w:w="1739" w:type="dxa"/>
          </w:tcPr>
          <w:p w14:paraId="0D2C4270">
            <w:pPr>
              <w:autoSpaceDE w:val="0"/>
              <w:autoSpaceDN w:val="0"/>
              <w:spacing w:line="360" w:lineRule="auto"/>
              <w:textAlignment w:val="bottom"/>
              <w:rPr>
                <w:rFonts w:hint="default" w:ascii="Times New Roman" w:hAnsi="Times New Roman" w:eastAsia="宋体" w:cs="Times New Roman"/>
                <w:b/>
                <w:highlight w:val="none"/>
              </w:rPr>
            </w:pPr>
          </w:p>
        </w:tc>
        <w:tc>
          <w:tcPr>
            <w:tcW w:w="2254" w:type="dxa"/>
          </w:tcPr>
          <w:p w14:paraId="16114523">
            <w:pPr>
              <w:autoSpaceDE w:val="0"/>
              <w:autoSpaceDN w:val="0"/>
              <w:spacing w:line="360" w:lineRule="auto"/>
              <w:textAlignment w:val="bottom"/>
              <w:rPr>
                <w:rFonts w:hint="default" w:ascii="Times New Roman" w:hAnsi="Times New Roman" w:eastAsia="宋体" w:cs="Times New Roman"/>
                <w:b/>
                <w:highlight w:val="none"/>
              </w:rPr>
            </w:pPr>
          </w:p>
        </w:tc>
        <w:tc>
          <w:tcPr>
            <w:tcW w:w="2254" w:type="dxa"/>
          </w:tcPr>
          <w:p w14:paraId="026072A1">
            <w:pPr>
              <w:autoSpaceDE w:val="0"/>
              <w:autoSpaceDN w:val="0"/>
              <w:spacing w:line="360" w:lineRule="auto"/>
              <w:textAlignment w:val="bottom"/>
              <w:rPr>
                <w:rFonts w:hint="default" w:ascii="Times New Roman" w:hAnsi="Times New Roman" w:eastAsia="宋体" w:cs="Times New Roman"/>
                <w:b/>
                <w:highlight w:val="none"/>
              </w:rPr>
            </w:pPr>
          </w:p>
        </w:tc>
      </w:tr>
      <w:tr w14:paraId="2FDC8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6" w:hRule="atLeast"/>
        </w:trPr>
        <w:tc>
          <w:tcPr>
            <w:tcW w:w="9038" w:type="dxa"/>
            <w:gridSpan w:val="5"/>
          </w:tcPr>
          <w:p w14:paraId="50DED280">
            <w:pPr>
              <w:autoSpaceDE w:val="0"/>
              <w:autoSpaceDN w:val="0"/>
              <w:spacing w:line="360" w:lineRule="auto"/>
              <w:textAlignment w:val="bottom"/>
              <w:rPr>
                <w:rFonts w:hint="default" w:ascii="Times New Roman" w:hAnsi="Times New Roman" w:eastAsia="宋体" w:cs="Times New Roman"/>
                <w:b/>
                <w:i/>
                <w:iCs/>
                <w:sz w:val="22"/>
                <w:highlight w:val="none"/>
              </w:rPr>
            </w:pPr>
            <w:r>
              <w:rPr>
                <w:rFonts w:hint="default" w:ascii="Times New Roman" w:hAnsi="Times New Roman" w:eastAsia="宋体" w:cs="Times New Roman"/>
                <w:b/>
                <w:i/>
                <w:iCs/>
                <w:sz w:val="22"/>
                <w:highlight w:val="none"/>
              </w:rPr>
              <w:t>如有对招标文件其他商务要求的投标有偏离，请务必在此表展开说明，如未加以说明或者漏项缺项则视为全部满足招标文件要求。</w:t>
            </w:r>
          </w:p>
        </w:tc>
      </w:tr>
    </w:tbl>
    <w:p w14:paraId="59705ADC">
      <w:pPr>
        <w:autoSpaceDE w:val="0"/>
        <w:autoSpaceDN w:val="0"/>
        <w:spacing w:line="360" w:lineRule="auto"/>
        <w:textAlignment w:val="bottom"/>
        <w:rPr>
          <w:rFonts w:hint="default" w:ascii="Times New Roman" w:hAnsi="Times New Roman" w:eastAsia="宋体" w:cs="Times New Roman"/>
          <w:b/>
          <w:sz w:val="24"/>
          <w:highlight w:val="none"/>
        </w:rPr>
      </w:pPr>
    </w:p>
    <w:p w14:paraId="3879CF49">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投标人授权代表签字：</w:t>
      </w:r>
      <w:r>
        <w:rPr>
          <w:rFonts w:hint="default" w:ascii="Times New Roman" w:hAnsi="Times New Roman" w:eastAsia="宋体" w:cs="Times New Roman"/>
          <w:sz w:val="24"/>
          <w:szCs w:val="24"/>
          <w:highlight w:val="none"/>
          <w:u w:val="single"/>
        </w:rPr>
        <w:t xml:space="preserve">               </w:t>
      </w:r>
    </w:p>
    <w:p w14:paraId="3B8B0EAB">
      <w:pPr>
        <w:spacing w:line="360" w:lineRule="auto"/>
        <w:rPr>
          <w:rFonts w:hint="default" w:ascii="Times New Roman" w:hAnsi="Times New Roman" w:eastAsia="宋体" w:cs="Times New Roman"/>
          <w:sz w:val="24"/>
          <w:szCs w:val="24"/>
          <w:highlight w:val="none"/>
          <w:u w:val="single"/>
        </w:rPr>
      </w:pPr>
      <w:r>
        <w:rPr>
          <w:rFonts w:hint="default" w:ascii="Times New Roman" w:hAnsi="Times New Roman" w:eastAsia="宋体" w:cs="Times New Roman"/>
          <w:sz w:val="24"/>
          <w:szCs w:val="24"/>
          <w:highlight w:val="none"/>
        </w:rPr>
        <w:t>投标人名称：</w:t>
      </w:r>
      <w:r>
        <w:rPr>
          <w:rFonts w:hint="default" w:ascii="Times New Roman" w:hAnsi="Times New Roman" w:eastAsia="宋体" w:cs="Times New Roman"/>
          <w:sz w:val="24"/>
          <w:szCs w:val="24"/>
          <w:highlight w:val="none"/>
          <w:u w:val="single"/>
        </w:rPr>
        <w:t xml:space="preserve">               </w:t>
      </w:r>
      <w:r>
        <w:rPr>
          <w:rFonts w:hint="default" w:ascii="Times New Roman" w:hAnsi="Times New Roman" w:eastAsia="宋体" w:cs="Times New Roman"/>
          <w:sz w:val="24"/>
          <w:szCs w:val="24"/>
          <w:highlight w:val="none"/>
        </w:rPr>
        <w:t>（加盖公章）</w:t>
      </w:r>
    </w:p>
    <w:p w14:paraId="4D1D1E95">
      <w:pPr>
        <w:spacing w:line="360" w:lineRule="auto"/>
        <w:rPr>
          <w:rFonts w:hint="default" w:ascii="Times New Roman" w:hAnsi="Times New Roman" w:eastAsia="宋体" w:cs="Times New Roman"/>
          <w:sz w:val="24"/>
          <w:szCs w:val="24"/>
          <w:highlight w:val="none"/>
          <w:u w:val="single"/>
        </w:rPr>
      </w:pPr>
      <w:r>
        <w:rPr>
          <w:rFonts w:hint="default" w:ascii="Times New Roman" w:hAnsi="Times New Roman" w:eastAsia="宋体" w:cs="Times New Roman"/>
          <w:sz w:val="24"/>
          <w:szCs w:val="24"/>
          <w:highlight w:val="none"/>
        </w:rPr>
        <w:t>日期：</w:t>
      </w:r>
      <w:r>
        <w:rPr>
          <w:rFonts w:hint="default" w:ascii="Times New Roman" w:hAnsi="Times New Roman" w:eastAsia="宋体" w:cs="Times New Roman"/>
          <w:sz w:val="24"/>
          <w:szCs w:val="24"/>
          <w:highlight w:val="none"/>
          <w:u w:val="single"/>
        </w:rPr>
        <w:t xml:space="preserve">                         </w:t>
      </w:r>
    </w:p>
    <w:p w14:paraId="52568ADA">
      <w:pPr>
        <w:spacing w:line="360" w:lineRule="auto"/>
        <w:rPr>
          <w:rFonts w:hint="default" w:ascii="Times New Roman" w:hAnsi="Times New Roman" w:eastAsia="宋体" w:cs="Times New Roman"/>
          <w:highlight w:val="none"/>
        </w:rPr>
      </w:pPr>
    </w:p>
    <w:p w14:paraId="5E2C1661">
      <w:pPr>
        <w:autoSpaceDE w:val="0"/>
        <w:autoSpaceDN w:val="0"/>
        <w:spacing w:line="360" w:lineRule="auto"/>
        <w:textAlignment w:val="bottom"/>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注：</w:t>
      </w:r>
    </w:p>
    <w:p w14:paraId="2EB007C7">
      <w:pPr>
        <w:autoSpaceDE w:val="0"/>
        <w:autoSpaceDN w:val="0"/>
        <w:spacing w:line="360" w:lineRule="auto"/>
        <w:textAlignment w:val="bottom"/>
        <w:rPr>
          <w:rFonts w:hint="default" w:ascii="Times New Roman" w:hAnsi="Times New Roman" w:eastAsia="宋体" w:cs="Times New Roman"/>
          <w:b/>
          <w:color w:val="FF0000"/>
          <w:sz w:val="24"/>
          <w:szCs w:val="24"/>
          <w:highlight w:val="none"/>
        </w:rPr>
      </w:pPr>
      <w:r>
        <w:rPr>
          <w:rFonts w:hint="default" w:ascii="Times New Roman" w:hAnsi="Times New Roman" w:eastAsia="宋体" w:cs="Times New Roman"/>
          <w:b/>
          <w:color w:val="FF0000"/>
          <w:sz w:val="24"/>
          <w:szCs w:val="24"/>
          <w:highlight w:val="none"/>
        </w:rPr>
        <w:t>1、商务偏离表主要针对招标文件第四章 项目需求 三、具体要求 《二》商务要求（包括招标文件中付款条件、培训、售后服务等要求）等内容填写；如需提供证明资料的，应附在本表格后面以便评审专家查阅。</w:t>
      </w:r>
    </w:p>
    <w:p w14:paraId="05694653">
      <w:pPr>
        <w:autoSpaceDE w:val="0"/>
        <w:autoSpaceDN w:val="0"/>
        <w:spacing w:line="360" w:lineRule="auto"/>
        <w:textAlignment w:val="bottom"/>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2、若对招标文件商务条款有任何偏离应列明偏离情况；除有偏离情况以外的，若对招标文件商务条款其他部分无偏离应标明“其他无偏离”；</w:t>
      </w:r>
    </w:p>
    <w:p w14:paraId="2BB807C0">
      <w:pPr>
        <w:autoSpaceDE w:val="0"/>
        <w:autoSpaceDN w:val="0"/>
        <w:spacing w:line="360" w:lineRule="auto"/>
        <w:textAlignment w:val="bottom"/>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3、对招标文件全部无偏离允许标明“全部无偏离”。</w:t>
      </w:r>
    </w:p>
    <w:p w14:paraId="321757B4">
      <w:pPr>
        <w:spacing w:line="360" w:lineRule="auto"/>
        <w:rPr>
          <w:rFonts w:hint="default" w:ascii="Times New Roman" w:hAnsi="Times New Roman" w:eastAsia="宋体" w:cs="Times New Roman"/>
          <w:highlight w:val="none"/>
        </w:rPr>
      </w:pPr>
      <w:r>
        <w:rPr>
          <w:rFonts w:hint="default" w:ascii="Times New Roman" w:hAnsi="Times New Roman" w:eastAsia="宋体" w:cs="Times New Roman"/>
          <w:bCs/>
          <w:sz w:val="24"/>
          <w:szCs w:val="24"/>
          <w:highlight w:val="none"/>
        </w:rPr>
        <w:t>4、如有对招标文件其他商务要求的投标有偏离，请务必在此表展开说明，如未加以说明或者漏项缺项则视为全部满足招标文件要求。</w:t>
      </w:r>
    </w:p>
    <w:p w14:paraId="712EE53C">
      <w:pPr>
        <w:widowControl/>
        <w:spacing w:line="360" w:lineRule="auto"/>
        <w:rPr>
          <w:rFonts w:hint="default" w:ascii="Times New Roman" w:hAnsi="Times New Roman" w:eastAsia="宋体" w:cs="Times New Roman"/>
          <w:bCs/>
          <w:szCs w:val="21"/>
          <w:highlight w:val="none"/>
        </w:rPr>
      </w:pPr>
      <w:r>
        <w:rPr>
          <w:rFonts w:hint="default" w:ascii="Times New Roman" w:hAnsi="Times New Roman" w:eastAsia="宋体" w:cs="Times New Roman"/>
          <w:bCs/>
          <w:szCs w:val="21"/>
          <w:highlight w:val="none"/>
        </w:rPr>
        <w:br w:type="page"/>
      </w:r>
    </w:p>
    <w:p w14:paraId="29453A0E">
      <w:pPr>
        <w:spacing w:line="360" w:lineRule="auto"/>
        <w:outlineLvl w:val="1"/>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附件7 资格证明文件：</w:t>
      </w:r>
    </w:p>
    <w:p w14:paraId="3EFBEA23">
      <w:pPr>
        <w:spacing w:line="360" w:lineRule="auto"/>
        <w:outlineLvl w:val="1"/>
        <w:rPr>
          <w:rFonts w:hint="default" w:ascii="Times New Roman" w:hAnsi="Times New Roman" w:eastAsia="宋体" w:cs="Times New Roman"/>
          <w:b/>
          <w:bCs/>
          <w:sz w:val="24"/>
          <w:highlight w:val="none"/>
        </w:rPr>
      </w:pPr>
      <w:r>
        <w:rPr>
          <w:rFonts w:hint="default" w:ascii="Times New Roman" w:hAnsi="Times New Roman" w:eastAsia="宋体" w:cs="Times New Roman"/>
          <w:b/>
          <w:bCs/>
          <w:sz w:val="24"/>
          <w:highlight w:val="none"/>
        </w:rPr>
        <w:t>★附件7-1 法人营业执照/事业单位法人证书（复印件，加盖公章，投标人必须提供，格式自拟）</w:t>
      </w:r>
    </w:p>
    <w:p w14:paraId="6C542442">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kern w:val="0"/>
          <w:sz w:val="24"/>
          <w:highlight w:val="none"/>
        </w:rPr>
        <w:t>（投标人为企业（包括合伙企业）的，应提供有效的“营业执照”；投标人为事业单位的，应提供有效的“事业单位法人证书”；投标人是非企业机构的，应提供有效的“执业许可证”、“登记证书”等证明文件；投标人是个体工商户的，应提供有效的“个体工商户营业执照”；投标人是自然人的，应提供有效的自然人身份证明。</w:t>
      </w:r>
      <w:r>
        <w:rPr>
          <w:rFonts w:hint="default" w:ascii="Times New Roman" w:hAnsi="Times New Roman" w:eastAsia="宋体" w:cs="Times New Roman"/>
          <w:kern w:val="0"/>
          <w:sz w:val="24"/>
          <w:szCs w:val="24"/>
          <w:highlight w:val="none"/>
        </w:rPr>
        <w:t>分公司投标的，需提供具有法人资格的总公司的营业执照副本复印件及授权书。</w:t>
      </w:r>
      <w:r>
        <w:rPr>
          <w:rFonts w:hint="default" w:ascii="Times New Roman" w:hAnsi="Times New Roman" w:eastAsia="宋体" w:cs="Times New Roman"/>
          <w:kern w:val="0"/>
          <w:sz w:val="24"/>
          <w:highlight w:val="none"/>
        </w:rPr>
        <w:t>）</w:t>
      </w:r>
    </w:p>
    <w:p w14:paraId="5566ED5B">
      <w:pPr>
        <w:tabs>
          <w:tab w:val="left" w:pos="425"/>
        </w:tabs>
        <w:spacing w:line="360" w:lineRule="auto"/>
        <w:rPr>
          <w:rFonts w:hint="default" w:ascii="Times New Roman" w:hAnsi="Times New Roman" w:eastAsia="宋体" w:cs="Times New Roman"/>
          <w:b/>
          <w:bCs/>
          <w:sz w:val="24"/>
          <w:highlight w:val="none"/>
        </w:rPr>
      </w:pPr>
    </w:p>
    <w:p w14:paraId="505EAA31">
      <w:pPr>
        <w:spacing w:line="360" w:lineRule="auto"/>
        <w:rPr>
          <w:rFonts w:hint="default" w:ascii="Times New Roman" w:hAnsi="Times New Roman" w:eastAsia="宋体" w:cs="Times New Roman"/>
          <w:b/>
          <w:bCs/>
          <w:sz w:val="24"/>
          <w:highlight w:val="none"/>
        </w:rPr>
      </w:pPr>
      <w:r>
        <w:rPr>
          <w:rFonts w:hint="default" w:ascii="Times New Roman" w:hAnsi="Times New Roman" w:eastAsia="宋体" w:cs="Times New Roman"/>
          <w:b/>
          <w:bCs/>
          <w:sz w:val="24"/>
          <w:highlight w:val="none"/>
        </w:rPr>
        <w:br w:type="page"/>
      </w:r>
    </w:p>
    <w:p w14:paraId="22D5880C">
      <w:pPr>
        <w:pStyle w:val="3"/>
        <w:tabs>
          <w:tab w:val="left" w:pos="425"/>
        </w:tabs>
        <w:spacing w:line="360" w:lineRule="auto"/>
        <w:jc w:val="both"/>
        <w:rPr>
          <w:rFonts w:hint="default" w:ascii="Times New Roman" w:hAnsi="Times New Roman" w:eastAsia="宋体" w:cs="Times New Roman"/>
          <w:b/>
          <w:bCs/>
          <w:kern w:val="2"/>
          <w:highlight w:val="none"/>
        </w:rPr>
      </w:pPr>
      <w:r>
        <w:rPr>
          <w:rFonts w:hint="default" w:ascii="Times New Roman" w:hAnsi="Times New Roman" w:eastAsia="宋体" w:cs="Times New Roman"/>
          <w:b/>
          <w:bCs/>
          <w:highlight w:val="none"/>
        </w:rPr>
        <w:t>★</w:t>
      </w:r>
      <w:r>
        <w:rPr>
          <w:rFonts w:hint="default" w:ascii="Times New Roman" w:hAnsi="Times New Roman" w:eastAsia="宋体" w:cs="Times New Roman"/>
          <w:b/>
          <w:bCs/>
          <w:kern w:val="2"/>
          <w:highlight w:val="none"/>
        </w:rPr>
        <w:t>附件7-2 法定代表人资格证明书及法定代表人授权委托书</w:t>
      </w:r>
    </w:p>
    <w:p w14:paraId="51FEDC6B">
      <w:pPr>
        <w:pStyle w:val="4"/>
        <w:spacing w:line="360" w:lineRule="auto"/>
        <w:jc w:val="both"/>
        <w:rPr>
          <w:rFonts w:hint="default" w:ascii="Times New Roman" w:hAnsi="Times New Roman" w:eastAsia="宋体" w:cs="Times New Roman"/>
          <w:szCs w:val="24"/>
          <w:highlight w:val="none"/>
        </w:rPr>
      </w:pPr>
    </w:p>
    <w:p w14:paraId="3E7AB13C">
      <w:pPr>
        <w:pStyle w:val="7"/>
        <w:numPr>
          <w:ilvl w:val="2"/>
          <w:numId w:val="0"/>
        </w:numPr>
        <w:tabs>
          <w:tab w:val="clear" w:pos="2160"/>
        </w:tabs>
        <w:spacing w:before="0" w:after="0" w:line="360" w:lineRule="auto"/>
        <w:ind w:left="2160" w:hanging="36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highlight w:val="none"/>
        </w:rPr>
        <w:t>★</w:t>
      </w:r>
      <w:r>
        <w:rPr>
          <w:rFonts w:hint="default" w:ascii="Times New Roman" w:hAnsi="Times New Roman" w:eastAsia="宋体" w:cs="Times New Roman"/>
          <w:sz w:val="24"/>
          <w:szCs w:val="24"/>
          <w:highlight w:val="none"/>
        </w:rPr>
        <w:t>（1）法定代表人资格证明书</w:t>
      </w:r>
    </w:p>
    <w:p w14:paraId="03C90582">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（注：响应签字代表为法定代表人，适用本表）</w:t>
      </w:r>
    </w:p>
    <w:p w14:paraId="748817AE">
      <w:pPr>
        <w:spacing w:line="360" w:lineRule="auto"/>
        <w:ind w:left="750"/>
        <w:rPr>
          <w:rFonts w:hint="default" w:ascii="Times New Roman" w:hAnsi="Times New Roman" w:eastAsia="宋体" w:cs="Times New Roman"/>
          <w:highlight w:val="none"/>
        </w:rPr>
      </w:pPr>
    </w:p>
    <w:p w14:paraId="0E1C66E7">
      <w:pPr>
        <w:spacing w:line="360" w:lineRule="auto"/>
        <w:rPr>
          <w:rFonts w:hint="default" w:ascii="Times New Roman" w:hAnsi="Times New Roman" w:eastAsia="宋体" w:cs="Times New Roman"/>
          <w:highlight w:val="none"/>
        </w:rPr>
      </w:pPr>
      <w:r>
        <w:rPr>
          <w:rFonts w:hint="default" w:ascii="Times New Roman" w:hAnsi="Times New Roman" w:eastAsia="宋体" w:cs="Times New Roman"/>
          <w:highlight w:val="none"/>
        </w:rPr>
        <w:t>致：</w:t>
      </w:r>
      <w:r>
        <w:rPr>
          <w:rFonts w:hint="default" w:ascii="Times New Roman" w:hAnsi="Times New Roman" w:eastAsia="宋体" w:cs="Times New Roman"/>
          <w:highlight w:val="none"/>
          <w:u w:val="single"/>
        </w:rPr>
        <w:t xml:space="preserve">                   (采购人名称)_</w:t>
      </w:r>
      <w:r>
        <w:rPr>
          <w:rFonts w:hint="default" w:ascii="Times New Roman" w:hAnsi="Times New Roman" w:eastAsia="宋体" w:cs="Times New Roman"/>
          <w:highlight w:val="none"/>
        </w:rPr>
        <w:t>：</w:t>
      </w:r>
    </w:p>
    <w:p w14:paraId="4B6D1A7B">
      <w:pPr>
        <w:spacing w:line="360" w:lineRule="auto"/>
        <w:ind w:firstLine="420"/>
        <w:rPr>
          <w:rFonts w:hint="default" w:ascii="Times New Roman" w:hAnsi="Times New Roman" w:eastAsia="宋体" w:cs="Times New Roman"/>
          <w:highlight w:val="none"/>
        </w:rPr>
      </w:pPr>
      <w:r>
        <w:rPr>
          <w:rFonts w:hint="default" w:ascii="Times New Roman" w:hAnsi="Times New Roman" w:eastAsia="宋体" w:cs="Times New Roman"/>
          <w:highlight w:val="none"/>
          <w:u w:val="single"/>
        </w:rPr>
        <w:t xml:space="preserve">        </w:t>
      </w:r>
      <w:r>
        <w:rPr>
          <w:rFonts w:hint="default" w:ascii="Times New Roman" w:hAnsi="Times New Roman" w:eastAsia="宋体" w:cs="Times New Roman"/>
          <w:highlight w:val="none"/>
        </w:rPr>
        <w:t>同志，现任我单位</w:t>
      </w:r>
      <w:r>
        <w:rPr>
          <w:rFonts w:hint="default" w:ascii="Times New Roman" w:hAnsi="Times New Roman" w:eastAsia="宋体" w:cs="Times New Roman"/>
          <w:highlight w:val="none"/>
          <w:u w:val="single"/>
        </w:rPr>
        <w:t xml:space="preserve">        </w:t>
      </w:r>
      <w:r>
        <w:rPr>
          <w:rFonts w:hint="default" w:ascii="Times New Roman" w:hAnsi="Times New Roman" w:eastAsia="宋体" w:cs="Times New Roman"/>
          <w:highlight w:val="none"/>
        </w:rPr>
        <w:t>职务，为法定代表人，特此证明。</w:t>
      </w:r>
    </w:p>
    <w:tbl>
      <w:tblPr>
        <w:tblStyle w:val="28"/>
        <w:tblW w:w="9175" w:type="dxa"/>
        <w:jc w:val="center"/>
        <w:tblLayout w:type="fixed"/>
        <w:tblCellMar>
          <w:top w:w="0" w:type="dxa"/>
          <w:left w:w="108" w:type="dxa"/>
          <w:bottom w:w="0" w:type="dxa"/>
          <w:right w:w="108" w:type="dxa"/>
        </w:tblCellMar>
      </w:tblPr>
      <w:tblGrid>
        <w:gridCol w:w="4587"/>
        <w:gridCol w:w="4588"/>
      </w:tblGrid>
      <w:tr w14:paraId="5DCAE0E8">
        <w:tblPrEx>
          <w:tblCellMar>
            <w:top w:w="0" w:type="dxa"/>
            <w:left w:w="108" w:type="dxa"/>
            <w:bottom w:w="0" w:type="dxa"/>
            <w:right w:w="108" w:type="dxa"/>
          </w:tblCellMar>
        </w:tblPrEx>
        <w:trPr>
          <w:jc w:val="center"/>
        </w:trPr>
        <w:tc>
          <w:tcPr>
            <w:tcW w:w="4587" w:type="dxa"/>
            <w:vAlign w:val="center"/>
          </w:tcPr>
          <w:p w14:paraId="4726CBA2">
            <w:pPr>
              <w:spacing w:line="360" w:lineRule="auto"/>
              <w:rPr>
                <w:rFonts w:hint="default" w:ascii="Times New Roman" w:hAnsi="Times New Roman" w:eastAsia="宋体" w:cs="Times New Roman"/>
                <w:highlight w:val="none"/>
              </w:rPr>
            </w:pPr>
            <w:r>
              <w:rPr>
                <w:rFonts w:hint="default" w:ascii="Times New Roman" w:hAnsi="Times New Roman" w:eastAsia="宋体" w:cs="Times New Roman"/>
                <w:highlight w:val="none"/>
              </w:rPr>
              <w:t>签发日期：</w:t>
            </w:r>
            <w:r>
              <w:rPr>
                <w:rFonts w:hint="default" w:ascii="Times New Roman" w:hAnsi="Times New Roman" w:eastAsia="宋体" w:cs="Times New Roman"/>
                <w:highlight w:val="none"/>
                <w:u w:val="single"/>
              </w:rPr>
              <w:t xml:space="preserve">    </w:t>
            </w:r>
            <w:r>
              <w:rPr>
                <w:rFonts w:hint="default" w:ascii="Times New Roman" w:hAnsi="Times New Roman" w:eastAsia="宋体" w:cs="Times New Roman"/>
                <w:highlight w:val="none"/>
              </w:rPr>
              <w:t>年</w:t>
            </w:r>
            <w:r>
              <w:rPr>
                <w:rFonts w:hint="default" w:ascii="Times New Roman" w:hAnsi="Times New Roman" w:eastAsia="宋体" w:cs="Times New Roman"/>
                <w:highlight w:val="none"/>
                <w:u w:val="single"/>
              </w:rPr>
              <w:t xml:space="preserve">    </w:t>
            </w:r>
            <w:r>
              <w:rPr>
                <w:rFonts w:hint="default" w:ascii="Times New Roman" w:hAnsi="Times New Roman" w:eastAsia="宋体" w:cs="Times New Roman"/>
                <w:highlight w:val="none"/>
              </w:rPr>
              <w:t>月</w:t>
            </w:r>
            <w:r>
              <w:rPr>
                <w:rFonts w:hint="default" w:ascii="Times New Roman" w:hAnsi="Times New Roman" w:eastAsia="宋体" w:cs="Times New Roman"/>
                <w:highlight w:val="none"/>
                <w:u w:val="single"/>
              </w:rPr>
              <w:t xml:space="preserve">    </w:t>
            </w:r>
            <w:r>
              <w:rPr>
                <w:rFonts w:hint="default" w:ascii="Times New Roman" w:hAnsi="Times New Roman" w:eastAsia="宋体" w:cs="Times New Roman"/>
                <w:highlight w:val="none"/>
              </w:rPr>
              <w:t>日</w:t>
            </w:r>
          </w:p>
        </w:tc>
        <w:tc>
          <w:tcPr>
            <w:tcW w:w="4588" w:type="dxa"/>
            <w:vAlign w:val="center"/>
          </w:tcPr>
          <w:p w14:paraId="4A054037">
            <w:pPr>
              <w:spacing w:line="360" w:lineRule="auto"/>
              <w:rPr>
                <w:rFonts w:hint="default" w:ascii="Times New Roman" w:hAnsi="Times New Roman" w:eastAsia="宋体" w:cs="Times New Roman"/>
                <w:highlight w:val="none"/>
                <w:u w:val="single"/>
              </w:rPr>
            </w:pPr>
            <w:r>
              <w:rPr>
                <w:rFonts w:hint="default" w:ascii="Times New Roman" w:hAnsi="Times New Roman" w:eastAsia="宋体" w:cs="Times New Roman"/>
                <w:highlight w:val="none"/>
              </w:rPr>
              <w:t>单位（加盖公章）：</w:t>
            </w:r>
            <w:r>
              <w:rPr>
                <w:rFonts w:hint="default" w:ascii="Times New Roman" w:hAnsi="Times New Roman" w:eastAsia="宋体" w:cs="Times New Roman"/>
                <w:highlight w:val="none"/>
                <w:u w:val="single"/>
              </w:rPr>
              <w:t xml:space="preserve">    </w:t>
            </w:r>
          </w:p>
        </w:tc>
      </w:tr>
      <w:tr w14:paraId="2866EB2A">
        <w:tblPrEx>
          <w:tblCellMar>
            <w:top w:w="0" w:type="dxa"/>
            <w:left w:w="108" w:type="dxa"/>
            <w:bottom w:w="0" w:type="dxa"/>
            <w:right w:w="108" w:type="dxa"/>
          </w:tblCellMar>
        </w:tblPrEx>
        <w:trPr>
          <w:jc w:val="center"/>
        </w:trPr>
        <w:tc>
          <w:tcPr>
            <w:tcW w:w="4587" w:type="dxa"/>
            <w:vAlign w:val="center"/>
          </w:tcPr>
          <w:p w14:paraId="3DE450F6">
            <w:pPr>
              <w:spacing w:line="360" w:lineRule="auto"/>
              <w:rPr>
                <w:rFonts w:hint="default" w:ascii="Times New Roman" w:hAnsi="Times New Roman" w:eastAsia="宋体" w:cs="Times New Roman"/>
                <w:highlight w:val="none"/>
              </w:rPr>
            </w:pPr>
            <w:r>
              <w:rPr>
                <w:rFonts w:hint="default" w:ascii="Times New Roman" w:hAnsi="Times New Roman" w:eastAsia="宋体" w:cs="Times New Roman"/>
                <w:highlight w:val="none"/>
              </w:rPr>
              <w:t>附：</w:t>
            </w:r>
          </w:p>
        </w:tc>
        <w:tc>
          <w:tcPr>
            <w:tcW w:w="4588" w:type="dxa"/>
            <w:vAlign w:val="center"/>
          </w:tcPr>
          <w:p w14:paraId="398D00E4">
            <w:pPr>
              <w:spacing w:line="360" w:lineRule="auto"/>
              <w:rPr>
                <w:rFonts w:hint="default" w:ascii="Times New Roman" w:hAnsi="Times New Roman" w:eastAsia="宋体" w:cs="Times New Roman"/>
                <w:highlight w:val="none"/>
              </w:rPr>
            </w:pPr>
          </w:p>
        </w:tc>
      </w:tr>
      <w:tr w14:paraId="2E1FD08A">
        <w:tblPrEx>
          <w:tblCellMar>
            <w:top w:w="0" w:type="dxa"/>
            <w:left w:w="108" w:type="dxa"/>
            <w:bottom w:w="0" w:type="dxa"/>
            <w:right w:w="108" w:type="dxa"/>
          </w:tblCellMar>
        </w:tblPrEx>
        <w:trPr>
          <w:jc w:val="center"/>
        </w:trPr>
        <w:tc>
          <w:tcPr>
            <w:tcW w:w="4587" w:type="dxa"/>
            <w:vAlign w:val="center"/>
          </w:tcPr>
          <w:p w14:paraId="356501BF">
            <w:pPr>
              <w:spacing w:line="360" w:lineRule="auto"/>
              <w:rPr>
                <w:rFonts w:hint="default" w:ascii="Times New Roman" w:hAnsi="Times New Roman" w:eastAsia="宋体" w:cs="Times New Roman"/>
                <w:highlight w:val="none"/>
                <w:u w:val="single"/>
              </w:rPr>
            </w:pPr>
            <w:r>
              <w:rPr>
                <w:rFonts w:hint="default" w:ascii="Times New Roman" w:hAnsi="Times New Roman" w:eastAsia="宋体" w:cs="Times New Roman"/>
                <w:highlight w:val="none"/>
              </w:rPr>
              <w:t>代表人性别：</w:t>
            </w:r>
            <w:r>
              <w:rPr>
                <w:rFonts w:hint="default" w:ascii="Times New Roman" w:hAnsi="Times New Roman" w:eastAsia="宋体" w:cs="Times New Roman"/>
                <w:highlight w:val="none"/>
                <w:u w:val="single"/>
              </w:rPr>
              <w:t xml:space="preserve">         </w:t>
            </w:r>
          </w:p>
        </w:tc>
        <w:tc>
          <w:tcPr>
            <w:tcW w:w="4588" w:type="dxa"/>
            <w:vAlign w:val="center"/>
          </w:tcPr>
          <w:p w14:paraId="239D0769">
            <w:pPr>
              <w:spacing w:line="360" w:lineRule="auto"/>
              <w:rPr>
                <w:rFonts w:hint="default" w:ascii="Times New Roman" w:hAnsi="Times New Roman" w:eastAsia="宋体" w:cs="Times New Roman"/>
                <w:highlight w:val="none"/>
                <w:u w:val="single"/>
              </w:rPr>
            </w:pPr>
            <w:r>
              <w:rPr>
                <w:rFonts w:hint="default" w:ascii="Times New Roman" w:hAnsi="Times New Roman" w:eastAsia="宋体" w:cs="Times New Roman"/>
                <w:highlight w:val="none"/>
              </w:rPr>
              <w:t>年龄：</w:t>
            </w:r>
            <w:r>
              <w:rPr>
                <w:rFonts w:hint="default" w:ascii="Times New Roman" w:hAnsi="Times New Roman" w:eastAsia="宋体" w:cs="Times New Roman"/>
                <w:highlight w:val="none"/>
                <w:u w:val="single"/>
              </w:rPr>
              <w:t xml:space="preserve">         </w:t>
            </w:r>
          </w:p>
        </w:tc>
      </w:tr>
      <w:tr w14:paraId="5F4858B8">
        <w:tblPrEx>
          <w:tblCellMar>
            <w:top w:w="0" w:type="dxa"/>
            <w:left w:w="108" w:type="dxa"/>
            <w:bottom w:w="0" w:type="dxa"/>
            <w:right w:w="108" w:type="dxa"/>
          </w:tblCellMar>
        </w:tblPrEx>
        <w:trPr>
          <w:jc w:val="center"/>
        </w:trPr>
        <w:tc>
          <w:tcPr>
            <w:tcW w:w="9175" w:type="dxa"/>
            <w:gridSpan w:val="2"/>
            <w:vAlign w:val="center"/>
          </w:tcPr>
          <w:p w14:paraId="338F428C">
            <w:pPr>
              <w:spacing w:line="360" w:lineRule="auto"/>
              <w:rPr>
                <w:rFonts w:hint="default" w:ascii="Times New Roman" w:hAnsi="Times New Roman" w:eastAsia="宋体" w:cs="Times New Roman"/>
                <w:highlight w:val="none"/>
                <w:u w:val="single"/>
              </w:rPr>
            </w:pPr>
            <w:r>
              <w:rPr>
                <w:rFonts w:hint="default" w:ascii="Times New Roman" w:hAnsi="Times New Roman" w:eastAsia="宋体" w:cs="Times New Roman"/>
                <w:highlight w:val="none"/>
              </w:rPr>
              <w:t>身份证号码：</w:t>
            </w:r>
            <w:r>
              <w:rPr>
                <w:rFonts w:hint="default" w:ascii="Times New Roman" w:hAnsi="Times New Roman" w:eastAsia="宋体" w:cs="Times New Roman"/>
                <w:highlight w:val="none"/>
                <w:u w:val="single"/>
              </w:rPr>
              <w:t xml:space="preserve">         </w:t>
            </w:r>
          </w:p>
        </w:tc>
      </w:tr>
      <w:tr w14:paraId="7A57B1AB">
        <w:tblPrEx>
          <w:tblCellMar>
            <w:top w:w="0" w:type="dxa"/>
            <w:left w:w="108" w:type="dxa"/>
            <w:bottom w:w="0" w:type="dxa"/>
            <w:right w:w="108" w:type="dxa"/>
          </w:tblCellMar>
        </w:tblPrEx>
        <w:trPr>
          <w:jc w:val="center"/>
        </w:trPr>
        <w:tc>
          <w:tcPr>
            <w:tcW w:w="9175" w:type="dxa"/>
            <w:gridSpan w:val="2"/>
            <w:vAlign w:val="center"/>
          </w:tcPr>
          <w:p w14:paraId="34FEBB95">
            <w:pPr>
              <w:spacing w:line="360" w:lineRule="auto"/>
              <w:rPr>
                <w:rFonts w:hint="default" w:ascii="Times New Roman" w:hAnsi="Times New Roman" w:eastAsia="宋体" w:cs="Times New Roman"/>
                <w:highlight w:val="none"/>
                <w:u w:val="single"/>
              </w:rPr>
            </w:pPr>
            <w:r>
              <w:rPr>
                <w:rFonts w:hint="default" w:ascii="Times New Roman" w:hAnsi="Times New Roman" w:eastAsia="宋体" w:cs="Times New Roman"/>
                <w:highlight w:val="none"/>
              </w:rPr>
              <w:t>联系电话：</w:t>
            </w:r>
            <w:r>
              <w:rPr>
                <w:rFonts w:hint="default" w:ascii="Times New Roman" w:hAnsi="Times New Roman" w:eastAsia="宋体" w:cs="Times New Roman"/>
                <w:highlight w:val="none"/>
                <w:u w:val="single"/>
              </w:rPr>
              <w:t xml:space="preserve">         </w:t>
            </w:r>
          </w:p>
        </w:tc>
      </w:tr>
    </w:tbl>
    <w:p w14:paraId="5202E183">
      <w:pPr>
        <w:spacing w:line="360" w:lineRule="auto"/>
        <w:rPr>
          <w:rFonts w:hint="default" w:ascii="Times New Roman" w:hAnsi="Times New Roman" w:eastAsia="宋体" w:cs="Times New Roman"/>
          <w:bCs/>
          <w:highlight w:val="none"/>
        </w:rPr>
      </w:pPr>
    </w:p>
    <w:p w14:paraId="38C70673">
      <w:pPr>
        <w:spacing w:line="360" w:lineRule="auto"/>
        <w:rPr>
          <w:rFonts w:hint="default" w:ascii="Times New Roman" w:hAnsi="Times New Roman" w:eastAsia="宋体" w:cs="Times New Roman"/>
          <w:b/>
          <w:sz w:val="24"/>
          <w:szCs w:val="24"/>
          <w:highlight w:val="none"/>
        </w:rPr>
      </w:pPr>
      <w:r>
        <w:rPr>
          <w:rFonts w:hint="default" w:ascii="Times New Roman" w:hAnsi="Times New Roman" w:eastAsia="宋体" w:cs="Times New Roman"/>
          <w:b/>
          <w:sz w:val="24"/>
          <w:szCs w:val="24"/>
          <w:highlight w:val="none"/>
        </w:rPr>
        <w:t>附：法定代表人居民身份证（人像页、国徽页）复印件或影印件粘贴处</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75"/>
      </w:tblGrid>
      <w:tr w14:paraId="24440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8" w:hRule="atLeast"/>
          <w:jc w:val="center"/>
        </w:trPr>
        <w:tc>
          <w:tcPr>
            <w:tcW w:w="9175" w:type="dxa"/>
            <w:vAlign w:val="center"/>
          </w:tcPr>
          <w:p w14:paraId="552F74FD">
            <w:pPr>
              <w:spacing w:line="360" w:lineRule="auto"/>
              <w:rPr>
                <w:rFonts w:hint="default" w:ascii="Times New Roman" w:hAnsi="Times New Roman" w:eastAsia="宋体" w:cs="Times New Roman"/>
                <w:b/>
                <w:highlight w:val="none"/>
              </w:rPr>
            </w:pPr>
            <w:r>
              <w:rPr>
                <w:rFonts w:hint="default" w:ascii="Times New Roman" w:hAnsi="Times New Roman" w:eastAsia="宋体" w:cs="Times New Roman"/>
                <w:highlight w:val="none"/>
              </w:rPr>
              <w:t>粘贴法定代表人居民身份证（人像页、国徽页）复印件或影印件</w:t>
            </w:r>
          </w:p>
        </w:tc>
      </w:tr>
    </w:tbl>
    <w:p w14:paraId="016ED6F1">
      <w:pPr>
        <w:autoSpaceDE w:val="0"/>
        <w:autoSpaceDN w:val="0"/>
        <w:spacing w:line="360" w:lineRule="auto"/>
        <w:textAlignment w:val="bottom"/>
        <w:rPr>
          <w:rFonts w:hint="default" w:ascii="Times New Roman" w:hAnsi="Times New Roman" w:eastAsia="宋体" w:cs="Times New Roman"/>
          <w:bCs/>
          <w:szCs w:val="21"/>
          <w:highlight w:val="none"/>
        </w:rPr>
      </w:pPr>
    </w:p>
    <w:p w14:paraId="4467F73D">
      <w:pPr>
        <w:widowControl/>
        <w:spacing w:line="360" w:lineRule="auto"/>
        <w:rPr>
          <w:rFonts w:hint="default" w:ascii="Times New Roman" w:hAnsi="Times New Roman" w:eastAsia="宋体" w:cs="Times New Roman"/>
          <w:b/>
          <w:snapToGrid w:val="0"/>
          <w:sz w:val="24"/>
          <w:szCs w:val="24"/>
          <w:highlight w:val="none"/>
        </w:rPr>
      </w:pPr>
      <w:r>
        <w:rPr>
          <w:rFonts w:hint="default" w:ascii="Times New Roman" w:hAnsi="Times New Roman" w:eastAsia="宋体" w:cs="Times New Roman"/>
          <w:b/>
          <w:snapToGrid w:val="0"/>
          <w:sz w:val="24"/>
          <w:szCs w:val="24"/>
          <w:highlight w:val="none"/>
        </w:rPr>
        <w:br w:type="page"/>
      </w:r>
    </w:p>
    <w:p w14:paraId="236B4AE8">
      <w:pPr>
        <w:pStyle w:val="13"/>
        <w:spacing w:line="360" w:lineRule="auto"/>
        <w:outlineLvl w:val="2"/>
        <w:rPr>
          <w:rFonts w:hint="default" w:ascii="Times New Roman" w:hAnsi="Times New Roman" w:eastAsia="宋体" w:cs="Times New Roman"/>
          <w:b/>
          <w:snapToGrid w:val="0"/>
          <w:sz w:val="24"/>
          <w:szCs w:val="24"/>
          <w:highlight w:val="none"/>
        </w:rPr>
      </w:pPr>
      <w:r>
        <w:rPr>
          <w:rFonts w:hint="default" w:ascii="Times New Roman" w:hAnsi="Times New Roman" w:eastAsia="宋体" w:cs="Times New Roman"/>
          <w:b/>
          <w:bCs/>
          <w:sz w:val="24"/>
          <w:highlight w:val="none"/>
        </w:rPr>
        <w:t>★</w:t>
      </w:r>
      <w:r>
        <w:rPr>
          <w:rFonts w:hint="default" w:ascii="Times New Roman" w:hAnsi="Times New Roman" w:eastAsia="宋体" w:cs="Times New Roman"/>
          <w:b/>
          <w:snapToGrid w:val="0"/>
          <w:sz w:val="24"/>
          <w:szCs w:val="24"/>
          <w:highlight w:val="none"/>
        </w:rPr>
        <w:t>（2）法定代表人授权委托书</w:t>
      </w:r>
    </w:p>
    <w:p w14:paraId="3A5C2795">
      <w:pPr>
        <w:pStyle w:val="13"/>
        <w:spacing w:line="360" w:lineRule="auto"/>
        <w:rPr>
          <w:rFonts w:hint="default" w:ascii="Times New Roman" w:hAnsi="Times New Roman" w:eastAsia="宋体" w:cs="Times New Roman"/>
          <w:b/>
          <w:snapToGrid w:val="0"/>
          <w:highlight w:val="none"/>
        </w:rPr>
      </w:pPr>
      <w:r>
        <w:rPr>
          <w:rFonts w:hint="default" w:ascii="Times New Roman" w:hAnsi="Times New Roman" w:eastAsia="宋体" w:cs="Times New Roman"/>
          <w:b/>
          <w:snapToGrid w:val="0"/>
          <w:highlight w:val="none"/>
        </w:rPr>
        <w:t>（注：响应签字代表为被授权代表人，除出具此表外，还需出具法定代表人资格证明书）</w:t>
      </w:r>
    </w:p>
    <w:p w14:paraId="63A4C15B">
      <w:pPr>
        <w:spacing w:line="360" w:lineRule="auto"/>
        <w:rPr>
          <w:rFonts w:hint="default" w:ascii="Times New Roman" w:hAnsi="Times New Roman" w:eastAsia="宋体" w:cs="Times New Roman"/>
          <w:sz w:val="24"/>
          <w:highlight w:val="none"/>
        </w:rPr>
      </w:pPr>
    </w:p>
    <w:p w14:paraId="72F01B39">
      <w:pPr>
        <w:pStyle w:val="13"/>
        <w:tabs>
          <w:tab w:val="left" w:pos="5580"/>
        </w:tabs>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本授权书声明：注册于</w:t>
      </w:r>
      <w:r>
        <w:rPr>
          <w:rFonts w:hint="default" w:ascii="Times New Roman" w:hAnsi="Times New Roman" w:eastAsia="宋体" w:cs="Times New Roman"/>
          <w:sz w:val="24"/>
          <w:szCs w:val="24"/>
          <w:highlight w:val="none"/>
          <w:u w:val="single"/>
        </w:rPr>
        <w:t xml:space="preserve">  </w:t>
      </w:r>
      <w:r>
        <w:rPr>
          <w:rFonts w:hint="default" w:ascii="Times New Roman" w:hAnsi="Times New Roman" w:eastAsia="宋体" w:cs="Times New Roman"/>
          <w:i/>
          <w:iCs/>
          <w:sz w:val="24"/>
          <w:szCs w:val="24"/>
          <w:highlight w:val="none"/>
          <w:u w:val="single"/>
        </w:rPr>
        <w:t>（国家或地区的名称）</w:t>
      </w:r>
      <w:r>
        <w:rPr>
          <w:rFonts w:hint="default" w:ascii="Times New Roman" w:hAnsi="Times New Roman" w:eastAsia="宋体" w:cs="Times New Roman"/>
          <w:sz w:val="24"/>
          <w:szCs w:val="24"/>
          <w:highlight w:val="none"/>
        </w:rPr>
        <w:t>的（</w:t>
      </w:r>
      <w:r>
        <w:rPr>
          <w:rFonts w:hint="default" w:ascii="Times New Roman" w:hAnsi="Times New Roman" w:eastAsia="宋体" w:cs="Times New Roman"/>
          <w:i/>
          <w:iCs/>
          <w:sz w:val="24"/>
          <w:szCs w:val="24"/>
          <w:highlight w:val="none"/>
          <w:u w:val="single"/>
        </w:rPr>
        <w:t>公司名称</w:t>
      </w:r>
      <w:r>
        <w:rPr>
          <w:rFonts w:hint="default" w:ascii="Times New Roman" w:hAnsi="Times New Roman" w:eastAsia="宋体" w:cs="Times New Roman"/>
          <w:sz w:val="24"/>
          <w:szCs w:val="24"/>
          <w:highlight w:val="none"/>
        </w:rPr>
        <w:t>）的在下面签字的</w:t>
      </w:r>
      <w:r>
        <w:rPr>
          <w:rFonts w:hint="default" w:ascii="Times New Roman" w:hAnsi="Times New Roman" w:eastAsia="宋体" w:cs="Times New Roman"/>
          <w:sz w:val="24"/>
          <w:szCs w:val="24"/>
          <w:highlight w:val="none"/>
          <w:u w:val="single"/>
        </w:rPr>
        <w:t xml:space="preserve">   （</w:t>
      </w:r>
      <w:r>
        <w:rPr>
          <w:rFonts w:hint="default" w:ascii="Times New Roman" w:hAnsi="Times New Roman" w:eastAsia="宋体" w:cs="Times New Roman"/>
          <w:i/>
          <w:iCs/>
          <w:sz w:val="24"/>
          <w:szCs w:val="24"/>
          <w:highlight w:val="none"/>
          <w:u w:val="single"/>
        </w:rPr>
        <w:t>法人代表姓名、职务</w:t>
      </w:r>
      <w:r>
        <w:rPr>
          <w:rFonts w:hint="default" w:ascii="Times New Roman" w:hAnsi="Times New Roman" w:eastAsia="宋体" w:cs="Times New Roman"/>
          <w:sz w:val="24"/>
          <w:szCs w:val="24"/>
          <w:highlight w:val="none"/>
        </w:rPr>
        <w:t>）代表本公司授权</w:t>
      </w:r>
      <w:r>
        <w:rPr>
          <w:rFonts w:hint="default" w:ascii="Times New Roman" w:hAnsi="Times New Roman" w:eastAsia="宋体" w:cs="Times New Roman"/>
          <w:sz w:val="24"/>
          <w:szCs w:val="24"/>
          <w:highlight w:val="none"/>
          <w:u w:val="single"/>
        </w:rPr>
        <w:t xml:space="preserve">  （</w:t>
      </w:r>
      <w:r>
        <w:rPr>
          <w:rFonts w:hint="default" w:ascii="Times New Roman" w:hAnsi="Times New Roman" w:eastAsia="宋体" w:cs="Times New Roman"/>
          <w:i/>
          <w:iCs/>
          <w:sz w:val="24"/>
          <w:szCs w:val="24"/>
          <w:highlight w:val="none"/>
          <w:u w:val="single"/>
        </w:rPr>
        <w:t>单位名称</w:t>
      </w:r>
      <w:r>
        <w:rPr>
          <w:rFonts w:hint="default" w:ascii="Times New Roman" w:hAnsi="Times New Roman" w:eastAsia="宋体" w:cs="Times New Roman"/>
          <w:sz w:val="24"/>
          <w:szCs w:val="24"/>
          <w:highlight w:val="none"/>
        </w:rPr>
        <w:t>）的在下面签字的</w:t>
      </w:r>
      <w:r>
        <w:rPr>
          <w:rFonts w:hint="default" w:ascii="Times New Roman" w:hAnsi="Times New Roman" w:eastAsia="宋体" w:cs="Times New Roman"/>
          <w:sz w:val="24"/>
          <w:szCs w:val="24"/>
          <w:highlight w:val="none"/>
          <w:u w:val="single"/>
        </w:rPr>
        <w:t xml:space="preserve"> （</w:t>
      </w:r>
      <w:r>
        <w:rPr>
          <w:rFonts w:hint="default" w:ascii="Times New Roman" w:hAnsi="Times New Roman" w:eastAsia="宋体" w:cs="Times New Roman"/>
          <w:i/>
          <w:iCs/>
          <w:sz w:val="24"/>
          <w:szCs w:val="24"/>
          <w:highlight w:val="none"/>
          <w:u w:val="single"/>
        </w:rPr>
        <w:t>被授权人的姓名、职务</w:t>
      </w:r>
      <w:r>
        <w:rPr>
          <w:rFonts w:hint="default" w:ascii="Times New Roman" w:hAnsi="Times New Roman" w:eastAsia="宋体" w:cs="Times New Roman"/>
          <w:sz w:val="24"/>
          <w:szCs w:val="24"/>
          <w:highlight w:val="none"/>
        </w:rPr>
        <w:t>）为本公司的合法代理人，就</w:t>
      </w:r>
      <w:r>
        <w:rPr>
          <w:rFonts w:hint="default" w:ascii="Times New Roman" w:hAnsi="Times New Roman" w:eastAsia="宋体" w:cs="Times New Roman"/>
          <w:sz w:val="24"/>
          <w:szCs w:val="24"/>
          <w:highlight w:val="none"/>
          <w:u w:val="single"/>
        </w:rPr>
        <w:t>（</w:t>
      </w:r>
      <w:r>
        <w:rPr>
          <w:rFonts w:hint="default" w:ascii="Times New Roman" w:hAnsi="Times New Roman" w:eastAsia="宋体" w:cs="Times New Roman"/>
          <w:i/>
          <w:iCs/>
          <w:sz w:val="24"/>
          <w:szCs w:val="24"/>
          <w:highlight w:val="none"/>
          <w:u w:val="single"/>
        </w:rPr>
        <w:t>项目名称</w:t>
      </w:r>
      <w:r>
        <w:rPr>
          <w:rFonts w:hint="default" w:ascii="Times New Roman" w:hAnsi="Times New Roman" w:eastAsia="宋体" w:cs="Times New Roman"/>
          <w:sz w:val="24"/>
          <w:szCs w:val="24"/>
          <w:highlight w:val="none"/>
        </w:rPr>
        <w:t>）的投标，以本公司名义处理一切与之有关的事务。</w:t>
      </w:r>
    </w:p>
    <w:p w14:paraId="4FD59687">
      <w:pPr>
        <w:pStyle w:val="13"/>
        <w:tabs>
          <w:tab w:val="left" w:pos="5580"/>
        </w:tabs>
        <w:spacing w:line="360" w:lineRule="auto"/>
        <w:ind w:firstLine="480"/>
        <w:rPr>
          <w:rFonts w:hint="default" w:ascii="Times New Roman" w:hAnsi="Times New Roman" w:eastAsia="宋体" w:cs="Times New Roman"/>
          <w:sz w:val="24"/>
          <w:szCs w:val="24"/>
          <w:highlight w:val="none"/>
        </w:rPr>
      </w:pPr>
    </w:p>
    <w:p w14:paraId="24D25143">
      <w:pPr>
        <w:pStyle w:val="13"/>
        <w:tabs>
          <w:tab w:val="left" w:pos="5580"/>
        </w:tabs>
        <w:spacing w:line="360" w:lineRule="auto"/>
        <w:ind w:firstLine="48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本授权书于</w:t>
      </w:r>
      <w:r>
        <w:rPr>
          <w:rFonts w:hint="default" w:ascii="Times New Roman" w:hAnsi="Times New Roman" w:eastAsia="宋体" w:cs="Times New Roman"/>
          <w:highlight w:val="none"/>
          <w:u w:val="single"/>
        </w:rPr>
        <w:t xml:space="preserve">       </w:t>
      </w:r>
      <w:r>
        <w:rPr>
          <w:rFonts w:hint="default" w:ascii="Times New Roman" w:hAnsi="Times New Roman" w:eastAsia="宋体" w:cs="Times New Roman"/>
          <w:sz w:val="24"/>
          <w:szCs w:val="24"/>
          <w:highlight w:val="none"/>
        </w:rPr>
        <w:t>年</w:t>
      </w:r>
      <w:r>
        <w:rPr>
          <w:rFonts w:hint="default" w:ascii="Times New Roman" w:hAnsi="Times New Roman" w:eastAsia="宋体" w:cs="Times New Roman"/>
          <w:highlight w:val="none"/>
          <w:u w:val="single"/>
        </w:rPr>
        <w:t xml:space="preserve">       </w:t>
      </w:r>
      <w:r>
        <w:rPr>
          <w:rFonts w:hint="default" w:ascii="Times New Roman" w:hAnsi="Times New Roman" w:eastAsia="宋体" w:cs="Times New Roman"/>
          <w:sz w:val="24"/>
          <w:szCs w:val="24"/>
          <w:highlight w:val="none"/>
        </w:rPr>
        <w:t>月</w:t>
      </w:r>
      <w:r>
        <w:rPr>
          <w:rFonts w:hint="default" w:ascii="Times New Roman" w:hAnsi="Times New Roman" w:eastAsia="宋体" w:cs="Times New Roman"/>
          <w:highlight w:val="none"/>
          <w:u w:val="single"/>
        </w:rPr>
        <w:t xml:space="preserve">       </w:t>
      </w:r>
      <w:r>
        <w:rPr>
          <w:rFonts w:hint="default" w:ascii="Times New Roman" w:hAnsi="Times New Roman" w:eastAsia="宋体" w:cs="Times New Roman"/>
          <w:sz w:val="24"/>
          <w:szCs w:val="24"/>
          <w:highlight w:val="none"/>
        </w:rPr>
        <w:t>日签字生效,特此声明。</w:t>
      </w:r>
    </w:p>
    <w:p w14:paraId="5E07D12B">
      <w:pPr>
        <w:pStyle w:val="13"/>
        <w:tabs>
          <w:tab w:val="left" w:pos="5580"/>
        </w:tabs>
        <w:spacing w:line="360" w:lineRule="auto"/>
        <w:ind w:firstLine="480"/>
        <w:rPr>
          <w:rFonts w:hint="default" w:ascii="Times New Roman" w:hAnsi="Times New Roman" w:eastAsia="宋体" w:cs="Times New Roman"/>
          <w:sz w:val="24"/>
          <w:szCs w:val="24"/>
          <w:highlight w:val="none"/>
        </w:rPr>
      </w:pPr>
    </w:p>
    <w:p w14:paraId="7DA00FEC">
      <w:pPr>
        <w:pStyle w:val="13"/>
        <w:tabs>
          <w:tab w:val="left" w:pos="5580"/>
        </w:tabs>
        <w:spacing w:line="360" w:lineRule="auto"/>
        <w:ind w:firstLine="48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法定代表人签字或人名印章：</w:t>
      </w:r>
      <w:r>
        <w:rPr>
          <w:rFonts w:hint="default" w:ascii="Times New Roman" w:hAnsi="Times New Roman" w:eastAsia="宋体" w:cs="Times New Roman"/>
          <w:highlight w:val="none"/>
          <w:u w:val="single"/>
        </w:rPr>
        <w:t xml:space="preserve">                 </w:t>
      </w:r>
    </w:p>
    <w:p w14:paraId="2945CA59">
      <w:pPr>
        <w:pStyle w:val="13"/>
        <w:tabs>
          <w:tab w:val="left" w:pos="5580"/>
        </w:tabs>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被授权人签字：</w:t>
      </w:r>
      <w:r>
        <w:rPr>
          <w:rFonts w:hint="default" w:ascii="Times New Roman" w:hAnsi="Times New Roman" w:eastAsia="宋体" w:cs="Times New Roman"/>
          <w:highlight w:val="none"/>
          <w:u w:val="single"/>
        </w:rPr>
        <w:t xml:space="preserve">                 </w:t>
      </w:r>
    </w:p>
    <w:p w14:paraId="7E1F93C4">
      <w:pPr>
        <w:pStyle w:val="13"/>
        <w:tabs>
          <w:tab w:val="left" w:pos="5580"/>
        </w:tabs>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公司加盖公章：</w:t>
      </w:r>
      <w:r>
        <w:rPr>
          <w:rFonts w:hint="default" w:ascii="Times New Roman" w:hAnsi="Times New Roman" w:eastAsia="宋体" w:cs="Times New Roman"/>
          <w:highlight w:val="none"/>
          <w:u w:val="single"/>
        </w:rPr>
        <w:t xml:space="preserve">                 </w:t>
      </w:r>
    </w:p>
    <w:p w14:paraId="0E801E35">
      <w:pPr>
        <w:pStyle w:val="13"/>
        <w:tabs>
          <w:tab w:val="left" w:pos="5580"/>
        </w:tabs>
        <w:spacing w:line="360" w:lineRule="auto"/>
        <w:rPr>
          <w:rFonts w:hint="default" w:ascii="Times New Roman" w:hAnsi="Times New Roman" w:eastAsia="宋体" w:cs="Times New Roman"/>
          <w:sz w:val="24"/>
          <w:szCs w:val="24"/>
          <w:highlight w:val="none"/>
        </w:rPr>
      </w:pPr>
    </w:p>
    <w:p w14:paraId="0BAB490C">
      <w:pPr>
        <w:pStyle w:val="13"/>
        <w:tabs>
          <w:tab w:val="left" w:pos="5580"/>
        </w:tabs>
        <w:spacing w:line="360" w:lineRule="auto"/>
        <w:rPr>
          <w:rFonts w:hint="default" w:ascii="Times New Roman" w:hAnsi="Times New Roman" w:eastAsia="宋体" w:cs="Times New Roman"/>
          <w:sz w:val="24"/>
          <w:szCs w:val="24"/>
          <w:highlight w:val="none"/>
          <w:u w:val="single"/>
        </w:rPr>
      </w:pPr>
      <w:r>
        <w:rPr>
          <w:rFonts w:hint="default" w:ascii="Times New Roman" w:hAnsi="Times New Roman" w:eastAsia="宋体" w:cs="Times New Roman"/>
          <w:sz w:val="24"/>
          <w:szCs w:val="24"/>
          <w:highlight w:val="none"/>
        </w:rPr>
        <w:t>被授权人姓名：</w:t>
      </w:r>
      <w:r>
        <w:rPr>
          <w:rFonts w:hint="default" w:ascii="Times New Roman" w:hAnsi="Times New Roman" w:eastAsia="宋体" w:cs="Times New Roman"/>
          <w:highlight w:val="none"/>
          <w:u w:val="single"/>
        </w:rPr>
        <w:t xml:space="preserve">                </w:t>
      </w:r>
      <w:r>
        <w:rPr>
          <w:rFonts w:hint="default" w:ascii="Times New Roman" w:hAnsi="Times New Roman" w:eastAsia="宋体" w:cs="Times New Roman"/>
          <w:highlight w:val="none"/>
        </w:rPr>
        <w:t xml:space="preserve">    </w:t>
      </w:r>
      <w:r>
        <w:rPr>
          <w:rFonts w:hint="default" w:ascii="Times New Roman" w:hAnsi="Times New Roman" w:eastAsia="宋体" w:cs="Times New Roman"/>
          <w:sz w:val="24"/>
          <w:szCs w:val="24"/>
          <w:highlight w:val="none"/>
        </w:rPr>
        <w:t>职务：</w:t>
      </w:r>
      <w:r>
        <w:rPr>
          <w:rFonts w:hint="default" w:ascii="Times New Roman" w:hAnsi="Times New Roman" w:eastAsia="宋体" w:cs="Times New Roman"/>
          <w:highlight w:val="none"/>
          <w:u w:val="single"/>
        </w:rPr>
        <w:t xml:space="preserve">                 </w:t>
      </w:r>
    </w:p>
    <w:p w14:paraId="5106ABC5">
      <w:pPr>
        <w:pStyle w:val="13"/>
        <w:tabs>
          <w:tab w:val="left" w:pos="5580"/>
        </w:tabs>
        <w:spacing w:line="360" w:lineRule="auto"/>
        <w:rPr>
          <w:rFonts w:hint="default" w:ascii="Times New Roman" w:hAnsi="Times New Roman" w:eastAsia="宋体" w:cs="Times New Roman"/>
          <w:sz w:val="24"/>
          <w:szCs w:val="24"/>
          <w:highlight w:val="none"/>
          <w:u w:val="single"/>
        </w:rPr>
      </w:pPr>
      <w:r>
        <w:rPr>
          <w:rFonts w:hint="default" w:ascii="Times New Roman" w:hAnsi="Times New Roman" w:eastAsia="宋体" w:cs="Times New Roman"/>
          <w:sz w:val="24"/>
          <w:szCs w:val="24"/>
          <w:highlight w:val="none"/>
        </w:rPr>
        <w:t>详细通讯地址：</w:t>
      </w:r>
      <w:r>
        <w:rPr>
          <w:rFonts w:hint="default" w:ascii="Times New Roman" w:hAnsi="Times New Roman" w:eastAsia="宋体" w:cs="Times New Roman"/>
          <w:highlight w:val="none"/>
          <w:u w:val="single"/>
        </w:rPr>
        <w:t xml:space="preserve">                 </w:t>
      </w:r>
    </w:p>
    <w:p w14:paraId="6EA440C5">
      <w:pPr>
        <w:pStyle w:val="13"/>
        <w:tabs>
          <w:tab w:val="left" w:pos="5580"/>
        </w:tabs>
        <w:spacing w:line="360" w:lineRule="auto"/>
        <w:rPr>
          <w:rFonts w:hint="default" w:ascii="Times New Roman" w:hAnsi="Times New Roman" w:eastAsia="宋体" w:cs="Times New Roman"/>
          <w:sz w:val="24"/>
          <w:szCs w:val="24"/>
          <w:highlight w:val="none"/>
          <w:u w:val="single"/>
        </w:rPr>
      </w:pPr>
      <w:r>
        <w:rPr>
          <w:rFonts w:hint="default" w:ascii="Times New Roman" w:hAnsi="Times New Roman" w:eastAsia="宋体" w:cs="Times New Roman"/>
          <w:sz w:val="24"/>
          <w:szCs w:val="24"/>
          <w:highlight w:val="none"/>
        </w:rPr>
        <w:t>邮政编码：</w:t>
      </w:r>
      <w:r>
        <w:rPr>
          <w:rFonts w:hint="default" w:ascii="Times New Roman" w:hAnsi="Times New Roman" w:eastAsia="宋体" w:cs="Times New Roman"/>
          <w:highlight w:val="none"/>
          <w:u w:val="single"/>
        </w:rPr>
        <w:t xml:space="preserve">              </w:t>
      </w:r>
      <w:r>
        <w:rPr>
          <w:rFonts w:hint="default" w:ascii="Times New Roman" w:hAnsi="Times New Roman" w:eastAsia="宋体" w:cs="Times New Roman"/>
          <w:highlight w:val="none"/>
        </w:rPr>
        <w:t xml:space="preserve">   </w:t>
      </w:r>
      <w:r>
        <w:rPr>
          <w:rFonts w:hint="default" w:ascii="Times New Roman" w:hAnsi="Times New Roman" w:eastAsia="宋体" w:cs="Times New Roman"/>
          <w:sz w:val="24"/>
          <w:szCs w:val="24"/>
          <w:highlight w:val="none"/>
        </w:rPr>
        <w:t>传真：</w:t>
      </w:r>
      <w:r>
        <w:rPr>
          <w:rFonts w:hint="default" w:ascii="Times New Roman" w:hAnsi="Times New Roman" w:eastAsia="宋体" w:cs="Times New Roman"/>
          <w:highlight w:val="none"/>
          <w:u w:val="single"/>
        </w:rPr>
        <w:t xml:space="preserve">                 </w:t>
      </w:r>
    </w:p>
    <w:p w14:paraId="46E69647">
      <w:pPr>
        <w:pStyle w:val="13"/>
        <w:tabs>
          <w:tab w:val="left" w:pos="5580"/>
        </w:tabs>
        <w:spacing w:line="360" w:lineRule="auto"/>
        <w:rPr>
          <w:rFonts w:hint="default" w:ascii="Times New Roman" w:hAnsi="Times New Roman" w:eastAsia="宋体" w:cs="Times New Roman"/>
          <w:sz w:val="24"/>
          <w:szCs w:val="24"/>
          <w:highlight w:val="none"/>
          <w:u w:val="single"/>
        </w:rPr>
      </w:pPr>
      <w:r>
        <w:rPr>
          <w:rFonts w:hint="default" w:ascii="Times New Roman" w:hAnsi="Times New Roman" w:eastAsia="宋体" w:cs="Times New Roman"/>
          <w:sz w:val="24"/>
          <w:szCs w:val="24"/>
          <w:highlight w:val="none"/>
        </w:rPr>
        <w:t>电话：</w:t>
      </w:r>
      <w:r>
        <w:rPr>
          <w:rFonts w:hint="default" w:ascii="Times New Roman" w:hAnsi="Times New Roman" w:eastAsia="宋体" w:cs="Times New Roman"/>
          <w:highlight w:val="none"/>
          <w:u w:val="single"/>
        </w:rPr>
        <w:t xml:space="preserve">                 </w:t>
      </w:r>
      <w:r>
        <w:rPr>
          <w:rFonts w:hint="default" w:ascii="Times New Roman" w:hAnsi="Times New Roman" w:eastAsia="宋体" w:cs="Times New Roman"/>
          <w:highlight w:val="none"/>
        </w:rPr>
        <w:t xml:space="preserve">    </w:t>
      </w:r>
      <w:r>
        <w:rPr>
          <w:rFonts w:hint="default" w:ascii="Times New Roman" w:hAnsi="Times New Roman" w:eastAsia="宋体" w:cs="Times New Roman"/>
          <w:sz w:val="24"/>
          <w:szCs w:val="24"/>
          <w:highlight w:val="none"/>
        </w:rPr>
        <w:t xml:space="preserve">邮箱： </w:t>
      </w:r>
      <w:r>
        <w:rPr>
          <w:rFonts w:hint="default" w:ascii="Times New Roman" w:hAnsi="Times New Roman" w:eastAsia="宋体" w:cs="Times New Roman"/>
          <w:highlight w:val="none"/>
          <w:u w:val="single"/>
        </w:rPr>
        <w:t xml:space="preserve">                 </w:t>
      </w:r>
    </w:p>
    <w:p w14:paraId="1F98E25E">
      <w:pPr>
        <w:spacing w:line="360" w:lineRule="auto"/>
        <w:rPr>
          <w:rFonts w:hint="default" w:ascii="Times New Roman" w:hAnsi="Times New Roman" w:eastAsia="宋体" w:cs="Times New Roman"/>
          <w:b/>
          <w:color w:val="000000"/>
          <w:sz w:val="24"/>
          <w:szCs w:val="24"/>
          <w:highlight w:val="none"/>
        </w:rPr>
      </w:pPr>
      <w:r>
        <w:rPr>
          <w:rFonts w:hint="default" w:ascii="Times New Roman" w:hAnsi="Times New Roman" w:eastAsia="宋体" w:cs="Times New Roman"/>
          <w:b/>
          <w:sz w:val="24"/>
          <w:szCs w:val="24"/>
          <w:highlight w:val="none"/>
        </w:rPr>
        <w:t>附：</w:t>
      </w:r>
      <w:r>
        <w:rPr>
          <w:rFonts w:hint="default" w:ascii="Times New Roman" w:hAnsi="Times New Roman" w:eastAsia="宋体" w:cs="Times New Roman"/>
          <w:b/>
          <w:color w:val="000000"/>
          <w:sz w:val="24"/>
          <w:szCs w:val="24"/>
          <w:highlight w:val="none"/>
        </w:rPr>
        <w:t>被授权人居民身份证（人像页、国徽页）复印件或影印件粘贴处</w:t>
      </w:r>
    </w:p>
    <w:tbl>
      <w:tblPr>
        <w:tblStyle w:val="28"/>
        <w:tblW w:w="88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33"/>
      </w:tblGrid>
      <w:tr w14:paraId="66AF4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1" w:hRule="atLeast"/>
          <w:jc w:val="center"/>
        </w:trPr>
        <w:tc>
          <w:tcPr>
            <w:tcW w:w="8833" w:type="dxa"/>
            <w:vAlign w:val="center"/>
          </w:tcPr>
          <w:p w14:paraId="1A5870A4">
            <w:pPr>
              <w:spacing w:line="360" w:lineRule="auto"/>
              <w:rPr>
                <w:rFonts w:hint="default" w:ascii="Times New Roman" w:hAnsi="Times New Roman" w:eastAsia="宋体" w:cs="Times New Roman"/>
                <w:b/>
                <w:highlight w:val="none"/>
              </w:rPr>
            </w:pPr>
            <w:r>
              <w:rPr>
                <w:rFonts w:hint="default" w:ascii="Times New Roman" w:hAnsi="Times New Roman" w:eastAsia="宋体" w:cs="Times New Roman"/>
                <w:highlight w:val="none"/>
              </w:rPr>
              <w:t>粘贴被授权人居民身份证（人像页、国徽页）复印件或影印件</w:t>
            </w:r>
          </w:p>
        </w:tc>
      </w:tr>
    </w:tbl>
    <w:p w14:paraId="1A236CD9">
      <w:pPr>
        <w:pStyle w:val="27"/>
        <w:ind w:firstLine="560"/>
        <w:jc w:val="both"/>
        <w:rPr>
          <w:rFonts w:hint="default" w:ascii="Times New Roman" w:hAnsi="Times New Roman" w:eastAsia="宋体" w:cs="Times New Roman"/>
          <w:snapToGrid w:val="0"/>
          <w:szCs w:val="21"/>
          <w:highlight w:val="none"/>
        </w:rPr>
      </w:pPr>
      <w:r>
        <w:rPr>
          <w:rFonts w:hint="default" w:ascii="Times New Roman" w:hAnsi="Times New Roman" w:eastAsia="宋体" w:cs="Times New Roman"/>
          <w:snapToGrid w:val="0"/>
          <w:highlight w:val="none"/>
        </w:rPr>
        <w:br w:type="page"/>
      </w:r>
    </w:p>
    <w:p w14:paraId="671B06BF">
      <w:pPr>
        <w:tabs>
          <w:tab w:val="left" w:pos="5580"/>
        </w:tabs>
        <w:spacing w:before="120" w:line="360" w:lineRule="auto"/>
        <w:outlineLvl w:val="1"/>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t>附件7-3 制造厂家的资格声明</w:t>
      </w:r>
    </w:p>
    <w:p w14:paraId="7BF25A6E">
      <w:pPr>
        <w:tabs>
          <w:tab w:val="left" w:pos="5580"/>
        </w:tabs>
        <w:spacing w:before="120" w:line="360" w:lineRule="auto"/>
        <w:ind w:left="360"/>
        <w:rPr>
          <w:rFonts w:hint="default" w:ascii="Times New Roman" w:hAnsi="Times New Roman" w:eastAsia="宋体" w:cs="Times New Roman"/>
          <w:sz w:val="24"/>
          <w:szCs w:val="24"/>
          <w:highlight w:val="none"/>
        </w:rPr>
      </w:pPr>
    </w:p>
    <w:p w14:paraId="28F540CC">
      <w:pPr>
        <w:numPr>
          <w:ilvl w:val="0"/>
          <w:numId w:val="22"/>
        </w:numPr>
        <w:tabs>
          <w:tab w:val="left" w:pos="5580"/>
        </w:tabs>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名称及概况：</w:t>
      </w:r>
    </w:p>
    <w:p w14:paraId="4052A51B">
      <w:pPr>
        <w:tabs>
          <w:tab w:val="left" w:pos="5580"/>
        </w:tabs>
        <w:spacing w:before="120" w:line="360" w:lineRule="auto"/>
        <w:ind w:firstLine="36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(1)制造厂家名称：</w:t>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p>
    <w:p w14:paraId="2C529AFB">
      <w:pPr>
        <w:tabs>
          <w:tab w:val="left" w:pos="5580"/>
        </w:tabs>
        <w:spacing w:before="120" w:line="360" w:lineRule="auto"/>
        <w:ind w:left="360"/>
        <w:rPr>
          <w:rFonts w:hint="default" w:ascii="Times New Roman" w:hAnsi="Times New Roman" w:eastAsia="宋体" w:cs="Times New Roman"/>
          <w:sz w:val="24"/>
          <w:szCs w:val="24"/>
          <w:highlight w:val="none"/>
          <w:u w:val="single"/>
        </w:rPr>
      </w:pPr>
      <w:r>
        <w:rPr>
          <w:rFonts w:hint="default" w:ascii="Times New Roman" w:hAnsi="Times New Roman" w:eastAsia="宋体" w:cs="Times New Roman"/>
          <w:sz w:val="24"/>
          <w:szCs w:val="24"/>
          <w:highlight w:val="none"/>
        </w:rPr>
        <w:t>(2)地址及邮编：</w:t>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p>
    <w:p w14:paraId="25004C36">
      <w:pPr>
        <w:tabs>
          <w:tab w:val="left" w:pos="5580"/>
        </w:tabs>
        <w:spacing w:before="120" w:line="360" w:lineRule="auto"/>
        <w:ind w:left="360"/>
        <w:rPr>
          <w:rFonts w:hint="default" w:ascii="Times New Roman" w:hAnsi="Times New Roman" w:eastAsia="宋体" w:cs="Times New Roman"/>
          <w:sz w:val="24"/>
          <w:szCs w:val="24"/>
          <w:highlight w:val="none"/>
        </w:rPr>
      </w:pPr>
    </w:p>
    <w:p w14:paraId="3D6267B1">
      <w:pPr>
        <w:tabs>
          <w:tab w:val="left" w:pos="5580"/>
        </w:tabs>
        <w:spacing w:before="120" w:line="360" w:lineRule="auto"/>
        <w:ind w:left="360"/>
        <w:rPr>
          <w:rFonts w:hint="default" w:ascii="Times New Roman" w:hAnsi="Times New Roman" w:eastAsia="宋体" w:cs="Times New Roman"/>
          <w:sz w:val="24"/>
          <w:szCs w:val="24"/>
          <w:highlight w:val="none"/>
          <w:u w:val="single"/>
        </w:rPr>
      </w:pPr>
      <w:r>
        <w:rPr>
          <w:rFonts w:hint="default" w:ascii="Times New Roman" w:hAnsi="Times New Roman" w:eastAsia="宋体" w:cs="Times New Roman"/>
          <w:sz w:val="24"/>
          <w:szCs w:val="24"/>
          <w:highlight w:val="none"/>
        </w:rPr>
        <w:t>(3)成立和注册日期：</w:t>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p>
    <w:p w14:paraId="29F0F5C4">
      <w:pPr>
        <w:tabs>
          <w:tab w:val="left" w:pos="5340"/>
        </w:tabs>
        <w:spacing w:before="120" w:line="360" w:lineRule="auto"/>
        <w:ind w:left="360"/>
        <w:rPr>
          <w:rFonts w:hint="default" w:ascii="Times New Roman" w:hAnsi="Times New Roman" w:eastAsia="宋体" w:cs="Times New Roman"/>
          <w:sz w:val="24"/>
          <w:szCs w:val="24"/>
          <w:highlight w:val="none"/>
          <w:u w:val="single"/>
        </w:rPr>
      </w:pPr>
      <w:r>
        <w:rPr>
          <w:rFonts w:hint="default" w:ascii="Times New Roman" w:hAnsi="Times New Roman" w:eastAsia="宋体" w:cs="Times New Roman"/>
          <w:sz w:val="24"/>
          <w:szCs w:val="24"/>
          <w:highlight w:val="none"/>
        </w:rPr>
        <w:t>(4)主管部门：</w:t>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p>
    <w:p w14:paraId="54A4B70E">
      <w:pPr>
        <w:tabs>
          <w:tab w:val="left" w:pos="5340"/>
        </w:tabs>
        <w:spacing w:before="120" w:line="360" w:lineRule="auto"/>
        <w:ind w:left="360"/>
        <w:rPr>
          <w:rFonts w:hint="default" w:ascii="Times New Roman" w:hAnsi="Times New Roman" w:eastAsia="宋体" w:cs="Times New Roman"/>
          <w:sz w:val="24"/>
          <w:szCs w:val="24"/>
          <w:highlight w:val="none"/>
          <w:u w:val="single"/>
        </w:rPr>
      </w:pPr>
      <w:r>
        <w:rPr>
          <w:rFonts w:hint="default" w:ascii="Times New Roman" w:hAnsi="Times New Roman" w:eastAsia="宋体" w:cs="Times New Roman"/>
          <w:sz w:val="24"/>
          <w:szCs w:val="24"/>
          <w:highlight w:val="none"/>
        </w:rPr>
        <w:t>(5)企业性质：</w:t>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p>
    <w:p w14:paraId="71462043">
      <w:pPr>
        <w:tabs>
          <w:tab w:val="left" w:pos="5340"/>
        </w:tabs>
        <w:spacing w:before="120" w:line="360" w:lineRule="auto"/>
        <w:ind w:left="360"/>
        <w:rPr>
          <w:rFonts w:hint="default" w:ascii="Times New Roman" w:hAnsi="Times New Roman" w:eastAsia="宋体" w:cs="Times New Roman"/>
          <w:sz w:val="24"/>
          <w:szCs w:val="24"/>
          <w:highlight w:val="none"/>
          <w:u w:val="single"/>
        </w:rPr>
      </w:pPr>
      <w:r>
        <w:rPr>
          <w:rFonts w:hint="default" w:ascii="Times New Roman" w:hAnsi="Times New Roman" w:eastAsia="宋体" w:cs="Times New Roman"/>
          <w:sz w:val="24"/>
          <w:szCs w:val="24"/>
          <w:highlight w:val="none"/>
        </w:rPr>
        <w:t>(6)法人代表：</w:t>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p>
    <w:p w14:paraId="310D9FE6">
      <w:pPr>
        <w:tabs>
          <w:tab w:val="left" w:pos="5340"/>
        </w:tabs>
        <w:spacing w:before="120" w:line="360" w:lineRule="auto"/>
        <w:ind w:left="360"/>
        <w:rPr>
          <w:rFonts w:hint="default" w:ascii="Times New Roman" w:hAnsi="Times New Roman" w:eastAsia="宋体" w:cs="Times New Roman"/>
          <w:sz w:val="24"/>
          <w:szCs w:val="24"/>
          <w:highlight w:val="none"/>
          <w:u w:val="single"/>
        </w:rPr>
      </w:pPr>
      <w:r>
        <w:rPr>
          <w:rFonts w:hint="default" w:ascii="Times New Roman" w:hAnsi="Times New Roman" w:eastAsia="宋体" w:cs="Times New Roman"/>
          <w:sz w:val="24"/>
          <w:szCs w:val="24"/>
          <w:highlight w:val="none"/>
        </w:rPr>
        <w:t>(7)职员人数：</w:t>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p>
    <w:p w14:paraId="5852B64B">
      <w:pPr>
        <w:tabs>
          <w:tab w:val="left" w:pos="5340"/>
        </w:tabs>
        <w:spacing w:before="120" w:line="360" w:lineRule="auto"/>
        <w:ind w:left="960"/>
        <w:rPr>
          <w:rFonts w:hint="default" w:ascii="Times New Roman" w:hAnsi="Times New Roman" w:eastAsia="宋体" w:cs="Times New Roman"/>
          <w:sz w:val="24"/>
          <w:szCs w:val="24"/>
          <w:highlight w:val="none"/>
          <w:u w:val="single"/>
        </w:rPr>
      </w:pPr>
      <w:r>
        <w:rPr>
          <w:rFonts w:hint="default" w:ascii="Times New Roman" w:hAnsi="Times New Roman" w:eastAsia="宋体" w:cs="Times New Roman"/>
          <w:sz w:val="24"/>
          <w:szCs w:val="24"/>
          <w:highlight w:val="none"/>
        </w:rPr>
        <w:t>一般工人：</w:t>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p>
    <w:p w14:paraId="54BECE80">
      <w:pPr>
        <w:tabs>
          <w:tab w:val="left" w:pos="5340"/>
        </w:tabs>
        <w:spacing w:before="120" w:line="360" w:lineRule="auto"/>
        <w:ind w:left="960"/>
        <w:rPr>
          <w:rFonts w:hint="default" w:ascii="Times New Roman" w:hAnsi="Times New Roman" w:eastAsia="宋体" w:cs="Times New Roman"/>
          <w:sz w:val="24"/>
          <w:szCs w:val="24"/>
          <w:highlight w:val="none"/>
          <w:u w:val="single"/>
        </w:rPr>
      </w:pPr>
      <w:r>
        <w:rPr>
          <w:rFonts w:hint="default" w:ascii="Times New Roman" w:hAnsi="Times New Roman" w:eastAsia="宋体" w:cs="Times New Roman"/>
          <w:sz w:val="24"/>
          <w:szCs w:val="24"/>
          <w:highlight w:val="none"/>
        </w:rPr>
        <w:t>技术人员：</w:t>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p>
    <w:p w14:paraId="06AF895F">
      <w:pPr>
        <w:tabs>
          <w:tab w:val="left" w:pos="5580"/>
        </w:tabs>
        <w:spacing w:before="120" w:line="360" w:lineRule="auto"/>
        <w:ind w:firstLine="36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(8)近期资产负债表(到</w:t>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rPr>
        <w:t>年月</w:t>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rPr>
        <w:t>日止)</w:t>
      </w:r>
    </w:p>
    <w:p w14:paraId="5DB49EA5">
      <w:pPr>
        <w:tabs>
          <w:tab w:val="left" w:pos="5580"/>
        </w:tabs>
        <w:spacing w:before="120" w:line="360" w:lineRule="auto"/>
        <w:ind w:left="454" w:firstLine="454"/>
        <w:rPr>
          <w:rFonts w:hint="default" w:ascii="Times New Roman" w:hAnsi="Times New Roman" w:eastAsia="宋体" w:cs="Times New Roman"/>
          <w:sz w:val="24"/>
          <w:szCs w:val="24"/>
          <w:highlight w:val="none"/>
          <w:u w:val="single"/>
        </w:rPr>
      </w:pPr>
      <w:r>
        <w:rPr>
          <w:rFonts w:hint="default" w:ascii="Times New Roman" w:hAnsi="Times New Roman" w:eastAsia="宋体" w:cs="Times New Roman"/>
          <w:sz w:val="24"/>
          <w:szCs w:val="24"/>
          <w:highlight w:val="none"/>
        </w:rPr>
        <w:t>(1)固定资产：</w:t>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p>
    <w:p w14:paraId="3E1320B1">
      <w:pPr>
        <w:tabs>
          <w:tab w:val="left" w:pos="5580"/>
        </w:tabs>
        <w:spacing w:before="120" w:line="360" w:lineRule="auto"/>
        <w:ind w:left="1362" w:firstLine="454"/>
        <w:rPr>
          <w:rFonts w:hint="default" w:ascii="Times New Roman" w:hAnsi="Times New Roman" w:eastAsia="宋体" w:cs="Times New Roman"/>
          <w:sz w:val="24"/>
          <w:szCs w:val="24"/>
          <w:highlight w:val="none"/>
          <w:u w:val="single"/>
        </w:rPr>
      </w:pPr>
      <w:r>
        <w:rPr>
          <w:rFonts w:hint="default" w:ascii="Times New Roman" w:hAnsi="Times New Roman" w:eastAsia="宋体" w:cs="Times New Roman"/>
          <w:sz w:val="24"/>
          <w:szCs w:val="24"/>
          <w:highlight w:val="none"/>
        </w:rPr>
        <w:t>原值：</w:t>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p>
    <w:p w14:paraId="724A2EF0">
      <w:pPr>
        <w:tabs>
          <w:tab w:val="left" w:pos="5580"/>
        </w:tabs>
        <w:spacing w:before="120" w:line="360" w:lineRule="auto"/>
        <w:ind w:left="1362" w:firstLine="454"/>
        <w:rPr>
          <w:rFonts w:hint="default" w:ascii="Times New Roman" w:hAnsi="Times New Roman" w:eastAsia="宋体" w:cs="Times New Roman"/>
          <w:sz w:val="24"/>
          <w:szCs w:val="24"/>
          <w:highlight w:val="none"/>
          <w:u w:val="single"/>
        </w:rPr>
      </w:pPr>
      <w:r>
        <w:rPr>
          <w:rFonts w:hint="default" w:ascii="Times New Roman" w:hAnsi="Times New Roman" w:eastAsia="宋体" w:cs="Times New Roman"/>
          <w:sz w:val="24"/>
          <w:szCs w:val="24"/>
          <w:highlight w:val="none"/>
        </w:rPr>
        <w:t>净值：</w:t>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p>
    <w:p w14:paraId="6763758B">
      <w:pPr>
        <w:tabs>
          <w:tab w:val="left" w:pos="5580"/>
        </w:tabs>
        <w:spacing w:before="120" w:line="360" w:lineRule="auto"/>
        <w:ind w:left="454" w:firstLine="454"/>
        <w:rPr>
          <w:rFonts w:hint="default" w:ascii="Times New Roman" w:hAnsi="Times New Roman" w:eastAsia="宋体" w:cs="Times New Roman"/>
          <w:sz w:val="24"/>
          <w:szCs w:val="24"/>
          <w:highlight w:val="none"/>
          <w:u w:val="single"/>
        </w:rPr>
      </w:pPr>
      <w:r>
        <w:rPr>
          <w:rFonts w:hint="default" w:ascii="Times New Roman" w:hAnsi="Times New Roman" w:eastAsia="宋体" w:cs="Times New Roman"/>
          <w:sz w:val="24"/>
          <w:szCs w:val="24"/>
          <w:highlight w:val="none"/>
        </w:rPr>
        <w:t>(2)流动资金：</w:t>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p>
    <w:p w14:paraId="4711AE69">
      <w:pPr>
        <w:tabs>
          <w:tab w:val="left" w:pos="5580"/>
        </w:tabs>
        <w:spacing w:before="120" w:line="360" w:lineRule="auto"/>
        <w:ind w:left="454" w:firstLine="454"/>
        <w:rPr>
          <w:rFonts w:hint="default" w:ascii="Times New Roman" w:hAnsi="Times New Roman" w:eastAsia="宋体" w:cs="Times New Roman"/>
          <w:sz w:val="24"/>
          <w:szCs w:val="24"/>
          <w:highlight w:val="none"/>
          <w:u w:val="single"/>
        </w:rPr>
      </w:pPr>
      <w:r>
        <w:rPr>
          <w:rFonts w:hint="default" w:ascii="Times New Roman" w:hAnsi="Times New Roman" w:eastAsia="宋体" w:cs="Times New Roman"/>
          <w:sz w:val="24"/>
          <w:szCs w:val="24"/>
          <w:highlight w:val="none"/>
        </w:rPr>
        <w:t>(3)长期负债：</w:t>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p>
    <w:p w14:paraId="3CB61ADB">
      <w:pPr>
        <w:tabs>
          <w:tab w:val="left" w:pos="5580"/>
        </w:tabs>
        <w:spacing w:before="120" w:line="360" w:lineRule="auto"/>
        <w:ind w:left="454" w:firstLine="454"/>
        <w:rPr>
          <w:rFonts w:hint="default" w:ascii="Times New Roman" w:hAnsi="Times New Roman" w:eastAsia="宋体" w:cs="Times New Roman"/>
          <w:sz w:val="24"/>
          <w:szCs w:val="24"/>
          <w:highlight w:val="none"/>
          <w:u w:val="single"/>
        </w:rPr>
      </w:pPr>
      <w:r>
        <w:rPr>
          <w:rFonts w:hint="default" w:ascii="Times New Roman" w:hAnsi="Times New Roman" w:eastAsia="宋体" w:cs="Times New Roman"/>
          <w:sz w:val="24"/>
          <w:szCs w:val="24"/>
          <w:highlight w:val="none"/>
        </w:rPr>
        <w:t>(4)短期负债：</w:t>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p>
    <w:p w14:paraId="5B0C837C">
      <w:pPr>
        <w:tabs>
          <w:tab w:val="left" w:pos="5580"/>
        </w:tabs>
        <w:spacing w:before="120" w:line="360" w:lineRule="auto"/>
        <w:ind w:left="454"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(5)资金来源</w:t>
      </w:r>
    </w:p>
    <w:p w14:paraId="158E1E02">
      <w:pPr>
        <w:tabs>
          <w:tab w:val="left" w:pos="5580"/>
        </w:tabs>
        <w:spacing w:before="120" w:line="360" w:lineRule="auto"/>
        <w:ind w:left="1362"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自有资金：</w:t>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p>
    <w:p w14:paraId="031F1672">
      <w:pPr>
        <w:tabs>
          <w:tab w:val="left" w:pos="5580"/>
        </w:tabs>
        <w:spacing w:before="120" w:line="360" w:lineRule="auto"/>
        <w:ind w:left="1362" w:firstLine="454"/>
        <w:rPr>
          <w:rFonts w:hint="default" w:ascii="Times New Roman" w:hAnsi="Times New Roman" w:eastAsia="宋体" w:cs="Times New Roman"/>
          <w:sz w:val="24"/>
          <w:szCs w:val="24"/>
          <w:highlight w:val="none"/>
          <w:u w:val="single"/>
        </w:rPr>
      </w:pPr>
      <w:r>
        <w:rPr>
          <w:rFonts w:hint="default" w:ascii="Times New Roman" w:hAnsi="Times New Roman" w:eastAsia="宋体" w:cs="Times New Roman"/>
          <w:sz w:val="24"/>
          <w:szCs w:val="24"/>
          <w:highlight w:val="none"/>
        </w:rPr>
        <w:t>银行贷款：</w:t>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p>
    <w:p w14:paraId="6F19D69C">
      <w:pPr>
        <w:tabs>
          <w:tab w:val="left" w:pos="5580"/>
        </w:tabs>
        <w:spacing w:before="120" w:line="360" w:lineRule="auto"/>
        <w:ind w:left="454" w:firstLine="454"/>
        <w:rPr>
          <w:rFonts w:hint="default" w:ascii="Times New Roman" w:hAnsi="Times New Roman" w:eastAsia="宋体" w:cs="Times New Roman"/>
          <w:sz w:val="24"/>
          <w:szCs w:val="24"/>
          <w:highlight w:val="none"/>
          <w:u w:val="single"/>
        </w:rPr>
      </w:pPr>
      <w:r>
        <w:rPr>
          <w:rFonts w:hint="default" w:ascii="Times New Roman" w:hAnsi="Times New Roman" w:eastAsia="宋体" w:cs="Times New Roman"/>
          <w:sz w:val="24"/>
          <w:szCs w:val="24"/>
          <w:highlight w:val="none"/>
        </w:rPr>
        <w:t>(6)资金类型：</w:t>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p>
    <w:p w14:paraId="4BF3BE24">
      <w:pPr>
        <w:tabs>
          <w:tab w:val="left" w:pos="5580"/>
        </w:tabs>
        <w:spacing w:before="120" w:line="360" w:lineRule="auto"/>
        <w:ind w:left="1362" w:firstLine="454"/>
        <w:rPr>
          <w:rFonts w:hint="default" w:ascii="Times New Roman" w:hAnsi="Times New Roman" w:eastAsia="宋体" w:cs="Times New Roman"/>
          <w:sz w:val="24"/>
          <w:szCs w:val="24"/>
          <w:highlight w:val="none"/>
          <w:u w:val="single"/>
        </w:rPr>
      </w:pPr>
      <w:r>
        <w:rPr>
          <w:rFonts w:hint="default" w:ascii="Times New Roman" w:hAnsi="Times New Roman" w:eastAsia="宋体" w:cs="Times New Roman"/>
          <w:sz w:val="24"/>
          <w:szCs w:val="24"/>
          <w:highlight w:val="none"/>
        </w:rPr>
        <w:t>生产资金：</w:t>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p>
    <w:p w14:paraId="556A489E">
      <w:pPr>
        <w:tabs>
          <w:tab w:val="left" w:pos="5580"/>
        </w:tabs>
        <w:spacing w:before="120" w:line="360" w:lineRule="auto"/>
        <w:ind w:left="1362" w:firstLine="454"/>
        <w:rPr>
          <w:rFonts w:hint="default" w:ascii="Times New Roman" w:hAnsi="Times New Roman" w:eastAsia="宋体" w:cs="Times New Roman"/>
          <w:sz w:val="24"/>
          <w:szCs w:val="24"/>
          <w:highlight w:val="none"/>
          <w:u w:val="single"/>
        </w:rPr>
      </w:pPr>
      <w:r>
        <w:rPr>
          <w:rFonts w:hint="default" w:ascii="Times New Roman" w:hAnsi="Times New Roman" w:eastAsia="宋体" w:cs="Times New Roman"/>
          <w:sz w:val="24"/>
          <w:szCs w:val="24"/>
          <w:highlight w:val="none"/>
        </w:rPr>
        <w:t>非生产资金：</w:t>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r>
        <w:rPr>
          <w:rFonts w:hint="default" w:ascii="Times New Roman" w:hAnsi="Times New Roman" w:eastAsia="宋体" w:cs="Times New Roman"/>
          <w:sz w:val="24"/>
          <w:szCs w:val="24"/>
          <w:highlight w:val="none"/>
          <w:u w:val="single"/>
        </w:rPr>
        <w:tab/>
      </w:r>
    </w:p>
    <w:p w14:paraId="4628FA7C">
      <w:pPr>
        <w:tabs>
          <w:tab w:val="left" w:pos="5580"/>
        </w:tabs>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2、（1)关于制造投标货物的设施及其它情况：</w:t>
      </w:r>
    </w:p>
    <w:p w14:paraId="2A1E60BA">
      <w:pPr>
        <w:tabs>
          <w:tab w:val="left" w:pos="5580"/>
        </w:tabs>
        <w:spacing w:before="120" w:line="360" w:lineRule="auto"/>
        <w:ind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工厂名称地址　　生产的项目　　　　　年生产能力　　　　　职工人数</w:t>
      </w:r>
    </w:p>
    <w:p w14:paraId="61741C51">
      <w:pPr>
        <w:tabs>
          <w:tab w:val="left" w:pos="5580"/>
        </w:tabs>
        <w:spacing w:before="120" w:line="360" w:lineRule="auto"/>
        <w:ind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_________　　　_____________　　　　____________　　　　__________</w:t>
      </w:r>
    </w:p>
    <w:p w14:paraId="76A2B18A">
      <w:pPr>
        <w:tabs>
          <w:tab w:val="left" w:pos="5580"/>
        </w:tabs>
        <w:spacing w:before="120" w:line="360" w:lineRule="auto"/>
        <w:ind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_________　　　_____________　　　　____________　　　　__________</w:t>
      </w:r>
    </w:p>
    <w:p w14:paraId="69067F58">
      <w:pPr>
        <w:tabs>
          <w:tab w:val="left" w:pos="5580"/>
        </w:tabs>
        <w:spacing w:before="120" w:line="360" w:lineRule="auto"/>
        <w:ind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(2)本制造厂不生产，而须从其它制造厂购买的主要零部件</w:t>
      </w:r>
    </w:p>
    <w:p w14:paraId="15F42221">
      <w:pPr>
        <w:tabs>
          <w:tab w:val="left" w:pos="5580"/>
        </w:tabs>
        <w:spacing w:before="120" w:line="360" w:lineRule="auto"/>
        <w:ind w:firstLine="96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制造厂家名称和地址　　　　　　　　主要零部件名称</w:t>
      </w:r>
    </w:p>
    <w:p w14:paraId="23A92354">
      <w:pPr>
        <w:tabs>
          <w:tab w:val="left" w:pos="5580"/>
        </w:tabs>
        <w:spacing w:before="120" w:line="360" w:lineRule="auto"/>
        <w:ind w:firstLine="96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__________________　　　　　　　　______________</w:t>
      </w:r>
    </w:p>
    <w:p w14:paraId="16D1DCBD">
      <w:pPr>
        <w:tabs>
          <w:tab w:val="left" w:pos="5580"/>
        </w:tabs>
        <w:spacing w:before="120" w:line="360" w:lineRule="auto"/>
        <w:ind w:firstLine="933" w:firstLineChars="389"/>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__________________　　　　　　　　______________</w:t>
      </w:r>
    </w:p>
    <w:p w14:paraId="32930DEF">
      <w:pPr>
        <w:tabs>
          <w:tab w:val="left" w:pos="5580"/>
        </w:tabs>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3、制造厂家生产此投标货物的历史(年数)：</w:t>
      </w:r>
    </w:p>
    <w:p w14:paraId="52C8D9E5">
      <w:pPr>
        <w:tabs>
          <w:tab w:val="left" w:pos="5580"/>
        </w:tabs>
        <w:spacing w:before="120" w:line="360" w:lineRule="auto"/>
        <w:ind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___________________________________________________________</w:t>
      </w:r>
    </w:p>
    <w:p w14:paraId="033776D2">
      <w:pPr>
        <w:tabs>
          <w:tab w:val="left" w:pos="5580"/>
        </w:tabs>
        <w:spacing w:before="120" w:line="360" w:lineRule="auto"/>
        <w:ind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___________________________________________________________</w:t>
      </w:r>
    </w:p>
    <w:p w14:paraId="4DAB5ACA">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4、近三年投标货物（相同型号）销售业绩（包括国内外）清单：</w:t>
      </w:r>
    </w:p>
    <w:p w14:paraId="1C861409">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年  月-  年  月）</w:t>
      </w:r>
    </w:p>
    <w:p w14:paraId="555C6F9D">
      <w:pPr>
        <w:spacing w:line="360" w:lineRule="auto"/>
        <w:ind w:firstLine="24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包括产品型号、销售时间、用户名称、地址及联系方式等</w:t>
      </w:r>
    </w:p>
    <w:p w14:paraId="56EEC51D">
      <w:pPr>
        <w:tabs>
          <w:tab w:val="left" w:pos="5580"/>
        </w:tabs>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5、近三年的年营业额：</w:t>
      </w:r>
    </w:p>
    <w:p w14:paraId="3DDF4D7D">
      <w:pPr>
        <w:tabs>
          <w:tab w:val="left" w:pos="5580"/>
        </w:tabs>
        <w:spacing w:before="120" w:line="360" w:lineRule="auto"/>
        <w:ind w:firstLine="933" w:firstLineChars="389"/>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年份　　　　　国内　　　　　出口　　　　　总额</w:t>
      </w:r>
    </w:p>
    <w:p w14:paraId="105A62D7">
      <w:pPr>
        <w:tabs>
          <w:tab w:val="left" w:pos="5580"/>
        </w:tabs>
        <w:spacing w:before="120" w:line="360" w:lineRule="auto"/>
        <w:ind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__________　　 ___________　　___________　　___________</w:t>
      </w:r>
    </w:p>
    <w:p w14:paraId="7122C236">
      <w:pPr>
        <w:tabs>
          <w:tab w:val="left" w:pos="5580"/>
        </w:tabs>
        <w:spacing w:before="120" w:line="360" w:lineRule="auto"/>
        <w:ind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__________　　 ___________　　___________　　___________</w:t>
      </w:r>
    </w:p>
    <w:p w14:paraId="7317C0FD">
      <w:pPr>
        <w:tabs>
          <w:tab w:val="left" w:pos="5580"/>
        </w:tabs>
        <w:spacing w:before="120" w:line="360" w:lineRule="auto"/>
        <w:ind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__________　　 ___________　　___________　　___________</w:t>
      </w:r>
    </w:p>
    <w:p w14:paraId="222D753C">
      <w:pPr>
        <w:tabs>
          <w:tab w:val="left" w:pos="5580"/>
        </w:tabs>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6、易损件供应商的名称和地址：</w:t>
      </w:r>
    </w:p>
    <w:p w14:paraId="62CC5D6C">
      <w:pPr>
        <w:tabs>
          <w:tab w:val="left" w:pos="5580"/>
        </w:tabs>
        <w:spacing w:before="120" w:line="360" w:lineRule="auto"/>
        <w:ind w:left="454"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部件名称　　　　　　　　　　　　　供应商</w:t>
      </w:r>
    </w:p>
    <w:p w14:paraId="163564D0">
      <w:pPr>
        <w:tabs>
          <w:tab w:val="left" w:pos="5580"/>
        </w:tabs>
        <w:spacing w:before="120" w:line="360" w:lineRule="auto"/>
        <w:ind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__________________　　　　　　　　______________</w:t>
      </w:r>
    </w:p>
    <w:p w14:paraId="027C75B6">
      <w:pPr>
        <w:tabs>
          <w:tab w:val="left" w:pos="5580"/>
        </w:tabs>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__________________　　　　　　　　______________</w:t>
      </w:r>
    </w:p>
    <w:p w14:paraId="5351BE24">
      <w:pPr>
        <w:tabs>
          <w:tab w:val="left" w:pos="5580"/>
        </w:tabs>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7、有关开户银行的名称和地址：_______________________________</w:t>
      </w:r>
    </w:p>
    <w:p w14:paraId="79F3872F">
      <w:pPr>
        <w:tabs>
          <w:tab w:val="left" w:pos="5580"/>
        </w:tabs>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8、其他情况：_______________________________________________</w:t>
      </w:r>
    </w:p>
    <w:p w14:paraId="1DB8EADD">
      <w:pPr>
        <w:tabs>
          <w:tab w:val="left" w:pos="5580"/>
        </w:tabs>
        <w:spacing w:before="120" w:line="360" w:lineRule="auto"/>
        <w:ind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兹证明上述声明是真实、正确的，并提供了全部能提供的资料和数据，我们同意遵照贵方要求出示有关证明文件。</w:t>
      </w:r>
    </w:p>
    <w:p w14:paraId="22ABA4B0">
      <w:pPr>
        <w:tabs>
          <w:tab w:val="left" w:pos="5580"/>
        </w:tabs>
        <w:spacing w:before="120" w:line="360" w:lineRule="auto"/>
        <w:rPr>
          <w:rFonts w:hint="default" w:ascii="Times New Roman" w:hAnsi="Times New Roman" w:eastAsia="宋体" w:cs="Times New Roman"/>
          <w:sz w:val="24"/>
          <w:szCs w:val="24"/>
          <w:highlight w:val="none"/>
        </w:rPr>
      </w:pPr>
    </w:p>
    <w:p w14:paraId="2CCB46F8">
      <w:pPr>
        <w:tabs>
          <w:tab w:val="left" w:pos="5580"/>
        </w:tabs>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日期：_____年______月______日</w:t>
      </w:r>
    </w:p>
    <w:p w14:paraId="22CFD70E">
      <w:pPr>
        <w:tabs>
          <w:tab w:val="left" w:pos="5580"/>
        </w:tabs>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制造商名称：________</w:t>
      </w:r>
    </w:p>
    <w:p w14:paraId="71E7E091">
      <w:pPr>
        <w:tabs>
          <w:tab w:val="left" w:pos="5580"/>
        </w:tabs>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投标人授权代表(签字)：__________________</w:t>
      </w:r>
    </w:p>
    <w:p w14:paraId="5AC5540E">
      <w:pPr>
        <w:tabs>
          <w:tab w:val="left" w:pos="5580"/>
        </w:tabs>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投标人授权代表的职务：__________________　　电话号：__________________</w:t>
      </w:r>
    </w:p>
    <w:p w14:paraId="4E997EEE">
      <w:pPr>
        <w:tabs>
          <w:tab w:val="left" w:pos="5580"/>
        </w:tabs>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制造商盖章：____________________________　　传真号：__________________</w:t>
      </w:r>
    </w:p>
    <w:p w14:paraId="1C5DF97D">
      <w:pPr>
        <w:tabs>
          <w:tab w:val="left" w:pos="5580"/>
        </w:tabs>
        <w:spacing w:before="120" w:line="360" w:lineRule="auto"/>
        <w:outlineLvl w:val="1"/>
        <w:rPr>
          <w:rFonts w:hint="default" w:ascii="Times New Roman" w:hAnsi="Times New Roman" w:eastAsia="宋体" w:cs="Times New Roman"/>
          <w:b/>
          <w:bCs/>
          <w:sz w:val="24"/>
          <w:szCs w:val="24"/>
          <w:highlight w:val="none"/>
        </w:rPr>
      </w:pPr>
      <w:r>
        <w:rPr>
          <w:rFonts w:hint="default" w:ascii="Times New Roman" w:hAnsi="Times New Roman" w:eastAsia="宋体" w:cs="Times New Roman"/>
          <w:sz w:val="24"/>
          <w:szCs w:val="24"/>
          <w:highlight w:val="none"/>
        </w:rPr>
        <w:br w:type="page"/>
      </w:r>
      <w:r>
        <w:rPr>
          <w:rFonts w:hint="default" w:ascii="Times New Roman" w:hAnsi="Times New Roman" w:eastAsia="宋体" w:cs="Times New Roman"/>
          <w:b/>
          <w:bCs/>
          <w:sz w:val="24"/>
          <w:szCs w:val="24"/>
          <w:highlight w:val="none"/>
        </w:rPr>
        <w:t>附件7-4 投标人(作为制造厂家的经销代理)的资格声明</w:t>
      </w:r>
    </w:p>
    <w:p w14:paraId="28FCDECD">
      <w:pPr>
        <w:spacing w:line="360" w:lineRule="auto"/>
        <w:rPr>
          <w:rFonts w:hint="default" w:ascii="Times New Roman" w:hAnsi="Times New Roman" w:eastAsia="宋体" w:cs="Times New Roman"/>
          <w:b/>
          <w:bCs/>
          <w:sz w:val="24"/>
          <w:szCs w:val="24"/>
          <w:highlight w:val="none"/>
        </w:rPr>
      </w:pPr>
    </w:p>
    <w:p w14:paraId="70E4A5C6">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（投标人为经销商时，除了填写附件8-6外，还要填写附件8-5）</w:t>
      </w:r>
    </w:p>
    <w:p w14:paraId="636D37C1">
      <w:pPr>
        <w:spacing w:line="360" w:lineRule="auto"/>
        <w:rPr>
          <w:rFonts w:hint="default" w:ascii="Times New Roman" w:hAnsi="Times New Roman" w:eastAsia="宋体" w:cs="Times New Roman"/>
          <w:b/>
          <w:bCs/>
          <w:sz w:val="24"/>
          <w:szCs w:val="24"/>
          <w:highlight w:val="none"/>
        </w:rPr>
      </w:pPr>
    </w:p>
    <w:p w14:paraId="482EBA74">
      <w:pPr>
        <w:tabs>
          <w:tab w:val="left" w:pos="5580"/>
        </w:tabs>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1、名称及概况：</w:t>
      </w:r>
    </w:p>
    <w:p w14:paraId="268F5A29">
      <w:pPr>
        <w:tabs>
          <w:tab w:val="left" w:pos="5580"/>
        </w:tabs>
        <w:spacing w:before="120" w:line="360" w:lineRule="auto"/>
        <w:ind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(1)投标人名称：_______________________________________________________</w:t>
      </w:r>
    </w:p>
    <w:p w14:paraId="4B5CB96F">
      <w:pPr>
        <w:tabs>
          <w:tab w:val="left" w:pos="5580"/>
        </w:tabs>
        <w:spacing w:before="120" w:line="360" w:lineRule="auto"/>
        <w:ind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(2)地址及邮编：_______________________________________________________</w:t>
      </w:r>
    </w:p>
    <w:p w14:paraId="6B613E57">
      <w:pPr>
        <w:tabs>
          <w:tab w:val="left" w:pos="5580"/>
        </w:tabs>
        <w:spacing w:before="120" w:line="360" w:lineRule="auto"/>
        <w:ind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(3)成立和注册日期：___________________________________________________</w:t>
      </w:r>
    </w:p>
    <w:p w14:paraId="605EE8D8">
      <w:pPr>
        <w:tabs>
          <w:tab w:val="left" w:pos="5580"/>
        </w:tabs>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(4)主管部门：_________________________________________________________</w:t>
      </w:r>
    </w:p>
    <w:p w14:paraId="6F6570E4">
      <w:pPr>
        <w:tabs>
          <w:tab w:val="left" w:pos="5580"/>
        </w:tabs>
        <w:spacing w:before="120" w:line="360" w:lineRule="auto"/>
        <w:ind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(5)公司性质：_________________________________________________________</w:t>
      </w:r>
    </w:p>
    <w:p w14:paraId="2CE19286">
      <w:pPr>
        <w:tabs>
          <w:tab w:val="left" w:pos="5580"/>
        </w:tabs>
        <w:spacing w:before="120" w:line="360" w:lineRule="auto"/>
        <w:ind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(6)法人代表：_________________________________________________________</w:t>
      </w:r>
    </w:p>
    <w:p w14:paraId="01AEF0CF">
      <w:pPr>
        <w:tabs>
          <w:tab w:val="left" w:pos="5580"/>
        </w:tabs>
        <w:spacing w:before="120" w:line="360" w:lineRule="auto"/>
        <w:ind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(7)职员人数：_________________________________________________________</w:t>
      </w:r>
    </w:p>
    <w:p w14:paraId="4A849596">
      <w:pPr>
        <w:tabs>
          <w:tab w:val="left" w:pos="5580"/>
        </w:tabs>
        <w:spacing w:before="120" w:line="360" w:lineRule="auto"/>
        <w:ind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(8)近期资产负债表(到________年____月____日止)</w:t>
      </w:r>
    </w:p>
    <w:p w14:paraId="4295C6E5">
      <w:pPr>
        <w:tabs>
          <w:tab w:val="left" w:pos="5580"/>
        </w:tabs>
        <w:spacing w:before="120" w:line="360" w:lineRule="auto"/>
        <w:ind w:left="454"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〈1〉固定资产：__________________________</w:t>
      </w:r>
    </w:p>
    <w:p w14:paraId="320B87B1">
      <w:pPr>
        <w:tabs>
          <w:tab w:val="left" w:pos="5580"/>
        </w:tabs>
        <w:spacing w:before="120" w:line="360" w:lineRule="auto"/>
        <w:ind w:left="1362"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原值：______________________________</w:t>
      </w:r>
    </w:p>
    <w:p w14:paraId="51FED921">
      <w:pPr>
        <w:tabs>
          <w:tab w:val="left" w:pos="5580"/>
        </w:tabs>
        <w:spacing w:before="120" w:line="360" w:lineRule="auto"/>
        <w:ind w:left="1362"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净值：______________________________</w:t>
      </w:r>
    </w:p>
    <w:p w14:paraId="1382D7D1">
      <w:pPr>
        <w:tabs>
          <w:tab w:val="left" w:pos="5580"/>
        </w:tabs>
        <w:spacing w:before="120" w:line="360" w:lineRule="auto"/>
        <w:ind w:left="454"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〈2〉流动资金：__________________________</w:t>
      </w:r>
    </w:p>
    <w:p w14:paraId="5D4A5C53">
      <w:pPr>
        <w:tabs>
          <w:tab w:val="left" w:pos="5580"/>
        </w:tabs>
        <w:spacing w:before="120" w:line="360" w:lineRule="auto"/>
        <w:ind w:left="454"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〈3〉长期负债：__________________________</w:t>
      </w:r>
    </w:p>
    <w:p w14:paraId="2A2DFFF7">
      <w:pPr>
        <w:tabs>
          <w:tab w:val="left" w:pos="5580"/>
        </w:tabs>
        <w:spacing w:before="120" w:line="360" w:lineRule="auto"/>
        <w:ind w:left="454"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〈4〉短期负债：__________________________</w:t>
      </w:r>
    </w:p>
    <w:p w14:paraId="0B9BC4BB">
      <w:pPr>
        <w:tabs>
          <w:tab w:val="left" w:pos="5580"/>
        </w:tabs>
        <w:spacing w:before="120" w:line="360" w:lineRule="auto"/>
        <w:ind w:left="454"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〈5〉资金来源：</w:t>
      </w:r>
    </w:p>
    <w:p w14:paraId="2D2180BC">
      <w:pPr>
        <w:tabs>
          <w:tab w:val="left" w:pos="5580"/>
        </w:tabs>
        <w:spacing w:before="120" w:line="360" w:lineRule="auto"/>
        <w:ind w:left="1362"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自有资金：__________________________</w:t>
      </w:r>
    </w:p>
    <w:p w14:paraId="1D359F75">
      <w:pPr>
        <w:tabs>
          <w:tab w:val="left" w:pos="5580"/>
        </w:tabs>
        <w:spacing w:before="120" w:line="360" w:lineRule="auto"/>
        <w:ind w:left="1362"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银行贷款：__________________________</w:t>
      </w:r>
    </w:p>
    <w:p w14:paraId="68D698BC">
      <w:pPr>
        <w:tabs>
          <w:tab w:val="left" w:pos="5580"/>
        </w:tabs>
        <w:spacing w:before="120" w:line="360" w:lineRule="auto"/>
        <w:ind w:left="454"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〈6〉资金类型：__________________________</w:t>
      </w:r>
    </w:p>
    <w:p w14:paraId="1F979D45">
      <w:pPr>
        <w:tabs>
          <w:tab w:val="left" w:pos="5580"/>
        </w:tabs>
        <w:spacing w:before="120" w:line="360" w:lineRule="auto"/>
        <w:ind w:left="1362"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商业性：____________________________</w:t>
      </w:r>
    </w:p>
    <w:p w14:paraId="73AE4D35">
      <w:pPr>
        <w:tabs>
          <w:tab w:val="left" w:pos="5580"/>
        </w:tabs>
        <w:spacing w:before="120" w:line="360" w:lineRule="auto"/>
        <w:ind w:left="1362"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非商业性：__________________________</w:t>
      </w:r>
    </w:p>
    <w:p w14:paraId="7998B9A6">
      <w:pPr>
        <w:tabs>
          <w:tab w:val="left" w:pos="5580"/>
        </w:tabs>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2、最近三年的年度总营业额：（ 年 月- 年 月）</w:t>
      </w:r>
    </w:p>
    <w:p w14:paraId="5BCE7421">
      <w:pPr>
        <w:tabs>
          <w:tab w:val="left" w:pos="5580"/>
        </w:tabs>
        <w:spacing w:before="120" w:line="360" w:lineRule="auto"/>
        <w:ind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年份　　　　　国内　　　　　出口　　　　　总额</w:t>
      </w:r>
    </w:p>
    <w:p w14:paraId="2CEC4CA0">
      <w:pPr>
        <w:tabs>
          <w:tab w:val="left" w:pos="5580"/>
        </w:tabs>
        <w:spacing w:before="120" w:line="360" w:lineRule="auto"/>
        <w:ind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__________　　 ___________　　___________　　___________</w:t>
      </w:r>
    </w:p>
    <w:p w14:paraId="1757F502">
      <w:pPr>
        <w:tabs>
          <w:tab w:val="left" w:pos="5580"/>
        </w:tabs>
        <w:spacing w:before="120" w:line="360" w:lineRule="auto"/>
        <w:ind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__________　　 ___________　　___________　　___________</w:t>
      </w:r>
    </w:p>
    <w:p w14:paraId="25788E36">
      <w:pPr>
        <w:tabs>
          <w:tab w:val="left" w:pos="5580"/>
        </w:tabs>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3、最近三年投标货物主要销售给国内及国外用户名称及地址：（ 年 月- 年 月）</w:t>
      </w:r>
    </w:p>
    <w:p w14:paraId="26308F7E">
      <w:pPr>
        <w:tabs>
          <w:tab w:val="left" w:pos="5580"/>
        </w:tabs>
        <w:spacing w:before="120" w:line="360" w:lineRule="auto"/>
        <w:ind w:firstLine="1173" w:firstLineChars="489"/>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名称和地址　　　　　　　销售的项目和数量</w:t>
      </w:r>
    </w:p>
    <w:p w14:paraId="66E4EF98">
      <w:pPr>
        <w:tabs>
          <w:tab w:val="left" w:pos="5580"/>
        </w:tabs>
        <w:spacing w:before="120" w:line="360" w:lineRule="auto"/>
        <w:ind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(1)出口销售：</w:t>
      </w:r>
    </w:p>
    <w:p w14:paraId="64771461">
      <w:pPr>
        <w:tabs>
          <w:tab w:val="left" w:pos="5580"/>
        </w:tabs>
        <w:spacing w:before="120" w:line="360" w:lineRule="auto"/>
        <w:ind w:left="454"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_________________　　　　_______________________________</w:t>
      </w:r>
    </w:p>
    <w:p w14:paraId="4055765D">
      <w:pPr>
        <w:tabs>
          <w:tab w:val="left" w:pos="5580"/>
        </w:tabs>
        <w:spacing w:before="120" w:line="360" w:lineRule="auto"/>
        <w:ind w:left="454"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_________________　　　　_______________________________</w:t>
      </w:r>
    </w:p>
    <w:p w14:paraId="131B5A79">
      <w:pPr>
        <w:tabs>
          <w:tab w:val="left" w:pos="5580"/>
        </w:tabs>
        <w:spacing w:before="120" w:line="360" w:lineRule="auto"/>
        <w:ind w:left="454"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_________________　　　　_______________________________</w:t>
      </w:r>
    </w:p>
    <w:p w14:paraId="6F216E82">
      <w:pPr>
        <w:tabs>
          <w:tab w:val="left" w:pos="5580"/>
        </w:tabs>
        <w:spacing w:before="120" w:line="360" w:lineRule="auto"/>
        <w:ind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(2)国内销售：</w:t>
      </w:r>
    </w:p>
    <w:p w14:paraId="44E0CE28">
      <w:pPr>
        <w:tabs>
          <w:tab w:val="left" w:pos="5580"/>
        </w:tabs>
        <w:spacing w:before="120" w:line="360" w:lineRule="auto"/>
        <w:ind w:left="454"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_________________　　　　_______________________________</w:t>
      </w:r>
    </w:p>
    <w:p w14:paraId="49F3A47F">
      <w:pPr>
        <w:tabs>
          <w:tab w:val="left" w:pos="5580"/>
        </w:tabs>
        <w:spacing w:before="120" w:line="360" w:lineRule="auto"/>
        <w:ind w:left="454"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_________________　　　　_______________________________</w:t>
      </w:r>
    </w:p>
    <w:p w14:paraId="1E0FEBEE">
      <w:pPr>
        <w:tabs>
          <w:tab w:val="left" w:pos="5580"/>
        </w:tabs>
        <w:spacing w:before="120" w:line="360" w:lineRule="auto"/>
        <w:ind w:left="454"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_________________　　　　_______________________________</w:t>
      </w:r>
    </w:p>
    <w:p w14:paraId="43BD3054">
      <w:pPr>
        <w:tabs>
          <w:tab w:val="left" w:pos="5580"/>
        </w:tabs>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4、同意为投标人制造投标货物的制造厂并附有制造厂的资格声明：</w:t>
      </w:r>
    </w:p>
    <w:p w14:paraId="66AE406D">
      <w:pPr>
        <w:tabs>
          <w:tab w:val="left" w:pos="5580"/>
        </w:tabs>
        <w:spacing w:before="120" w:line="360" w:lineRule="auto"/>
        <w:ind w:left="454"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制造厂名称和地址　　　　　制造项目和数量</w:t>
      </w:r>
    </w:p>
    <w:p w14:paraId="5C0AD36D">
      <w:pPr>
        <w:tabs>
          <w:tab w:val="left" w:pos="360"/>
          <w:tab w:val="left" w:pos="5580"/>
        </w:tabs>
        <w:spacing w:before="120" w:line="360" w:lineRule="auto"/>
        <w:ind w:firstLine="36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_____________________　_____________________________</w:t>
      </w:r>
    </w:p>
    <w:p w14:paraId="3A1D0376">
      <w:pPr>
        <w:tabs>
          <w:tab w:val="left" w:pos="5580"/>
        </w:tabs>
        <w:spacing w:before="120" w:line="360" w:lineRule="auto"/>
        <w:ind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_____________________　_____________________________</w:t>
      </w:r>
    </w:p>
    <w:p w14:paraId="585FD38E">
      <w:pPr>
        <w:tabs>
          <w:tab w:val="left" w:pos="5580"/>
        </w:tabs>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5、须由其它制造厂家供应和制造的部件(如果有的话)：</w:t>
      </w:r>
    </w:p>
    <w:p w14:paraId="32F0B86E">
      <w:pPr>
        <w:tabs>
          <w:tab w:val="left" w:pos="5580"/>
        </w:tabs>
        <w:spacing w:before="120" w:line="360" w:lineRule="auto"/>
        <w:ind w:left="454"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制造厂名称和地址　　　　　　制造项目</w:t>
      </w:r>
    </w:p>
    <w:p w14:paraId="60F1EEAE">
      <w:pPr>
        <w:tabs>
          <w:tab w:val="left" w:pos="5580"/>
        </w:tabs>
        <w:spacing w:before="120" w:line="360" w:lineRule="auto"/>
        <w:ind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_____________________　_______________________</w:t>
      </w:r>
    </w:p>
    <w:p w14:paraId="3B8EE80D">
      <w:pPr>
        <w:tabs>
          <w:tab w:val="left" w:pos="5580"/>
        </w:tabs>
        <w:spacing w:before="120"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_____________________　_______________________</w:t>
      </w:r>
    </w:p>
    <w:p w14:paraId="1F32A938">
      <w:pPr>
        <w:tabs>
          <w:tab w:val="left" w:pos="5580"/>
        </w:tabs>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6、最近三年中与各经销商成交的此种投标货物(如果有的话)：</w:t>
      </w:r>
    </w:p>
    <w:p w14:paraId="11AB966D">
      <w:pPr>
        <w:tabs>
          <w:tab w:val="left" w:pos="5580"/>
        </w:tabs>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合同号：___________________________</w:t>
      </w:r>
    </w:p>
    <w:p w14:paraId="7C60F88D">
      <w:pPr>
        <w:tabs>
          <w:tab w:val="left" w:pos="5580"/>
        </w:tabs>
        <w:spacing w:before="120" w:line="360" w:lineRule="auto"/>
        <w:ind w:left="454"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签字日期：_________________________</w:t>
      </w:r>
    </w:p>
    <w:p w14:paraId="17A53E7F">
      <w:pPr>
        <w:tabs>
          <w:tab w:val="left" w:pos="5580"/>
        </w:tabs>
        <w:spacing w:before="120" w:line="360" w:lineRule="auto"/>
        <w:ind w:left="454"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产品名称：_________________________</w:t>
      </w:r>
    </w:p>
    <w:p w14:paraId="516A876C">
      <w:pPr>
        <w:tabs>
          <w:tab w:val="left" w:pos="5580"/>
        </w:tabs>
        <w:spacing w:before="120" w:line="360" w:lineRule="auto"/>
        <w:ind w:left="454"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数量：_____________________________</w:t>
      </w:r>
    </w:p>
    <w:p w14:paraId="3B7FA5ED">
      <w:pPr>
        <w:tabs>
          <w:tab w:val="left" w:pos="5580"/>
        </w:tabs>
        <w:spacing w:before="120" w:line="360" w:lineRule="auto"/>
        <w:ind w:left="454"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合同金额___________________________</w:t>
      </w:r>
    </w:p>
    <w:p w14:paraId="3DC841EB">
      <w:pPr>
        <w:tabs>
          <w:tab w:val="left" w:pos="5580"/>
        </w:tabs>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7、有关开户银行的名称和地址：_____________________________</w:t>
      </w:r>
    </w:p>
    <w:p w14:paraId="57E096DB">
      <w:pPr>
        <w:tabs>
          <w:tab w:val="left" w:pos="5580"/>
        </w:tabs>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8、投标人认为需要声明的其他情况</w:t>
      </w:r>
    </w:p>
    <w:p w14:paraId="2E2D9EC3">
      <w:pPr>
        <w:tabs>
          <w:tab w:val="left" w:pos="5580"/>
        </w:tabs>
        <w:spacing w:before="120" w:line="360" w:lineRule="auto"/>
        <w:ind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兹证明上述声明是真实、正确的，并提供了全部能提供的资料和数据，我们同意遵照贵方要求出示有关证明文件。</w:t>
      </w:r>
    </w:p>
    <w:p w14:paraId="7DB52C10">
      <w:pPr>
        <w:tabs>
          <w:tab w:val="left" w:pos="5580"/>
        </w:tabs>
        <w:spacing w:before="120" w:line="360" w:lineRule="auto"/>
        <w:rPr>
          <w:rFonts w:hint="default" w:ascii="Times New Roman" w:hAnsi="Times New Roman" w:eastAsia="宋体" w:cs="Times New Roman"/>
          <w:sz w:val="24"/>
          <w:szCs w:val="24"/>
          <w:highlight w:val="none"/>
        </w:rPr>
      </w:pPr>
    </w:p>
    <w:p w14:paraId="1EBDBA77">
      <w:pPr>
        <w:tabs>
          <w:tab w:val="left" w:pos="5580"/>
        </w:tabs>
        <w:spacing w:before="120" w:line="360" w:lineRule="auto"/>
        <w:ind w:left="454"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日期：__________________________________________</w:t>
      </w:r>
    </w:p>
    <w:p w14:paraId="23BFE0AD">
      <w:pPr>
        <w:tabs>
          <w:tab w:val="left" w:pos="5580"/>
        </w:tabs>
        <w:spacing w:before="120" w:line="360" w:lineRule="auto"/>
        <w:ind w:left="454"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投标人授权代表(签字)：________________________________</w:t>
      </w:r>
    </w:p>
    <w:p w14:paraId="504AFB41">
      <w:pPr>
        <w:tabs>
          <w:tab w:val="left" w:pos="5580"/>
        </w:tabs>
        <w:spacing w:before="120" w:line="360" w:lineRule="auto"/>
        <w:ind w:left="454"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投标人授权代表的职务：________________________________</w:t>
      </w:r>
    </w:p>
    <w:p w14:paraId="05E7D377">
      <w:pPr>
        <w:tabs>
          <w:tab w:val="left" w:pos="5580"/>
        </w:tabs>
        <w:spacing w:before="120" w:line="360" w:lineRule="auto"/>
        <w:ind w:left="454"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电话号：________________________________________</w:t>
      </w:r>
    </w:p>
    <w:p w14:paraId="4043BC79">
      <w:pPr>
        <w:tabs>
          <w:tab w:val="left" w:pos="5580"/>
        </w:tabs>
        <w:spacing w:before="120" w:line="360" w:lineRule="auto"/>
        <w:ind w:left="454" w:firstLine="454"/>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传真号：________________________________________</w:t>
      </w:r>
    </w:p>
    <w:p w14:paraId="5FAE15B7">
      <w:pPr>
        <w:pStyle w:val="13"/>
        <w:tabs>
          <w:tab w:val="left" w:pos="5580"/>
        </w:tabs>
        <w:spacing w:line="360" w:lineRule="auto"/>
        <w:ind w:left="1" w:firstLine="898"/>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加盖公章：__________________________________________</w:t>
      </w:r>
    </w:p>
    <w:p w14:paraId="4A5FEFE2">
      <w:pPr>
        <w:widowControl/>
        <w:spacing w:line="360" w:lineRule="auto"/>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br w:type="page"/>
      </w:r>
    </w:p>
    <w:p w14:paraId="08215B64">
      <w:pPr>
        <w:pStyle w:val="13"/>
        <w:tabs>
          <w:tab w:val="left" w:pos="5580"/>
        </w:tabs>
        <w:spacing w:line="360" w:lineRule="auto"/>
        <w:outlineLvl w:val="1"/>
        <w:rPr>
          <w:rFonts w:hint="default" w:ascii="Times New Roman" w:hAnsi="Times New Roman" w:eastAsia="宋体" w:cs="Times New Roman"/>
          <w:b/>
          <w:sz w:val="24"/>
          <w:szCs w:val="24"/>
          <w:highlight w:val="none"/>
        </w:rPr>
      </w:pPr>
      <w:r>
        <w:rPr>
          <w:rFonts w:hint="default" w:ascii="Times New Roman" w:hAnsi="Times New Roman" w:eastAsia="宋体" w:cs="Times New Roman"/>
          <w:b/>
          <w:sz w:val="24"/>
          <w:szCs w:val="24"/>
          <w:highlight w:val="none"/>
        </w:rPr>
        <w:t>附件7-5 制造厂家的授权书（如果投标人提供的进口货物不是投标人自己制造的，则必须提供，进口货物适用。国产产品不需要提供。）</w:t>
      </w:r>
    </w:p>
    <w:p w14:paraId="0FD3B53F">
      <w:pPr>
        <w:pStyle w:val="13"/>
        <w:tabs>
          <w:tab w:val="left" w:pos="5580"/>
        </w:tabs>
        <w:spacing w:line="360" w:lineRule="auto"/>
        <w:rPr>
          <w:rFonts w:hint="default" w:ascii="Times New Roman" w:hAnsi="Times New Roman" w:eastAsia="宋体" w:cs="Times New Roman"/>
          <w:b/>
          <w:sz w:val="24"/>
          <w:szCs w:val="24"/>
          <w:highlight w:val="none"/>
        </w:rPr>
      </w:pPr>
      <w:r>
        <w:rPr>
          <w:rFonts w:hint="default" w:ascii="Times New Roman" w:hAnsi="Times New Roman" w:eastAsia="宋体" w:cs="Times New Roman"/>
          <w:b/>
          <w:sz w:val="24"/>
          <w:szCs w:val="24"/>
          <w:highlight w:val="none"/>
        </w:rPr>
        <w:t>（投标人可另附单独出具的制造厂家的授权书，格式自拟）</w:t>
      </w:r>
    </w:p>
    <w:p w14:paraId="2A7D049F">
      <w:pPr>
        <w:tabs>
          <w:tab w:val="left" w:pos="5580"/>
        </w:tabs>
        <w:spacing w:before="120" w:line="360" w:lineRule="auto"/>
        <w:rPr>
          <w:rFonts w:hint="default" w:ascii="Times New Roman" w:hAnsi="Times New Roman" w:eastAsia="宋体" w:cs="Times New Roman"/>
          <w:sz w:val="24"/>
          <w:szCs w:val="24"/>
          <w:highlight w:val="none"/>
        </w:rPr>
      </w:pPr>
    </w:p>
    <w:p w14:paraId="3F3B53A9">
      <w:pPr>
        <w:tabs>
          <w:tab w:val="left" w:pos="5580"/>
        </w:tabs>
        <w:spacing w:before="120" w:line="360" w:lineRule="auto"/>
        <w:rPr>
          <w:rFonts w:hint="default" w:ascii="Times New Roman" w:hAnsi="Times New Roman" w:eastAsia="宋体" w:cs="Times New Roman"/>
          <w:sz w:val="24"/>
          <w:szCs w:val="24"/>
          <w:highlight w:val="none"/>
          <w:u w:val="single"/>
        </w:rPr>
      </w:pPr>
      <w:r>
        <w:rPr>
          <w:rFonts w:hint="default" w:ascii="Times New Roman" w:hAnsi="Times New Roman" w:eastAsia="宋体" w:cs="Times New Roman"/>
          <w:sz w:val="24"/>
          <w:szCs w:val="24"/>
          <w:highlight w:val="none"/>
        </w:rPr>
        <w:t>致：东方国际招标有限责任公司</w:t>
      </w:r>
    </w:p>
    <w:p w14:paraId="31907F1C">
      <w:pPr>
        <w:tabs>
          <w:tab w:val="left" w:pos="5580"/>
        </w:tabs>
        <w:spacing w:before="120" w:line="360" w:lineRule="auto"/>
        <w:rPr>
          <w:rFonts w:hint="default" w:ascii="Times New Roman" w:hAnsi="Times New Roman" w:eastAsia="宋体" w:cs="Times New Roman"/>
          <w:sz w:val="24"/>
          <w:szCs w:val="24"/>
          <w:highlight w:val="none"/>
        </w:rPr>
      </w:pPr>
    </w:p>
    <w:p w14:paraId="48789C77">
      <w:pPr>
        <w:pStyle w:val="13"/>
        <w:tabs>
          <w:tab w:val="left" w:pos="5580"/>
        </w:tabs>
        <w:spacing w:line="360" w:lineRule="auto"/>
        <w:ind w:firstLine="42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我们（</w:t>
      </w:r>
      <w:r>
        <w:rPr>
          <w:rFonts w:hint="default" w:ascii="Times New Roman" w:hAnsi="Times New Roman" w:eastAsia="宋体" w:cs="Times New Roman"/>
          <w:i/>
          <w:iCs/>
          <w:sz w:val="24"/>
          <w:szCs w:val="24"/>
          <w:highlight w:val="none"/>
          <w:u w:val="single"/>
        </w:rPr>
        <w:t>制造商名称</w:t>
      </w:r>
      <w:r>
        <w:rPr>
          <w:rFonts w:hint="default" w:ascii="Times New Roman" w:hAnsi="Times New Roman" w:eastAsia="宋体" w:cs="Times New Roman"/>
          <w:sz w:val="24"/>
          <w:szCs w:val="24"/>
          <w:highlight w:val="none"/>
        </w:rPr>
        <w:t>）是按（</w:t>
      </w:r>
      <w:r>
        <w:rPr>
          <w:rFonts w:hint="default" w:ascii="Times New Roman" w:hAnsi="Times New Roman" w:eastAsia="宋体" w:cs="Times New Roman"/>
          <w:i/>
          <w:iCs/>
          <w:sz w:val="24"/>
          <w:szCs w:val="24"/>
          <w:highlight w:val="none"/>
          <w:u w:val="single"/>
        </w:rPr>
        <w:t>国家名称</w:t>
      </w:r>
      <w:r>
        <w:rPr>
          <w:rFonts w:hint="default" w:ascii="Times New Roman" w:hAnsi="Times New Roman" w:eastAsia="宋体" w:cs="Times New Roman"/>
          <w:sz w:val="24"/>
          <w:szCs w:val="24"/>
          <w:highlight w:val="none"/>
        </w:rPr>
        <w:t>）法律成立的一家制造商，主要营业地点设在（</w:t>
      </w:r>
      <w:r>
        <w:rPr>
          <w:rFonts w:hint="default" w:ascii="Times New Roman" w:hAnsi="Times New Roman" w:eastAsia="宋体" w:cs="Times New Roman"/>
          <w:i/>
          <w:iCs/>
          <w:sz w:val="24"/>
          <w:szCs w:val="24"/>
          <w:highlight w:val="none"/>
          <w:u w:val="single"/>
        </w:rPr>
        <w:t>制造商地址</w:t>
      </w:r>
      <w:r>
        <w:rPr>
          <w:rFonts w:hint="default" w:ascii="Times New Roman" w:hAnsi="Times New Roman" w:eastAsia="宋体" w:cs="Times New Roman"/>
          <w:sz w:val="24"/>
          <w:szCs w:val="24"/>
          <w:highlight w:val="none"/>
        </w:rPr>
        <w:t>）。兹指派按（</w:t>
      </w:r>
      <w:r>
        <w:rPr>
          <w:rFonts w:hint="default" w:ascii="Times New Roman" w:hAnsi="Times New Roman" w:eastAsia="宋体" w:cs="Times New Roman"/>
          <w:i/>
          <w:iCs/>
          <w:sz w:val="24"/>
          <w:szCs w:val="24"/>
          <w:highlight w:val="none"/>
          <w:u w:val="single"/>
        </w:rPr>
        <w:t>国家名称</w:t>
      </w:r>
      <w:r>
        <w:rPr>
          <w:rFonts w:hint="default" w:ascii="Times New Roman" w:hAnsi="Times New Roman" w:eastAsia="宋体" w:cs="Times New Roman"/>
          <w:sz w:val="24"/>
          <w:szCs w:val="24"/>
          <w:highlight w:val="none"/>
        </w:rPr>
        <w:t>）的法律正式成立的，主要营业地点设在（</w:t>
      </w:r>
      <w:r>
        <w:rPr>
          <w:rFonts w:hint="default" w:ascii="Times New Roman" w:hAnsi="Times New Roman" w:eastAsia="宋体" w:cs="Times New Roman"/>
          <w:i/>
          <w:iCs/>
          <w:sz w:val="24"/>
          <w:szCs w:val="24"/>
          <w:highlight w:val="none"/>
          <w:u w:val="single"/>
        </w:rPr>
        <w:t>经销商地址</w:t>
      </w:r>
      <w:r>
        <w:rPr>
          <w:rFonts w:hint="default" w:ascii="Times New Roman" w:hAnsi="Times New Roman" w:eastAsia="宋体" w:cs="Times New Roman"/>
          <w:sz w:val="24"/>
          <w:szCs w:val="24"/>
          <w:highlight w:val="none"/>
        </w:rPr>
        <w:t>）的（</w:t>
      </w:r>
      <w:r>
        <w:rPr>
          <w:rFonts w:hint="default" w:ascii="Times New Roman" w:hAnsi="Times New Roman" w:eastAsia="宋体" w:cs="Times New Roman"/>
          <w:i/>
          <w:iCs/>
          <w:sz w:val="24"/>
          <w:szCs w:val="24"/>
          <w:highlight w:val="none"/>
          <w:u w:val="single"/>
        </w:rPr>
        <w:t>经销商名称</w:t>
      </w:r>
      <w:r>
        <w:rPr>
          <w:rFonts w:hint="default" w:ascii="Times New Roman" w:hAnsi="Times New Roman" w:eastAsia="宋体" w:cs="Times New Roman"/>
          <w:sz w:val="24"/>
          <w:szCs w:val="24"/>
          <w:highlight w:val="none"/>
        </w:rPr>
        <w:t>）作为我方真正的合法的代理人进行下列有效的活动：</w:t>
      </w:r>
    </w:p>
    <w:p w14:paraId="0CC7B727">
      <w:pPr>
        <w:pStyle w:val="13"/>
        <w:tabs>
          <w:tab w:val="left" w:pos="5580"/>
        </w:tabs>
        <w:spacing w:line="360" w:lineRule="auto"/>
        <w:ind w:firstLine="420"/>
        <w:rPr>
          <w:rFonts w:hint="default" w:ascii="Times New Roman" w:hAnsi="Times New Roman" w:eastAsia="宋体" w:cs="Times New Roman"/>
          <w:sz w:val="24"/>
          <w:szCs w:val="24"/>
          <w:highlight w:val="none"/>
        </w:rPr>
      </w:pPr>
    </w:p>
    <w:p w14:paraId="47C2022D">
      <w:pPr>
        <w:pStyle w:val="13"/>
        <w:numPr>
          <w:ilvl w:val="0"/>
          <w:numId w:val="23"/>
        </w:numPr>
        <w:tabs>
          <w:tab w:val="left" w:pos="5580"/>
        </w:tabs>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代表我方办理贵方第</w:t>
      </w:r>
      <w:r>
        <w:rPr>
          <w:rFonts w:hint="default" w:ascii="Times New Roman" w:hAnsi="Times New Roman" w:eastAsia="宋体" w:cs="Times New Roman"/>
          <w:sz w:val="24"/>
          <w:szCs w:val="24"/>
          <w:highlight w:val="none"/>
          <w:u w:val="single"/>
        </w:rPr>
        <w:t>　　</w:t>
      </w:r>
      <w:r>
        <w:rPr>
          <w:rFonts w:hint="default" w:ascii="Times New Roman" w:hAnsi="Times New Roman" w:eastAsia="宋体" w:cs="Times New Roman"/>
          <w:i/>
          <w:iCs/>
          <w:sz w:val="24"/>
          <w:szCs w:val="24"/>
          <w:highlight w:val="none"/>
          <w:u w:val="single"/>
        </w:rPr>
        <w:t>（招标编号）</w:t>
      </w:r>
      <w:r>
        <w:rPr>
          <w:rFonts w:hint="default" w:ascii="Times New Roman" w:hAnsi="Times New Roman" w:eastAsia="宋体" w:cs="Times New Roman"/>
          <w:sz w:val="24"/>
          <w:szCs w:val="24"/>
          <w:highlight w:val="none"/>
          <w:u w:val="single"/>
        </w:rPr>
        <w:t>　　</w:t>
      </w:r>
      <w:r>
        <w:rPr>
          <w:rFonts w:hint="default" w:ascii="Times New Roman" w:hAnsi="Times New Roman" w:eastAsia="宋体" w:cs="Times New Roman"/>
          <w:sz w:val="24"/>
          <w:szCs w:val="24"/>
          <w:highlight w:val="none"/>
        </w:rPr>
        <w:t>号投标邀请第</w:t>
      </w:r>
      <w:r>
        <w:rPr>
          <w:rFonts w:hint="default" w:ascii="Times New Roman" w:hAnsi="Times New Roman" w:eastAsia="宋体" w:cs="Times New Roman"/>
          <w:sz w:val="24"/>
          <w:szCs w:val="24"/>
          <w:highlight w:val="none"/>
          <w:u w:val="single"/>
        </w:rPr>
        <w:t>　　</w:t>
      </w:r>
      <w:r>
        <w:rPr>
          <w:rFonts w:hint="default" w:ascii="Times New Roman" w:hAnsi="Times New Roman" w:eastAsia="宋体" w:cs="Times New Roman"/>
          <w:i/>
          <w:iCs/>
          <w:sz w:val="24"/>
          <w:szCs w:val="24"/>
          <w:highlight w:val="none"/>
          <w:u w:val="single"/>
        </w:rPr>
        <w:t>（包号）</w:t>
      </w:r>
      <w:r>
        <w:rPr>
          <w:rFonts w:hint="default" w:ascii="Times New Roman" w:hAnsi="Times New Roman" w:eastAsia="宋体" w:cs="Times New Roman"/>
          <w:sz w:val="24"/>
          <w:szCs w:val="24"/>
          <w:highlight w:val="none"/>
        </w:rPr>
        <w:t>号要求提供的由我方制造的货物的有关事宜，并对我方具有约束力。</w:t>
      </w:r>
    </w:p>
    <w:p w14:paraId="3AFE73FE">
      <w:pPr>
        <w:pStyle w:val="13"/>
        <w:tabs>
          <w:tab w:val="left" w:pos="5580"/>
        </w:tabs>
        <w:spacing w:line="360" w:lineRule="auto"/>
        <w:ind w:left="1261" w:hanging="78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（2）作为制造商，我方保证以投标合作者来约束自己，并对该投标共同和分别承担招标文件中所规定的义务。</w:t>
      </w:r>
    </w:p>
    <w:p w14:paraId="4D2711A8">
      <w:pPr>
        <w:pStyle w:val="13"/>
        <w:tabs>
          <w:tab w:val="left" w:pos="5580"/>
        </w:tabs>
        <w:spacing w:line="360" w:lineRule="auto"/>
        <w:ind w:left="1261" w:hanging="78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（3）我方兹授予</w:t>
      </w:r>
      <w:r>
        <w:rPr>
          <w:rFonts w:hint="default" w:ascii="Times New Roman" w:hAnsi="Times New Roman" w:eastAsia="宋体" w:cs="Times New Roman"/>
          <w:sz w:val="24"/>
          <w:szCs w:val="24"/>
          <w:highlight w:val="none"/>
          <w:u w:val="single"/>
        </w:rPr>
        <w:t>　　</w:t>
      </w:r>
      <w:r>
        <w:rPr>
          <w:rFonts w:hint="default" w:ascii="Times New Roman" w:hAnsi="Times New Roman" w:eastAsia="宋体" w:cs="Times New Roman"/>
          <w:i/>
          <w:iCs/>
          <w:sz w:val="24"/>
          <w:szCs w:val="24"/>
          <w:highlight w:val="none"/>
          <w:u w:val="single"/>
        </w:rPr>
        <w:t>（经销商名称）</w:t>
      </w:r>
      <w:r>
        <w:rPr>
          <w:rFonts w:hint="default" w:ascii="Times New Roman" w:hAnsi="Times New Roman" w:eastAsia="宋体" w:cs="Times New Roman"/>
          <w:sz w:val="24"/>
          <w:szCs w:val="24"/>
          <w:highlight w:val="none"/>
          <w:u w:val="single"/>
        </w:rPr>
        <w:t>　　</w:t>
      </w:r>
      <w:r>
        <w:rPr>
          <w:rFonts w:hint="default" w:ascii="Times New Roman" w:hAnsi="Times New Roman" w:eastAsia="宋体" w:cs="Times New Roman"/>
          <w:sz w:val="24"/>
          <w:szCs w:val="24"/>
          <w:highlight w:val="none"/>
        </w:rPr>
        <w:t>全权办理和履行上述我方为完成上述各点所必须的事宜，具有替换或撤销的全权。兹确认</w:t>
      </w:r>
      <w:r>
        <w:rPr>
          <w:rFonts w:hint="default" w:ascii="Times New Roman" w:hAnsi="Times New Roman" w:eastAsia="宋体" w:cs="Times New Roman"/>
          <w:sz w:val="24"/>
          <w:szCs w:val="24"/>
          <w:highlight w:val="none"/>
          <w:u w:val="single"/>
        </w:rPr>
        <w:t>　　</w:t>
      </w:r>
      <w:r>
        <w:rPr>
          <w:rFonts w:hint="default" w:ascii="Times New Roman" w:hAnsi="Times New Roman" w:eastAsia="宋体" w:cs="Times New Roman"/>
          <w:i/>
          <w:iCs/>
          <w:sz w:val="24"/>
          <w:szCs w:val="24"/>
          <w:highlight w:val="none"/>
          <w:u w:val="single"/>
        </w:rPr>
        <w:t>（经销商名称）</w:t>
      </w:r>
      <w:r>
        <w:rPr>
          <w:rFonts w:hint="default" w:ascii="Times New Roman" w:hAnsi="Times New Roman" w:eastAsia="宋体" w:cs="Times New Roman"/>
          <w:sz w:val="24"/>
          <w:szCs w:val="24"/>
          <w:highlight w:val="none"/>
          <w:u w:val="single"/>
        </w:rPr>
        <w:t>　　</w:t>
      </w:r>
      <w:r>
        <w:rPr>
          <w:rFonts w:hint="default" w:ascii="Times New Roman" w:hAnsi="Times New Roman" w:eastAsia="宋体" w:cs="Times New Roman"/>
          <w:sz w:val="24"/>
          <w:szCs w:val="24"/>
          <w:highlight w:val="none"/>
        </w:rPr>
        <w:t>或其正式授权代表依此合法地办理一切事宜。</w:t>
      </w:r>
    </w:p>
    <w:p w14:paraId="5C9BE160">
      <w:pPr>
        <w:pStyle w:val="13"/>
        <w:tabs>
          <w:tab w:val="left" w:pos="5580"/>
        </w:tabs>
        <w:spacing w:line="360" w:lineRule="auto"/>
        <w:ind w:left="1261" w:hanging="78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（4）　我方于</w:t>
      </w:r>
      <w:r>
        <w:rPr>
          <w:rFonts w:hint="default" w:ascii="Times New Roman" w:hAnsi="Times New Roman" w:eastAsia="宋体" w:cs="Times New Roman"/>
          <w:sz w:val="24"/>
          <w:szCs w:val="24"/>
          <w:highlight w:val="none"/>
          <w:u w:val="single"/>
        </w:rPr>
        <w:t>　　　</w:t>
      </w:r>
      <w:r>
        <w:rPr>
          <w:rFonts w:hint="default" w:ascii="Times New Roman" w:hAnsi="Times New Roman" w:eastAsia="宋体" w:cs="Times New Roman"/>
          <w:sz w:val="24"/>
          <w:szCs w:val="24"/>
          <w:highlight w:val="none"/>
        </w:rPr>
        <w:t>年</w:t>
      </w:r>
      <w:r>
        <w:rPr>
          <w:rFonts w:hint="default" w:ascii="Times New Roman" w:hAnsi="Times New Roman" w:eastAsia="宋体" w:cs="Times New Roman"/>
          <w:sz w:val="24"/>
          <w:szCs w:val="24"/>
          <w:highlight w:val="none"/>
          <w:u w:val="single"/>
        </w:rPr>
        <w:t>　　　</w:t>
      </w:r>
      <w:r>
        <w:rPr>
          <w:rFonts w:hint="default" w:ascii="Times New Roman" w:hAnsi="Times New Roman" w:eastAsia="宋体" w:cs="Times New Roman"/>
          <w:sz w:val="24"/>
          <w:szCs w:val="24"/>
          <w:highlight w:val="none"/>
        </w:rPr>
        <w:t>月</w:t>
      </w:r>
      <w:r>
        <w:rPr>
          <w:rFonts w:hint="default" w:ascii="Times New Roman" w:hAnsi="Times New Roman" w:eastAsia="宋体" w:cs="Times New Roman"/>
          <w:sz w:val="24"/>
          <w:szCs w:val="24"/>
          <w:highlight w:val="none"/>
          <w:u w:val="single"/>
        </w:rPr>
        <w:t>　　　</w:t>
      </w:r>
      <w:r>
        <w:rPr>
          <w:rFonts w:hint="default" w:ascii="Times New Roman" w:hAnsi="Times New Roman" w:eastAsia="宋体" w:cs="Times New Roman"/>
          <w:sz w:val="24"/>
          <w:szCs w:val="24"/>
          <w:highlight w:val="none"/>
        </w:rPr>
        <w:t>日签署本文件，</w:t>
      </w:r>
      <w:r>
        <w:rPr>
          <w:rFonts w:hint="default" w:ascii="Times New Roman" w:hAnsi="Times New Roman" w:eastAsia="宋体" w:cs="Times New Roman"/>
          <w:sz w:val="24"/>
          <w:szCs w:val="24"/>
          <w:highlight w:val="none"/>
          <w:u w:val="single"/>
        </w:rPr>
        <w:t>　　</w:t>
      </w:r>
      <w:r>
        <w:rPr>
          <w:rFonts w:hint="default" w:ascii="Times New Roman" w:hAnsi="Times New Roman" w:eastAsia="宋体" w:cs="Times New Roman"/>
          <w:i/>
          <w:iCs/>
          <w:sz w:val="24"/>
          <w:szCs w:val="24"/>
          <w:highlight w:val="none"/>
          <w:u w:val="single"/>
        </w:rPr>
        <w:t>（经销商名称）</w:t>
      </w:r>
      <w:r>
        <w:rPr>
          <w:rFonts w:hint="default" w:ascii="Times New Roman" w:hAnsi="Times New Roman" w:eastAsia="宋体" w:cs="Times New Roman"/>
          <w:sz w:val="24"/>
          <w:szCs w:val="24"/>
          <w:highlight w:val="none"/>
          <w:u w:val="single"/>
        </w:rPr>
        <w:t>　　</w:t>
      </w:r>
      <w:r>
        <w:rPr>
          <w:rFonts w:hint="default" w:ascii="Times New Roman" w:hAnsi="Times New Roman" w:eastAsia="宋体" w:cs="Times New Roman"/>
          <w:sz w:val="24"/>
          <w:szCs w:val="24"/>
          <w:highlight w:val="none"/>
        </w:rPr>
        <w:t>于</w:t>
      </w:r>
    </w:p>
    <w:p w14:paraId="093010D2">
      <w:pPr>
        <w:pStyle w:val="13"/>
        <w:tabs>
          <w:tab w:val="left" w:pos="5580"/>
        </w:tabs>
        <w:spacing w:line="360" w:lineRule="auto"/>
        <w:ind w:left="1260" w:leftChars="6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u w:val="single"/>
        </w:rPr>
        <w:t>　　</w:t>
      </w:r>
      <w:r>
        <w:rPr>
          <w:rFonts w:hint="default" w:ascii="Times New Roman" w:hAnsi="Times New Roman" w:eastAsia="宋体" w:cs="Times New Roman"/>
          <w:sz w:val="24"/>
          <w:szCs w:val="24"/>
          <w:highlight w:val="none"/>
        </w:rPr>
        <w:t>年</w:t>
      </w:r>
      <w:r>
        <w:rPr>
          <w:rFonts w:hint="default" w:ascii="Times New Roman" w:hAnsi="Times New Roman" w:eastAsia="宋体" w:cs="Times New Roman"/>
          <w:sz w:val="24"/>
          <w:szCs w:val="24"/>
          <w:highlight w:val="none"/>
          <w:u w:val="single"/>
        </w:rPr>
        <w:t>　　　</w:t>
      </w:r>
      <w:r>
        <w:rPr>
          <w:rFonts w:hint="default" w:ascii="Times New Roman" w:hAnsi="Times New Roman" w:eastAsia="宋体" w:cs="Times New Roman"/>
          <w:sz w:val="24"/>
          <w:szCs w:val="24"/>
          <w:highlight w:val="none"/>
        </w:rPr>
        <w:t>月</w:t>
      </w:r>
      <w:r>
        <w:rPr>
          <w:rFonts w:hint="default" w:ascii="Times New Roman" w:hAnsi="Times New Roman" w:eastAsia="宋体" w:cs="Times New Roman"/>
          <w:sz w:val="24"/>
          <w:szCs w:val="24"/>
          <w:highlight w:val="none"/>
          <w:u w:val="single"/>
        </w:rPr>
        <w:t>　　　</w:t>
      </w:r>
      <w:r>
        <w:rPr>
          <w:rFonts w:hint="default" w:ascii="Times New Roman" w:hAnsi="Times New Roman" w:eastAsia="宋体" w:cs="Times New Roman"/>
          <w:sz w:val="24"/>
          <w:szCs w:val="24"/>
          <w:highlight w:val="none"/>
        </w:rPr>
        <w:t>日接受此件，以此为证。</w:t>
      </w:r>
    </w:p>
    <w:p w14:paraId="4B1D283C">
      <w:pPr>
        <w:pStyle w:val="13"/>
        <w:tabs>
          <w:tab w:val="left" w:pos="5580"/>
        </w:tabs>
        <w:spacing w:line="360" w:lineRule="auto"/>
        <w:ind w:firstLine="480"/>
        <w:rPr>
          <w:rFonts w:hint="default" w:ascii="Times New Roman" w:hAnsi="Times New Roman" w:eastAsia="宋体" w:cs="Times New Roman"/>
          <w:sz w:val="24"/>
          <w:szCs w:val="24"/>
          <w:highlight w:val="none"/>
        </w:rPr>
      </w:pPr>
    </w:p>
    <w:p w14:paraId="55F503FC">
      <w:pPr>
        <w:pStyle w:val="13"/>
        <w:tabs>
          <w:tab w:val="left" w:pos="5580"/>
        </w:tabs>
        <w:spacing w:line="360" w:lineRule="auto"/>
        <w:ind w:firstLine="480"/>
        <w:rPr>
          <w:rFonts w:hint="default" w:ascii="Times New Roman" w:hAnsi="Times New Roman" w:eastAsia="宋体" w:cs="Times New Roman"/>
          <w:sz w:val="24"/>
          <w:szCs w:val="24"/>
          <w:highlight w:val="none"/>
        </w:rPr>
      </w:pPr>
    </w:p>
    <w:p w14:paraId="63F1E85D">
      <w:pPr>
        <w:pStyle w:val="13"/>
        <w:tabs>
          <w:tab w:val="left" w:pos="5580"/>
        </w:tabs>
        <w:spacing w:line="360" w:lineRule="auto"/>
        <w:ind w:firstLine="480"/>
        <w:rPr>
          <w:rFonts w:hint="default" w:ascii="Times New Roman" w:hAnsi="Times New Roman" w:eastAsia="宋体" w:cs="Times New Roman"/>
          <w:sz w:val="24"/>
          <w:szCs w:val="24"/>
          <w:highlight w:val="none"/>
        </w:rPr>
      </w:pPr>
    </w:p>
    <w:p w14:paraId="76E2D9FC">
      <w:pPr>
        <w:pStyle w:val="13"/>
        <w:tabs>
          <w:tab w:val="left" w:pos="5580"/>
        </w:tabs>
        <w:spacing w:line="360" w:lineRule="auto"/>
        <w:ind w:left="1261" w:hanging="78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制造商名称：</w:t>
      </w:r>
      <w:r>
        <w:rPr>
          <w:rFonts w:hint="default" w:ascii="Times New Roman" w:hAnsi="Times New Roman" w:eastAsia="宋体" w:cs="Times New Roman"/>
          <w:sz w:val="24"/>
          <w:szCs w:val="24"/>
          <w:highlight w:val="none"/>
          <w:u w:val="single"/>
        </w:rPr>
        <w:t xml:space="preserve">         </w:t>
      </w:r>
      <w:r>
        <w:rPr>
          <w:rFonts w:hint="default" w:ascii="Times New Roman" w:hAnsi="Times New Roman" w:eastAsia="宋体" w:cs="Times New Roman"/>
          <w:sz w:val="24"/>
          <w:szCs w:val="24"/>
          <w:highlight w:val="none"/>
        </w:rPr>
        <w:t>（加盖公章或签字或加盖人名印章）</w:t>
      </w:r>
    </w:p>
    <w:p w14:paraId="525C7397">
      <w:pPr>
        <w:pStyle w:val="13"/>
        <w:tabs>
          <w:tab w:val="left" w:pos="5580"/>
        </w:tabs>
        <w:spacing w:line="360" w:lineRule="auto"/>
        <w:ind w:left="1261" w:hanging="78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签字人职务和部门：</w:t>
      </w:r>
      <w:r>
        <w:rPr>
          <w:rFonts w:hint="default" w:ascii="Times New Roman" w:hAnsi="Times New Roman" w:eastAsia="宋体" w:cs="Times New Roman"/>
          <w:sz w:val="24"/>
          <w:szCs w:val="24"/>
          <w:highlight w:val="none"/>
          <w:u w:val="single"/>
        </w:rPr>
        <w:t xml:space="preserve">         </w:t>
      </w:r>
    </w:p>
    <w:p w14:paraId="03B6E737">
      <w:pPr>
        <w:pStyle w:val="13"/>
        <w:tabs>
          <w:tab w:val="left" w:pos="5580"/>
        </w:tabs>
        <w:spacing w:line="360" w:lineRule="auto"/>
        <w:ind w:left="1261" w:hanging="78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签字人姓名：</w:t>
      </w:r>
      <w:r>
        <w:rPr>
          <w:rFonts w:hint="default" w:ascii="Times New Roman" w:hAnsi="Times New Roman" w:eastAsia="宋体" w:cs="Times New Roman"/>
          <w:sz w:val="24"/>
          <w:szCs w:val="24"/>
          <w:highlight w:val="none"/>
          <w:u w:val="single"/>
        </w:rPr>
        <w:t xml:space="preserve">         </w:t>
      </w:r>
    </w:p>
    <w:p w14:paraId="6D9B69C9">
      <w:pPr>
        <w:pStyle w:val="13"/>
        <w:tabs>
          <w:tab w:val="left" w:pos="2520"/>
          <w:tab w:val="left" w:pos="3045"/>
          <w:tab w:val="left" w:pos="5580"/>
        </w:tabs>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签字人签名：</w:t>
      </w:r>
      <w:r>
        <w:rPr>
          <w:rFonts w:hint="default" w:ascii="Times New Roman" w:hAnsi="Times New Roman" w:eastAsia="宋体" w:cs="Times New Roman"/>
          <w:sz w:val="24"/>
          <w:szCs w:val="24"/>
          <w:highlight w:val="none"/>
          <w:u w:val="single"/>
        </w:rPr>
        <w:t xml:space="preserve">         </w:t>
      </w:r>
    </w:p>
    <w:p w14:paraId="229345DD">
      <w:pPr>
        <w:widowControl/>
        <w:spacing w:line="360" w:lineRule="auto"/>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br w:type="page"/>
      </w:r>
    </w:p>
    <w:p w14:paraId="20E38D38">
      <w:pPr>
        <w:widowControl/>
        <w:spacing w:line="360" w:lineRule="auto"/>
        <w:rPr>
          <w:rFonts w:hint="default" w:ascii="Times New Roman" w:hAnsi="Times New Roman" w:eastAsia="宋体" w:cs="Times New Roman"/>
          <w:b/>
          <w:bCs/>
          <w:sz w:val="24"/>
          <w:szCs w:val="24"/>
          <w:highlight w:val="none"/>
        </w:rPr>
      </w:pPr>
    </w:p>
    <w:p w14:paraId="724FA5D4">
      <w:pPr>
        <w:tabs>
          <w:tab w:val="left" w:pos="5580"/>
        </w:tabs>
        <w:spacing w:before="120" w:line="360" w:lineRule="auto"/>
        <w:outlineLvl w:val="1"/>
        <w:rPr>
          <w:rFonts w:hint="default" w:ascii="Times New Roman" w:hAnsi="Times New Roman" w:eastAsia="宋体" w:cs="Times New Roman"/>
          <w:b/>
          <w:sz w:val="24"/>
          <w:highlight w:val="none"/>
        </w:rPr>
      </w:pPr>
      <w:r>
        <w:rPr>
          <w:rFonts w:hint="default" w:ascii="Times New Roman" w:hAnsi="Times New Roman" w:eastAsia="宋体" w:cs="Times New Roman"/>
          <w:b/>
          <w:sz w:val="24"/>
          <w:szCs w:val="24"/>
          <w:highlight w:val="none"/>
        </w:rPr>
        <w:t>★</w:t>
      </w:r>
      <w:r>
        <w:rPr>
          <w:rFonts w:hint="default" w:ascii="Times New Roman" w:hAnsi="Times New Roman" w:eastAsia="宋体" w:cs="Times New Roman"/>
          <w:b/>
          <w:sz w:val="24"/>
          <w:highlight w:val="none"/>
        </w:rPr>
        <w:t>附件7-6 投标人资格声明函（统一格式，加盖公章）</w:t>
      </w:r>
    </w:p>
    <w:p w14:paraId="7BF7E209">
      <w:pPr>
        <w:autoSpaceDE w:val="0"/>
        <w:autoSpaceDN w:val="0"/>
        <w:adjustRightInd w:val="0"/>
        <w:snapToGrid w:val="0"/>
        <w:spacing w:line="360" w:lineRule="auto"/>
        <w:ind w:right="6"/>
        <w:textAlignment w:val="bottom"/>
        <w:rPr>
          <w:rFonts w:hint="default" w:ascii="Times New Roman" w:hAnsi="Times New Roman" w:eastAsia="宋体" w:cs="Times New Roman"/>
          <w:sz w:val="24"/>
          <w:highlight w:val="none"/>
        </w:rPr>
      </w:pPr>
    </w:p>
    <w:p w14:paraId="0FE40775">
      <w:pPr>
        <w:autoSpaceDE w:val="0"/>
        <w:autoSpaceDN w:val="0"/>
        <w:adjustRightInd w:val="0"/>
        <w:snapToGrid w:val="0"/>
        <w:spacing w:line="360" w:lineRule="auto"/>
        <w:ind w:right="6"/>
        <w:textAlignment w:val="bottom"/>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致：</w:t>
      </w:r>
      <w:r>
        <w:rPr>
          <w:rFonts w:hint="default" w:ascii="Times New Roman" w:hAnsi="Times New Roman" w:eastAsia="宋体" w:cs="Times New Roman"/>
          <w:i/>
          <w:iCs/>
          <w:sz w:val="24"/>
          <w:highlight w:val="none"/>
          <w:u w:val="single"/>
        </w:rPr>
        <w:t>（采购代理机构）</w:t>
      </w:r>
    </w:p>
    <w:p w14:paraId="307F38AB">
      <w:pPr>
        <w:tabs>
          <w:tab w:val="left" w:pos="2520"/>
          <w:tab w:val="left" w:pos="3045"/>
          <w:tab w:val="left" w:pos="5580"/>
        </w:tabs>
        <w:spacing w:line="360" w:lineRule="auto"/>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关于贵方</w:t>
      </w:r>
      <w:r>
        <w:rPr>
          <w:rFonts w:hint="default" w:ascii="Times New Roman" w:hAnsi="Times New Roman" w:eastAsia="宋体" w:cs="Times New Roman"/>
          <w:sz w:val="24"/>
          <w:highlight w:val="none"/>
          <w:u w:val="single"/>
        </w:rPr>
        <w:t xml:space="preserve">  </w:t>
      </w:r>
      <w:r>
        <w:rPr>
          <w:rFonts w:hint="default" w:ascii="Times New Roman" w:hAnsi="Times New Roman" w:eastAsia="宋体" w:cs="Times New Roman"/>
          <w:sz w:val="24"/>
          <w:highlight w:val="none"/>
        </w:rPr>
        <w:t>年</w:t>
      </w:r>
      <w:r>
        <w:rPr>
          <w:rFonts w:hint="default" w:ascii="Times New Roman" w:hAnsi="Times New Roman" w:eastAsia="宋体" w:cs="Times New Roman"/>
          <w:sz w:val="24"/>
          <w:highlight w:val="none"/>
          <w:u w:val="single"/>
        </w:rPr>
        <w:t xml:space="preserve">  </w:t>
      </w:r>
      <w:r>
        <w:rPr>
          <w:rFonts w:hint="default" w:ascii="Times New Roman" w:hAnsi="Times New Roman" w:eastAsia="宋体" w:cs="Times New Roman"/>
          <w:sz w:val="24"/>
          <w:highlight w:val="none"/>
        </w:rPr>
        <w:t>月</w:t>
      </w:r>
      <w:r>
        <w:rPr>
          <w:rFonts w:hint="default" w:ascii="Times New Roman" w:hAnsi="Times New Roman" w:eastAsia="宋体" w:cs="Times New Roman"/>
          <w:sz w:val="24"/>
          <w:highlight w:val="none"/>
          <w:u w:val="single"/>
        </w:rPr>
        <w:t xml:space="preserve">  </w:t>
      </w:r>
      <w:r>
        <w:rPr>
          <w:rFonts w:hint="default" w:ascii="Times New Roman" w:hAnsi="Times New Roman" w:eastAsia="宋体" w:cs="Times New Roman"/>
          <w:sz w:val="24"/>
          <w:highlight w:val="none"/>
        </w:rPr>
        <w:t>日发布关于“</w:t>
      </w:r>
      <w:r>
        <w:rPr>
          <w:rFonts w:hint="default" w:ascii="Times New Roman" w:hAnsi="Times New Roman" w:eastAsia="宋体" w:cs="Times New Roman"/>
          <w:sz w:val="24"/>
          <w:highlight w:val="none"/>
          <w:u w:val="single"/>
        </w:rPr>
        <w:t xml:space="preserve">         </w:t>
      </w:r>
      <w:r>
        <w:rPr>
          <w:rFonts w:hint="default" w:ascii="Times New Roman" w:hAnsi="Times New Roman" w:eastAsia="宋体" w:cs="Times New Roman"/>
          <w:sz w:val="24"/>
          <w:highlight w:val="none"/>
        </w:rPr>
        <w:t>”（项目编号：</w:t>
      </w:r>
      <w:r>
        <w:rPr>
          <w:rFonts w:hint="default" w:ascii="Times New Roman" w:hAnsi="Times New Roman" w:eastAsia="宋体" w:cs="Times New Roman"/>
          <w:sz w:val="24"/>
          <w:highlight w:val="none"/>
          <w:u w:val="single"/>
        </w:rPr>
        <w:t xml:space="preserve">           </w:t>
      </w:r>
      <w:r>
        <w:rPr>
          <w:rFonts w:hint="default" w:ascii="Times New Roman" w:hAnsi="Times New Roman" w:eastAsia="宋体" w:cs="Times New Roman"/>
          <w:sz w:val="24"/>
          <w:highlight w:val="none"/>
        </w:rPr>
        <w:t>）的采购公告，我方愿意参加投标，并已清楚招标文件的要求及有关文件规定：</w:t>
      </w:r>
    </w:p>
    <w:p w14:paraId="65EA6821">
      <w:pPr>
        <w:tabs>
          <w:tab w:val="left" w:pos="2520"/>
          <w:tab w:val="left" w:pos="3045"/>
          <w:tab w:val="left" w:pos="5580"/>
        </w:tabs>
        <w:spacing w:line="360" w:lineRule="auto"/>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我方具备《中华人民共和国政府采购法》第二十二条所规定的条件。</w:t>
      </w:r>
    </w:p>
    <w:p w14:paraId="12830C45">
      <w:pPr>
        <w:tabs>
          <w:tab w:val="left" w:pos="2520"/>
          <w:tab w:val="left" w:pos="3045"/>
          <w:tab w:val="left" w:pos="5580"/>
        </w:tabs>
        <w:spacing w:line="360" w:lineRule="auto"/>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（一）具有独立承担民事责任的能力；</w:t>
      </w:r>
    </w:p>
    <w:p w14:paraId="5E88E438">
      <w:pPr>
        <w:tabs>
          <w:tab w:val="left" w:pos="2520"/>
          <w:tab w:val="left" w:pos="3045"/>
          <w:tab w:val="left" w:pos="5580"/>
        </w:tabs>
        <w:spacing w:line="360" w:lineRule="auto"/>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（二）具有良好的商业信誉和健全的财务会计制度；</w:t>
      </w:r>
    </w:p>
    <w:p w14:paraId="079B8052">
      <w:pPr>
        <w:tabs>
          <w:tab w:val="left" w:pos="2520"/>
          <w:tab w:val="left" w:pos="3045"/>
          <w:tab w:val="left" w:pos="5580"/>
        </w:tabs>
        <w:spacing w:line="360" w:lineRule="auto"/>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（三）具有履行合同所必需的设备和专业技术能力；</w:t>
      </w:r>
    </w:p>
    <w:p w14:paraId="4EA3AB59">
      <w:pPr>
        <w:tabs>
          <w:tab w:val="left" w:pos="2520"/>
          <w:tab w:val="left" w:pos="3045"/>
          <w:tab w:val="left" w:pos="5580"/>
        </w:tabs>
        <w:spacing w:line="360" w:lineRule="auto"/>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（四）有依法缴纳税收和社会保障资金的良好记录；</w:t>
      </w:r>
    </w:p>
    <w:p w14:paraId="0A3FCA99">
      <w:pPr>
        <w:tabs>
          <w:tab w:val="left" w:pos="2520"/>
          <w:tab w:val="left" w:pos="3045"/>
          <w:tab w:val="left" w:pos="5580"/>
        </w:tabs>
        <w:spacing w:line="360" w:lineRule="auto"/>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（五）参加政府采购活动前三年内，在经营活动中没有重大违法记录；</w:t>
      </w:r>
    </w:p>
    <w:p w14:paraId="6E83BC9E">
      <w:pPr>
        <w:tabs>
          <w:tab w:val="left" w:pos="2520"/>
          <w:tab w:val="left" w:pos="3045"/>
          <w:tab w:val="left" w:pos="5580"/>
        </w:tabs>
        <w:spacing w:line="360" w:lineRule="auto"/>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（六）法律、行政法规规定的其他条件。</w:t>
      </w:r>
    </w:p>
    <w:p w14:paraId="7919CA25">
      <w:pPr>
        <w:tabs>
          <w:tab w:val="left" w:pos="2520"/>
          <w:tab w:val="left" w:pos="3045"/>
          <w:tab w:val="left" w:pos="5580"/>
        </w:tabs>
        <w:spacing w:line="360" w:lineRule="auto"/>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（七）</w:t>
      </w:r>
      <w:r>
        <w:rPr>
          <w:rFonts w:hint="default" w:ascii="Times New Roman" w:hAnsi="Times New Roman" w:eastAsia="宋体" w:cs="Times New Roman"/>
          <w:sz w:val="24"/>
          <w:szCs w:val="24"/>
          <w:highlight w:val="none"/>
        </w:rPr>
        <w:t>投标单位负责人为同一人或者存在直接控股、管理关系的不同供应商，不得参加同一合同项下的政府采购活动。与各投标人之间不存在单位负责人为同一人或者存在控股、管理关系的情形。</w:t>
      </w:r>
      <w:r>
        <w:rPr>
          <w:rFonts w:hint="default" w:ascii="Times New Roman" w:hAnsi="Times New Roman" w:eastAsia="宋体" w:cs="Times New Roman"/>
          <w:sz w:val="24"/>
          <w:highlight w:val="none"/>
          <w:lang w:bidi="ar"/>
        </w:rPr>
        <w:t xml:space="preserve">与我单位存在“单位负责人为同一人或者存在直接控股、管理关系”的其他法人单位信息如下（如有，不论其是否参加同一合同项下的政府采购活动均须填写，如不存在相关单位，须填写“无”）： </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5"/>
        <w:gridCol w:w="930"/>
        <w:gridCol w:w="1391"/>
        <w:gridCol w:w="5286"/>
      </w:tblGrid>
      <w:tr w14:paraId="6490F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947" w:type="dxa"/>
            <w:vAlign w:val="center"/>
          </w:tcPr>
          <w:p w14:paraId="12938B54">
            <w:pPr>
              <w:widowControl/>
              <w:tabs>
                <w:tab w:val="left" w:pos="5580"/>
              </w:tabs>
              <w:adjustRightInd w:val="0"/>
              <w:snapToGrid w:val="0"/>
              <w:spacing w:line="360" w:lineRule="auto"/>
              <w:jc w:val="center"/>
              <w:rPr>
                <w:rFonts w:hint="default" w:ascii="Times New Roman" w:hAnsi="Times New Roman" w:eastAsia="宋体" w:cs="Times New Roman"/>
                <w:sz w:val="24"/>
                <w:highlight w:val="none"/>
                <w:lang w:bidi="ar"/>
              </w:rPr>
            </w:pPr>
            <w:r>
              <w:rPr>
                <w:rFonts w:hint="default" w:ascii="Times New Roman" w:hAnsi="Times New Roman" w:eastAsia="宋体" w:cs="Times New Roman"/>
                <w:sz w:val="24"/>
                <w:highlight w:val="none"/>
                <w:lang w:bidi="ar"/>
              </w:rPr>
              <w:t>序号</w:t>
            </w:r>
          </w:p>
        </w:tc>
        <w:tc>
          <w:tcPr>
            <w:tcW w:w="963" w:type="dxa"/>
            <w:vAlign w:val="center"/>
          </w:tcPr>
          <w:p w14:paraId="680BAA5C">
            <w:pPr>
              <w:widowControl/>
              <w:tabs>
                <w:tab w:val="left" w:pos="5580"/>
              </w:tabs>
              <w:adjustRightInd w:val="0"/>
              <w:snapToGrid w:val="0"/>
              <w:spacing w:line="360" w:lineRule="auto"/>
              <w:jc w:val="center"/>
              <w:rPr>
                <w:rFonts w:hint="default" w:ascii="Times New Roman" w:hAnsi="Times New Roman" w:eastAsia="宋体" w:cs="Times New Roman"/>
                <w:sz w:val="24"/>
                <w:highlight w:val="none"/>
                <w:lang w:bidi="ar"/>
              </w:rPr>
            </w:pPr>
            <w:r>
              <w:rPr>
                <w:rFonts w:hint="default" w:ascii="Times New Roman" w:hAnsi="Times New Roman" w:eastAsia="宋体" w:cs="Times New Roman"/>
                <w:sz w:val="24"/>
                <w:highlight w:val="none"/>
                <w:lang w:bidi="ar"/>
              </w:rPr>
              <w:t>关联关系类型</w:t>
            </w:r>
          </w:p>
        </w:tc>
        <w:tc>
          <w:tcPr>
            <w:tcW w:w="1455" w:type="dxa"/>
            <w:vAlign w:val="center"/>
          </w:tcPr>
          <w:p w14:paraId="0C4460EC">
            <w:pPr>
              <w:widowControl/>
              <w:tabs>
                <w:tab w:val="left" w:pos="5580"/>
              </w:tabs>
              <w:adjustRightInd w:val="0"/>
              <w:snapToGrid w:val="0"/>
              <w:spacing w:line="360" w:lineRule="auto"/>
              <w:jc w:val="center"/>
              <w:rPr>
                <w:rFonts w:hint="default" w:ascii="Times New Roman" w:hAnsi="Times New Roman" w:eastAsia="宋体" w:cs="Times New Roman"/>
                <w:sz w:val="24"/>
                <w:highlight w:val="none"/>
                <w:lang w:bidi="ar"/>
              </w:rPr>
            </w:pPr>
            <w:r>
              <w:rPr>
                <w:rFonts w:hint="default" w:ascii="Times New Roman" w:hAnsi="Times New Roman" w:eastAsia="宋体" w:cs="Times New Roman"/>
                <w:sz w:val="24"/>
                <w:highlight w:val="none"/>
                <w:lang w:bidi="ar"/>
              </w:rPr>
              <w:t>单位名称</w:t>
            </w:r>
          </w:p>
        </w:tc>
        <w:tc>
          <w:tcPr>
            <w:tcW w:w="5593" w:type="dxa"/>
            <w:vAlign w:val="center"/>
          </w:tcPr>
          <w:p w14:paraId="06BEE756">
            <w:pPr>
              <w:widowControl/>
              <w:tabs>
                <w:tab w:val="left" w:pos="5580"/>
              </w:tabs>
              <w:adjustRightInd w:val="0"/>
              <w:snapToGrid w:val="0"/>
              <w:spacing w:line="360" w:lineRule="auto"/>
              <w:jc w:val="center"/>
              <w:rPr>
                <w:rFonts w:hint="default" w:ascii="Times New Roman" w:hAnsi="Times New Roman" w:eastAsia="宋体" w:cs="Times New Roman"/>
                <w:sz w:val="24"/>
                <w:highlight w:val="none"/>
                <w:lang w:bidi="ar"/>
              </w:rPr>
            </w:pPr>
            <w:r>
              <w:rPr>
                <w:rFonts w:hint="default" w:ascii="Times New Roman" w:hAnsi="Times New Roman" w:eastAsia="宋体" w:cs="Times New Roman"/>
                <w:sz w:val="24"/>
                <w:highlight w:val="none"/>
                <w:lang w:bidi="ar"/>
              </w:rPr>
              <w:t>相互关系</w:t>
            </w:r>
          </w:p>
        </w:tc>
      </w:tr>
      <w:tr w14:paraId="653B2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9" w:hRule="atLeast"/>
        </w:trPr>
        <w:tc>
          <w:tcPr>
            <w:tcW w:w="947" w:type="dxa"/>
            <w:vAlign w:val="center"/>
          </w:tcPr>
          <w:p w14:paraId="2EF09D94">
            <w:pPr>
              <w:widowControl/>
              <w:tabs>
                <w:tab w:val="left" w:pos="5580"/>
              </w:tabs>
              <w:adjustRightInd w:val="0"/>
              <w:snapToGrid w:val="0"/>
              <w:spacing w:line="360" w:lineRule="auto"/>
              <w:jc w:val="center"/>
              <w:rPr>
                <w:rFonts w:hint="default" w:ascii="Times New Roman" w:hAnsi="Times New Roman" w:eastAsia="宋体" w:cs="Times New Roman"/>
                <w:sz w:val="24"/>
                <w:highlight w:val="none"/>
                <w:lang w:bidi="ar"/>
              </w:rPr>
            </w:pPr>
            <w:r>
              <w:rPr>
                <w:rFonts w:hint="default" w:ascii="Times New Roman" w:hAnsi="Times New Roman" w:eastAsia="宋体" w:cs="Times New Roman"/>
                <w:sz w:val="24"/>
                <w:highlight w:val="none"/>
                <w:lang w:bidi="ar"/>
              </w:rPr>
              <w:t>1</w:t>
            </w:r>
          </w:p>
        </w:tc>
        <w:tc>
          <w:tcPr>
            <w:tcW w:w="963" w:type="dxa"/>
            <w:vAlign w:val="center"/>
          </w:tcPr>
          <w:p w14:paraId="5E6565C4">
            <w:pPr>
              <w:widowControl w:val="0"/>
              <w:spacing w:line="360" w:lineRule="auto"/>
              <w:jc w:val="center"/>
              <w:rPr>
                <w:rFonts w:hint="default" w:ascii="Times New Roman" w:hAnsi="Times New Roman" w:eastAsia="宋体" w:cs="Times New Roman"/>
                <w:sz w:val="24"/>
                <w:highlight w:val="none"/>
                <w:lang w:bidi="ar"/>
              </w:rPr>
            </w:pPr>
            <w:r>
              <w:rPr>
                <w:rFonts w:hint="default" w:ascii="Times New Roman" w:hAnsi="Times New Roman" w:eastAsia="宋体" w:cs="Times New Roman"/>
                <w:sz w:val="21"/>
                <w:szCs w:val="21"/>
                <w:highlight w:val="none"/>
              </w:rPr>
              <w:t>控股股东</w:t>
            </w:r>
          </w:p>
        </w:tc>
        <w:tc>
          <w:tcPr>
            <w:tcW w:w="1455" w:type="dxa"/>
          </w:tcPr>
          <w:p w14:paraId="62D4D64F">
            <w:pPr>
              <w:widowControl/>
              <w:tabs>
                <w:tab w:val="left" w:pos="5580"/>
              </w:tabs>
              <w:adjustRightInd w:val="0"/>
              <w:snapToGrid w:val="0"/>
              <w:spacing w:line="360" w:lineRule="auto"/>
              <w:jc w:val="left"/>
              <w:rPr>
                <w:rFonts w:hint="default" w:ascii="Times New Roman" w:hAnsi="Times New Roman" w:eastAsia="宋体" w:cs="Times New Roman"/>
                <w:sz w:val="24"/>
                <w:highlight w:val="none"/>
                <w:lang w:bidi="ar"/>
              </w:rPr>
            </w:pPr>
          </w:p>
        </w:tc>
        <w:tc>
          <w:tcPr>
            <w:tcW w:w="5593" w:type="dxa"/>
            <w:vAlign w:val="center"/>
          </w:tcPr>
          <w:p w14:paraId="73C9866E">
            <w:pPr>
              <w:widowControl w:val="0"/>
              <w:snapToGrid w:val="0"/>
              <w:spacing w:line="360" w:lineRule="auto"/>
              <w:jc w:val="left"/>
              <w:rPr>
                <w:rFonts w:hint="default" w:ascii="Times New Roman" w:hAnsi="Times New Roman" w:eastAsia="宋体" w:cs="Times New Roman"/>
                <w:sz w:val="24"/>
                <w:highlight w:val="none"/>
                <w:lang w:bidi="ar"/>
              </w:rPr>
            </w:pPr>
            <w:r>
              <w:rPr>
                <w:rFonts w:hint="default" w:ascii="Times New Roman" w:hAnsi="Times New Roman" w:eastAsia="宋体" w:cs="Times New Roman"/>
                <w:sz w:val="21"/>
                <w:szCs w:val="21"/>
                <w:highlight w:val="none"/>
              </w:rPr>
              <w:t>指出资额（或持有股份）占投标（响应）供应商资本总额（或股本总额）50%以上的股东，以及出资额（或持有股份）的比例虽然不足50%，但依其出资额（或持有股份）所享有的表决权已足以对投标（响应）供应商股东会（或股东大会）的决议产生重要影响的股东。</w:t>
            </w:r>
          </w:p>
        </w:tc>
      </w:tr>
      <w:tr w14:paraId="2EB3C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947" w:type="dxa"/>
            <w:vAlign w:val="center"/>
          </w:tcPr>
          <w:p w14:paraId="2552C5E2">
            <w:pPr>
              <w:widowControl/>
              <w:tabs>
                <w:tab w:val="left" w:pos="5580"/>
              </w:tabs>
              <w:adjustRightInd w:val="0"/>
              <w:snapToGrid w:val="0"/>
              <w:spacing w:line="360" w:lineRule="auto"/>
              <w:jc w:val="center"/>
              <w:rPr>
                <w:rFonts w:hint="default" w:ascii="Times New Roman" w:hAnsi="Times New Roman" w:eastAsia="宋体" w:cs="Times New Roman"/>
                <w:sz w:val="24"/>
                <w:highlight w:val="none"/>
                <w:lang w:bidi="ar"/>
              </w:rPr>
            </w:pPr>
            <w:r>
              <w:rPr>
                <w:rFonts w:hint="default" w:ascii="Times New Roman" w:hAnsi="Times New Roman" w:eastAsia="宋体" w:cs="Times New Roman"/>
                <w:sz w:val="24"/>
                <w:highlight w:val="none"/>
                <w:lang w:bidi="ar"/>
              </w:rPr>
              <w:t>2</w:t>
            </w:r>
          </w:p>
        </w:tc>
        <w:tc>
          <w:tcPr>
            <w:tcW w:w="963" w:type="dxa"/>
            <w:vAlign w:val="center"/>
          </w:tcPr>
          <w:p w14:paraId="5A42E13B">
            <w:pPr>
              <w:widowControl w:val="0"/>
              <w:spacing w:line="360" w:lineRule="auto"/>
              <w:jc w:val="center"/>
              <w:rPr>
                <w:rFonts w:hint="default" w:ascii="Times New Roman" w:hAnsi="Times New Roman" w:eastAsia="宋体" w:cs="Times New Roman"/>
                <w:sz w:val="24"/>
                <w:highlight w:val="none"/>
                <w:lang w:bidi="ar"/>
              </w:rPr>
            </w:pPr>
            <w:r>
              <w:rPr>
                <w:rFonts w:hint="default" w:ascii="Times New Roman" w:hAnsi="Times New Roman" w:eastAsia="宋体" w:cs="Times New Roman"/>
                <w:sz w:val="21"/>
                <w:szCs w:val="21"/>
                <w:highlight w:val="none"/>
              </w:rPr>
              <w:t>管理关系</w:t>
            </w:r>
          </w:p>
        </w:tc>
        <w:tc>
          <w:tcPr>
            <w:tcW w:w="1455" w:type="dxa"/>
          </w:tcPr>
          <w:p w14:paraId="05DFB5C0">
            <w:pPr>
              <w:widowControl/>
              <w:tabs>
                <w:tab w:val="left" w:pos="5580"/>
              </w:tabs>
              <w:adjustRightInd w:val="0"/>
              <w:snapToGrid w:val="0"/>
              <w:spacing w:line="360" w:lineRule="auto"/>
              <w:jc w:val="left"/>
              <w:rPr>
                <w:rFonts w:hint="default" w:ascii="Times New Roman" w:hAnsi="Times New Roman" w:eastAsia="宋体" w:cs="Times New Roman"/>
                <w:sz w:val="24"/>
                <w:highlight w:val="none"/>
                <w:lang w:bidi="ar"/>
              </w:rPr>
            </w:pPr>
          </w:p>
        </w:tc>
        <w:tc>
          <w:tcPr>
            <w:tcW w:w="5593" w:type="dxa"/>
            <w:vAlign w:val="center"/>
          </w:tcPr>
          <w:p w14:paraId="5E4740A4">
            <w:pPr>
              <w:widowControl w:val="0"/>
              <w:snapToGrid w:val="0"/>
              <w:spacing w:line="360" w:lineRule="auto"/>
              <w:jc w:val="left"/>
              <w:rPr>
                <w:rFonts w:hint="default" w:ascii="Times New Roman" w:hAnsi="Times New Roman" w:eastAsia="宋体" w:cs="Times New Roman"/>
                <w:sz w:val="24"/>
                <w:highlight w:val="none"/>
                <w:lang w:bidi="ar"/>
              </w:rPr>
            </w:pPr>
            <w:r>
              <w:rPr>
                <w:rFonts w:hint="default" w:ascii="Times New Roman" w:hAnsi="Times New Roman" w:eastAsia="宋体" w:cs="Times New Roman"/>
                <w:sz w:val="21"/>
                <w:szCs w:val="21"/>
                <w:highlight w:val="none"/>
              </w:rPr>
              <w:t>指对投标（响应）供应商不具有出资持股关系，但对其存在管理关系的主体。</w:t>
            </w:r>
          </w:p>
        </w:tc>
      </w:tr>
      <w:tr w14:paraId="3FD15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947" w:type="dxa"/>
          </w:tcPr>
          <w:p w14:paraId="29632FF2">
            <w:pPr>
              <w:widowControl/>
              <w:tabs>
                <w:tab w:val="left" w:pos="5580"/>
              </w:tabs>
              <w:adjustRightInd w:val="0"/>
              <w:snapToGrid w:val="0"/>
              <w:spacing w:line="360" w:lineRule="auto"/>
              <w:jc w:val="left"/>
              <w:rPr>
                <w:rFonts w:hint="default" w:ascii="Times New Roman" w:hAnsi="Times New Roman" w:eastAsia="宋体" w:cs="Times New Roman"/>
                <w:sz w:val="24"/>
                <w:highlight w:val="none"/>
                <w:lang w:bidi="ar"/>
              </w:rPr>
            </w:pPr>
            <w:r>
              <w:rPr>
                <w:rFonts w:hint="default" w:ascii="Times New Roman" w:hAnsi="Times New Roman" w:eastAsia="宋体" w:cs="Times New Roman"/>
                <w:sz w:val="24"/>
                <w:highlight w:val="none"/>
                <w:lang w:bidi="ar"/>
              </w:rPr>
              <w:t xml:space="preserve">… </w:t>
            </w:r>
          </w:p>
        </w:tc>
        <w:tc>
          <w:tcPr>
            <w:tcW w:w="963" w:type="dxa"/>
          </w:tcPr>
          <w:p w14:paraId="147AA466">
            <w:pPr>
              <w:widowControl/>
              <w:tabs>
                <w:tab w:val="left" w:pos="5580"/>
              </w:tabs>
              <w:adjustRightInd w:val="0"/>
              <w:snapToGrid w:val="0"/>
              <w:spacing w:line="360" w:lineRule="auto"/>
              <w:jc w:val="left"/>
              <w:rPr>
                <w:rFonts w:hint="default" w:ascii="Times New Roman" w:hAnsi="Times New Roman" w:eastAsia="宋体" w:cs="Times New Roman"/>
                <w:sz w:val="24"/>
                <w:highlight w:val="none"/>
                <w:lang w:bidi="ar"/>
              </w:rPr>
            </w:pPr>
          </w:p>
        </w:tc>
        <w:tc>
          <w:tcPr>
            <w:tcW w:w="1455" w:type="dxa"/>
          </w:tcPr>
          <w:p w14:paraId="5DFD74B3">
            <w:pPr>
              <w:widowControl/>
              <w:tabs>
                <w:tab w:val="left" w:pos="5580"/>
              </w:tabs>
              <w:adjustRightInd w:val="0"/>
              <w:snapToGrid w:val="0"/>
              <w:spacing w:line="360" w:lineRule="auto"/>
              <w:jc w:val="left"/>
              <w:rPr>
                <w:rFonts w:hint="default" w:ascii="Times New Roman" w:hAnsi="Times New Roman" w:eastAsia="宋体" w:cs="Times New Roman"/>
                <w:sz w:val="24"/>
                <w:highlight w:val="none"/>
                <w:lang w:bidi="ar"/>
              </w:rPr>
            </w:pPr>
          </w:p>
        </w:tc>
        <w:tc>
          <w:tcPr>
            <w:tcW w:w="5593" w:type="dxa"/>
          </w:tcPr>
          <w:p w14:paraId="2F1FA6E8">
            <w:pPr>
              <w:widowControl/>
              <w:tabs>
                <w:tab w:val="left" w:pos="5580"/>
              </w:tabs>
              <w:adjustRightInd w:val="0"/>
              <w:snapToGrid w:val="0"/>
              <w:spacing w:line="360" w:lineRule="auto"/>
              <w:jc w:val="left"/>
              <w:rPr>
                <w:rFonts w:hint="default" w:ascii="Times New Roman" w:hAnsi="Times New Roman" w:eastAsia="宋体" w:cs="Times New Roman"/>
                <w:sz w:val="24"/>
                <w:highlight w:val="none"/>
                <w:lang w:bidi="ar"/>
              </w:rPr>
            </w:pPr>
          </w:p>
        </w:tc>
      </w:tr>
    </w:tbl>
    <w:p w14:paraId="1394F3FD">
      <w:pPr>
        <w:widowControl/>
        <w:tabs>
          <w:tab w:val="left" w:pos="5580"/>
        </w:tabs>
        <w:adjustRightInd w:val="0"/>
        <w:snapToGrid w:val="0"/>
        <w:spacing w:line="360" w:lineRule="auto"/>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（八）</w:t>
      </w:r>
      <w:r>
        <w:rPr>
          <w:rFonts w:hint="default" w:ascii="Times New Roman" w:hAnsi="Times New Roman" w:eastAsia="宋体" w:cs="Times New Roman"/>
          <w:sz w:val="24"/>
          <w:szCs w:val="24"/>
          <w:highlight w:val="none"/>
          <w:lang w:bidi="ar"/>
        </w:rPr>
        <w:t>我单位不存在为采购项目提供整体设计、规范编制或者项目管理、监理、检测等服务后，再参加该采购项目的其他采购活动的情形（单一来源采购项目除外）</w:t>
      </w:r>
      <w:r>
        <w:rPr>
          <w:rFonts w:hint="default" w:ascii="Times New Roman" w:hAnsi="Times New Roman" w:eastAsia="宋体" w:cs="Times New Roman"/>
          <w:sz w:val="24"/>
          <w:szCs w:val="24"/>
          <w:highlight w:val="none"/>
        </w:rPr>
        <w:t>。</w:t>
      </w:r>
    </w:p>
    <w:p w14:paraId="567E357C">
      <w:pPr>
        <w:tabs>
          <w:tab w:val="left" w:pos="2520"/>
          <w:tab w:val="left" w:pos="3045"/>
          <w:tab w:val="left" w:pos="5580"/>
        </w:tabs>
        <w:spacing w:line="360" w:lineRule="auto"/>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本次招标采购活动中，如有违法、违规、弄虚作假行为，所造成的损失、不良后果及法律责任，一律由我方承担。</w:t>
      </w:r>
    </w:p>
    <w:p w14:paraId="7EB4A8DE">
      <w:pPr>
        <w:tabs>
          <w:tab w:val="left" w:pos="2520"/>
          <w:tab w:val="left" w:pos="3045"/>
          <w:tab w:val="left" w:pos="5580"/>
        </w:tabs>
        <w:spacing w:line="360" w:lineRule="auto"/>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特此声明！</w:t>
      </w:r>
    </w:p>
    <w:p w14:paraId="450C537D">
      <w:pPr>
        <w:tabs>
          <w:tab w:val="left" w:pos="2520"/>
          <w:tab w:val="left" w:pos="3045"/>
          <w:tab w:val="left" w:pos="5580"/>
        </w:tabs>
        <w:spacing w:line="360" w:lineRule="auto"/>
        <w:ind w:firstLine="480" w:firstLineChars="200"/>
        <w:jc w:val="righ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投标人名称：      （盖章）</w:t>
      </w:r>
    </w:p>
    <w:p w14:paraId="63C7BA25">
      <w:pPr>
        <w:spacing w:line="360" w:lineRule="auto"/>
        <w:jc w:val="right"/>
        <w:rPr>
          <w:rFonts w:hint="default" w:ascii="Times New Roman" w:hAnsi="Times New Roman" w:eastAsia="宋体" w:cs="Times New Roman"/>
          <w:sz w:val="28"/>
          <w:highlight w:val="none"/>
        </w:rPr>
      </w:pPr>
      <w:r>
        <w:rPr>
          <w:rFonts w:hint="default" w:ascii="Times New Roman" w:hAnsi="Times New Roman" w:eastAsia="宋体" w:cs="Times New Roman"/>
          <w:sz w:val="24"/>
          <w:highlight w:val="none"/>
        </w:rPr>
        <w:t>日期：20  年   月   日</w:t>
      </w:r>
    </w:p>
    <w:p w14:paraId="5C2F51AC">
      <w:pPr>
        <w:widowControl/>
        <w:spacing w:line="360" w:lineRule="auto"/>
        <w:rPr>
          <w:rFonts w:hint="default" w:ascii="Times New Roman" w:hAnsi="Times New Roman" w:eastAsia="宋体" w:cs="Times New Roman"/>
          <w:sz w:val="28"/>
          <w:highlight w:val="none"/>
        </w:rPr>
      </w:pPr>
      <w:r>
        <w:rPr>
          <w:rFonts w:hint="default" w:ascii="Times New Roman" w:hAnsi="Times New Roman" w:eastAsia="宋体" w:cs="Times New Roman"/>
          <w:sz w:val="28"/>
          <w:highlight w:val="none"/>
        </w:rPr>
        <w:br w:type="page"/>
      </w:r>
    </w:p>
    <w:p w14:paraId="6E0B866E">
      <w:pPr>
        <w:pStyle w:val="13"/>
        <w:spacing w:line="360" w:lineRule="auto"/>
        <w:outlineLvl w:val="1"/>
        <w:rPr>
          <w:rFonts w:hint="default" w:ascii="Times New Roman" w:hAnsi="Times New Roman" w:eastAsia="宋体" w:cs="Times New Roman"/>
          <w:b/>
          <w:sz w:val="24"/>
          <w:szCs w:val="24"/>
          <w:highlight w:val="none"/>
        </w:rPr>
      </w:pPr>
      <w:r>
        <w:rPr>
          <w:rFonts w:hint="default" w:ascii="Times New Roman" w:hAnsi="Times New Roman" w:eastAsia="宋体" w:cs="Times New Roman"/>
          <w:b/>
          <w:sz w:val="24"/>
          <w:highlight w:val="none"/>
        </w:rPr>
        <w:t>附件7</w:t>
      </w:r>
      <w:r>
        <w:rPr>
          <w:rFonts w:hint="default" w:ascii="Times New Roman" w:hAnsi="Times New Roman" w:eastAsia="宋体" w:cs="Times New Roman"/>
          <w:b/>
          <w:sz w:val="24"/>
          <w:szCs w:val="24"/>
          <w:highlight w:val="none"/>
        </w:rPr>
        <w:t>-7  招标文件要求或投标人认为必要的其它内容（如：业绩合同、质量认证、荣誉证书等）</w:t>
      </w:r>
    </w:p>
    <w:p w14:paraId="61D70424">
      <w:pPr>
        <w:spacing w:line="360" w:lineRule="auto"/>
        <w:rPr>
          <w:rFonts w:hint="default" w:ascii="Times New Roman" w:hAnsi="Times New Roman" w:eastAsia="宋体" w:cs="Times New Roman"/>
          <w:b/>
          <w:sz w:val="24"/>
          <w:szCs w:val="24"/>
          <w:highlight w:val="none"/>
        </w:rPr>
      </w:pPr>
      <w:r>
        <w:rPr>
          <w:rFonts w:hint="default" w:ascii="Times New Roman" w:hAnsi="Times New Roman" w:eastAsia="宋体" w:cs="Times New Roman"/>
          <w:b/>
          <w:sz w:val="24"/>
          <w:szCs w:val="24"/>
          <w:highlight w:val="none"/>
        </w:rPr>
        <w:br w:type="page"/>
      </w:r>
    </w:p>
    <w:p w14:paraId="6DE4425E">
      <w:pPr>
        <w:pStyle w:val="13"/>
        <w:spacing w:line="360" w:lineRule="auto"/>
        <w:outlineLvl w:val="1"/>
        <w:rPr>
          <w:rFonts w:hint="default" w:ascii="Times New Roman" w:hAnsi="Times New Roman" w:eastAsia="宋体" w:cs="Times New Roman"/>
          <w:b/>
          <w:sz w:val="24"/>
          <w:szCs w:val="24"/>
          <w:highlight w:val="none"/>
        </w:rPr>
      </w:pPr>
      <w:r>
        <w:rPr>
          <w:rFonts w:hint="default" w:ascii="Times New Roman" w:hAnsi="Times New Roman" w:eastAsia="宋体" w:cs="Times New Roman"/>
          <w:b/>
          <w:sz w:val="24"/>
          <w:szCs w:val="24"/>
          <w:highlight w:val="none"/>
        </w:rPr>
        <w:t>附件8：履约保证金保函</w:t>
      </w:r>
    </w:p>
    <w:p w14:paraId="68632A32">
      <w:pPr>
        <w:pStyle w:val="13"/>
        <w:spacing w:line="360" w:lineRule="auto"/>
        <w:ind w:left="425"/>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（中标后开具）</w:t>
      </w:r>
    </w:p>
    <w:p w14:paraId="73E5B2B2">
      <w:pPr>
        <w:pStyle w:val="4"/>
        <w:adjustRightInd w:val="0"/>
        <w:snapToGrid w:val="0"/>
        <w:spacing w:line="288" w:lineRule="auto"/>
        <w:ind w:firstLine="0"/>
        <w:jc w:val="center"/>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履约保函（独立性参考格式）</w:t>
      </w:r>
    </w:p>
    <w:p w14:paraId="744204C7">
      <w:pPr>
        <w:adjustRightInd w:val="0"/>
        <w:snapToGrid w:val="0"/>
        <w:spacing w:line="288" w:lineRule="auto"/>
        <w:ind w:right="-97"/>
        <w:rPr>
          <w:rFonts w:hint="default" w:ascii="Times New Roman" w:hAnsi="Times New Roman" w:eastAsia="宋体" w:cs="Times New Roman"/>
          <w:color w:val="000000" w:themeColor="text1"/>
          <w:sz w:val="24"/>
          <w:szCs w:val="24"/>
          <w:highlight w:val="none"/>
          <w:u w:val="singl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                                 编号：</w:t>
      </w:r>
      <w:r>
        <w:rPr>
          <w:rFonts w:hint="default" w:ascii="Times New Roman" w:hAnsi="Times New Roman" w:eastAsia="宋体" w:cs="Times New Roman"/>
          <w:color w:val="000000" w:themeColor="text1"/>
          <w:sz w:val="24"/>
          <w:szCs w:val="24"/>
          <w:highlight w:val="none"/>
          <w:u w:val="single"/>
          <w14:textFill>
            <w14:solidFill>
              <w14:schemeClr w14:val="tx1"/>
            </w14:solidFill>
          </w14:textFill>
        </w:rPr>
        <w:t xml:space="preserve">                </w:t>
      </w:r>
    </w:p>
    <w:p w14:paraId="70D7136E">
      <w:pPr>
        <w:spacing w:line="324" w:lineRule="auto"/>
        <w:rPr>
          <w:rFonts w:hint="default" w:ascii="Times New Roman" w:hAnsi="Times New Roman" w:eastAsia="宋体" w:cs="Times New Roman"/>
          <w:color w:val="000000" w:themeColor="text1"/>
          <w:sz w:val="24"/>
          <w:szCs w:val="24"/>
          <w:highlight w:val="none"/>
          <w:u w:val="singl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致：</w:t>
      </w:r>
      <w:r>
        <w:rPr>
          <w:rFonts w:hint="default" w:ascii="Times New Roman" w:hAnsi="Times New Roman" w:eastAsia="宋体" w:cs="Times New Roman"/>
          <w:color w:val="000000" w:themeColor="text1"/>
          <w:sz w:val="24"/>
          <w:szCs w:val="24"/>
          <w:highlight w:val="none"/>
          <w:u w:val="single"/>
          <w14:textFill>
            <w14:solidFill>
              <w14:schemeClr w14:val="tx1"/>
            </w14:solidFill>
          </w14:textFill>
        </w:rPr>
        <w:t xml:space="preserve">                   </w:t>
      </w:r>
    </w:p>
    <w:p w14:paraId="3FF31FA2">
      <w:pPr>
        <w:spacing w:line="324" w:lineRule="auto"/>
        <w:ind w:firstLine="480" w:firstLineChars="200"/>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鉴于：1.</w:t>
      </w:r>
      <w:r>
        <w:rPr>
          <w:rFonts w:hint="default" w:ascii="Times New Roman" w:hAnsi="Times New Roman" w:eastAsia="宋体" w:cs="Times New Roman"/>
          <w:color w:val="000000" w:themeColor="text1"/>
          <w:sz w:val="24"/>
          <w:szCs w:val="24"/>
          <w:highlight w:val="none"/>
          <w:u w:val="single"/>
          <w14:textFill>
            <w14:solidFill>
              <w14:schemeClr w14:val="tx1"/>
            </w14:solidFill>
          </w14:textFill>
        </w:rPr>
        <w:t xml:space="preserve">                          </w:t>
      </w:r>
      <w:r>
        <w:rPr>
          <w:rFonts w:hint="default" w:ascii="Times New Roman" w:hAnsi="Times New Roman" w:eastAsia="宋体" w:cs="Times New Roman"/>
          <w:color w:val="000000" w:themeColor="text1"/>
          <w:sz w:val="24"/>
          <w:szCs w:val="24"/>
          <w:highlight w:val="none"/>
          <w14:textFill>
            <w14:solidFill>
              <w14:schemeClr w14:val="tx1"/>
            </w14:solidFill>
          </w14:textFill>
        </w:rPr>
        <w:t>（下称“被担保人”）与贵方签订了编号为</w:t>
      </w:r>
      <w:r>
        <w:rPr>
          <w:rFonts w:hint="default" w:ascii="Times New Roman" w:hAnsi="Times New Roman" w:eastAsia="宋体" w:cs="Times New Roman"/>
          <w:color w:val="000000" w:themeColor="text1"/>
          <w:sz w:val="24"/>
          <w:szCs w:val="24"/>
          <w:highlight w:val="none"/>
          <w:u w:val="single"/>
          <w14:textFill>
            <w14:solidFill>
              <w14:schemeClr w14:val="tx1"/>
            </w14:solidFill>
          </w14:textFill>
        </w:rPr>
        <w:t xml:space="preserve">             </w:t>
      </w:r>
      <w:r>
        <w:rPr>
          <w:rFonts w:hint="default" w:ascii="Times New Roman" w:hAnsi="Times New Roman" w:eastAsia="宋体" w:cs="Times New Roman"/>
          <w:color w:val="000000" w:themeColor="text1"/>
          <w:sz w:val="24"/>
          <w:szCs w:val="24"/>
          <w:highlight w:val="none"/>
          <w14:textFill>
            <w14:solidFill>
              <w14:schemeClr w14:val="tx1"/>
            </w14:solidFill>
          </w14:textFill>
        </w:rPr>
        <w:t>的合同（下称“合同”）。根据合同约定，被担保人因</w:t>
      </w:r>
      <w:r>
        <w:rPr>
          <w:rFonts w:hint="default" w:ascii="Times New Roman" w:hAnsi="Times New Roman" w:eastAsia="宋体" w:cs="Times New Roman"/>
          <w:color w:val="000000" w:themeColor="text1"/>
          <w:sz w:val="24"/>
          <w:szCs w:val="24"/>
          <w:highlight w:val="none"/>
          <w:u w:val="single"/>
          <w14:textFill>
            <w14:solidFill>
              <w14:schemeClr w14:val="tx1"/>
            </w14:solidFill>
          </w14:textFill>
        </w:rPr>
        <w:t xml:space="preserve">  （填担保事项）   </w:t>
      </w:r>
      <w:r>
        <w:rPr>
          <w:rFonts w:hint="default" w:ascii="Times New Roman" w:hAnsi="Times New Roman" w:eastAsia="宋体" w:cs="Times New Roman"/>
          <w:color w:val="000000" w:themeColor="text1"/>
          <w:sz w:val="24"/>
          <w:szCs w:val="24"/>
          <w:highlight w:val="none"/>
          <w14:textFill>
            <w14:solidFill>
              <w14:schemeClr w14:val="tx1"/>
            </w14:solidFill>
          </w14:textFill>
        </w:rPr>
        <w:t>需向贵方提交履约保函。（适用于已签署合同的情形），或</w:t>
      </w:r>
    </w:p>
    <w:p w14:paraId="634C7D3B">
      <w:pPr>
        <w:pStyle w:val="19"/>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    2.</w:t>
      </w:r>
      <w:r>
        <w:rPr>
          <w:rFonts w:hint="default" w:ascii="Times New Roman" w:hAnsi="Times New Roman" w:eastAsia="宋体" w:cs="Times New Roman"/>
          <w:color w:val="000000" w:themeColor="text1"/>
          <w:sz w:val="24"/>
          <w:szCs w:val="24"/>
          <w:highlight w:val="none"/>
          <w:u w:val="single"/>
          <w14:textFill>
            <w14:solidFill>
              <w14:schemeClr w14:val="tx1"/>
            </w14:solidFill>
          </w14:textFill>
        </w:rPr>
        <w:t xml:space="preserve">                 </w:t>
      </w:r>
      <w:r>
        <w:rPr>
          <w:rFonts w:hint="default" w:ascii="Times New Roman" w:hAnsi="Times New Roman" w:eastAsia="宋体" w:cs="Times New Roman"/>
          <w:color w:val="000000" w:themeColor="text1"/>
          <w:sz w:val="24"/>
          <w:szCs w:val="24"/>
          <w:highlight w:val="none"/>
          <w14:textFill>
            <w14:solidFill>
              <w14:schemeClr w14:val="tx1"/>
            </w14:solidFill>
          </w14:textFill>
        </w:rPr>
        <w:t>（下称“被担保人”）参加了编号为</w:t>
      </w:r>
      <w:r>
        <w:rPr>
          <w:rFonts w:hint="default" w:ascii="Times New Roman" w:hAnsi="Times New Roman" w:eastAsia="宋体" w:cs="Times New Roman"/>
          <w:color w:val="000000" w:themeColor="text1"/>
          <w:sz w:val="24"/>
          <w:szCs w:val="24"/>
          <w:highlight w:val="none"/>
          <w:u w:val="single"/>
          <w14:textFill>
            <w14:solidFill>
              <w14:schemeClr w14:val="tx1"/>
            </w14:solidFill>
          </w14:textFill>
        </w:rPr>
        <w:t xml:space="preserve">                 </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         的项目招标，并于       年  月  日中标，即将与贵方签订合同（下称“合同”）用于承接               项目。根据招标文件及/或中标通知书的约定，被担保人需向贵方提交履约保函。（适用于中标后尚未签署合同的情形）</w:t>
      </w:r>
    </w:p>
    <w:p w14:paraId="01615628">
      <w:pPr>
        <w:spacing w:line="324" w:lineRule="auto"/>
        <w:ind w:firstLine="480" w:firstLineChars="200"/>
        <w:jc w:val="lef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根据保函申请人</w:t>
      </w:r>
      <w:r>
        <w:rPr>
          <w:rFonts w:hint="default" w:ascii="Times New Roman" w:hAnsi="Times New Roman" w:eastAsia="宋体" w:cs="Times New Roman"/>
          <w:color w:val="000000" w:themeColor="text1"/>
          <w:sz w:val="24"/>
          <w:szCs w:val="24"/>
          <w:highlight w:val="none"/>
          <w:u w:val="single"/>
          <w14:textFill>
            <w14:solidFill>
              <w14:schemeClr w14:val="tx1"/>
            </w14:solidFill>
          </w14:textFill>
        </w:rPr>
        <w:t xml:space="preserve">                    </w:t>
      </w:r>
      <w:r>
        <w:rPr>
          <w:rFonts w:hint="default" w:ascii="Times New Roman" w:hAnsi="Times New Roman" w:eastAsia="宋体" w:cs="Times New Roman"/>
          <w:color w:val="000000" w:themeColor="text1"/>
          <w:sz w:val="24"/>
          <w:szCs w:val="24"/>
          <w:highlight w:val="none"/>
          <w14:textFill>
            <w14:solidFill>
              <w14:schemeClr w14:val="tx1"/>
            </w14:solidFill>
          </w14:textFill>
        </w:rPr>
        <w:t>的申请，我行（下称“担保人”）在此向贵方（下称“受益人”）开立不可撤销、担保金额累计不超过</w:t>
      </w:r>
      <w:r>
        <w:rPr>
          <w:rFonts w:hint="default" w:ascii="Times New Roman" w:hAnsi="Times New Roman" w:eastAsia="宋体" w:cs="Times New Roman"/>
          <w:color w:val="000000" w:themeColor="text1"/>
          <w:sz w:val="24"/>
          <w:szCs w:val="24"/>
          <w:highlight w:val="none"/>
          <w:u w:val="single"/>
          <w14:textFill>
            <w14:solidFill>
              <w14:schemeClr w14:val="tx1"/>
            </w14:solidFill>
          </w14:textFill>
        </w:rPr>
        <w:t xml:space="preserve">     </w:t>
      </w:r>
      <w:r>
        <w:rPr>
          <w:rFonts w:hint="default" w:ascii="Times New Roman" w:hAnsi="Times New Roman" w:eastAsia="宋体" w:cs="Times New Roman"/>
          <w:color w:val="000000" w:themeColor="text1"/>
          <w:sz w:val="24"/>
          <w:szCs w:val="24"/>
          <w:highlight w:val="none"/>
          <w14:textFill>
            <w14:solidFill>
              <w14:schemeClr w14:val="tx1"/>
            </w14:solidFill>
          </w14:textFill>
        </w:rPr>
        <w:t>（币种）</w:t>
      </w:r>
      <w:r>
        <w:rPr>
          <w:rFonts w:hint="default" w:ascii="Times New Roman" w:hAnsi="Times New Roman" w:eastAsia="宋体" w:cs="Times New Roman"/>
          <w:color w:val="000000" w:themeColor="text1"/>
          <w:sz w:val="24"/>
          <w:szCs w:val="24"/>
          <w:highlight w:val="none"/>
          <w:u w:val="single"/>
          <w14:textFill>
            <w14:solidFill>
              <w14:schemeClr w14:val="tx1"/>
            </w14:solidFill>
          </w14:textFill>
        </w:rPr>
        <w:t xml:space="preserve">                                </w:t>
      </w:r>
      <w:r>
        <w:rPr>
          <w:rFonts w:hint="default" w:ascii="Times New Roman" w:hAnsi="Times New Roman" w:eastAsia="宋体" w:cs="Times New Roman"/>
          <w:color w:val="000000" w:themeColor="text1"/>
          <w:sz w:val="24"/>
          <w:szCs w:val="24"/>
          <w:highlight w:val="none"/>
          <w14:textFill>
            <w14:solidFill>
              <w14:schemeClr w14:val="tx1"/>
            </w14:solidFill>
          </w14:textFill>
        </w:rPr>
        <w:t>（大写）的履约保函（下称“本保函”）。</w:t>
      </w:r>
    </w:p>
    <w:p w14:paraId="67D1156C">
      <w:pPr>
        <w:spacing w:line="324" w:lineRule="auto"/>
        <w:ind w:firstLine="480" w:firstLineChars="200"/>
        <w:jc w:val="lef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一、</w:t>
      </w:r>
      <w:r>
        <w:rPr>
          <w:rFonts w:hint="default" w:ascii="Times New Roman" w:hAnsi="Times New Roman" w:eastAsia="宋体" w:cs="Times New Roman"/>
          <w:b/>
          <w:color w:val="000000" w:themeColor="text1"/>
          <w:sz w:val="24"/>
          <w:szCs w:val="24"/>
          <w:highlight w:val="none"/>
          <w14:textFill>
            <w14:solidFill>
              <w14:schemeClr w14:val="tx1"/>
            </w14:solidFill>
          </w14:textFill>
        </w:rPr>
        <w:t>本保函为独立保函，见索即付。</w:t>
      </w:r>
      <w:r>
        <w:rPr>
          <w:rFonts w:hint="default" w:ascii="Times New Roman" w:hAnsi="Times New Roman" w:eastAsia="宋体" w:cs="Times New Roman"/>
          <w:color w:val="000000" w:themeColor="text1"/>
          <w:sz w:val="24"/>
          <w:szCs w:val="24"/>
          <w:highlight w:val="none"/>
          <w14:textFill>
            <w14:solidFill>
              <w14:schemeClr w14:val="tx1"/>
            </w14:solidFill>
          </w14:textFill>
        </w:rPr>
        <w:t>担保人承诺，在本保函有效期内收到受益人的索赔文件且符合本保函约定的，担保人将在收到索赔文件次日起十个工作日内在担保金额内向受益人付款。索赔文件约定如下：</w:t>
      </w:r>
    </w:p>
    <w:p w14:paraId="7F2B9D58">
      <w:pPr>
        <w:spacing w:line="324" w:lineRule="auto"/>
        <w:ind w:firstLine="480" w:firstLineChars="200"/>
        <w:jc w:val="lef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1.经受益人有权签字人签字、加盖受益人公章的书面索赔声明正本，索赔声明须注明本保函编号并申明如下事实：</w:t>
      </w:r>
    </w:p>
    <w:p w14:paraId="15821CD4">
      <w:pPr>
        <w:spacing w:line="324" w:lineRule="auto"/>
        <w:ind w:firstLine="570"/>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（1）被担保人未履行合同；</w:t>
      </w:r>
    </w:p>
    <w:p w14:paraId="4FF8AAE4">
      <w:pPr>
        <w:spacing w:line="324" w:lineRule="auto"/>
        <w:ind w:firstLine="570"/>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（2）被担保人的违约事实。</w:t>
      </w:r>
    </w:p>
    <w:p w14:paraId="5BACD280">
      <w:pPr>
        <w:spacing w:line="324" w:lineRule="auto"/>
        <w:ind w:firstLine="480" w:firstLineChars="200"/>
        <w:jc w:val="lef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2.本保函正本原件（电子保函无须提交正本原件）。</w:t>
      </w:r>
    </w:p>
    <w:p w14:paraId="39F914D0">
      <w:pPr>
        <w:spacing w:line="324" w:lineRule="auto"/>
        <w:ind w:firstLine="482" w:firstLineChars="200"/>
        <w:jc w:val="lef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b/>
          <w:color w:val="000000" w:themeColor="text1"/>
          <w:sz w:val="24"/>
          <w:szCs w:val="24"/>
          <w:highlight w:val="none"/>
          <w14:textFill>
            <w14:solidFill>
              <w14:schemeClr w14:val="tx1"/>
            </w14:solidFill>
          </w14:textFill>
        </w:rPr>
        <w:t>3.为确保索赔文件的真实性，索赔文件须经受益人开户行确认签字、盖章真实、有效并经其提交担保人，</w:t>
      </w:r>
      <w:r>
        <w:rPr>
          <w:rFonts w:hint="default" w:ascii="Times New Roman" w:hAnsi="Times New Roman" w:eastAsia="宋体" w:cs="Times New Roman"/>
          <w:color w:val="000000" w:themeColor="text1"/>
          <w:sz w:val="24"/>
          <w:szCs w:val="24"/>
          <w:highlight w:val="none"/>
          <w14:textFill>
            <w14:solidFill>
              <w14:schemeClr w14:val="tx1"/>
            </w14:solidFill>
          </w14:textFill>
        </w:rPr>
        <w:t>寄送地址为</w:t>
      </w:r>
      <w:r>
        <w:rPr>
          <w:rFonts w:hint="default" w:ascii="Times New Roman" w:hAnsi="Times New Roman" w:eastAsia="宋体" w:cs="Times New Roman"/>
          <w:color w:val="000000" w:themeColor="text1"/>
          <w:sz w:val="24"/>
          <w:szCs w:val="24"/>
          <w:highlight w:val="none"/>
          <w:u w:val="single"/>
          <w14:textFill>
            <w14:solidFill>
              <w14:schemeClr w14:val="tx1"/>
            </w14:solidFill>
          </w14:textFill>
        </w:rPr>
        <w:t xml:space="preserve">               </w:t>
      </w:r>
      <w:r>
        <w:rPr>
          <w:rFonts w:hint="default" w:ascii="Times New Roman" w:hAnsi="Times New Roman" w:eastAsia="宋体" w:cs="Times New Roman"/>
          <w:color w:val="000000" w:themeColor="text1"/>
          <w:sz w:val="24"/>
          <w:szCs w:val="24"/>
          <w:highlight w:val="none"/>
          <w14:textFill>
            <w14:solidFill>
              <w14:schemeClr w14:val="tx1"/>
            </w14:solidFill>
          </w14:textFill>
        </w:rPr>
        <w:t>。</w:t>
      </w:r>
    </w:p>
    <w:p w14:paraId="066DDBFB">
      <w:pPr>
        <w:spacing w:line="324" w:lineRule="auto"/>
        <w:ind w:firstLine="480" w:firstLineChars="200"/>
        <w:jc w:val="lef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二、担保人的担保责任／担保金额将随着被担保人的履约或担保人的赔付而相应递减。</w:t>
      </w:r>
    </w:p>
    <w:p w14:paraId="4FFEA73C">
      <w:pPr>
        <w:spacing w:line="324" w:lineRule="auto"/>
        <w:ind w:firstLine="482" w:firstLineChars="200"/>
        <w:jc w:val="left"/>
        <w:rPr>
          <w:rFonts w:hint="default" w:ascii="Times New Roman" w:hAnsi="Times New Roman" w:eastAsia="宋体" w:cs="Times New Roman"/>
          <w:b/>
          <w:color w:val="000000" w:themeColor="text1"/>
          <w:sz w:val="24"/>
          <w:szCs w:val="24"/>
          <w:highlight w:val="none"/>
          <w14:textFill>
            <w14:solidFill>
              <w14:schemeClr w14:val="tx1"/>
            </w14:solidFill>
          </w14:textFill>
        </w:rPr>
      </w:pPr>
      <w:r>
        <w:rPr>
          <w:rFonts w:hint="default" w:ascii="Times New Roman" w:hAnsi="Times New Roman" w:eastAsia="宋体" w:cs="Times New Roman"/>
          <w:b/>
          <w:color w:val="000000" w:themeColor="text1"/>
          <w:sz w:val="24"/>
          <w:szCs w:val="24"/>
          <w:highlight w:val="none"/>
          <w14:textFill>
            <w14:solidFill>
              <w14:schemeClr w14:val="tx1"/>
            </w14:solidFill>
          </w14:textFill>
        </w:rPr>
        <w:t>三、受益人将基础交易项下</w:t>
      </w:r>
      <w:bookmarkStart w:id="24" w:name="核稿纠错_纠错结果_N4xYl2Ma"/>
      <w:r>
        <w:rPr>
          <w:rFonts w:hint="default" w:ascii="Times New Roman" w:hAnsi="Times New Roman" w:eastAsia="宋体" w:cs="Times New Roman"/>
          <w:b/>
          <w:color w:val="000000" w:themeColor="text1"/>
          <w:sz w:val="24"/>
          <w:szCs w:val="24"/>
          <w:highlight w:val="none"/>
          <w14:textFill>
            <w14:solidFill>
              <w14:schemeClr w14:val="tx1"/>
            </w14:solidFill>
          </w14:textFill>
        </w:rPr>
        <w:t>债权转让第三人</w:t>
      </w:r>
      <w:bookmarkEnd w:id="24"/>
      <w:r>
        <w:rPr>
          <w:rFonts w:hint="default" w:ascii="Times New Roman" w:hAnsi="Times New Roman" w:eastAsia="宋体" w:cs="Times New Roman"/>
          <w:b/>
          <w:color w:val="000000" w:themeColor="text1"/>
          <w:sz w:val="24"/>
          <w:szCs w:val="24"/>
          <w:highlight w:val="none"/>
          <w14:textFill>
            <w14:solidFill>
              <w14:schemeClr w14:val="tx1"/>
            </w14:solidFill>
          </w14:textFill>
        </w:rPr>
        <w:t>，或将保函索赔请求权转让第三人时，须经担保人书面同意，否则担保人在本保函项下的担保责任自动解除。</w:t>
      </w:r>
    </w:p>
    <w:p w14:paraId="7CE500E2">
      <w:pPr>
        <w:spacing w:line="324" w:lineRule="auto"/>
        <w:ind w:firstLine="480" w:firstLineChars="200"/>
        <w:jc w:val="left"/>
        <w:rPr>
          <w:rFonts w:hint="default" w:ascii="Times New Roman" w:hAnsi="Times New Roman" w:eastAsia="宋体" w:cs="Times New Roman"/>
          <w:color w:val="000000" w:themeColor="text1"/>
          <w:sz w:val="24"/>
          <w:szCs w:val="24"/>
          <w:highlight w:val="none"/>
          <w14:textFill>
            <w14:solidFill>
              <w14:schemeClr w14:val="tx1"/>
            </w14:solidFill>
          </w14:textFill>
        </w:rPr>
      </w:pPr>
      <w:bookmarkStart w:id="25" w:name="核稿纠错_纠错结果_zFzJr2Uf"/>
      <w:r>
        <w:rPr>
          <w:rFonts w:hint="default" w:ascii="Times New Roman" w:hAnsi="Times New Roman" w:eastAsia="宋体" w:cs="Times New Roman"/>
          <w:color w:val="000000" w:themeColor="text1"/>
          <w:sz w:val="24"/>
          <w:szCs w:val="24"/>
          <w:highlight w:val="none"/>
          <w14:textFill>
            <w14:solidFill>
              <w14:schemeClr w14:val="tx1"/>
            </w14:solidFill>
          </w14:textFill>
        </w:rPr>
        <w:t>四、未经担保人书面同意</w:t>
      </w:r>
      <w:bookmarkEnd w:id="25"/>
      <w:r>
        <w:rPr>
          <w:rFonts w:hint="default" w:ascii="Times New Roman" w:hAnsi="Times New Roman" w:eastAsia="宋体" w:cs="Times New Roman"/>
          <w:color w:val="000000" w:themeColor="text1"/>
          <w:sz w:val="24"/>
          <w:szCs w:val="24"/>
          <w:highlight w:val="none"/>
          <w14:textFill>
            <w14:solidFill>
              <w14:schemeClr w14:val="tx1"/>
            </w14:solidFill>
          </w14:textFill>
        </w:rPr>
        <w:t>，本保函不得转让、不得设定担保。</w:t>
      </w:r>
    </w:p>
    <w:p w14:paraId="6FCAEE1A">
      <w:pPr>
        <w:spacing w:line="324" w:lineRule="auto"/>
        <w:ind w:firstLine="480" w:firstLineChars="200"/>
        <w:jc w:val="lef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五、本保函一经开立即生效，于 </w:t>
      </w:r>
      <w:r>
        <w:rPr>
          <w:rFonts w:hint="default" w:ascii="Times New Roman" w:hAnsi="Times New Roman" w:eastAsia="宋体" w:cs="Times New Roman"/>
          <w:color w:val="000000" w:themeColor="text1"/>
          <w:sz w:val="24"/>
          <w:szCs w:val="24"/>
          <w:highlight w:val="none"/>
          <w:u w:val="single"/>
          <w14:textFill>
            <w14:solidFill>
              <w14:schemeClr w14:val="tx1"/>
            </w14:solidFill>
          </w14:textFill>
        </w:rPr>
        <w:t xml:space="preserve">    </w:t>
      </w:r>
      <w:r>
        <w:rPr>
          <w:rFonts w:hint="default" w:ascii="Times New Roman" w:hAnsi="Times New Roman" w:eastAsia="宋体" w:cs="Times New Roman"/>
          <w:color w:val="000000" w:themeColor="text1"/>
          <w:sz w:val="24"/>
          <w:szCs w:val="24"/>
          <w:highlight w:val="none"/>
          <w14:textFill>
            <w14:solidFill>
              <w14:schemeClr w14:val="tx1"/>
            </w14:solidFill>
          </w14:textFill>
        </w:rPr>
        <w:t>年</w:t>
      </w:r>
      <w:r>
        <w:rPr>
          <w:rFonts w:hint="default" w:ascii="Times New Roman" w:hAnsi="Times New Roman" w:eastAsia="宋体" w:cs="Times New Roman"/>
          <w:color w:val="000000" w:themeColor="text1"/>
          <w:sz w:val="24"/>
          <w:szCs w:val="24"/>
          <w:highlight w:val="none"/>
          <w:u w:val="single"/>
          <w14:textFill>
            <w14:solidFill>
              <w14:schemeClr w14:val="tx1"/>
            </w14:solidFill>
          </w14:textFill>
        </w:rPr>
        <w:t xml:space="preserve">    </w:t>
      </w:r>
      <w:r>
        <w:rPr>
          <w:rFonts w:hint="default" w:ascii="Times New Roman" w:hAnsi="Times New Roman" w:eastAsia="宋体" w:cs="Times New Roman"/>
          <w:color w:val="000000" w:themeColor="text1"/>
          <w:sz w:val="24"/>
          <w:szCs w:val="24"/>
          <w:highlight w:val="none"/>
          <w14:textFill>
            <w14:solidFill>
              <w14:schemeClr w14:val="tx1"/>
            </w14:solidFill>
          </w14:textFill>
        </w:rPr>
        <w:t>月</w:t>
      </w:r>
      <w:r>
        <w:rPr>
          <w:rFonts w:hint="default" w:ascii="Times New Roman" w:hAnsi="Times New Roman" w:eastAsia="宋体" w:cs="Times New Roman"/>
          <w:color w:val="000000" w:themeColor="text1"/>
          <w:sz w:val="24"/>
          <w:szCs w:val="24"/>
          <w:highlight w:val="none"/>
          <w:u w:val="single"/>
          <w14:textFill>
            <w14:solidFill>
              <w14:schemeClr w14:val="tx1"/>
            </w14:solidFill>
          </w14:textFill>
        </w:rPr>
        <w:t xml:space="preserve">    </w:t>
      </w:r>
      <w:r>
        <w:rPr>
          <w:rFonts w:hint="default" w:ascii="Times New Roman" w:hAnsi="Times New Roman" w:eastAsia="宋体" w:cs="Times New Roman"/>
          <w:color w:val="000000" w:themeColor="text1"/>
          <w:sz w:val="24"/>
          <w:szCs w:val="24"/>
          <w:highlight w:val="none"/>
          <w14:textFill>
            <w14:solidFill>
              <w14:schemeClr w14:val="tx1"/>
            </w14:solidFill>
          </w14:textFill>
        </w:rPr>
        <w:t>日担保人对公营业时间结束时失效（若该日为非银行营业时间，则以该日之前的最后一个银行营业日为准）。</w:t>
      </w:r>
    </w:p>
    <w:p w14:paraId="64FE4B0D">
      <w:pPr>
        <w:spacing w:line="324" w:lineRule="auto"/>
        <w:ind w:firstLine="480" w:firstLineChars="200"/>
        <w:jc w:val="lef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本保函失效后，担保人在本保函项下的担保责任和义务自动解除。如为纸质保函，受益人应立即将本保函正本原件退回担保人，但无论是否退回，</w:t>
      </w:r>
      <w:bookmarkStart w:id="26" w:name="核稿纠错_纠错结果_oDBpUDY9"/>
      <w:r>
        <w:rPr>
          <w:rFonts w:hint="default" w:ascii="Times New Roman" w:hAnsi="Times New Roman" w:eastAsia="宋体" w:cs="Times New Roman"/>
          <w:color w:val="000000" w:themeColor="text1"/>
          <w:sz w:val="24"/>
          <w:szCs w:val="24"/>
          <w:highlight w:val="none"/>
          <w14:textFill>
            <w14:solidFill>
              <w14:schemeClr w14:val="tx1"/>
            </w14:solidFill>
          </w14:textFill>
        </w:rPr>
        <w:t>均不影响保函失效；如为电子保函</w:t>
      </w:r>
      <w:bookmarkEnd w:id="26"/>
      <w:r>
        <w:rPr>
          <w:rFonts w:hint="default" w:ascii="Times New Roman" w:hAnsi="Times New Roman" w:eastAsia="宋体" w:cs="Times New Roman"/>
          <w:color w:val="000000" w:themeColor="text1"/>
          <w:sz w:val="24"/>
          <w:szCs w:val="24"/>
          <w:highlight w:val="none"/>
          <w14:textFill>
            <w14:solidFill>
              <w14:schemeClr w14:val="tx1"/>
            </w14:solidFill>
          </w14:textFill>
        </w:rPr>
        <w:t>，失效后无论受益人是否继续保留</w:t>
      </w:r>
      <w:bookmarkStart w:id="27" w:name="核稿纠错_纠错结果_UeSpw1xb"/>
      <w:r>
        <w:rPr>
          <w:rFonts w:hint="default" w:ascii="Times New Roman" w:hAnsi="Times New Roman" w:eastAsia="宋体" w:cs="Times New Roman"/>
          <w:color w:val="000000" w:themeColor="text1"/>
          <w:sz w:val="24"/>
          <w:szCs w:val="24"/>
          <w:highlight w:val="none"/>
          <w14:textFill>
            <w14:solidFill>
              <w14:schemeClr w14:val="tx1"/>
            </w14:solidFill>
          </w14:textFill>
        </w:rPr>
        <w:t>本保函电子文本、打印件、复印件等任何形式</w:t>
      </w:r>
      <w:bookmarkEnd w:id="27"/>
      <w:r>
        <w:rPr>
          <w:rFonts w:hint="default" w:ascii="Times New Roman" w:hAnsi="Times New Roman" w:eastAsia="宋体" w:cs="Times New Roman"/>
          <w:color w:val="000000" w:themeColor="text1"/>
          <w:sz w:val="24"/>
          <w:szCs w:val="24"/>
          <w:highlight w:val="none"/>
          <w14:textFill>
            <w14:solidFill>
              <w14:schemeClr w14:val="tx1"/>
            </w14:solidFill>
          </w14:textFill>
        </w:rPr>
        <w:t>，或采取其他任何行为，均不能使受益人得到在本保函项下继续提出索赔的权利。</w:t>
      </w:r>
    </w:p>
    <w:p w14:paraId="2EEAE55C">
      <w:pPr>
        <w:spacing w:line="324" w:lineRule="auto"/>
        <w:ind w:firstLine="480" w:firstLineChars="200"/>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六、本保函适用中华人民共和国法律，受中华人民共和国法律管辖。在本保函履行期间，如发生争议，各当事人首先应协商解决。</w:t>
      </w:r>
      <w:r>
        <w:rPr>
          <w:rFonts w:hint="default" w:ascii="Times New Roman" w:hAnsi="Times New Roman" w:eastAsia="宋体" w:cs="Times New Roman"/>
          <w:b/>
          <w:color w:val="000000" w:themeColor="text1"/>
          <w:sz w:val="24"/>
          <w:szCs w:val="24"/>
          <w:highlight w:val="none"/>
          <w14:textFill>
            <w14:solidFill>
              <w14:schemeClr w14:val="tx1"/>
            </w14:solidFill>
          </w14:textFill>
        </w:rPr>
        <w:t>协商不能解决的，任何一方应向担保人所在地有管辖权的法院提起诉讼。</w:t>
      </w:r>
    </w:p>
    <w:p w14:paraId="5D1EE966">
      <w:pPr>
        <w:spacing w:line="324" w:lineRule="auto"/>
        <w:jc w:val="left"/>
        <w:rPr>
          <w:rFonts w:hint="default" w:ascii="Times New Roman" w:hAnsi="Times New Roman" w:eastAsia="宋体" w:cs="Times New Roman"/>
          <w:color w:val="000000" w:themeColor="text1"/>
          <w:sz w:val="24"/>
          <w:szCs w:val="24"/>
          <w:highlight w:val="none"/>
          <w14:textFill>
            <w14:solidFill>
              <w14:schemeClr w14:val="tx1"/>
            </w14:solidFill>
          </w14:textFill>
        </w:rPr>
      </w:pPr>
    </w:p>
    <w:p w14:paraId="5839F22B">
      <w:pPr>
        <w:spacing w:line="324" w:lineRule="auto"/>
        <w:jc w:val="lef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担保人：招商银行股份有限公司</w:t>
      </w:r>
      <w:r>
        <w:rPr>
          <w:rFonts w:hint="default" w:ascii="Times New Roman" w:hAnsi="Times New Roman" w:eastAsia="宋体" w:cs="Times New Roman"/>
          <w:color w:val="000000" w:themeColor="text1"/>
          <w:sz w:val="24"/>
          <w:szCs w:val="24"/>
          <w:highlight w:val="none"/>
          <w:u w:val="single"/>
          <w14:textFill>
            <w14:solidFill>
              <w14:schemeClr w14:val="tx1"/>
            </w14:solidFill>
          </w14:textFill>
        </w:rPr>
        <w:t xml:space="preserve">          </w:t>
      </w:r>
    </w:p>
    <w:p w14:paraId="38C44218">
      <w:pPr>
        <w:spacing w:line="324" w:lineRule="auto"/>
        <w:ind w:firstLine="1440" w:firstLineChars="600"/>
        <w:jc w:val="lef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（银行签章）</w:t>
      </w:r>
    </w:p>
    <w:p w14:paraId="1BE0B712">
      <w:pPr>
        <w:spacing w:line="324" w:lineRule="auto"/>
        <w:jc w:val="left"/>
        <w:rPr>
          <w:rFonts w:hint="default" w:ascii="Times New Roman" w:hAnsi="Times New Roman" w:eastAsia="宋体" w:cs="Times New Roman"/>
          <w:color w:val="000000" w:themeColor="text1"/>
          <w:sz w:val="24"/>
          <w:szCs w:val="24"/>
          <w:highlight w:val="none"/>
          <w14:textFill>
            <w14:solidFill>
              <w14:schemeClr w14:val="tx1"/>
            </w14:solidFill>
          </w14:textFill>
        </w:rPr>
      </w:pPr>
    </w:p>
    <w:p w14:paraId="0DEC3D0D">
      <w:pPr>
        <w:spacing w:line="324" w:lineRule="auto"/>
        <w:jc w:val="lef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有权签字人：</w:t>
      </w:r>
    </w:p>
    <w:p w14:paraId="5E702010">
      <w:pPr>
        <w:spacing w:line="324" w:lineRule="auto"/>
        <w:jc w:val="lef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开具日期：  </w:t>
      </w:r>
      <w:r>
        <w:rPr>
          <w:rFonts w:hint="default" w:ascii="Times New Roman" w:hAnsi="Times New Roman" w:eastAsia="宋体" w:cs="Times New Roman"/>
          <w:color w:val="000000" w:themeColor="text1"/>
          <w:sz w:val="24"/>
          <w:szCs w:val="24"/>
          <w:highlight w:val="none"/>
          <w:u w:val="single"/>
          <w14:textFill>
            <w14:solidFill>
              <w14:schemeClr w14:val="tx1"/>
            </w14:solidFill>
          </w14:textFill>
        </w:rPr>
        <w:t xml:space="preserve">      </w:t>
      </w:r>
      <w:r>
        <w:rPr>
          <w:rFonts w:hint="default" w:ascii="Times New Roman" w:hAnsi="Times New Roman" w:eastAsia="宋体" w:cs="Times New Roman"/>
          <w:color w:val="000000" w:themeColor="text1"/>
          <w:sz w:val="24"/>
          <w:szCs w:val="24"/>
          <w:highlight w:val="none"/>
          <w14:textFill>
            <w14:solidFill>
              <w14:schemeClr w14:val="tx1"/>
            </w14:solidFill>
          </w14:textFill>
        </w:rPr>
        <w:t>年</w:t>
      </w:r>
      <w:r>
        <w:rPr>
          <w:rFonts w:hint="default" w:ascii="Times New Roman" w:hAnsi="Times New Roman" w:eastAsia="宋体" w:cs="Times New Roman"/>
          <w:color w:val="000000" w:themeColor="text1"/>
          <w:sz w:val="24"/>
          <w:szCs w:val="24"/>
          <w:highlight w:val="none"/>
          <w:u w:val="single"/>
          <w14:textFill>
            <w14:solidFill>
              <w14:schemeClr w14:val="tx1"/>
            </w14:solidFill>
          </w14:textFill>
        </w:rPr>
        <w:t xml:space="preserve">     </w:t>
      </w:r>
      <w:r>
        <w:rPr>
          <w:rFonts w:hint="default" w:ascii="Times New Roman" w:hAnsi="Times New Roman" w:eastAsia="宋体" w:cs="Times New Roman"/>
          <w:color w:val="000000" w:themeColor="text1"/>
          <w:sz w:val="24"/>
          <w:szCs w:val="24"/>
          <w:highlight w:val="none"/>
          <w14:textFill>
            <w14:solidFill>
              <w14:schemeClr w14:val="tx1"/>
            </w14:solidFill>
          </w14:textFill>
        </w:rPr>
        <w:t>月</w:t>
      </w:r>
      <w:r>
        <w:rPr>
          <w:rFonts w:hint="default" w:ascii="Times New Roman" w:hAnsi="Times New Roman" w:eastAsia="宋体" w:cs="Times New Roman"/>
          <w:color w:val="000000" w:themeColor="text1"/>
          <w:sz w:val="24"/>
          <w:szCs w:val="24"/>
          <w:highlight w:val="none"/>
          <w:u w:val="single"/>
          <w14:textFill>
            <w14:solidFill>
              <w14:schemeClr w14:val="tx1"/>
            </w14:solidFill>
          </w14:textFill>
        </w:rPr>
        <w:t xml:space="preserve">     </w:t>
      </w:r>
      <w:r>
        <w:rPr>
          <w:rFonts w:hint="default" w:ascii="Times New Roman" w:hAnsi="Times New Roman" w:eastAsia="宋体" w:cs="Times New Roman"/>
          <w:color w:val="000000" w:themeColor="text1"/>
          <w:sz w:val="24"/>
          <w:szCs w:val="24"/>
          <w:highlight w:val="none"/>
          <w14:textFill>
            <w14:solidFill>
              <w14:schemeClr w14:val="tx1"/>
            </w14:solidFill>
          </w14:textFill>
        </w:rPr>
        <w:t>日</w:t>
      </w:r>
    </w:p>
    <w:p w14:paraId="0D309C75">
      <w:pPr>
        <w:rPr>
          <w:rFonts w:hint="default" w:ascii="Times New Roman" w:hAnsi="Times New Roman" w:eastAsia="宋体" w:cs="Times New Roman"/>
          <w:sz w:val="24"/>
          <w:szCs w:val="32"/>
          <w:highlight w:val="none"/>
        </w:rPr>
      </w:pPr>
    </w:p>
    <w:p w14:paraId="7EDC122B">
      <w:pPr>
        <w:pStyle w:val="13"/>
        <w:spacing w:line="360" w:lineRule="auto"/>
        <w:ind w:left="420"/>
        <w:outlineLvl w:val="1"/>
        <w:rPr>
          <w:rFonts w:hint="default" w:ascii="Times New Roman" w:hAnsi="Times New Roman" w:eastAsia="宋体" w:cs="Times New Roman"/>
          <w:b/>
          <w:bCs/>
          <w:sz w:val="24"/>
          <w:szCs w:val="24"/>
          <w:highlight w:val="none"/>
        </w:rPr>
      </w:pPr>
      <w:r>
        <w:rPr>
          <w:rFonts w:hint="default" w:ascii="Times New Roman" w:hAnsi="Times New Roman" w:eastAsia="宋体" w:cs="Times New Roman"/>
          <w:sz w:val="24"/>
          <w:szCs w:val="24"/>
          <w:highlight w:val="none"/>
        </w:rPr>
        <w:br w:type="page"/>
      </w:r>
      <w:r>
        <w:rPr>
          <w:rFonts w:hint="default" w:ascii="Times New Roman" w:hAnsi="Times New Roman" w:eastAsia="宋体" w:cs="Times New Roman"/>
          <w:b/>
          <w:bCs/>
          <w:sz w:val="24"/>
          <w:szCs w:val="24"/>
          <w:highlight w:val="none"/>
        </w:rPr>
        <w:t>附件9 投标保证金的银行保函</w:t>
      </w:r>
    </w:p>
    <w:p w14:paraId="093032F8">
      <w:pPr>
        <w:pStyle w:val="4"/>
        <w:adjustRightInd w:val="0"/>
        <w:snapToGrid w:val="0"/>
        <w:spacing w:line="288" w:lineRule="auto"/>
        <w:ind w:firstLine="0"/>
        <w:jc w:val="center"/>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投标保函（独立性参考格式）</w:t>
      </w:r>
    </w:p>
    <w:p w14:paraId="13DA9A63">
      <w:pPr>
        <w:adjustRightInd w:val="0"/>
        <w:snapToGrid w:val="0"/>
        <w:spacing w:line="288" w:lineRule="auto"/>
        <w:ind w:right="-97" w:firstLine="2880" w:firstLineChars="1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编号：</w:t>
      </w:r>
      <w:r>
        <w:rPr>
          <w:rFonts w:hint="default" w:ascii="Times New Roman" w:hAnsi="Times New Roman" w:eastAsia="宋体" w:cs="Times New Roman"/>
          <w:sz w:val="24"/>
          <w:szCs w:val="24"/>
          <w:highlight w:val="none"/>
          <w:u w:val="single"/>
        </w:rPr>
        <w:t xml:space="preserve">           </w:t>
      </w:r>
    </w:p>
    <w:p w14:paraId="2280DCB3">
      <w:pPr>
        <w:spacing w:line="324" w:lineRule="auto"/>
        <w:rPr>
          <w:rFonts w:hint="default" w:ascii="Times New Roman" w:hAnsi="Times New Roman" w:eastAsia="宋体" w:cs="Times New Roman"/>
          <w:color w:val="000000" w:themeColor="text1"/>
          <w:sz w:val="24"/>
          <w:szCs w:val="24"/>
          <w:highlight w:val="none"/>
          <w:u w:val="singl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致：</w:t>
      </w:r>
      <w:r>
        <w:rPr>
          <w:rFonts w:hint="default" w:ascii="Times New Roman" w:hAnsi="Times New Roman" w:eastAsia="宋体" w:cs="Times New Roman"/>
          <w:color w:val="000000" w:themeColor="text1"/>
          <w:sz w:val="24"/>
          <w:szCs w:val="24"/>
          <w:highlight w:val="none"/>
          <w:u w:val="single"/>
          <w14:textFill>
            <w14:solidFill>
              <w14:schemeClr w14:val="tx1"/>
            </w14:solidFill>
          </w14:textFill>
        </w:rPr>
        <w:t xml:space="preserve">                   </w:t>
      </w:r>
    </w:p>
    <w:p w14:paraId="0997DE32">
      <w:pPr>
        <w:spacing w:line="324" w:lineRule="auto"/>
        <w:ind w:firstLine="480" w:firstLineChars="200"/>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鉴于：</w:t>
      </w:r>
      <w:r>
        <w:rPr>
          <w:rFonts w:hint="default" w:ascii="Times New Roman" w:hAnsi="Times New Roman" w:eastAsia="宋体" w:cs="Times New Roman"/>
          <w:color w:val="000000" w:themeColor="text1"/>
          <w:sz w:val="24"/>
          <w:szCs w:val="24"/>
          <w:highlight w:val="none"/>
          <w:u w:val="single"/>
          <w14:textFill>
            <w14:solidFill>
              <w14:schemeClr w14:val="tx1"/>
            </w14:solidFill>
          </w14:textFill>
        </w:rPr>
        <w:t xml:space="preserve">                         </w:t>
      </w:r>
      <w:r>
        <w:rPr>
          <w:rFonts w:hint="default" w:ascii="Times New Roman" w:hAnsi="Times New Roman" w:eastAsia="宋体" w:cs="Times New Roman"/>
          <w:color w:val="000000" w:themeColor="text1"/>
          <w:sz w:val="24"/>
          <w:szCs w:val="24"/>
          <w:highlight w:val="none"/>
          <w14:textFill>
            <w14:solidFill>
              <w14:schemeClr w14:val="tx1"/>
            </w14:solidFill>
          </w14:textFill>
        </w:rPr>
        <w:t>（下称“投标人”）根据贵方发出的编号为</w:t>
      </w:r>
      <w:r>
        <w:rPr>
          <w:rFonts w:hint="default" w:ascii="Times New Roman" w:hAnsi="Times New Roman" w:eastAsia="宋体" w:cs="Times New Roman"/>
          <w:color w:val="000000" w:themeColor="text1"/>
          <w:sz w:val="24"/>
          <w:szCs w:val="24"/>
          <w:highlight w:val="none"/>
          <w:u w:val="single"/>
          <w14:textFill>
            <w14:solidFill>
              <w14:schemeClr w14:val="tx1"/>
            </w14:solidFill>
          </w14:textFill>
        </w:rPr>
        <w:t xml:space="preserve">                </w:t>
      </w:r>
      <w:r>
        <w:rPr>
          <w:rFonts w:hint="default" w:ascii="Times New Roman" w:hAnsi="Times New Roman" w:eastAsia="宋体" w:cs="Times New Roman"/>
          <w:color w:val="000000" w:themeColor="text1"/>
          <w:sz w:val="24"/>
          <w:szCs w:val="24"/>
          <w:highlight w:val="none"/>
          <w14:textFill>
            <w14:solidFill>
              <w14:schemeClr w14:val="tx1"/>
            </w14:solidFill>
          </w14:textFill>
        </w:rPr>
        <w:t>的招标文件／标书拟向贵方投标承接</w:t>
      </w:r>
      <w:r>
        <w:rPr>
          <w:rFonts w:hint="default" w:ascii="Times New Roman" w:hAnsi="Times New Roman" w:eastAsia="宋体" w:cs="Times New Roman"/>
          <w:color w:val="000000" w:themeColor="text1"/>
          <w:sz w:val="24"/>
          <w:szCs w:val="24"/>
          <w:highlight w:val="none"/>
          <w:u w:val="single"/>
          <w14:textFill>
            <w14:solidFill>
              <w14:schemeClr w14:val="tx1"/>
            </w14:solidFill>
          </w14:textFill>
        </w:rPr>
        <w:t xml:space="preserve">                  </w:t>
      </w:r>
      <w:r>
        <w:rPr>
          <w:rFonts w:hint="default" w:ascii="Times New Roman" w:hAnsi="Times New Roman" w:eastAsia="宋体" w:cs="Times New Roman"/>
          <w:color w:val="000000" w:themeColor="text1"/>
          <w:sz w:val="24"/>
          <w:szCs w:val="24"/>
          <w:highlight w:val="none"/>
          <w14:textFill>
            <w14:solidFill>
              <w14:schemeClr w14:val="tx1"/>
            </w14:solidFill>
          </w14:textFill>
        </w:rPr>
        <w:t>项目。根据招标文件／标书，投标人需向贵方提交投标保函。</w:t>
      </w:r>
    </w:p>
    <w:p w14:paraId="2CB47C38">
      <w:pPr>
        <w:ind w:firstLine="480" w:firstLineChars="200"/>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根据保函申请人</w:t>
      </w:r>
      <w:r>
        <w:rPr>
          <w:rFonts w:hint="default" w:ascii="Times New Roman" w:hAnsi="Times New Roman" w:eastAsia="宋体" w:cs="Times New Roman"/>
          <w:color w:val="000000" w:themeColor="text1"/>
          <w:sz w:val="24"/>
          <w:szCs w:val="24"/>
          <w:highlight w:val="none"/>
          <w:u w:val="single"/>
          <w14:textFill>
            <w14:solidFill>
              <w14:schemeClr w14:val="tx1"/>
            </w14:solidFill>
          </w14:textFill>
        </w:rPr>
        <w:t xml:space="preserve">                  </w:t>
      </w:r>
      <w:r>
        <w:rPr>
          <w:rFonts w:hint="default" w:ascii="Times New Roman" w:hAnsi="Times New Roman" w:eastAsia="宋体" w:cs="Times New Roman"/>
          <w:color w:val="000000" w:themeColor="text1"/>
          <w:sz w:val="24"/>
          <w:szCs w:val="24"/>
          <w:highlight w:val="none"/>
          <w14:textFill>
            <w14:solidFill>
              <w14:schemeClr w14:val="tx1"/>
            </w14:solidFill>
          </w14:textFill>
        </w:rPr>
        <w:t>的申请，我行（下称“担保人”）在此向贵方（下称“受益人”）开立</w:t>
      </w:r>
      <w:bookmarkStart w:id="28" w:name="核稿纠错_纠错结果_aj3A2vSG"/>
      <w:r>
        <w:rPr>
          <w:rFonts w:hint="default" w:ascii="Times New Roman" w:hAnsi="Times New Roman" w:eastAsia="宋体" w:cs="Times New Roman"/>
          <w:color w:val="000000" w:themeColor="text1"/>
          <w:sz w:val="24"/>
          <w:szCs w:val="24"/>
          <w:highlight w:val="none"/>
          <w14:textFill>
            <w14:solidFill>
              <w14:schemeClr w14:val="tx1"/>
            </w14:solidFill>
          </w14:textFill>
        </w:rPr>
        <w:t>不可撤销，担保金额</w:t>
      </w:r>
      <w:bookmarkEnd w:id="28"/>
      <w:r>
        <w:rPr>
          <w:rFonts w:hint="default" w:ascii="Times New Roman" w:hAnsi="Times New Roman" w:eastAsia="宋体" w:cs="Times New Roman"/>
          <w:color w:val="000000" w:themeColor="text1"/>
          <w:sz w:val="24"/>
          <w:szCs w:val="24"/>
          <w:highlight w:val="none"/>
          <w14:textFill>
            <w14:solidFill>
              <w14:schemeClr w14:val="tx1"/>
            </w14:solidFill>
          </w14:textFill>
        </w:rPr>
        <w:t>累计不超过</w:t>
      </w:r>
      <w:r>
        <w:rPr>
          <w:rFonts w:hint="default" w:ascii="Times New Roman" w:hAnsi="Times New Roman" w:eastAsia="宋体" w:cs="Times New Roman"/>
          <w:color w:val="000000" w:themeColor="text1"/>
          <w:sz w:val="24"/>
          <w:szCs w:val="24"/>
          <w:highlight w:val="none"/>
          <w:u w:val="single"/>
          <w14:textFill>
            <w14:solidFill>
              <w14:schemeClr w14:val="tx1"/>
            </w14:solidFill>
          </w14:textFill>
        </w:rPr>
        <w:t xml:space="preserve">      </w:t>
      </w:r>
      <w:r>
        <w:rPr>
          <w:rFonts w:hint="default" w:ascii="Times New Roman" w:hAnsi="Times New Roman" w:eastAsia="宋体" w:cs="Times New Roman"/>
          <w:color w:val="000000" w:themeColor="text1"/>
          <w:sz w:val="24"/>
          <w:szCs w:val="24"/>
          <w:highlight w:val="none"/>
          <w14:textFill>
            <w14:solidFill>
              <w14:schemeClr w14:val="tx1"/>
            </w14:solidFill>
          </w14:textFill>
        </w:rPr>
        <w:t>（币种）</w:t>
      </w:r>
      <w:r>
        <w:rPr>
          <w:rFonts w:hint="default" w:ascii="Times New Roman" w:hAnsi="Times New Roman" w:eastAsia="宋体" w:cs="Times New Roman"/>
          <w:color w:val="000000" w:themeColor="text1"/>
          <w:sz w:val="24"/>
          <w:szCs w:val="24"/>
          <w:highlight w:val="none"/>
          <w:u w:val="single"/>
          <w14:textFill>
            <w14:solidFill>
              <w14:schemeClr w14:val="tx1"/>
            </w14:solidFill>
          </w14:textFill>
        </w:rPr>
        <w:t xml:space="preserve">          </w:t>
      </w:r>
      <w:r>
        <w:rPr>
          <w:rFonts w:hint="default" w:ascii="Times New Roman" w:hAnsi="Times New Roman" w:eastAsia="宋体" w:cs="Times New Roman"/>
          <w:color w:val="000000" w:themeColor="text1"/>
          <w:sz w:val="24"/>
          <w:szCs w:val="24"/>
          <w:highlight w:val="none"/>
          <w14:textFill>
            <w14:solidFill>
              <w14:schemeClr w14:val="tx1"/>
            </w14:solidFill>
          </w14:textFill>
        </w:rPr>
        <w:t>（大写）的投标保函（下称“本保函”）。</w:t>
      </w:r>
    </w:p>
    <w:p w14:paraId="23B6F8FC">
      <w:pPr>
        <w:spacing w:line="324" w:lineRule="auto"/>
        <w:ind w:firstLine="480" w:firstLineChars="200"/>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一、</w:t>
      </w:r>
      <w:r>
        <w:rPr>
          <w:rFonts w:hint="default" w:ascii="Times New Roman" w:hAnsi="Times New Roman" w:eastAsia="宋体" w:cs="Times New Roman"/>
          <w:b/>
          <w:color w:val="000000" w:themeColor="text1"/>
          <w:sz w:val="24"/>
          <w:szCs w:val="24"/>
          <w:highlight w:val="none"/>
          <w14:textFill>
            <w14:solidFill>
              <w14:schemeClr w14:val="tx1"/>
            </w14:solidFill>
          </w14:textFill>
        </w:rPr>
        <w:t>本保函为独立保函，见索即付。</w:t>
      </w:r>
      <w:r>
        <w:rPr>
          <w:rFonts w:hint="default" w:ascii="Times New Roman" w:hAnsi="Times New Roman" w:eastAsia="宋体" w:cs="Times New Roman"/>
          <w:color w:val="000000" w:themeColor="text1"/>
          <w:sz w:val="24"/>
          <w:szCs w:val="24"/>
          <w:highlight w:val="none"/>
          <w14:textFill>
            <w14:solidFill>
              <w14:schemeClr w14:val="tx1"/>
            </w14:solidFill>
          </w14:textFill>
        </w:rPr>
        <w:t>担保人承诺，在本保函有效期内收到受益人的索赔文件且符合本保函约定的，担保人将在收到索赔文件次日起十个工作日内在担保金额内向受益人付款。索赔文件约定如下：</w:t>
      </w:r>
    </w:p>
    <w:p w14:paraId="18699FB9">
      <w:pPr>
        <w:spacing w:line="324" w:lineRule="auto"/>
        <w:ind w:firstLine="480" w:firstLineChars="200"/>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1.经受益人有权签字人签字、加盖受益人公章的书面索赔声明正本，索赔声明须注明本保函编号并申明如下事实：</w:t>
      </w:r>
    </w:p>
    <w:p w14:paraId="20CBCCAB">
      <w:pPr>
        <w:spacing w:line="324" w:lineRule="auto"/>
        <w:ind w:firstLine="570"/>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（1）投标人在投标有效期内撤销投标；或</w:t>
      </w:r>
    </w:p>
    <w:p w14:paraId="668AFE33">
      <w:pPr>
        <w:spacing w:line="324" w:lineRule="auto"/>
        <w:ind w:firstLine="570"/>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（2）投标人中标后未与受益人签约；或</w:t>
      </w:r>
    </w:p>
    <w:p w14:paraId="22CB07F8">
      <w:pPr>
        <w:spacing w:line="324" w:lineRule="auto"/>
        <w:ind w:firstLine="570"/>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（3）投标人中标后未按招标文件或中标通知书的规定提交履约保函。</w:t>
      </w:r>
    </w:p>
    <w:p w14:paraId="7B6D6795">
      <w:pPr>
        <w:spacing w:line="324" w:lineRule="auto"/>
        <w:ind w:firstLine="480" w:firstLineChars="200"/>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2.本保函正本原件（电子保函无须提交正本原件）。</w:t>
      </w:r>
    </w:p>
    <w:p w14:paraId="25606FFE">
      <w:pPr>
        <w:spacing w:line="324" w:lineRule="auto"/>
        <w:ind w:firstLine="482" w:firstLineChars="200"/>
        <w:rPr>
          <w:rFonts w:hint="default" w:ascii="Times New Roman" w:hAnsi="Times New Roman" w:eastAsia="宋体" w:cs="Times New Roman"/>
          <w:b/>
          <w:color w:val="000000" w:themeColor="text1"/>
          <w:sz w:val="24"/>
          <w:szCs w:val="24"/>
          <w:highlight w:val="none"/>
          <w:u w:val="single"/>
          <w14:textFill>
            <w14:solidFill>
              <w14:schemeClr w14:val="tx1"/>
            </w14:solidFill>
          </w14:textFill>
        </w:rPr>
      </w:pPr>
      <w:r>
        <w:rPr>
          <w:rFonts w:hint="default" w:ascii="Times New Roman" w:hAnsi="Times New Roman" w:eastAsia="宋体" w:cs="Times New Roman"/>
          <w:b/>
          <w:color w:val="000000" w:themeColor="text1"/>
          <w:sz w:val="24"/>
          <w:szCs w:val="24"/>
          <w:highlight w:val="none"/>
          <w14:textFill>
            <w14:solidFill>
              <w14:schemeClr w14:val="tx1"/>
            </w14:solidFill>
          </w14:textFill>
        </w:rPr>
        <w:t>3.为确保索赔文件的真实性，索赔文件须经受益人开户行确认签字、盖章真实、有效并经其提交担保人，</w:t>
      </w:r>
      <w:r>
        <w:rPr>
          <w:rFonts w:hint="default" w:ascii="Times New Roman" w:hAnsi="Times New Roman" w:eastAsia="宋体" w:cs="Times New Roman"/>
          <w:color w:val="000000" w:themeColor="text1"/>
          <w:sz w:val="24"/>
          <w:szCs w:val="24"/>
          <w:highlight w:val="none"/>
          <w14:textFill>
            <w14:solidFill>
              <w14:schemeClr w14:val="tx1"/>
            </w14:solidFill>
          </w14:textFill>
        </w:rPr>
        <w:t>寄送地址为</w:t>
      </w:r>
      <w:r>
        <w:rPr>
          <w:rFonts w:hint="default" w:ascii="Times New Roman" w:hAnsi="Times New Roman" w:eastAsia="宋体" w:cs="Times New Roman"/>
          <w:color w:val="000000" w:themeColor="text1"/>
          <w:sz w:val="24"/>
          <w:szCs w:val="24"/>
          <w:highlight w:val="none"/>
          <w:u w:val="single"/>
          <w14:textFill>
            <w14:solidFill>
              <w14:schemeClr w14:val="tx1"/>
            </w14:solidFill>
          </w14:textFill>
        </w:rPr>
        <w:t xml:space="preserve">              </w:t>
      </w:r>
      <w:r>
        <w:rPr>
          <w:rFonts w:hint="default" w:ascii="Times New Roman" w:hAnsi="Times New Roman" w:eastAsia="宋体" w:cs="Times New Roman"/>
          <w:b/>
          <w:color w:val="000000" w:themeColor="text1"/>
          <w:sz w:val="24"/>
          <w:szCs w:val="24"/>
          <w:highlight w:val="none"/>
          <w14:textFill>
            <w14:solidFill>
              <w14:schemeClr w14:val="tx1"/>
            </w14:solidFill>
          </w14:textFill>
        </w:rPr>
        <w:t>。</w:t>
      </w:r>
    </w:p>
    <w:p w14:paraId="7726D69E">
      <w:pPr>
        <w:spacing w:line="324" w:lineRule="auto"/>
        <w:ind w:firstLine="482" w:firstLineChars="200"/>
        <w:rPr>
          <w:rFonts w:hint="default" w:ascii="Times New Roman" w:hAnsi="Times New Roman" w:eastAsia="宋体" w:cs="Times New Roman"/>
          <w:b/>
          <w:color w:val="000000" w:themeColor="text1"/>
          <w:sz w:val="24"/>
          <w:szCs w:val="24"/>
          <w:highlight w:val="none"/>
          <w14:textFill>
            <w14:solidFill>
              <w14:schemeClr w14:val="tx1"/>
            </w14:solidFill>
          </w14:textFill>
        </w:rPr>
      </w:pPr>
      <w:r>
        <w:rPr>
          <w:rFonts w:hint="default" w:ascii="Times New Roman" w:hAnsi="Times New Roman" w:eastAsia="宋体" w:cs="Times New Roman"/>
          <w:b/>
          <w:color w:val="000000" w:themeColor="text1"/>
          <w:sz w:val="24"/>
          <w:szCs w:val="24"/>
          <w:highlight w:val="none"/>
          <w14:textFill>
            <w14:solidFill>
              <w14:schemeClr w14:val="tx1"/>
            </w14:solidFill>
          </w14:textFill>
        </w:rPr>
        <w:t>二、受益人将基础交易项下债权转让第三人，或将保函索赔请求权转让第三人时，须经担保人书面同意，否则担保人在本保函项下的担保责任自动解除。</w:t>
      </w:r>
    </w:p>
    <w:p w14:paraId="1A1CE778">
      <w:pPr>
        <w:spacing w:line="324" w:lineRule="auto"/>
        <w:ind w:firstLine="480" w:firstLineChars="200"/>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三、未经担保人书面同意，</w:t>
      </w:r>
      <w:bookmarkStart w:id="29" w:name="核稿纠错_纠错结果_il8RzwnX"/>
      <w:r>
        <w:rPr>
          <w:rFonts w:hint="default" w:ascii="Times New Roman" w:hAnsi="Times New Roman" w:eastAsia="宋体" w:cs="Times New Roman"/>
          <w:color w:val="000000" w:themeColor="text1"/>
          <w:sz w:val="24"/>
          <w:szCs w:val="24"/>
          <w:highlight w:val="none"/>
          <w14:textFill>
            <w14:solidFill>
              <w14:schemeClr w14:val="tx1"/>
            </w14:solidFill>
          </w14:textFill>
        </w:rPr>
        <w:t>本保函不得转让、不得设定担保。</w:t>
      </w:r>
      <w:bookmarkEnd w:id="29"/>
    </w:p>
    <w:p w14:paraId="0ACFA84B">
      <w:pPr>
        <w:spacing w:line="324" w:lineRule="auto"/>
        <w:ind w:firstLine="480" w:firstLineChars="200"/>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四、本保函一经开立即生效，于</w:t>
      </w:r>
      <w:r>
        <w:rPr>
          <w:rFonts w:hint="default" w:ascii="Times New Roman" w:hAnsi="Times New Roman" w:eastAsia="宋体" w:cs="Times New Roman"/>
          <w:color w:val="000000" w:themeColor="text1"/>
          <w:sz w:val="24"/>
          <w:szCs w:val="24"/>
          <w:highlight w:val="none"/>
          <w:u w:val="single"/>
          <w14:textFill>
            <w14:solidFill>
              <w14:schemeClr w14:val="tx1"/>
            </w14:solidFill>
          </w14:textFill>
        </w:rPr>
        <w:t xml:space="preserve">       年    月   日</w:t>
      </w:r>
      <w:r>
        <w:rPr>
          <w:rFonts w:hint="default" w:ascii="Times New Roman" w:hAnsi="Times New Roman" w:eastAsia="宋体" w:cs="Times New Roman"/>
          <w:color w:val="000000" w:themeColor="text1"/>
          <w:sz w:val="24"/>
          <w:szCs w:val="24"/>
          <w:highlight w:val="none"/>
          <w14:textFill>
            <w14:solidFill>
              <w14:schemeClr w14:val="tx1"/>
            </w14:solidFill>
          </w14:textFill>
        </w:rPr>
        <w:t>担保人对公营业时间结束时失效（若该日为非银行营业时间，则以该日之前的最后一个银行营业日为准）；本保函有效期内保函正本原件为索赔要件且已返还担保人，或受益人声明放弃担保权益的，</w:t>
      </w:r>
      <w:bookmarkStart w:id="30" w:name="核稿纠错_纠错结果_PS2ihgvi"/>
      <w:r>
        <w:rPr>
          <w:rFonts w:hint="default" w:ascii="Times New Roman" w:hAnsi="Times New Roman" w:eastAsia="宋体" w:cs="Times New Roman"/>
          <w:color w:val="000000" w:themeColor="text1"/>
          <w:sz w:val="24"/>
          <w:szCs w:val="24"/>
          <w:highlight w:val="none"/>
          <w14:textFill>
            <w14:solidFill>
              <w14:schemeClr w14:val="tx1"/>
            </w14:solidFill>
          </w14:textFill>
        </w:rPr>
        <w:t>本保函亦失效。</w:t>
      </w:r>
      <w:bookmarkEnd w:id="30"/>
    </w:p>
    <w:p w14:paraId="66D6CB2C">
      <w:pPr>
        <w:spacing w:line="324" w:lineRule="auto"/>
        <w:ind w:firstLine="480" w:firstLineChars="200"/>
        <w:jc w:val="lef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本保函失效后，担保人在本保函项下的担保责任和义务自动解除。如为纸质保函，受益人应立即将本保函正本原件退回担保人，但无论是否退回，均不影响保函失效；如为电子保函，失效后无论受益人是否继续保留本保函电子文本、打印件、复印件等任何形式，或采取其他任何行为，均不能使受益人得到在本保函项下继续提出索赔的权利。</w:t>
      </w:r>
    </w:p>
    <w:p w14:paraId="26D43DB9">
      <w:pPr>
        <w:spacing w:line="324" w:lineRule="auto"/>
        <w:ind w:firstLine="480" w:firstLineChars="200"/>
        <w:rPr>
          <w:rFonts w:hint="default" w:ascii="Times New Roman" w:hAnsi="Times New Roman" w:eastAsia="宋体" w:cs="Times New Roman"/>
          <w:b/>
          <w:color w:val="000000" w:themeColor="text1"/>
          <w:sz w:val="24"/>
          <w:szCs w:val="24"/>
          <w:highlight w:val="none"/>
          <w14:textFill>
            <w14:solidFill>
              <w14:schemeClr w14:val="tx1"/>
            </w14:solidFill>
          </w14:textFill>
        </w:rPr>
      </w:pPr>
      <w:bookmarkStart w:id="31" w:name="核稿纠错_纠错结果_W7vDkbkT"/>
      <w:r>
        <w:rPr>
          <w:rFonts w:hint="default" w:ascii="Times New Roman" w:hAnsi="Times New Roman" w:eastAsia="宋体" w:cs="Times New Roman"/>
          <w:color w:val="000000" w:themeColor="text1"/>
          <w:sz w:val="24"/>
          <w:szCs w:val="24"/>
          <w:highlight w:val="none"/>
          <w14:textFill>
            <w14:solidFill>
              <w14:schemeClr w14:val="tx1"/>
            </w14:solidFill>
          </w14:textFill>
        </w:rPr>
        <w:t>五、本保函适用中华人民共和国法律，受中华人民共和国法律管辖。在本保函履行期间，如发生争议，各当事人首先应协商解决。</w:t>
      </w:r>
      <w:r>
        <w:rPr>
          <w:rFonts w:hint="default" w:ascii="Times New Roman" w:hAnsi="Times New Roman" w:eastAsia="宋体" w:cs="Times New Roman"/>
          <w:b/>
          <w:color w:val="000000" w:themeColor="text1"/>
          <w:sz w:val="24"/>
          <w:szCs w:val="24"/>
          <w:highlight w:val="none"/>
          <w14:textFill>
            <w14:solidFill>
              <w14:schemeClr w14:val="tx1"/>
            </w14:solidFill>
          </w14:textFill>
        </w:rPr>
        <w:t>协商不能解决的</w:t>
      </w:r>
      <w:r>
        <w:rPr>
          <w:rFonts w:hint="default" w:ascii="Times New Roman" w:hAnsi="Times New Roman" w:eastAsia="宋体" w:cs="Times New Roman"/>
          <w:color w:val="000000" w:themeColor="text1"/>
          <w:sz w:val="24"/>
          <w:szCs w:val="24"/>
          <w:highlight w:val="none"/>
          <w14:textFill>
            <w14:solidFill>
              <w14:schemeClr w14:val="tx1"/>
            </w14:solidFill>
          </w14:textFill>
        </w:rPr>
        <w:t>，</w:t>
      </w:r>
      <w:r>
        <w:rPr>
          <w:rFonts w:hint="default" w:ascii="Times New Roman" w:hAnsi="Times New Roman" w:eastAsia="宋体" w:cs="Times New Roman"/>
          <w:b/>
          <w:color w:val="000000" w:themeColor="text1"/>
          <w:sz w:val="24"/>
          <w:szCs w:val="24"/>
          <w:highlight w:val="none"/>
          <w14:textFill>
            <w14:solidFill>
              <w14:schemeClr w14:val="tx1"/>
            </w14:solidFill>
          </w14:textFill>
        </w:rPr>
        <w:t>任何一方应向担保人所在地有管辖权的法院提起诉讼。</w:t>
      </w:r>
      <w:bookmarkEnd w:id="31"/>
    </w:p>
    <w:p w14:paraId="76F1B80B">
      <w:pPr>
        <w:spacing w:line="324" w:lineRule="auto"/>
        <w:jc w:val="left"/>
        <w:rPr>
          <w:rFonts w:hint="default" w:ascii="Times New Roman" w:hAnsi="Times New Roman" w:eastAsia="宋体" w:cs="Times New Roman"/>
          <w:color w:val="000000" w:themeColor="text1"/>
          <w:sz w:val="24"/>
          <w:szCs w:val="24"/>
          <w:highlight w:val="none"/>
          <w14:textFill>
            <w14:solidFill>
              <w14:schemeClr w14:val="tx1"/>
            </w14:solidFill>
          </w14:textFill>
        </w:rPr>
      </w:pPr>
    </w:p>
    <w:p w14:paraId="03DEE885">
      <w:pPr>
        <w:spacing w:line="324" w:lineRule="auto"/>
        <w:jc w:val="lef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担保人：招商银行股份有限公司</w:t>
      </w:r>
      <w:r>
        <w:rPr>
          <w:rFonts w:hint="default" w:ascii="Times New Roman" w:hAnsi="Times New Roman" w:eastAsia="宋体" w:cs="Times New Roman"/>
          <w:color w:val="000000" w:themeColor="text1"/>
          <w:sz w:val="24"/>
          <w:szCs w:val="24"/>
          <w:highlight w:val="none"/>
          <w:u w:val="single"/>
          <w14:textFill>
            <w14:solidFill>
              <w14:schemeClr w14:val="tx1"/>
            </w14:solidFill>
          </w14:textFill>
        </w:rPr>
        <w:t xml:space="preserve">          </w:t>
      </w:r>
    </w:p>
    <w:p w14:paraId="4A650645">
      <w:pPr>
        <w:spacing w:line="324" w:lineRule="auto"/>
        <w:ind w:firstLine="1680" w:firstLineChars="700"/>
        <w:jc w:val="lef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（银行签章）</w:t>
      </w:r>
    </w:p>
    <w:p w14:paraId="3406C083">
      <w:pPr>
        <w:spacing w:line="324" w:lineRule="auto"/>
        <w:jc w:val="lef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有权签字人：</w:t>
      </w:r>
      <w:r>
        <w:rPr>
          <w:rFonts w:hint="default" w:ascii="Times New Roman" w:hAnsi="Times New Roman" w:eastAsia="宋体" w:cs="Times New Roman"/>
          <w:color w:val="000000" w:themeColor="text1"/>
          <w:sz w:val="24"/>
          <w:szCs w:val="24"/>
          <w:highlight w:val="none"/>
          <w:u w:val="single"/>
          <w14:textFill>
            <w14:solidFill>
              <w14:schemeClr w14:val="tx1"/>
            </w14:solidFill>
          </w14:textFill>
        </w:rPr>
        <w:t xml:space="preserve">                </w:t>
      </w:r>
    </w:p>
    <w:p w14:paraId="453AF0C9">
      <w:pPr>
        <w:spacing w:line="324" w:lineRule="auto"/>
        <w:jc w:val="left"/>
        <w:rPr>
          <w:rFonts w:hint="default" w:ascii="Times New Roman" w:hAnsi="Times New Roman" w:eastAsia="宋体" w:cs="Times New Roman"/>
          <w:color w:val="000000" w:themeColor="text1"/>
          <w:sz w:val="24"/>
          <w:szCs w:val="24"/>
          <w:highlight w:val="none"/>
          <w:u w:val="singl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开具日期：</w:t>
      </w:r>
      <w:r>
        <w:rPr>
          <w:rFonts w:hint="default" w:ascii="Times New Roman" w:hAnsi="Times New Roman" w:eastAsia="宋体" w:cs="Times New Roman"/>
          <w:color w:val="000000" w:themeColor="text1"/>
          <w:sz w:val="24"/>
          <w:szCs w:val="24"/>
          <w:highlight w:val="none"/>
          <w:u w:val="single"/>
          <w14:textFill>
            <w14:solidFill>
              <w14:schemeClr w14:val="tx1"/>
            </w14:solidFill>
          </w14:textFill>
        </w:rPr>
        <w:t xml:space="preserve">                </w:t>
      </w:r>
    </w:p>
    <w:p w14:paraId="45B67547">
      <w:pPr>
        <w:pStyle w:val="3"/>
        <w:spacing w:line="360" w:lineRule="auto"/>
        <w:jc w:val="both"/>
        <w:rPr>
          <w:rFonts w:hint="default" w:ascii="Times New Roman" w:hAnsi="Times New Roman" w:eastAsia="宋体" w:cs="Times New Roman"/>
          <w:b/>
          <w:bCs/>
          <w:highlight w:val="none"/>
        </w:rPr>
      </w:pPr>
      <w:r>
        <w:rPr>
          <w:rFonts w:hint="default" w:ascii="Times New Roman" w:hAnsi="Times New Roman" w:eastAsia="宋体" w:cs="Times New Roman"/>
          <w:highlight w:val="none"/>
        </w:rPr>
        <w:br w:type="page"/>
      </w:r>
      <w:r>
        <w:rPr>
          <w:rFonts w:hint="default" w:ascii="Times New Roman" w:hAnsi="Times New Roman" w:eastAsia="宋体" w:cs="Times New Roman"/>
          <w:b/>
          <w:bCs/>
          <w:highlight w:val="none"/>
        </w:rPr>
        <w:t>附件10 中标服务费承诺书</w:t>
      </w:r>
    </w:p>
    <w:p w14:paraId="5CC7D2E4">
      <w:pPr>
        <w:spacing w:line="360" w:lineRule="auto"/>
        <w:rPr>
          <w:rFonts w:hint="default" w:ascii="Times New Roman" w:hAnsi="Times New Roman" w:eastAsia="宋体" w:cs="Times New Roman"/>
          <w:b/>
          <w:bCs/>
          <w:sz w:val="24"/>
          <w:szCs w:val="24"/>
          <w:highlight w:val="none"/>
        </w:rPr>
      </w:pPr>
    </w:p>
    <w:p w14:paraId="4D6C2EDB">
      <w:pPr>
        <w:pStyle w:val="24"/>
        <w:spacing w:line="360" w:lineRule="auto"/>
        <w:rPr>
          <w:rFonts w:hint="default" w:ascii="Times New Roman" w:hAnsi="Times New Roman" w:eastAsia="宋体" w:cs="Times New Roman"/>
          <w:sz w:val="24"/>
          <w:szCs w:val="24"/>
          <w:highlight w:val="none"/>
        </w:rPr>
      </w:pPr>
    </w:p>
    <w:p w14:paraId="609CF174">
      <w:pPr>
        <w:spacing w:line="360" w:lineRule="auto"/>
        <w:rPr>
          <w:rFonts w:hint="default" w:ascii="Times New Roman" w:hAnsi="Times New Roman" w:eastAsia="宋体" w:cs="Times New Roman"/>
          <w:sz w:val="24"/>
          <w:highlight w:val="none"/>
          <w:u w:val="single"/>
        </w:rPr>
      </w:pPr>
      <w:r>
        <w:rPr>
          <w:rFonts w:hint="default" w:ascii="Times New Roman" w:hAnsi="Times New Roman" w:eastAsia="宋体" w:cs="Times New Roman"/>
          <w:sz w:val="24"/>
          <w:highlight w:val="none"/>
        </w:rPr>
        <w:t>致：东方国际招标有限责任公司</w:t>
      </w:r>
    </w:p>
    <w:p w14:paraId="553EB93D">
      <w:pPr>
        <w:spacing w:line="360" w:lineRule="auto"/>
        <w:rPr>
          <w:rFonts w:hint="default" w:ascii="Times New Roman" w:hAnsi="Times New Roman" w:eastAsia="宋体" w:cs="Times New Roman"/>
          <w:sz w:val="24"/>
          <w:highlight w:val="none"/>
        </w:rPr>
      </w:pPr>
    </w:p>
    <w:p w14:paraId="05593E8E">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ab/>
      </w:r>
      <w:r>
        <w:rPr>
          <w:rFonts w:hint="default" w:ascii="Times New Roman" w:hAnsi="Times New Roman" w:eastAsia="宋体" w:cs="Times New Roman"/>
          <w:sz w:val="24"/>
          <w:highlight w:val="none"/>
        </w:rPr>
        <w:t>我们在贵公司组织的</w:t>
      </w:r>
      <w:r>
        <w:rPr>
          <w:rFonts w:hint="default" w:ascii="Times New Roman" w:hAnsi="Times New Roman" w:eastAsia="宋体" w:cs="Times New Roman"/>
          <w:sz w:val="24"/>
          <w:highlight w:val="none"/>
          <w:u w:val="single"/>
        </w:rPr>
        <w:t xml:space="preserve">                   </w:t>
      </w:r>
      <w:r>
        <w:rPr>
          <w:rFonts w:hint="default" w:ascii="Times New Roman" w:hAnsi="Times New Roman" w:eastAsia="宋体" w:cs="Times New Roman"/>
          <w:sz w:val="24"/>
          <w:highlight w:val="none"/>
        </w:rPr>
        <w:t>项目招标中若获中标（招标文件编号：</w:t>
      </w:r>
      <w:r>
        <w:rPr>
          <w:rFonts w:hint="default" w:ascii="Times New Roman" w:hAnsi="Times New Roman" w:eastAsia="宋体" w:cs="Times New Roman"/>
          <w:sz w:val="24"/>
          <w:highlight w:val="none"/>
          <w:u w:val="single"/>
        </w:rPr>
        <w:t xml:space="preserve">                   </w:t>
      </w:r>
      <w:r>
        <w:rPr>
          <w:rFonts w:hint="default" w:ascii="Times New Roman" w:hAnsi="Times New Roman" w:eastAsia="宋体" w:cs="Times New Roman"/>
          <w:sz w:val="24"/>
          <w:highlight w:val="none"/>
        </w:rPr>
        <w:t>），我们保证在收到中标通知书后5个工作日内，按招标文件的规定，以支票、汇票或现金，向贵公司一次性支付应该交纳的中标服务费用。</w:t>
      </w:r>
    </w:p>
    <w:p w14:paraId="287AD7E1">
      <w:pPr>
        <w:spacing w:line="360" w:lineRule="auto"/>
        <w:rPr>
          <w:rFonts w:hint="default" w:ascii="Times New Roman" w:hAnsi="Times New Roman" w:eastAsia="宋体" w:cs="Times New Roman"/>
          <w:sz w:val="24"/>
          <w:highlight w:val="none"/>
        </w:rPr>
      </w:pPr>
    </w:p>
    <w:p w14:paraId="4F19E434">
      <w:pPr>
        <w:spacing w:line="360" w:lineRule="auto"/>
        <w:rPr>
          <w:rFonts w:hint="default" w:ascii="Times New Roman" w:hAnsi="Times New Roman" w:eastAsia="宋体" w:cs="Times New Roman"/>
          <w:sz w:val="24"/>
          <w:highlight w:val="none"/>
        </w:rPr>
      </w:pPr>
    </w:p>
    <w:p w14:paraId="2938517C">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ab/>
      </w:r>
      <w:r>
        <w:rPr>
          <w:rFonts w:hint="default" w:ascii="Times New Roman" w:hAnsi="Times New Roman" w:eastAsia="宋体" w:cs="Times New Roman"/>
          <w:sz w:val="24"/>
          <w:highlight w:val="none"/>
        </w:rPr>
        <w:tab/>
      </w:r>
      <w:r>
        <w:rPr>
          <w:rFonts w:hint="default" w:ascii="Times New Roman" w:hAnsi="Times New Roman" w:eastAsia="宋体" w:cs="Times New Roman"/>
          <w:sz w:val="24"/>
          <w:highlight w:val="none"/>
        </w:rPr>
        <w:t>特此承诺！</w:t>
      </w:r>
    </w:p>
    <w:p w14:paraId="37FC21B5">
      <w:pPr>
        <w:spacing w:line="360" w:lineRule="auto"/>
        <w:rPr>
          <w:rFonts w:hint="default" w:ascii="Times New Roman" w:hAnsi="Times New Roman" w:eastAsia="宋体" w:cs="Times New Roman"/>
          <w:sz w:val="24"/>
          <w:highlight w:val="none"/>
        </w:rPr>
      </w:pPr>
    </w:p>
    <w:p w14:paraId="2A10C918">
      <w:pPr>
        <w:spacing w:line="360" w:lineRule="auto"/>
        <w:rPr>
          <w:rFonts w:hint="default" w:ascii="Times New Roman" w:hAnsi="Times New Roman" w:eastAsia="宋体" w:cs="Times New Roman"/>
          <w:sz w:val="24"/>
          <w:highlight w:val="none"/>
        </w:rPr>
      </w:pPr>
    </w:p>
    <w:p w14:paraId="27FF32A1">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ab/>
      </w:r>
      <w:r>
        <w:rPr>
          <w:rFonts w:hint="default" w:ascii="Times New Roman" w:hAnsi="Times New Roman" w:eastAsia="宋体" w:cs="Times New Roman"/>
          <w:sz w:val="24"/>
          <w:highlight w:val="none"/>
        </w:rPr>
        <w:t>承诺方法定名称：</w:t>
      </w:r>
      <w:r>
        <w:rPr>
          <w:rFonts w:hint="default" w:ascii="Times New Roman" w:hAnsi="Times New Roman" w:eastAsia="宋体" w:cs="Times New Roman"/>
          <w:sz w:val="24"/>
          <w:highlight w:val="none"/>
          <w:u w:val="single"/>
        </w:rPr>
        <w:t xml:space="preserve">           </w:t>
      </w:r>
    </w:p>
    <w:p w14:paraId="5FB9E2FE">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ab/>
      </w:r>
      <w:r>
        <w:rPr>
          <w:rFonts w:hint="default" w:ascii="Times New Roman" w:hAnsi="Times New Roman" w:eastAsia="宋体" w:cs="Times New Roman"/>
          <w:sz w:val="24"/>
          <w:highlight w:val="none"/>
        </w:rPr>
        <w:t>地址：</w:t>
      </w:r>
      <w:r>
        <w:rPr>
          <w:rFonts w:hint="default" w:ascii="Times New Roman" w:hAnsi="Times New Roman" w:eastAsia="宋体" w:cs="Times New Roman"/>
          <w:sz w:val="24"/>
          <w:highlight w:val="none"/>
          <w:u w:val="single"/>
        </w:rPr>
        <w:t xml:space="preserve">           </w:t>
      </w:r>
    </w:p>
    <w:p w14:paraId="633FF1A4">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ab/>
      </w:r>
      <w:r>
        <w:rPr>
          <w:rFonts w:hint="default" w:ascii="Times New Roman" w:hAnsi="Times New Roman" w:eastAsia="宋体" w:cs="Times New Roman"/>
          <w:sz w:val="24"/>
          <w:highlight w:val="none"/>
        </w:rPr>
        <w:t>电话：</w:t>
      </w:r>
      <w:r>
        <w:rPr>
          <w:rFonts w:hint="default" w:ascii="Times New Roman" w:hAnsi="Times New Roman" w:eastAsia="宋体" w:cs="Times New Roman"/>
          <w:sz w:val="24"/>
          <w:highlight w:val="none"/>
          <w:u w:val="single"/>
        </w:rPr>
        <w:t xml:space="preserve">           </w:t>
      </w:r>
      <w:r>
        <w:rPr>
          <w:rFonts w:hint="default" w:ascii="Times New Roman" w:hAnsi="Times New Roman" w:eastAsia="宋体" w:cs="Times New Roman"/>
          <w:sz w:val="24"/>
          <w:highlight w:val="none"/>
        </w:rPr>
        <w:t>传真：</w:t>
      </w:r>
      <w:r>
        <w:rPr>
          <w:rFonts w:hint="default" w:ascii="Times New Roman" w:hAnsi="Times New Roman" w:eastAsia="宋体" w:cs="Times New Roman"/>
          <w:sz w:val="24"/>
          <w:highlight w:val="none"/>
          <w:u w:val="single"/>
        </w:rPr>
        <w:t xml:space="preserve">           </w:t>
      </w:r>
    </w:p>
    <w:p w14:paraId="771C228C">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ab/>
      </w:r>
      <w:r>
        <w:rPr>
          <w:rFonts w:hint="default" w:ascii="Times New Roman" w:hAnsi="Times New Roman" w:eastAsia="宋体" w:cs="Times New Roman"/>
          <w:sz w:val="24"/>
          <w:highlight w:val="none"/>
        </w:rPr>
        <w:t>电传：</w:t>
      </w:r>
      <w:r>
        <w:rPr>
          <w:rFonts w:hint="default" w:ascii="Times New Roman" w:hAnsi="Times New Roman" w:eastAsia="宋体" w:cs="Times New Roman"/>
          <w:sz w:val="24"/>
          <w:highlight w:val="none"/>
          <w:u w:val="single"/>
        </w:rPr>
        <w:t xml:space="preserve">           </w:t>
      </w:r>
      <w:r>
        <w:rPr>
          <w:rFonts w:hint="default" w:ascii="Times New Roman" w:hAnsi="Times New Roman" w:eastAsia="宋体" w:cs="Times New Roman"/>
          <w:sz w:val="24"/>
          <w:highlight w:val="none"/>
        </w:rPr>
        <w:t>邮编：</w:t>
      </w:r>
      <w:r>
        <w:rPr>
          <w:rFonts w:hint="default" w:ascii="Times New Roman" w:hAnsi="Times New Roman" w:eastAsia="宋体" w:cs="Times New Roman"/>
          <w:sz w:val="24"/>
          <w:highlight w:val="none"/>
          <w:u w:val="single"/>
        </w:rPr>
        <w:t xml:space="preserve">           </w:t>
      </w:r>
    </w:p>
    <w:p w14:paraId="1D59FF7F">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ab/>
      </w:r>
      <w:r>
        <w:rPr>
          <w:rFonts w:hint="default" w:ascii="Times New Roman" w:hAnsi="Times New Roman" w:eastAsia="宋体" w:cs="Times New Roman"/>
          <w:sz w:val="24"/>
          <w:highlight w:val="none"/>
        </w:rPr>
        <w:t>承诺方授权代表签字：</w:t>
      </w:r>
      <w:r>
        <w:rPr>
          <w:rFonts w:hint="default" w:ascii="Times New Roman" w:hAnsi="Times New Roman" w:eastAsia="宋体" w:cs="Times New Roman"/>
          <w:sz w:val="24"/>
          <w:highlight w:val="none"/>
          <w:u w:val="single"/>
        </w:rPr>
        <w:t xml:space="preserve">           </w:t>
      </w:r>
      <w:r>
        <w:rPr>
          <w:rFonts w:hint="default" w:ascii="Times New Roman" w:hAnsi="Times New Roman" w:eastAsia="宋体" w:cs="Times New Roman"/>
          <w:sz w:val="24"/>
          <w:highlight w:val="none"/>
        </w:rPr>
        <w:t>（承诺方盖章）</w:t>
      </w:r>
    </w:p>
    <w:p w14:paraId="206CF649">
      <w:pPr>
        <w:spacing w:line="360" w:lineRule="auto"/>
        <w:rPr>
          <w:rFonts w:hint="default" w:ascii="Times New Roman" w:hAnsi="Times New Roman" w:eastAsia="宋体" w:cs="Times New Roman"/>
          <w:sz w:val="24"/>
          <w:highlight w:val="none"/>
          <w:u w:val="single"/>
        </w:rPr>
      </w:pPr>
      <w:r>
        <w:rPr>
          <w:rFonts w:hint="default" w:ascii="Times New Roman" w:hAnsi="Times New Roman" w:eastAsia="宋体" w:cs="Times New Roman"/>
          <w:sz w:val="24"/>
          <w:highlight w:val="none"/>
        </w:rPr>
        <w:tab/>
      </w:r>
      <w:r>
        <w:rPr>
          <w:rFonts w:hint="default" w:ascii="Times New Roman" w:hAnsi="Times New Roman" w:eastAsia="宋体" w:cs="Times New Roman"/>
          <w:sz w:val="24"/>
          <w:highlight w:val="none"/>
        </w:rPr>
        <w:t>承诺日期：</w:t>
      </w:r>
      <w:r>
        <w:rPr>
          <w:rFonts w:hint="default" w:ascii="Times New Roman" w:hAnsi="Times New Roman" w:eastAsia="宋体" w:cs="Times New Roman"/>
          <w:sz w:val="24"/>
          <w:highlight w:val="none"/>
          <w:u w:val="single"/>
        </w:rPr>
        <w:t xml:space="preserve">           </w:t>
      </w:r>
    </w:p>
    <w:p w14:paraId="65D7C290">
      <w:pPr>
        <w:spacing w:line="360" w:lineRule="auto"/>
        <w:rPr>
          <w:rFonts w:hint="default" w:ascii="Times New Roman" w:hAnsi="Times New Roman" w:eastAsia="宋体" w:cs="Times New Roman"/>
          <w:highlight w:val="none"/>
        </w:rPr>
      </w:pPr>
      <w:r>
        <w:rPr>
          <w:rFonts w:hint="default" w:ascii="Times New Roman" w:hAnsi="Times New Roman" w:eastAsia="宋体" w:cs="Times New Roman"/>
          <w:highlight w:val="none"/>
        </w:rPr>
        <w:br w:type="page"/>
      </w:r>
    </w:p>
    <w:p w14:paraId="7B0413D0">
      <w:pPr>
        <w:pStyle w:val="3"/>
        <w:spacing w:line="360" w:lineRule="auto"/>
        <w:jc w:val="both"/>
        <w:rPr>
          <w:rFonts w:hint="default" w:ascii="Times New Roman" w:hAnsi="Times New Roman" w:eastAsia="宋体" w:cs="Times New Roman"/>
          <w:b/>
          <w:bCs/>
          <w:highlight w:val="none"/>
        </w:rPr>
      </w:pPr>
      <w:r>
        <w:rPr>
          <w:rFonts w:hint="default" w:ascii="Times New Roman" w:hAnsi="Times New Roman" w:eastAsia="宋体" w:cs="Times New Roman"/>
          <w:b/>
          <w:bCs/>
          <w:highlight w:val="none"/>
        </w:rPr>
        <w:t>附件11 货物技术说明文件（产品制造商原厂公开发布的资料参数等）</w:t>
      </w:r>
    </w:p>
    <w:p w14:paraId="7CCCB063">
      <w:pPr>
        <w:spacing w:line="360" w:lineRule="auto"/>
        <w:rPr>
          <w:rFonts w:hint="default" w:ascii="Times New Roman" w:hAnsi="Times New Roman" w:eastAsia="宋体" w:cs="Times New Roman"/>
          <w:b/>
          <w:bCs/>
          <w:highlight w:val="none"/>
        </w:rPr>
      </w:pPr>
      <w:r>
        <w:rPr>
          <w:rFonts w:hint="default" w:ascii="Times New Roman" w:hAnsi="Times New Roman" w:eastAsia="宋体" w:cs="Times New Roman"/>
          <w:b/>
          <w:bCs/>
          <w:highlight w:val="none"/>
        </w:rPr>
        <w:br w:type="page"/>
      </w:r>
    </w:p>
    <w:p w14:paraId="42F220E8">
      <w:pPr>
        <w:pStyle w:val="3"/>
        <w:spacing w:line="360" w:lineRule="auto"/>
        <w:jc w:val="both"/>
        <w:rPr>
          <w:rFonts w:hint="default" w:ascii="Times New Roman" w:hAnsi="Times New Roman" w:eastAsia="宋体" w:cs="Times New Roman"/>
          <w:b/>
          <w:bCs/>
          <w:highlight w:val="none"/>
        </w:rPr>
      </w:pPr>
      <w:r>
        <w:rPr>
          <w:rFonts w:hint="default" w:ascii="Times New Roman" w:hAnsi="Times New Roman" w:eastAsia="宋体" w:cs="Times New Roman"/>
          <w:b/>
          <w:bCs/>
          <w:highlight w:val="none"/>
        </w:rPr>
        <w:t>附件12 投标人针对本项目的技术支持及售后服务的方案内容</w:t>
      </w:r>
    </w:p>
    <w:p w14:paraId="562E9ABB">
      <w:pPr>
        <w:spacing w:line="360" w:lineRule="auto"/>
        <w:rPr>
          <w:rFonts w:hint="default" w:ascii="Times New Roman" w:hAnsi="Times New Roman" w:eastAsia="宋体" w:cs="Times New Roman"/>
          <w:b/>
          <w:bCs/>
          <w:highlight w:val="none"/>
        </w:rPr>
      </w:pPr>
      <w:r>
        <w:rPr>
          <w:rFonts w:hint="default" w:ascii="Times New Roman" w:hAnsi="Times New Roman" w:eastAsia="宋体" w:cs="Times New Roman"/>
          <w:b/>
          <w:bCs/>
          <w:highlight w:val="none"/>
        </w:rPr>
        <w:br w:type="page"/>
      </w:r>
    </w:p>
    <w:p w14:paraId="0A247039">
      <w:pPr>
        <w:pStyle w:val="3"/>
        <w:spacing w:line="360" w:lineRule="auto"/>
        <w:jc w:val="both"/>
        <w:rPr>
          <w:rFonts w:hint="default" w:ascii="Times New Roman" w:hAnsi="Times New Roman" w:eastAsia="宋体" w:cs="Times New Roman"/>
          <w:b/>
          <w:bCs/>
          <w:highlight w:val="none"/>
        </w:rPr>
      </w:pPr>
      <w:r>
        <w:rPr>
          <w:rFonts w:hint="default" w:ascii="Times New Roman" w:hAnsi="Times New Roman" w:eastAsia="宋体" w:cs="Times New Roman"/>
          <w:b/>
          <w:bCs/>
          <w:highlight w:val="none"/>
        </w:rPr>
        <w:t>附件13 服务方案</w:t>
      </w:r>
    </w:p>
    <w:p w14:paraId="06EAFE25">
      <w:pPr>
        <w:spacing w:line="360" w:lineRule="auto"/>
        <w:rPr>
          <w:rFonts w:hint="default" w:ascii="Times New Roman" w:hAnsi="Times New Roman" w:eastAsia="宋体" w:cs="Times New Roman"/>
          <w:b/>
          <w:bCs/>
          <w:highlight w:val="none"/>
        </w:rPr>
      </w:pPr>
      <w:r>
        <w:rPr>
          <w:rFonts w:hint="default" w:ascii="Times New Roman" w:hAnsi="Times New Roman" w:eastAsia="宋体" w:cs="Times New Roman"/>
          <w:b/>
          <w:bCs/>
          <w:highlight w:val="none"/>
        </w:rPr>
        <w:t>包括但不限于技术开发、项目管理计划、风险分析、测试验收等等，具体详见采购需求以及技术评分内容。</w:t>
      </w:r>
    </w:p>
    <w:p w14:paraId="0098F93B">
      <w:pPr>
        <w:spacing w:line="360" w:lineRule="auto"/>
        <w:rPr>
          <w:rFonts w:hint="default" w:ascii="Times New Roman" w:hAnsi="Times New Roman" w:eastAsia="宋体" w:cs="Times New Roman"/>
          <w:b/>
          <w:bCs/>
          <w:highlight w:val="none"/>
        </w:rPr>
      </w:pPr>
      <w:r>
        <w:rPr>
          <w:rFonts w:hint="default" w:ascii="Times New Roman" w:hAnsi="Times New Roman" w:eastAsia="宋体" w:cs="Times New Roman"/>
          <w:b/>
          <w:bCs/>
          <w:highlight w:val="none"/>
        </w:rPr>
        <w:br w:type="page"/>
      </w:r>
    </w:p>
    <w:p w14:paraId="12ABE7AA">
      <w:pPr>
        <w:pStyle w:val="3"/>
        <w:spacing w:line="360" w:lineRule="auto"/>
        <w:jc w:val="both"/>
        <w:rPr>
          <w:rFonts w:hint="default" w:ascii="Times New Roman" w:hAnsi="Times New Roman" w:eastAsia="宋体" w:cs="Times New Roman"/>
          <w:b/>
          <w:bCs/>
          <w:highlight w:val="none"/>
        </w:rPr>
      </w:pPr>
      <w:r>
        <w:rPr>
          <w:rFonts w:hint="default" w:ascii="Times New Roman" w:hAnsi="Times New Roman" w:eastAsia="宋体" w:cs="Times New Roman"/>
          <w:b/>
          <w:bCs/>
          <w:highlight w:val="none"/>
        </w:rPr>
        <w:t>附件14 中小企业声明函</w:t>
      </w:r>
    </w:p>
    <w:p w14:paraId="41CC9F8E">
      <w:pPr>
        <w:spacing w:line="360" w:lineRule="auto"/>
        <w:rPr>
          <w:rFonts w:hint="default" w:ascii="Times New Roman" w:hAnsi="Times New Roman" w:eastAsia="宋体" w:cs="Times New Roman"/>
          <w:highlight w:val="none"/>
        </w:rPr>
      </w:pPr>
      <w:r>
        <w:rPr>
          <w:rFonts w:hint="default" w:ascii="Times New Roman" w:hAnsi="Times New Roman" w:eastAsia="宋体" w:cs="Times New Roman"/>
          <w:highlight w:val="none"/>
        </w:rPr>
        <w:t>（如为中小企业，应按《政府采购促进中小企业发展管理办法》的规定提供）</w:t>
      </w:r>
    </w:p>
    <w:p w14:paraId="6464DDA7">
      <w:pPr>
        <w:spacing w:before="162" w:line="360" w:lineRule="auto"/>
        <w:rPr>
          <w:rFonts w:hint="default" w:ascii="Times New Roman" w:hAnsi="Times New Roman" w:eastAsia="宋体" w:cs="Times New Roman"/>
          <w:b/>
          <w:bCs/>
          <w:highlight w:val="none"/>
        </w:rPr>
      </w:pPr>
    </w:p>
    <w:p w14:paraId="54D5C41F">
      <w:pPr>
        <w:spacing w:before="162" w:line="360" w:lineRule="auto"/>
        <w:rPr>
          <w:rFonts w:hint="default" w:ascii="Times New Roman" w:hAnsi="Times New Roman" w:eastAsia="宋体" w:cs="Times New Roman"/>
          <w:b/>
          <w:bCs/>
          <w:sz w:val="24"/>
          <w:szCs w:val="28"/>
          <w:highlight w:val="none"/>
        </w:rPr>
      </w:pPr>
      <w:r>
        <w:rPr>
          <w:rFonts w:hint="default" w:ascii="Times New Roman" w:hAnsi="Times New Roman" w:eastAsia="宋体" w:cs="Times New Roman"/>
          <w:b/>
          <w:bCs/>
          <w:sz w:val="24"/>
          <w:szCs w:val="28"/>
          <w:highlight w:val="none"/>
        </w:rPr>
        <w:t>中小企业声明函（货物）</w:t>
      </w:r>
    </w:p>
    <w:p w14:paraId="6AB630A4">
      <w:pPr>
        <w:pStyle w:val="5"/>
        <w:spacing w:before="55" w:line="360" w:lineRule="auto"/>
        <w:ind w:right="415" w:firstLine="640"/>
        <w:rPr>
          <w:rFonts w:hint="default" w:ascii="Times New Roman" w:hAnsi="Times New Roman" w:eastAsia="宋体" w:cs="Times New Roman"/>
          <w:spacing w:val="-2"/>
          <w:sz w:val="24"/>
          <w:szCs w:val="28"/>
          <w:highlight w:val="none"/>
        </w:rPr>
      </w:pPr>
      <w:r>
        <w:rPr>
          <w:rFonts w:hint="default" w:ascii="Times New Roman" w:hAnsi="Times New Roman" w:eastAsia="宋体" w:cs="Times New Roman"/>
          <w:spacing w:val="-2"/>
          <w:sz w:val="24"/>
          <w:szCs w:val="28"/>
          <w:highlight w:val="none"/>
        </w:rPr>
        <w:t>本公司</w:t>
      </w:r>
      <w:r>
        <w:rPr>
          <w:rFonts w:hint="default" w:ascii="Times New Roman" w:hAnsi="Times New Roman" w:eastAsia="宋体" w:cs="Times New Roman"/>
          <w:sz w:val="24"/>
          <w:szCs w:val="28"/>
          <w:highlight w:val="none"/>
        </w:rPr>
        <w:t>（联合体</w:t>
      </w:r>
      <w:r>
        <w:rPr>
          <w:rFonts w:hint="default" w:ascii="Times New Roman" w:hAnsi="Times New Roman" w:eastAsia="宋体" w:cs="Times New Roman"/>
          <w:spacing w:val="-5"/>
          <w:sz w:val="24"/>
          <w:szCs w:val="28"/>
          <w:highlight w:val="none"/>
        </w:rPr>
        <w:t>）</w:t>
      </w:r>
      <w:r>
        <w:rPr>
          <w:rFonts w:hint="default" w:ascii="Times New Roman" w:hAnsi="Times New Roman" w:eastAsia="宋体" w:cs="Times New Roman"/>
          <w:spacing w:val="-2"/>
          <w:sz w:val="24"/>
          <w:szCs w:val="28"/>
          <w:highlight w:val="none"/>
        </w:rPr>
        <w:t>郑重声明，根据《政府采购促进中小</w:t>
      </w:r>
      <w:r>
        <w:rPr>
          <w:rFonts w:hint="default" w:ascii="Times New Roman" w:hAnsi="Times New Roman" w:eastAsia="宋体" w:cs="Times New Roman"/>
          <w:spacing w:val="-18"/>
          <w:sz w:val="24"/>
          <w:szCs w:val="28"/>
          <w:highlight w:val="none"/>
        </w:rPr>
        <w:t>企业发展管理办法》</w:t>
      </w:r>
      <w:r>
        <w:rPr>
          <w:rFonts w:hint="default" w:ascii="Times New Roman" w:hAnsi="Times New Roman" w:eastAsia="宋体" w:cs="Times New Roman"/>
          <w:sz w:val="24"/>
          <w:szCs w:val="28"/>
          <w:highlight w:val="none"/>
        </w:rPr>
        <w:t>（</w:t>
      </w:r>
      <w:r>
        <w:rPr>
          <w:rFonts w:hint="default" w:ascii="Times New Roman" w:hAnsi="Times New Roman" w:eastAsia="宋体" w:cs="Times New Roman"/>
          <w:spacing w:val="5"/>
          <w:sz w:val="24"/>
          <w:szCs w:val="28"/>
          <w:highlight w:val="none"/>
        </w:rPr>
        <w:t>财库</w:t>
      </w:r>
      <w:r>
        <w:rPr>
          <w:rFonts w:hint="default" w:ascii="Times New Roman" w:hAnsi="Times New Roman" w:eastAsia="宋体" w:cs="Times New Roman"/>
          <w:sz w:val="24"/>
          <w:szCs w:val="28"/>
          <w:highlight w:val="none"/>
        </w:rPr>
        <w:t>﹝2020﹞46</w:t>
      </w:r>
      <w:r>
        <w:rPr>
          <w:rFonts w:hint="default" w:ascii="Times New Roman" w:hAnsi="Times New Roman" w:eastAsia="宋体" w:cs="Times New Roman"/>
          <w:spacing w:val="-38"/>
          <w:sz w:val="24"/>
          <w:szCs w:val="28"/>
          <w:highlight w:val="none"/>
        </w:rPr>
        <w:t xml:space="preserve"> 号</w:t>
      </w:r>
      <w:r>
        <w:rPr>
          <w:rFonts w:hint="default" w:ascii="Times New Roman" w:hAnsi="Times New Roman" w:eastAsia="宋体" w:cs="Times New Roman"/>
          <w:spacing w:val="5"/>
          <w:sz w:val="24"/>
          <w:szCs w:val="28"/>
          <w:highlight w:val="none"/>
        </w:rPr>
        <w:t>）</w:t>
      </w:r>
      <w:r>
        <w:rPr>
          <w:rFonts w:hint="default" w:ascii="Times New Roman" w:hAnsi="Times New Roman" w:eastAsia="宋体" w:cs="Times New Roman"/>
          <w:sz w:val="24"/>
          <w:szCs w:val="28"/>
          <w:highlight w:val="none"/>
        </w:rPr>
        <w:t>的规定，本公司</w:t>
      </w:r>
      <w:r>
        <w:rPr>
          <w:rFonts w:hint="default" w:ascii="Times New Roman" w:hAnsi="Times New Roman" w:eastAsia="宋体" w:cs="Times New Roman"/>
          <w:spacing w:val="-2"/>
          <w:sz w:val="24"/>
          <w:szCs w:val="28"/>
          <w:highlight w:val="none"/>
        </w:rPr>
        <w:t>（联合体）参加</w:t>
      </w:r>
      <w:r>
        <w:rPr>
          <w:rFonts w:hint="default" w:ascii="Times New Roman" w:hAnsi="Times New Roman" w:eastAsia="宋体" w:cs="Times New Roman"/>
          <w:b/>
          <w:bCs/>
          <w:i/>
          <w:iCs/>
          <w:spacing w:val="-2"/>
          <w:sz w:val="24"/>
          <w:szCs w:val="28"/>
          <w:highlight w:val="none"/>
          <w:u w:val="single"/>
        </w:rPr>
        <w:t>（单位名称）</w:t>
      </w:r>
      <w:r>
        <w:rPr>
          <w:rFonts w:hint="default" w:ascii="Times New Roman" w:hAnsi="Times New Roman" w:eastAsia="宋体" w:cs="Times New Roman"/>
          <w:spacing w:val="-2"/>
          <w:sz w:val="24"/>
          <w:szCs w:val="28"/>
          <w:highlight w:val="none"/>
        </w:rPr>
        <w:t>的</w:t>
      </w:r>
      <w:r>
        <w:rPr>
          <w:rFonts w:hint="default" w:ascii="Times New Roman" w:hAnsi="Times New Roman" w:eastAsia="宋体" w:cs="Times New Roman"/>
          <w:b/>
          <w:bCs/>
          <w:i/>
          <w:iCs/>
          <w:spacing w:val="-2"/>
          <w:sz w:val="24"/>
          <w:szCs w:val="28"/>
          <w:highlight w:val="none"/>
          <w:u w:val="single"/>
        </w:rPr>
        <w:t>（项目名称）</w:t>
      </w:r>
      <w:r>
        <w:rPr>
          <w:rFonts w:hint="default" w:ascii="Times New Roman" w:hAnsi="Times New Roman" w:eastAsia="宋体" w:cs="Times New Roman"/>
          <w:spacing w:val="-2"/>
          <w:sz w:val="24"/>
          <w:szCs w:val="28"/>
          <w:highlight w:val="none"/>
        </w:rPr>
        <w:t>采购活动，提供的货物全部由符合政策要求的中小企业制造。相关企业（含联合体中的中小企业、签订分包意向协议的中小企业） 的具体情况如下：</w:t>
      </w:r>
    </w:p>
    <w:p w14:paraId="52E363D5">
      <w:pPr>
        <w:pStyle w:val="5"/>
        <w:spacing w:before="55" w:line="360" w:lineRule="auto"/>
        <w:ind w:right="415" w:firstLine="640"/>
        <w:rPr>
          <w:rFonts w:hint="default" w:ascii="Times New Roman" w:hAnsi="Times New Roman" w:eastAsia="宋体" w:cs="Times New Roman"/>
          <w:spacing w:val="-2"/>
          <w:sz w:val="24"/>
          <w:szCs w:val="28"/>
          <w:highlight w:val="none"/>
        </w:rPr>
      </w:pPr>
      <w:r>
        <w:rPr>
          <w:rFonts w:hint="default" w:ascii="Times New Roman" w:hAnsi="Times New Roman" w:eastAsia="宋体" w:cs="Times New Roman"/>
          <w:sz w:val="24"/>
          <w:szCs w:val="28"/>
          <w:highlight w:val="none"/>
        </w:rPr>
        <mc:AlternateContent>
          <mc:Choice Requires="wps">
            <w:drawing>
              <wp:anchor distT="0" distB="0" distL="114300" distR="114300" simplePos="0" relativeHeight="251661312" behindDoc="1" locked="0" layoutInCell="1" allowOverlap="1">
                <wp:simplePos x="0" y="0"/>
                <wp:positionH relativeFrom="page">
                  <wp:posOffset>3701415</wp:posOffset>
                </wp:positionH>
                <wp:positionV relativeFrom="paragraph">
                  <wp:posOffset>231140</wp:posOffset>
                </wp:positionV>
                <wp:extent cx="2715895" cy="0"/>
                <wp:effectExtent l="0" t="4445" r="0" b="5080"/>
                <wp:wrapNone/>
                <wp:docPr id="4" name="直线 8"/>
                <wp:cNvGraphicFramePr/>
                <a:graphic xmlns:a="http://schemas.openxmlformats.org/drawingml/2006/main">
                  <a:graphicData uri="http://schemas.microsoft.com/office/word/2010/wordprocessingShape">
                    <wps:wsp>
                      <wps:cNvCnPr/>
                      <wps:spPr>
                        <a:xfrm>
                          <a:off x="0" y="0"/>
                          <a:ext cx="2715895" cy="0"/>
                        </a:xfrm>
                        <a:prstGeom prst="line">
                          <a:avLst/>
                        </a:prstGeom>
                        <a:ln w="9144" cap="flat" cmpd="sng">
                          <a:solidFill>
                            <a:srgbClr val="000000"/>
                          </a:solidFill>
                          <a:prstDash val="solid"/>
                          <a:headEnd type="none" w="med" len="med"/>
                          <a:tailEnd type="none" w="med" len="med"/>
                        </a:ln>
                        <a:effectLst/>
                      </wps:spPr>
                      <wps:bodyPr/>
                    </wps:wsp>
                  </a:graphicData>
                </a:graphic>
              </wp:anchor>
            </w:drawing>
          </mc:Choice>
          <mc:Fallback>
            <w:pict>
              <v:line id="直线 8" o:spid="_x0000_s1026" o:spt="20" style="position:absolute;left:0pt;margin-left:291.45pt;margin-top:18.2pt;height:0pt;width:213.85pt;mso-position-horizontal-relative:page;z-index:-251655168;mso-width-relative:page;mso-height-relative:page;" filled="f" stroked="t" coordsize="21600,21600" o:gfxdata="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HpG/gdYAAAAK&#10;AQAADwAAAAAAAAABACAAAAAiAAAAZHJzL2Rvd25yZXYueG1sUEsBAhQAFAAAAAgAh07iQEG8mOnl&#10;AQAA3QMAAA4AAAAAAAAAAQAgAAAAJQEAAGRycy9lMm9Eb2MueG1sUEsFBgAAAAAGAAYAWQEAAHwF&#10;AAAAAA==&#10;">
                <v:fill on="f" focussize="0,0"/>
                <v:stroke weight="0.72pt" color="#000000" joinstyle="round"/>
                <v:imagedata o:title=""/>
                <o:lock v:ext="edit" aspectratio="f"/>
              </v:line>
            </w:pict>
          </mc:Fallback>
        </mc:AlternateContent>
      </w:r>
      <w:r>
        <w:rPr>
          <w:rFonts w:hint="default" w:ascii="Times New Roman" w:hAnsi="Times New Roman" w:eastAsia="宋体" w:cs="Times New Roman"/>
          <w:spacing w:val="-2"/>
          <w:sz w:val="24"/>
          <w:szCs w:val="28"/>
          <w:highlight w:val="none"/>
        </w:rPr>
        <w:t xml:space="preserve"> 1. </w:t>
      </w:r>
      <w:r>
        <w:rPr>
          <w:rFonts w:hint="default" w:ascii="Times New Roman" w:hAnsi="Times New Roman" w:eastAsia="宋体" w:cs="Times New Roman"/>
          <w:b/>
          <w:bCs/>
          <w:spacing w:val="-2"/>
          <w:sz w:val="24"/>
          <w:szCs w:val="24"/>
          <w:highlight w:val="none"/>
          <w:u w:val="single"/>
        </w:rPr>
        <w:t xml:space="preserve">（ </w:t>
      </w:r>
      <w:r>
        <w:rPr>
          <w:rFonts w:hint="default" w:ascii="Times New Roman" w:hAnsi="Times New Roman" w:eastAsia="宋体" w:cs="Times New Roman"/>
          <w:b/>
          <w:bCs/>
          <w:i/>
          <w:iCs/>
          <w:spacing w:val="-2"/>
          <w:sz w:val="24"/>
          <w:szCs w:val="24"/>
          <w:highlight w:val="none"/>
          <w:u w:val="single"/>
        </w:rPr>
        <w:t>标 的 名 称</w:t>
      </w:r>
      <w:r>
        <w:rPr>
          <w:rFonts w:hint="default" w:ascii="Times New Roman" w:hAnsi="Times New Roman" w:eastAsia="宋体" w:cs="Times New Roman"/>
          <w:b/>
          <w:bCs/>
          <w:spacing w:val="-2"/>
          <w:sz w:val="24"/>
          <w:szCs w:val="24"/>
          <w:highlight w:val="none"/>
          <w:u w:val="single"/>
        </w:rPr>
        <w:t xml:space="preserve"> ）</w:t>
      </w:r>
      <w:r>
        <w:rPr>
          <w:rFonts w:hint="default" w:ascii="Times New Roman" w:hAnsi="Times New Roman" w:eastAsia="宋体" w:cs="Times New Roman"/>
          <w:bCs/>
          <w:spacing w:val="-2"/>
          <w:sz w:val="24"/>
          <w:szCs w:val="24"/>
          <w:highlight w:val="none"/>
        </w:rPr>
        <w:t>， 属 于</w:t>
      </w:r>
      <w:r>
        <w:rPr>
          <w:rFonts w:hint="default" w:ascii="Times New Roman" w:hAnsi="Times New Roman" w:eastAsia="宋体" w:cs="Times New Roman"/>
          <w:b/>
          <w:bCs/>
          <w:spacing w:val="-2"/>
          <w:sz w:val="24"/>
          <w:szCs w:val="24"/>
          <w:highlight w:val="none"/>
        </w:rPr>
        <w:t>（</w:t>
      </w:r>
      <w:r>
        <w:rPr>
          <w:rFonts w:hint="default" w:ascii="Times New Roman" w:hAnsi="Times New Roman" w:eastAsia="宋体" w:cs="Times New Roman"/>
          <w:b/>
          <w:bCs/>
          <w:i/>
          <w:iCs/>
          <w:spacing w:val="-2"/>
          <w:sz w:val="24"/>
          <w:szCs w:val="24"/>
          <w:highlight w:val="none"/>
          <w:u w:val="single"/>
        </w:rPr>
        <w:t>采购文件中明确的所属行业</w:t>
      </w:r>
      <w:r>
        <w:rPr>
          <w:rFonts w:hint="default" w:ascii="Times New Roman" w:hAnsi="Times New Roman" w:eastAsia="宋体" w:cs="Times New Roman"/>
          <w:b/>
          <w:bCs/>
          <w:spacing w:val="-2"/>
          <w:sz w:val="24"/>
          <w:szCs w:val="24"/>
          <w:highlight w:val="none"/>
        </w:rPr>
        <w:t>）</w:t>
      </w:r>
      <w:r>
        <w:rPr>
          <w:rFonts w:hint="default" w:ascii="Times New Roman" w:hAnsi="Times New Roman" w:eastAsia="宋体" w:cs="Times New Roman"/>
          <w:bCs/>
          <w:spacing w:val="-2"/>
          <w:sz w:val="24"/>
          <w:szCs w:val="24"/>
          <w:highlight w:val="none"/>
        </w:rPr>
        <w:t>行业；</w:t>
      </w:r>
      <w:r>
        <w:rPr>
          <w:rFonts w:hint="default" w:ascii="Times New Roman" w:hAnsi="Times New Roman" w:eastAsia="宋体" w:cs="Times New Roman"/>
          <w:spacing w:val="-2"/>
          <w:sz w:val="24"/>
          <w:szCs w:val="28"/>
          <w:highlight w:val="none"/>
        </w:rPr>
        <w:t>；制造商为</w:t>
      </w:r>
      <w:r>
        <w:rPr>
          <w:rFonts w:hint="default" w:ascii="Times New Roman" w:hAnsi="Times New Roman" w:eastAsia="宋体" w:cs="Times New Roman"/>
          <w:b/>
          <w:bCs/>
          <w:i/>
          <w:iCs/>
          <w:spacing w:val="-2"/>
          <w:sz w:val="24"/>
          <w:szCs w:val="28"/>
          <w:highlight w:val="none"/>
          <w:u w:val="single"/>
        </w:rPr>
        <w:t>（企业名称）</w:t>
      </w:r>
      <w:r>
        <w:rPr>
          <w:rFonts w:hint="default" w:ascii="Times New Roman" w:hAnsi="Times New Roman" w:eastAsia="宋体" w:cs="Times New Roman"/>
          <w:spacing w:val="-2"/>
          <w:sz w:val="24"/>
          <w:szCs w:val="28"/>
          <w:highlight w:val="none"/>
        </w:rPr>
        <w:t>，从业人员</w:t>
      </w:r>
      <w:r>
        <w:rPr>
          <w:rFonts w:hint="default" w:ascii="Times New Roman" w:hAnsi="Times New Roman" w:eastAsia="宋体" w:cs="Times New Roman"/>
          <w:spacing w:val="-2"/>
          <w:sz w:val="24"/>
          <w:szCs w:val="28"/>
          <w:highlight w:val="none"/>
          <w:u w:val="single"/>
        </w:rPr>
        <w:t xml:space="preserve">      </w:t>
      </w:r>
      <w:r>
        <w:rPr>
          <w:rFonts w:hint="default" w:ascii="Times New Roman" w:hAnsi="Times New Roman" w:eastAsia="宋体" w:cs="Times New Roman"/>
          <w:spacing w:val="-2"/>
          <w:sz w:val="24"/>
          <w:szCs w:val="28"/>
          <w:highlight w:val="none"/>
        </w:rPr>
        <w:t>人，营业收入为</w:t>
      </w:r>
      <w:r>
        <w:rPr>
          <w:rFonts w:hint="default" w:ascii="Times New Roman" w:hAnsi="Times New Roman" w:eastAsia="宋体" w:cs="Times New Roman"/>
          <w:spacing w:val="-2"/>
          <w:sz w:val="24"/>
          <w:szCs w:val="28"/>
          <w:highlight w:val="none"/>
          <w:u w:val="single"/>
        </w:rPr>
        <w:t xml:space="preserve">    </w:t>
      </w:r>
      <w:r>
        <w:rPr>
          <w:rFonts w:hint="default" w:ascii="Times New Roman" w:hAnsi="Times New Roman" w:eastAsia="宋体" w:cs="Times New Roman"/>
          <w:spacing w:val="-2"/>
          <w:sz w:val="24"/>
          <w:szCs w:val="28"/>
          <w:highlight w:val="none"/>
        </w:rPr>
        <w:t>万元，资产总额为</w:t>
      </w:r>
      <w:r>
        <w:rPr>
          <w:rFonts w:hint="default" w:ascii="Times New Roman" w:hAnsi="Times New Roman" w:eastAsia="宋体" w:cs="Times New Roman"/>
          <w:spacing w:val="-2"/>
          <w:sz w:val="24"/>
          <w:szCs w:val="28"/>
          <w:highlight w:val="none"/>
          <w:u w:val="single"/>
        </w:rPr>
        <w:t xml:space="preserve">     </w:t>
      </w:r>
      <w:r>
        <w:rPr>
          <w:rFonts w:hint="default" w:ascii="Times New Roman" w:hAnsi="Times New Roman" w:eastAsia="宋体" w:cs="Times New Roman"/>
          <w:spacing w:val="-2"/>
          <w:sz w:val="24"/>
          <w:szCs w:val="28"/>
          <w:highlight w:val="none"/>
        </w:rPr>
        <w:t>万元</w:t>
      </w:r>
      <w:r>
        <w:rPr>
          <w:rFonts w:hint="default" w:ascii="Times New Roman" w:hAnsi="Times New Roman" w:eastAsia="宋体" w:cs="Times New Roman"/>
          <w:highlight w:val="none"/>
        </w:rPr>
        <w:fldChar w:fldCharType="begin"/>
      </w:r>
      <w:r>
        <w:rPr>
          <w:rFonts w:hint="default" w:ascii="Times New Roman" w:hAnsi="Times New Roman" w:eastAsia="宋体" w:cs="Times New Roman"/>
          <w:highlight w:val="none"/>
        </w:rPr>
        <w:instrText xml:space="preserve"> HYPERLINK \l "_bookmark0" </w:instrText>
      </w:r>
      <w:r>
        <w:rPr>
          <w:rFonts w:hint="default" w:ascii="Times New Roman" w:hAnsi="Times New Roman" w:eastAsia="宋体" w:cs="Times New Roman"/>
          <w:highlight w:val="none"/>
        </w:rPr>
        <w:fldChar w:fldCharType="separate"/>
      </w:r>
      <w:r>
        <w:rPr>
          <w:rFonts w:hint="default" w:ascii="Times New Roman" w:hAnsi="Times New Roman" w:eastAsia="宋体" w:cs="Times New Roman"/>
          <w:spacing w:val="-2"/>
          <w:sz w:val="24"/>
          <w:szCs w:val="28"/>
          <w:highlight w:val="none"/>
          <w:vertAlign w:val="superscript"/>
        </w:rPr>
        <w:t>1</w:t>
      </w:r>
      <w:r>
        <w:rPr>
          <w:rFonts w:hint="default" w:ascii="Times New Roman" w:hAnsi="Times New Roman" w:eastAsia="宋体" w:cs="Times New Roman"/>
          <w:spacing w:val="-2"/>
          <w:sz w:val="24"/>
          <w:szCs w:val="28"/>
          <w:highlight w:val="none"/>
          <w:vertAlign w:val="superscript"/>
        </w:rPr>
        <w:fldChar w:fldCharType="end"/>
      </w:r>
      <w:r>
        <w:rPr>
          <w:rFonts w:hint="default" w:ascii="Times New Roman" w:hAnsi="Times New Roman" w:eastAsia="宋体" w:cs="Times New Roman"/>
          <w:spacing w:val="-2"/>
          <w:sz w:val="24"/>
          <w:szCs w:val="28"/>
          <w:highlight w:val="none"/>
        </w:rPr>
        <w:t>，属于</w:t>
      </w:r>
      <w:r>
        <w:rPr>
          <w:rFonts w:hint="default" w:ascii="Times New Roman" w:hAnsi="Times New Roman" w:eastAsia="宋体" w:cs="Times New Roman"/>
          <w:b/>
          <w:bCs/>
          <w:i/>
          <w:iCs/>
          <w:spacing w:val="-2"/>
          <w:sz w:val="24"/>
          <w:szCs w:val="28"/>
          <w:highlight w:val="none"/>
          <w:u w:val="single"/>
        </w:rPr>
        <w:t>（中型企业、小型企业、微型企业）</w:t>
      </w:r>
      <w:r>
        <w:rPr>
          <w:rFonts w:hint="default" w:ascii="Times New Roman" w:hAnsi="Times New Roman" w:eastAsia="宋体" w:cs="Times New Roman"/>
          <w:spacing w:val="-2"/>
          <w:sz w:val="24"/>
          <w:szCs w:val="28"/>
          <w:highlight w:val="none"/>
        </w:rPr>
        <w:t>；</w:t>
      </w:r>
    </w:p>
    <w:p w14:paraId="28BCFB4C">
      <w:pPr>
        <w:pStyle w:val="5"/>
        <w:spacing w:before="55" w:line="360" w:lineRule="auto"/>
        <w:ind w:right="415" w:firstLine="640"/>
        <w:rPr>
          <w:rFonts w:hint="default" w:ascii="Times New Roman" w:hAnsi="Times New Roman" w:eastAsia="宋体" w:cs="Times New Roman"/>
          <w:spacing w:val="-2"/>
          <w:sz w:val="24"/>
          <w:szCs w:val="28"/>
          <w:highlight w:val="none"/>
        </w:rPr>
      </w:pPr>
      <w:r>
        <w:rPr>
          <w:rFonts w:hint="default" w:ascii="Times New Roman" w:hAnsi="Times New Roman" w:eastAsia="宋体" w:cs="Times New Roman"/>
          <w:sz w:val="24"/>
          <w:szCs w:val="28"/>
          <w:highlight w:val="none"/>
        </w:rPr>
        <mc:AlternateContent>
          <mc:Choice Requires="wps">
            <w:drawing>
              <wp:anchor distT="0" distB="0" distL="114300" distR="114300" simplePos="0" relativeHeight="251662336" behindDoc="1" locked="0" layoutInCell="1" allowOverlap="1">
                <wp:simplePos x="0" y="0"/>
                <wp:positionH relativeFrom="page">
                  <wp:posOffset>3701415</wp:posOffset>
                </wp:positionH>
                <wp:positionV relativeFrom="paragraph">
                  <wp:posOffset>233045</wp:posOffset>
                </wp:positionV>
                <wp:extent cx="2715895" cy="0"/>
                <wp:effectExtent l="0" t="4445" r="0" b="5080"/>
                <wp:wrapNone/>
                <wp:docPr id="5" name="直线 9"/>
                <wp:cNvGraphicFramePr/>
                <a:graphic xmlns:a="http://schemas.openxmlformats.org/drawingml/2006/main">
                  <a:graphicData uri="http://schemas.microsoft.com/office/word/2010/wordprocessingShape">
                    <wps:wsp>
                      <wps:cNvCnPr/>
                      <wps:spPr>
                        <a:xfrm>
                          <a:off x="0" y="0"/>
                          <a:ext cx="2715895" cy="0"/>
                        </a:xfrm>
                        <a:prstGeom prst="line">
                          <a:avLst/>
                        </a:prstGeom>
                        <a:ln w="9144" cap="flat" cmpd="sng">
                          <a:solidFill>
                            <a:srgbClr val="000000"/>
                          </a:solidFill>
                          <a:prstDash val="solid"/>
                          <a:headEnd type="none" w="med" len="med"/>
                          <a:tailEnd type="none" w="med" len="med"/>
                        </a:ln>
                        <a:effectLst/>
                      </wps:spPr>
                      <wps:bodyPr/>
                    </wps:wsp>
                  </a:graphicData>
                </a:graphic>
              </wp:anchor>
            </w:drawing>
          </mc:Choice>
          <mc:Fallback>
            <w:pict>
              <v:line id="直线 9" o:spid="_x0000_s1026" o:spt="20" style="position:absolute;left:0pt;margin-left:291.45pt;margin-top:18.35pt;height:0pt;width:213.85pt;mso-position-horizontal-relative:page;z-index:-251654144;mso-width-relative:page;mso-height-relative:page;" filled="f" stroked="t" coordsize="21600,21600" o:gfxdata="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1yiIeNYAAAAK&#10;AQAADwAAAAAAAAABACAAAAAiAAAAZHJzL2Rvd25yZXYueG1sUEsBAhQAFAAAAAgAh07iQA4KVcfl&#10;AQAA3QMAAA4AAAAAAAAAAQAgAAAAJQEAAGRycy9lMm9Eb2MueG1sUEsFBgAAAAAGAAYAWQEAAHwF&#10;AAAAAA==&#10;">
                <v:fill on="f" focussize="0,0"/>
                <v:stroke weight="0.72pt" color="#000000" joinstyle="round"/>
                <v:imagedata o:title=""/>
                <o:lock v:ext="edit" aspectratio="f"/>
              </v:line>
            </w:pict>
          </mc:Fallback>
        </mc:AlternateContent>
      </w:r>
      <w:r>
        <w:rPr>
          <w:rFonts w:hint="default" w:ascii="Times New Roman" w:hAnsi="Times New Roman" w:eastAsia="宋体" w:cs="Times New Roman"/>
          <w:spacing w:val="-2"/>
          <w:sz w:val="24"/>
          <w:szCs w:val="28"/>
          <w:highlight w:val="none"/>
        </w:rPr>
        <w:t xml:space="preserve"> 2.  </w:t>
      </w:r>
      <w:r>
        <w:rPr>
          <w:rFonts w:hint="default" w:ascii="Times New Roman" w:hAnsi="Times New Roman" w:eastAsia="宋体" w:cs="Times New Roman"/>
          <w:b/>
          <w:bCs/>
          <w:spacing w:val="-2"/>
          <w:sz w:val="24"/>
          <w:szCs w:val="24"/>
          <w:highlight w:val="none"/>
          <w:u w:val="single"/>
        </w:rPr>
        <w:t xml:space="preserve">（ </w:t>
      </w:r>
      <w:r>
        <w:rPr>
          <w:rFonts w:hint="default" w:ascii="Times New Roman" w:hAnsi="Times New Roman" w:eastAsia="宋体" w:cs="Times New Roman"/>
          <w:b/>
          <w:bCs/>
          <w:i/>
          <w:iCs/>
          <w:spacing w:val="-2"/>
          <w:sz w:val="24"/>
          <w:szCs w:val="24"/>
          <w:highlight w:val="none"/>
          <w:u w:val="single"/>
        </w:rPr>
        <w:t>标 的 名 称</w:t>
      </w:r>
      <w:r>
        <w:rPr>
          <w:rFonts w:hint="default" w:ascii="Times New Roman" w:hAnsi="Times New Roman" w:eastAsia="宋体" w:cs="Times New Roman"/>
          <w:b/>
          <w:bCs/>
          <w:spacing w:val="-2"/>
          <w:sz w:val="24"/>
          <w:szCs w:val="24"/>
          <w:highlight w:val="none"/>
          <w:u w:val="single"/>
        </w:rPr>
        <w:t xml:space="preserve"> ）</w:t>
      </w:r>
      <w:r>
        <w:rPr>
          <w:rFonts w:hint="default" w:ascii="Times New Roman" w:hAnsi="Times New Roman" w:eastAsia="宋体" w:cs="Times New Roman"/>
          <w:bCs/>
          <w:spacing w:val="-2"/>
          <w:sz w:val="24"/>
          <w:szCs w:val="24"/>
          <w:highlight w:val="none"/>
        </w:rPr>
        <w:t xml:space="preserve"> ， 属 于</w:t>
      </w:r>
      <w:r>
        <w:rPr>
          <w:rFonts w:hint="default" w:ascii="Times New Roman" w:hAnsi="Times New Roman" w:eastAsia="宋体" w:cs="Times New Roman"/>
          <w:b/>
          <w:bCs/>
          <w:spacing w:val="-2"/>
          <w:sz w:val="24"/>
          <w:szCs w:val="24"/>
          <w:highlight w:val="none"/>
        </w:rPr>
        <w:t>（</w:t>
      </w:r>
      <w:r>
        <w:rPr>
          <w:rFonts w:hint="default" w:ascii="Times New Roman" w:hAnsi="Times New Roman" w:eastAsia="宋体" w:cs="Times New Roman"/>
          <w:b/>
          <w:bCs/>
          <w:i/>
          <w:iCs/>
          <w:spacing w:val="-2"/>
          <w:sz w:val="24"/>
          <w:szCs w:val="24"/>
          <w:highlight w:val="none"/>
          <w:u w:val="single"/>
        </w:rPr>
        <w:t>采购文件中明确的所属行业</w:t>
      </w:r>
      <w:r>
        <w:rPr>
          <w:rFonts w:hint="default" w:ascii="Times New Roman" w:hAnsi="Times New Roman" w:eastAsia="宋体" w:cs="Times New Roman"/>
          <w:b/>
          <w:bCs/>
          <w:spacing w:val="-2"/>
          <w:sz w:val="24"/>
          <w:szCs w:val="24"/>
          <w:highlight w:val="none"/>
        </w:rPr>
        <w:t>）</w:t>
      </w:r>
      <w:r>
        <w:rPr>
          <w:rFonts w:hint="default" w:ascii="Times New Roman" w:hAnsi="Times New Roman" w:eastAsia="宋体" w:cs="Times New Roman"/>
          <w:bCs/>
          <w:spacing w:val="-2"/>
          <w:sz w:val="24"/>
          <w:szCs w:val="24"/>
          <w:highlight w:val="none"/>
        </w:rPr>
        <w:t>行业；</w:t>
      </w:r>
      <w:r>
        <w:rPr>
          <w:rFonts w:hint="default" w:ascii="Times New Roman" w:hAnsi="Times New Roman" w:eastAsia="宋体" w:cs="Times New Roman"/>
          <w:spacing w:val="-2"/>
          <w:sz w:val="24"/>
          <w:szCs w:val="28"/>
          <w:highlight w:val="none"/>
        </w:rPr>
        <w:t>；制造商为</w:t>
      </w:r>
      <w:r>
        <w:rPr>
          <w:rFonts w:hint="default" w:ascii="Times New Roman" w:hAnsi="Times New Roman" w:eastAsia="宋体" w:cs="Times New Roman"/>
          <w:b/>
          <w:bCs/>
          <w:i/>
          <w:iCs/>
          <w:spacing w:val="-2"/>
          <w:sz w:val="24"/>
          <w:szCs w:val="28"/>
          <w:highlight w:val="none"/>
          <w:u w:val="single"/>
        </w:rPr>
        <w:t>（企业名称）</w:t>
      </w:r>
      <w:r>
        <w:rPr>
          <w:rFonts w:hint="default" w:ascii="Times New Roman" w:hAnsi="Times New Roman" w:eastAsia="宋体" w:cs="Times New Roman"/>
          <w:spacing w:val="-2"/>
          <w:sz w:val="24"/>
          <w:szCs w:val="28"/>
          <w:highlight w:val="none"/>
        </w:rPr>
        <w:t>，从业人员</w:t>
      </w:r>
      <w:r>
        <w:rPr>
          <w:rFonts w:hint="default" w:ascii="Times New Roman" w:hAnsi="Times New Roman" w:eastAsia="宋体" w:cs="Times New Roman"/>
          <w:spacing w:val="-2"/>
          <w:sz w:val="24"/>
          <w:szCs w:val="28"/>
          <w:highlight w:val="none"/>
          <w:u w:val="single"/>
        </w:rPr>
        <w:t xml:space="preserve">      </w:t>
      </w:r>
      <w:r>
        <w:rPr>
          <w:rFonts w:hint="default" w:ascii="Times New Roman" w:hAnsi="Times New Roman" w:eastAsia="宋体" w:cs="Times New Roman"/>
          <w:spacing w:val="-2"/>
          <w:sz w:val="24"/>
          <w:szCs w:val="28"/>
          <w:highlight w:val="none"/>
        </w:rPr>
        <w:t>人，营业收入为</w:t>
      </w:r>
      <w:r>
        <w:rPr>
          <w:rFonts w:hint="default" w:ascii="Times New Roman" w:hAnsi="Times New Roman" w:eastAsia="宋体" w:cs="Times New Roman"/>
          <w:spacing w:val="-2"/>
          <w:sz w:val="24"/>
          <w:szCs w:val="28"/>
          <w:highlight w:val="none"/>
          <w:u w:val="single"/>
        </w:rPr>
        <w:t xml:space="preserve">    </w:t>
      </w:r>
      <w:r>
        <w:rPr>
          <w:rFonts w:hint="default" w:ascii="Times New Roman" w:hAnsi="Times New Roman" w:eastAsia="宋体" w:cs="Times New Roman"/>
          <w:spacing w:val="-2"/>
          <w:sz w:val="24"/>
          <w:szCs w:val="28"/>
          <w:highlight w:val="none"/>
        </w:rPr>
        <w:t>万元，资产总额为</w:t>
      </w:r>
      <w:r>
        <w:rPr>
          <w:rFonts w:hint="default" w:ascii="Times New Roman" w:hAnsi="Times New Roman" w:eastAsia="宋体" w:cs="Times New Roman"/>
          <w:spacing w:val="-2"/>
          <w:sz w:val="24"/>
          <w:szCs w:val="28"/>
          <w:highlight w:val="none"/>
          <w:u w:val="single"/>
        </w:rPr>
        <w:t xml:space="preserve">     </w:t>
      </w:r>
      <w:r>
        <w:rPr>
          <w:rFonts w:hint="default" w:ascii="Times New Roman" w:hAnsi="Times New Roman" w:eastAsia="宋体" w:cs="Times New Roman"/>
          <w:spacing w:val="-2"/>
          <w:sz w:val="24"/>
          <w:szCs w:val="28"/>
          <w:highlight w:val="none"/>
        </w:rPr>
        <w:t>万元</w:t>
      </w:r>
      <w:r>
        <w:rPr>
          <w:rFonts w:hint="default" w:ascii="Times New Roman" w:hAnsi="Times New Roman" w:eastAsia="宋体" w:cs="Times New Roman"/>
          <w:highlight w:val="none"/>
        </w:rPr>
        <w:fldChar w:fldCharType="begin"/>
      </w:r>
      <w:r>
        <w:rPr>
          <w:rFonts w:hint="default" w:ascii="Times New Roman" w:hAnsi="Times New Roman" w:eastAsia="宋体" w:cs="Times New Roman"/>
          <w:highlight w:val="none"/>
        </w:rPr>
        <w:instrText xml:space="preserve"> HYPERLINK \l "_bookmark0" </w:instrText>
      </w:r>
      <w:r>
        <w:rPr>
          <w:rFonts w:hint="default" w:ascii="Times New Roman" w:hAnsi="Times New Roman" w:eastAsia="宋体" w:cs="Times New Roman"/>
          <w:highlight w:val="none"/>
        </w:rPr>
        <w:fldChar w:fldCharType="separate"/>
      </w:r>
      <w:r>
        <w:rPr>
          <w:rFonts w:hint="default" w:ascii="Times New Roman" w:hAnsi="Times New Roman" w:eastAsia="宋体" w:cs="Times New Roman"/>
          <w:spacing w:val="-2"/>
          <w:sz w:val="24"/>
          <w:szCs w:val="28"/>
          <w:highlight w:val="none"/>
          <w:vertAlign w:val="superscript"/>
        </w:rPr>
        <w:t>1</w:t>
      </w:r>
      <w:r>
        <w:rPr>
          <w:rFonts w:hint="default" w:ascii="Times New Roman" w:hAnsi="Times New Roman" w:eastAsia="宋体" w:cs="Times New Roman"/>
          <w:spacing w:val="-2"/>
          <w:sz w:val="24"/>
          <w:szCs w:val="28"/>
          <w:highlight w:val="none"/>
          <w:vertAlign w:val="superscript"/>
        </w:rPr>
        <w:fldChar w:fldCharType="end"/>
      </w:r>
      <w:r>
        <w:rPr>
          <w:rFonts w:hint="default" w:ascii="Times New Roman" w:hAnsi="Times New Roman" w:eastAsia="宋体" w:cs="Times New Roman"/>
          <w:spacing w:val="-2"/>
          <w:sz w:val="24"/>
          <w:szCs w:val="28"/>
          <w:highlight w:val="none"/>
        </w:rPr>
        <w:t>，属于</w:t>
      </w:r>
      <w:r>
        <w:rPr>
          <w:rFonts w:hint="default" w:ascii="Times New Roman" w:hAnsi="Times New Roman" w:eastAsia="宋体" w:cs="Times New Roman"/>
          <w:b/>
          <w:bCs/>
          <w:i/>
          <w:iCs/>
          <w:spacing w:val="-2"/>
          <w:sz w:val="24"/>
          <w:szCs w:val="28"/>
          <w:highlight w:val="none"/>
          <w:u w:val="single"/>
        </w:rPr>
        <w:t>（中型企业、小型企业、微型企业）</w:t>
      </w:r>
      <w:r>
        <w:rPr>
          <w:rFonts w:hint="default" w:ascii="Times New Roman" w:hAnsi="Times New Roman" w:eastAsia="宋体" w:cs="Times New Roman"/>
          <w:spacing w:val="-2"/>
          <w:sz w:val="24"/>
          <w:szCs w:val="28"/>
          <w:highlight w:val="none"/>
        </w:rPr>
        <w:t>；</w:t>
      </w:r>
    </w:p>
    <w:p w14:paraId="559C591A">
      <w:pPr>
        <w:pStyle w:val="5"/>
        <w:spacing w:before="55" w:line="360" w:lineRule="auto"/>
        <w:ind w:right="415" w:firstLine="640"/>
        <w:rPr>
          <w:rFonts w:hint="default" w:ascii="Times New Roman" w:hAnsi="Times New Roman" w:eastAsia="宋体" w:cs="Times New Roman"/>
          <w:spacing w:val="-2"/>
          <w:sz w:val="24"/>
          <w:szCs w:val="28"/>
          <w:highlight w:val="none"/>
        </w:rPr>
      </w:pPr>
      <w:r>
        <w:rPr>
          <w:rFonts w:hint="default" w:ascii="Times New Roman" w:hAnsi="Times New Roman" w:eastAsia="宋体" w:cs="Times New Roman"/>
          <w:spacing w:val="-2"/>
          <w:sz w:val="24"/>
          <w:szCs w:val="28"/>
          <w:highlight w:val="none"/>
        </w:rPr>
        <w:t>……</w:t>
      </w:r>
    </w:p>
    <w:p w14:paraId="62E45689">
      <w:pPr>
        <w:pStyle w:val="5"/>
        <w:spacing w:before="55" w:line="360" w:lineRule="auto"/>
        <w:ind w:right="415" w:firstLine="640"/>
        <w:rPr>
          <w:rFonts w:hint="default" w:ascii="Times New Roman" w:hAnsi="Times New Roman" w:eastAsia="宋体" w:cs="Times New Roman"/>
          <w:spacing w:val="-2"/>
          <w:sz w:val="24"/>
          <w:szCs w:val="28"/>
          <w:highlight w:val="none"/>
        </w:rPr>
      </w:pPr>
      <w:r>
        <w:rPr>
          <w:rFonts w:hint="default" w:ascii="Times New Roman" w:hAnsi="Times New Roman" w:eastAsia="宋体" w:cs="Times New Roman"/>
          <w:spacing w:val="-2"/>
          <w:sz w:val="24"/>
          <w:szCs w:val="28"/>
          <w:highlight w:val="none"/>
        </w:rPr>
        <w:t>以上企业，不属于大企业的分支机构，不存在控股股东为大企业的情形，也不存在与大企业的负责人为同一人的情形。</w:t>
      </w:r>
    </w:p>
    <w:p w14:paraId="23662132">
      <w:pPr>
        <w:pStyle w:val="5"/>
        <w:spacing w:before="55" w:line="360" w:lineRule="auto"/>
        <w:ind w:right="415" w:firstLine="640"/>
        <w:rPr>
          <w:rFonts w:hint="default" w:ascii="Times New Roman" w:hAnsi="Times New Roman" w:eastAsia="宋体" w:cs="Times New Roman"/>
          <w:spacing w:val="-2"/>
          <w:sz w:val="24"/>
          <w:szCs w:val="28"/>
          <w:highlight w:val="none"/>
        </w:rPr>
      </w:pPr>
      <w:r>
        <w:rPr>
          <w:rFonts w:hint="default" w:ascii="Times New Roman" w:hAnsi="Times New Roman" w:eastAsia="宋体" w:cs="Times New Roman"/>
          <w:spacing w:val="-2"/>
          <w:sz w:val="24"/>
          <w:szCs w:val="28"/>
          <w:highlight w:val="none"/>
        </w:rPr>
        <w:t>本企业对上述声明内容的真实性负责。如有虚假，将依法承担相应责任。</w:t>
      </w:r>
    </w:p>
    <w:p w14:paraId="694A78FC">
      <w:pPr>
        <w:pStyle w:val="5"/>
        <w:spacing w:before="55" w:line="360" w:lineRule="auto"/>
        <w:ind w:right="415" w:firstLine="5196" w:firstLineChars="2202"/>
        <w:rPr>
          <w:rFonts w:hint="default" w:ascii="Times New Roman" w:hAnsi="Times New Roman" w:eastAsia="宋体" w:cs="Times New Roman"/>
          <w:spacing w:val="-2"/>
          <w:sz w:val="24"/>
          <w:szCs w:val="28"/>
          <w:highlight w:val="none"/>
        </w:rPr>
      </w:pPr>
    </w:p>
    <w:p w14:paraId="152F41BF">
      <w:pPr>
        <w:pStyle w:val="5"/>
        <w:spacing w:before="55" w:line="360" w:lineRule="auto"/>
        <w:ind w:right="415" w:firstLine="5196" w:firstLineChars="2202"/>
        <w:rPr>
          <w:rFonts w:hint="default" w:ascii="Times New Roman" w:hAnsi="Times New Roman" w:eastAsia="宋体" w:cs="Times New Roman"/>
          <w:spacing w:val="-2"/>
          <w:sz w:val="24"/>
          <w:szCs w:val="28"/>
          <w:highlight w:val="none"/>
        </w:rPr>
      </w:pPr>
      <w:r>
        <w:rPr>
          <w:rFonts w:hint="default" w:ascii="Times New Roman" w:hAnsi="Times New Roman" w:eastAsia="宋体" w:cs="Times New Roman"/>
          <w:spacing w:val="-2"/>
          <w:sz w:val="24"/>
          <w:szCs w:val="28"/>
          <w:highlight w:val="none"/>
        </w:rPr>
        <w:t>企业名称（盖章）：</w:t>
      </w:r>
    </w:p>
    <w:p w14:paraId="55BCF77C">
      <w:pPr>
        <w:pStyle w:val="5"/>
        <w:spacing w:before="55" w:line="360" w:lineRule="auto"/>
        <w:ind w:right="415" w:firstLine="5196" w:firstLineChars="2202"/>
        <w:rPr>
          <w:rFonts w:hint="default" w:ascii="Times New Roman" w:hAnsi="Times New Roman" w:eastAsia="宋体" w:cs="Times New Roman"/>
          <w:spacing w:val="-2"/>
          <w:sz w:val="24"/>
          <w:szCs w:val="28"/>
          <w:highlight w:val="none"/>
        </w:rPr>
      </w:pPr>
      <w:r>
        <w:rPr>
          <w:rFonts w:hint="default" w:ascii="Times New Roman" w:hAnsi="Times New Roman" w:eastAsia="宋体" w:cs="Times New Roman"/>
          <w:spacing w:val="-2"/>
          <w:sz w:val="24"/>
          <w:szCs w:val="28"/>
          <w:highlight w:val="none"/>
        </w:rPr>
        <w:t>日期：</w:t>
      </w:r>
    </w:p>
    <w:p w14:paraId="15B5C6F5">
      <w:pPr>
        <w:pStyle w:val="5"/>
        <w:spacing w:before="55" w:line="360" w:lineRule="auto"/>
        <w:ind w:right="415"/>
        <w:rPr>
          <w:rFonts w:hint="default" w:ascii="Times New Roman" w:hAnsi="Times New Roman" w:eastAsia="宋体" w:cs="Times New Roman"/>
          <w:spacing w:val="-2"/>
          <w:highlight w:val="none"/>
        </w:rPr>
      </w:pPr>
    </w:p>
    <w:p w14:paraId="2CEA2964">
      <w:pPr>
        <w:spacing w:line="360" w:lineRule="auto"/>
        <w:ind w:left="20"/>
        <w:rPr>
          <w:rFonts w:hint="default" w:ascii="Times New Roman" w:hAnsi="Times New Roman" w:eastAsia="宋体" w:cs="Times New Roman"/>
          <w:sz w:val="18"/>
          <w:highlight w:val="none"/>
        </w:rPr>
      </w:pPr>
      <w:r>
        <w:rPr>
          <w:rFonts w:hint="default" w:ascii="Times New Roman" w:hAnsi="Times New Roman" w:eastAsia="宋体" w:cs="Times New Roman"/>
          <w:sz w:val="18"/>
          <w:highlight w:val="none"/>
          <w:vertAlign w:val="superscript"/>
        </w:rPr>
        <w:t>1</w:t>
      </w:r>
      <w:r>
        <w:rPr>
          <w:rFonts w:hint="default" w:ascii="Times New Roman" w:hAnsi="Times New Roman" w:eastAsia="宋体" w:cs="Times New Roman"/>
          <w:sz w:val="18"/>
          <w:highlight w:val="none"/>
        </w:rPr>
        <w:t>从业人员、营业收入、资产总额填报上一年度数据，无上一年度数据的新成立企业可不填报。</w:t>
      </w:r>
    </w:p>
    <w:p w14:paraId="50E02E6F">
      <w:pPr>
        <w:widowControl/>
        <w:spacing w:line="360" w:lineRule="auto"/>
        <w:rPr>
          <w:rFonts w:hint="default" w:ascii="Times New Roman" w:hAnsi="Times New Roman" w:eastAsia="宋体" w:cs="Times New Roman"/>
          <w:spacing w:val="-2"/>
          <w:highlight w:val="none"/>
        </w:rPr>
      </w:pPr>
      <w:r>
        <w:rPr>
          <w:rFonts w:hint="default" w:ascii="Times New Roman" w:hAnsi="Times New Roman" w:eastAsia="宋体" w:cs="Times New Roman"/>
          <w:spacing w:val="-2"/>
          <w:highlight w:val="none"/>
        </w:rPr>
        <w:br w:type="page"/>
      </w:r>
    </w:p>
    <w:p w14:paraId="28081394">
      <w:pPr>
        <w:pStyle w:val="4"/>
        <w:spacing w:line="600" w:lineRule="exact"/>
        <w:ind w:firstLine="482" w:firstLineChars="200"/>
        <w:jc w:val="both"/>
        <w:outlineLvl w:val="1"/>
        <w:rPr>
          <w:rFonts w:hint="default" w:ascii="Times New Roman" w:hAnsi="Times New Roman" w:eastAsia="宋体" w:cs="Times New Roman"/>
          <w:highlight w:val="none"/>
          <w:u w:val="single"/>
        </w:rPr>
      </w:pPr>
      <w:r>
        <w:rPr>
          <w:rFonts w:hint="default" w:ascii="Times New Roman" w:hAnsi="Times New Roman" w:eastAsia="宋体" w:cs="Times New Roman"/>
          <w:b/>
          <w:highlight w:val="none"/>
        </w:rPr>
        <w:t>附件15《关于符合本国产品标准的声明函》和《关于符合本国产品标准的成本占比承诺函》（统一格式）</w:t>
      </w:r>
    </w:p>
    <w:p w14:paraId="6063520D">
      <w:pPr>
        <w:adjustRightInd w:val="0"/>
        <w:snapToGrid w:val="0"/>
        <w:rPr>
          <w:rFonts w:hint="default" w:ascii="Times New Roman" w:hAnsi="Times New Roman" w:eastAsia="宋体" w:cs="Times New Roman"/>
          <w:b/>
          <w:sz w:val="24"/>
          <w:highlight w:val="none"/>
        </w:rPr>
      </w:pPr>
    </w:p>
    <w:p w14:paraId="17F51EC3">
      <w:pPr>
        <w:pStyle w:val="23"/>
        <w:shd w:val="clear" w:color="auto" w:fill="FFFFFF"/>
        <w:spacing w:before="20" w:beforeAutospacing="0" w:after="20" w:afterAutospacing="0"/>
        <w:jc w:val="both"/>
        <w:rPr>
          <w:rFonts w:hint="default" w:ascii="Times New Roman" w:hAnsi="Times New Roman" w:eastAsia="宋体" w:cs="Times New Roman"/>
          <w:color w:val="333333"/>
          <w:highlight w:val="none"/>
        </w:rPr>
      </w:pPr>
      <w:r>
        <w:rPr>
          <w:rStyle w:val="31"/>
          <w:rFonts w:hint="default" w:ascii="Times New Roman" w:hAnsi="Times New Roman" w:eastAsia="宋体" w:cs="Times New Roman"/>
          <w:color w:val="333333"/>
          <w:highlight w:val="none"/>
          <w:shd w:val="clear" w:color="auto" w:fill="FFFFFF"/>
        </w:rPr>
        <w:t>关于符合本国产品标准的声明函</w:t>
      </w:r>
    </w:p>
    <w:p w14:paraId="433899F7">
      <w:pPr>
        <w:pStyle w:val="23"/>
        <w:shd w:val="clear" w:color="auto" w:fill="FFFFFF"/>
        <w:spacing w:before="20" w:beforeAutospacing="0" w:after="20" w:afterAutospacing="0"/>
        <w:ind w:firstLine="420"/>
        <w:jc w:val="both"/>
        <w:rPr>
          <w:rFonts w:hint="default" w:ascii="Times New Roman" w:hAnsi="Times New Roman" w:eastAsia="宋体" w:cs="Times New Roman"/>
          <w:color w:val="333333"/>
          <w:highlight w:val="none"/>
        </w:rPr>
      </w:pPr>
    </w:p>
    <w:p w14:paraId="718B5701">
      <w:pPr>
        <w:pStyle w:val="23"/>
        <w:shd w:val="clear" w:color="auto" w:fill="FFFFFF"/>
        <w:spacing w:before="20" w:beforeAutospacing="0" w:after="20" w:afterAutospacing="0" w:line="560" w:lineRule="atLeast"/>
        <w:ind w:firstLine="420"/>
        <w:jc w:val="both"/>
        <w:textAlignment w:val="baseline"/>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09D02408">
      <w:pPr>
        <w:pStyle w:val="23"/>
        <w:shd w:val="clear" w:color="auto" w:fill="FFFFFF"/>
        <w:spacing w:before="20" w:beforeAutospacing="0" w:after="20" w:afterAutospacing="0" w:line="560" w:lineRule="atLeast"/>
        <w:ind w:firstLine="480" w:firstLineChars="200"/>
        <w:jc w:val="both"/>
        <w:textAlignment w:val="baseline"/>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shd w:val="clear" w:color="auto" w:fill="FFFFFF"/>
        </w:rPr>
        <w:t>1.</w:t>
      </w:r>
      <w:r>
        <w:rPr>
          <w:rStyle w:val="34"/>
          <w:rFonts w:hint="default" w:ascii="Times New Roman" w:hAnsi="Times New Roman" w:eastAsia="宋体" w:cs="Times New Roman"/>
          <w:b/>
          <w:bCs/>
          <w:i w:val="0"/>
          <w:iCs w:val="0"/>
          <w:color w:val="000000"/>
          <w:highlight w:val="none"/>
          <w:u w:val="single"/>
          <w:shd w:val="clear" w:color="auto" w:fill="FFFFFF"/>
        </w:rPr>
        <w:t>（产品名称1）</w:t>
      </w:r>
      <w:r>
        <w:rPr>
          <w:rStyle w:val="34"/>
          <w:rFonts w:hint="default" w:ascii="Times New Roman" w:hAnsi="Times New Roman" w:eastAsia="宋体" w:cs="Times New Roman"/>
          <w:b/>
          <w:bCs/>
          <w:i w:val="0"/>
          <w:iCs w:val="0"/>
          <w:color w:val="000000"/>
          <w:highlight w:val="none"/>
          <w:u w:val="single"/>
          <w:shd w:val="clear" w:color="auto" w:fill="FFFFFF"/>
          <w:vertAlign w:val="superscript"/>
        </w:rPr>
        <w:t>1</w:t>
      </w:r>
      <w:r>
        <w:rPr>
          <w:rFonts w:hint="default" w:ascii="Times New Roman" w:hAnsi="Times New Roman" w:eastAsia="宋体" w:cs="Times New Roman"/>
          <w:color w:val="000000"/>
          <w:highlight w:val="none"/>
          <w:shd w:val="clear" w:color="auto" w:fill="FFFFFF"/>
        </w:rPr>
        <w:t>，生产厂为</w:t>
      </w:r>
      <w:r>
        <w:rPr>
          <w:rStyle w:val="34"/>
          <w:rFonts w:hint="default" w:ascii="Times New Roman" w:hAnsi="Times New Roman" w:eastAsia="宋体" w:cs="Times New Roman"/>
          <w:b/>
          <w:bCs/>
          <w:i w:val="0"/>
          <w:iCs w:val="0"/>
          <w:color w:val="000000"/>
          <w:highlight w:val="none"/>
          <w:u w:val="single"/>
          <w:shd w:val="clear" w:color="auto" w:fill="FFFFFF"/>
        </w:rPr>
        <w:t>（厂名）</w:t>
      </w:r>
      <w:r>
        <w:rPr>
          <w:rStyle w:val="34"/>
          <w:rFonts w:hint="default" w:ascii="Times New Roman" w:hAnsi="Times New Roman" w:eastAsia="宋体" w:cs="Times New Roman"/>
          <w:b/>
          <w:bCs/>
          <w:i w:val="0"/>
          <w:iCs w:val="0"/>
          <w:color w:val="000000"/>
          <w:highlight w:val="none"/>
          <w:u w:val="single"/>
          <w:shd w:val="clear" w:color="auto" w:fill="FFFFFF"/>
          <w:vertAlign w:val="superscript"/>
        </w:rPr>
        <w:t>2</w:t>
      </w:r>
      <w:r>
        <w:rPr>
          <w:rFonts w:hint="default" w:ascii="Times New Roman" w:hAnsi="Times New Roman" w:eastAsia="宋体" w:cs="Times New Roman"/>
          <w:color w:val="000000"/>
          <w:highlight w:val="none"/>
          <w:shd w:val="clear" w:color="auto" w:fill="FFFFFF"/>
        </w:rPr>
        <w:t>，厂址为</w:t>
      </w:r>
      <w:r>
        <w:rPr>
          <w:rStyle w:val="34"/>
          <w:rFonts w:hint="default" w:ascii="Times New Roman" w:hAnsi="Times New Roman" w:eastAsia="宋体" w:cs="Times New Roman"/>
          <w:b/>
          <w:bCs/>
          <w:i w:val="0"/>
          <w:iCs w:val="0"/>
          <w:color w:val="000000"/>
          <w:highlight w:val="none"/>
          <w:u w:val="single"/>
          <w:shd w:val="clear" w:color="auto" w:fill="FFFFFF"/>
        </w:rPr>
        <w:t>（生产厂址）</w:t>
      </w:r>
      <w:r>
        <w:rPr>
          <w:rFonts w:hint="default" w:ascii="Times New Roman" w:hAnsi="Times New Roman" w:eastAsia="宋体" w:cs="Times New Roman"/>
          <w:color w:val="000000"/>
          <w:highlight w:val="none"/>
          <w:shd w:val="clear" w:color="auto" w:fill="FFFFFF"/>
        </w:rPr>
        <w:t>。</w:t>
      </w:r>
      <w:r>
        <w:rPr>
          <w:rStyle w:val="34"/>
          <w:rFonts w:hint="default" w:ascii="Times New Roman" w:hAnsi="Times New Roman" w:eastAsia="宋体" w:cs="Times New Roman"/>
          <w:i w:val="0"/>
          <w:iCs w:val="0"/>
          <w:color w:val="000000"/>
          <w:highlight w:val="none"/>
          <w:u w:val="single"/>
          <w:shd w:val="clear" w:color="auto" w:fill="FFFFFF"/>
        </w:rPr>
        <w:t>（产品名称1）</w:t>
      </w:r>
      <w:r>
        <w:rPr>
          <w:rFonts w:hint="default" w:ascii="Times New Roman" w:hAnsi="Times New Roman" w:eastAsia="宋体" w:cs="Times New Roman"/>
          <w:color w:val="000000"/>
          <w:highlight w:val="none"/>
          <w:shd w:val="clear" w:color="auto" w:fill="FFFFFF"/>
        </w:rPr>
        <w:t>的中国境内生产的组件成本占比≥</w:t>
      </w:r>
      <w:r>
        <w:rPr>
          <w:rStyle w:val="34"/>
          <w:rFonts w:hint="default" w:ascii="Times New Roman" w:hAnsi="Times New Roman" w:eastAsia="宋体" w:cs="Times New Roman"/>
          <w:i w:val="0"/>
          <w:iCs w:val="0"/>
          <w:color w:val="000000"/>
          <w:highlight w:val="none"/>
          <w:u w:val="single"/>
          <w:shd w:val="clear" w:color="auto" w:fill="FFFFFF"/>
        </w:rPr>
        <w:t>（规定比例）</w:t>
      </w:r>
      <w:r>
        <w:rPr>
          <w:rStyle w:val="34"/>
          <w:rFonts w:hint="default" w:ascii="Times New Roman" w:hAnsi="Times New Roman" w:eastAsia="宋体" w:cs="Times New Roman"/>
          <w:i w:val="0"/>
          <w:iCs w:val="0"/>
          <w:color w:val="000000"/>
          <w:highlight w:val="none"/>
          <w:u w:val="single"/>
          <w:shd w:val="clear" w:color="auto" w:fill="FFFFFF"/>
          <w:vertAlign w:val="superscript"/>
        </w:rPr>
        <w:t>3</w:t>
      </w:r>
      <w:r>
        <w:rPr>
          <w:rFonts w:hint="default" w:ascii="Times New Roman" w:hAnsi="Times New Roman" w:eastAsia="宋体" w:cs="Times New Roman"/>
          <w:color w:val="000000"/>
          <w:highlight w:val="none"/>
          <w:shd w:val="clear" w:color="auto" w:fill="FFFFFF"/>
        </w:rPr>
        <w:t>。</w:t>
      </w:r>
      <w:r>
        <w:rPr>
          <w:rStyle w:val="34"/>
          <w:rFonts w:hint="default" w:ascii="Times New Roman" w:hAnsi="Times New Roman" w:eastAsia="宋体" w:cs="Times New Roman"/>
          <w:i w:val="0"/>
          <w:iCs w:val="0"/>
          <w:color w:val="000000"/>
          <w:highlight w:val="none"/>
          <w:u w:val="single"/>
          <w:shd w:val="clear" w:color="auto" w:fill="FFFFFF"/>
        </w:rPr>
        <w:t>（产品名称1）</w:t>
      </w:r>
      <w:r>
        <w:rPr>
          <w:rFonts w:hint="default" w:ascii="Times New Roman" w:hAnsi="Times New Roman" w:eastAsia="宋体" w:cs="Times New Roman"/>
          <w:color w:val="000000"/>
          <w:highlight w:val="none"/>
          <w:shd w:val="clear" w:color="auto" w:fill="FFFFFF"/>
        </w:rPr>
        <w:t>的</w:t>
      </w:r>
      <w:r>
        <w:rPr>
          <w:rStyle w:val="34"/>
          <w:rFonts w:hint="default" w:ascii="Times New Roman" w:hAnsi="Times New Roman" w:eastAsia="宋体" w:cs="Times New Roman"/>
          <w:i w:val="0"/>
          <w:iCs w:val="0"/>
          <w:color w:val="000000"/>
          <w:highlight w:val="none"/>
          <w:u w:val="single"/>
          <w:shd w:val="clear" w:color="auto" w:fill="FFFFFF"/>
        </w:rPr>
        <w:t>（关键组件）</w:t>
      </w:r>
      <w:r>
        <w:rPr>
          <w:rStyle w:val="34"/>
          <w:rFonts w:hint="default" w:ascii="Times New Roman" w:hAnsi="Times New Roman" w:eastAsia="宋体" w:cs="Times New Roman"/>
          <w:i w:val="0"/>
          <w:iCs w:val="0"/>
          <w:color w:val="000000"/>
          <w:highlight w:val="none"/>
          <w:u w:val="single"/>
          <w:shd w:val="clear" w:color="auto" w:fill="FFFFFF"/>
          <w:vertAlign w:val="superscript"/>
        </w:rPr>
        <w:t>4</w:t>
      </w:r>
      <w:r>
        <w:rPr>
          <w:rFonts w:hint="default" w:ascii="Times New Roman" w:hAnsi="Times New Roman" w:eastAsia="宋体" w:cs="Times New Roman"/>
          <w:color w:val="000000"/>
          <w:highlight w:val="none"/>
          <w:shd w:val="clear" w:color="auto" w:fill="FFFFFF"/>
        </w:rPr>
        <w:t>在中国境内生产。</w:t>
      </w:r>
      <w:r>
        <w:rPr>
          <w:rStyle w:val="34"/>
          <w:rFonts w:hint="default" w:ascii="Times New Roman" w:hAnsi="Times New Roman" w:eastAsia="宋体" w:cs="Times New Roman"/>
          <w:i w:val="0"/>
          <w:iCs w:val="0"/>
          <w:color w:val="000000"/>
          <w:highlight w:val="none"/>
          <w:u w:val="single"/>
          <w:shd w:val="clear" w:color="auto" w:fill="FFFFFF"/>
        </w:rPr>
        <w:t>（产品名称1）</w:t>
      </w:r>
      <w:r>
        <w:rPr>
          <w:rFonts w:hint="default" w:ascii="Times New Roman" w:hAnsi="Times New Roman" w:eastAsia="宋体" w:cs="Times New Roman"/>
          <w:color w:val="000000"/>
          <w:highlight w:val="none"/>
          <w:shd w:val="clear" w:color="auto" w:fill="FFFFFF"/>
        </w:rPr>
        <w:t>的</w:t>
      </w:r>
      <w:r>
        <w:rPr>
          <w:rStyle w:val="34"/>
          <w:rFonts w:hint="default" w:ascii="Times New Roman" w:hAnsi="Times New Roman" w:eastAsia="宋体" w:cs="Times New Roman"/>
          <w:i w:val="0"/>
          <w:iCs w:val="0"/>
          <w:color w:val="000000"/>
          <w:highlight w:val="none"/>
          <w:u w:val="single"/>
          <w:shd w:val="clear" w:color="auto" w:fill="FFFFFF"/>
        </w:rPr>
        <w:t>（关键工序）</w:t>
      </w:r>
      <w:r>
        <w:rPr>
          <w:rStyle w:val="34"/>
          <w:rFonts w:hint="default" w:ascii="Times New Roman" w:hAnsi="Times New Roman" w:eastAsia="宋体" w:cs="Times New Roman"/>
          <w:i w:val="0"/>
          <w:iCs w:val="0"/>
          <w:color w:val="000000"/>
          <w:highlight w:val="none"/>
          <w:u w:val="single"/>
          <w:shd w:val="clear" w:color="auto" w:fill="FFFFFF"/>
          <w:vertAlign w:val="superscript"/>
        </w:rPr>
        <w:t>5</w:t>
      </w:r>
      <w:r>
        <w:rPr>
          <w:rFonts w:hint="default" w:ascii="Times New Roman" w:hAnsi="Times New Roman" w:eastAsia="宋体" w:cs="Times New Roman"/>
          <w:color w:val="000000"/>
          <w:highlight w:val="none"/>
          <w:shd w:val="clear" w:color="auto" w:fill="FFFFFF"/>
        </w:rPr>
        <w:t>在中国境内完成。</w:t>
      </w:r>
    </w:p>
    <w:p w14:paraId="3AA5944C">
      <w:pPr>
        <w:pStyle w:val="23"/>
        <w:shd w:val="clear" w:color="auto" w:fill="FFFFFF"/>
        <w:spacing w:before="20" w:beforeAutospacing="0" w:after="20" w:afterAutospacing="0" w:line="560" w:lineRule="atLeast"/>
        <w:ind w:firstLine="480" w:firstLineChars="200"/>
        <w:jc w:val="both"/>
        <w:textAlignment w:val="baseline"/>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shd w:val="clear" w:color="auto" w:fill="FFFFFF"/>
        </w:rPr>
        <w:t>2.</w:t>
      </w:r>
      <w:r>
        <w:rPr>
          <w:rStyle w:val="34"/>
          <w:rFonts w:hint="default" w:ascii="Times New Roman" w:hAnsi="Times New Roman" w:eastAsia="宋体" w:cs="Times New Roman"/>
          <w:b/>
          <w:bCs/>
          <w:i w:val="0"/>
          <w:iCs w:val="0"/>
          <w:color w:val="000000"/>
          <w:highlight w:val="none"/>
          <w:u w:val="single"/>
          <w:shd w:val="clear" w:color="auto" w:fill="FFFFFF"/>
        </w:rPr>
        <w:t>（产品名称2）</w:t>
      </w:r>
      <w:r>
        <w:rPr>
          <w:rFonts w:hint="default" w:ascii="Times New Roman" w:hAnsi="Times New Roman" w:eastAsia="宋体" w:cs="Times New Roman"/>
          <w:color w:val="000000"/>
          <w:highlight w:val="none"/>
          <w:shd w:val="clear" w:color="auto" w:fill="FFFFFF"/>
        </w:rPr>
        <w:t>，生产厂为</w:t>
      </w:r>
      <w:r>
        <w:rPr>
          <w:rStyle w:val="34"/>
          <w:rFonts w:hint="default" w:ascii="Times New Roman" w:hAnsi="Times New Roman" w:eastAsia="宋体" w:cs="Times New Roman"/>
          <w:b/>
          <w:bCs/>
          <w:i w:val="0"/>
          <w:iCs w:val="0"/>
          <w:color w:val="000000"/>
          <w:highlight w:val="none"/>
          <w:u w:val="single"/>
          <w:shd w:val="clear" w:color="auto" w:fill="FFFFFF"/>
        </w:rPr>
        <w:t>（厂名）</w:t>
      </w:r>
      <w:r>
        <w:rPr>
          <w:rFonts w:hint="default" w:ascii="Times New Roman" w:hAnsi="Times New Roman" w:eastAsia="宋体" w:cs="Times New Roman"/>
          <w:color w:val="000000"/>
          <w:highlight w:val="none"/>
          <w:shd w:val="clear" w:color="auto" w:fill="FFFFFF"/>
        </w:rPr>
        <w:t>，厂址为</w:t>
      </w:r>
      <w:r>
        <w:rPr>
          <w:rStyle w:val="34"/>
          <w:rFonts w:hint="default" w:ascii="Times New Roman" w:hAnsi="Times New Roman" w:eastAsia="宋体" w:cs="Times New Roman"/>
          <w:b/>
          <w:bCs/>
          <w:i w:val="0"/>
          <w:iCs w:val="0"/>
          <w:color w:val="000000"/>
          <w:highlight w:val="none"/>
          <w:u w:val="single"/>
          <w:shd w:val="clear" w:color="auto" w:fill="FFFFFF"/>
        </w:rPr>
        <w:t>（生产厂址）</w:t>
      </w:r>
      <w:r>
        <w:rPr>
          <w:rFonts w:hint="default" w:ascii="Times New Roman" w:hAnsi="Times New Roman" w:eastAsia="宋体" w:cs="Times New Roman"/>
          <w:color w:val="000000"/>
          <w:highlight w:val="none"/>
          <w:shd w:val="clear" w:color="auto" w:fill="FFFFFF"/>
        </w:rPr>
        <w:t>。</w:t>
      </w:r>
      <w:r>
        <w:rPr>
          <w:rStyle w:val="34"/>
          <w:rFonts w:hint="default" w:ascii="Times New Roman" w:hAnsi="Times New Roman" w:eastAsia="宋体" w:cs="Times New Roman"/>
          <w:i w:val="0"/>
          <w:iCs w:val="0"/>
          <w:color w:val="000000"/>
          <w:highlight w:val="none"/>
          <w:u w:val="single"/>
          <w:shd w:val="clear" w:color="auto" w:fill="FFFFFF"/>
        </w:rPr>
        <w:t>（产品名称2）</w:t>
      </w:r>
      <w:r>
        <w:rPr>
          <w:rFonts w:hint="default" w:ascii="Times New Roman" w:hAnsi="Times New Roman" w:eastAsia="宋体" w:cs="Times New Roman"/>
          <w:color w:val="000000"/>
          <w:highlight w:val="none"/>
          <w:shd w:val="clear" w:color="auto" w:fill="FFFFFF"/>
        </w:rPr>
        <w:t>的中国境内生产的组件成本占比≥</w:t>
      </w:r>
      <w:r>
        <w:rPr>
          <w:rStyle w:val="34"/>
          <w:rFonts w:hint="default" w:ascii="Times New Roman" w:hAnsi="Times New Roman" w:eastAsia="宋体" w:cs="Times New Roman"/>
          <w:i w:val="0"/>
          <w:iCs w:val="0"/>
          <w:color w:val="000000"/>
          <w:highlight w:val="none"/>
          <w:u w:val="single"/>
          <w:shd w:val="clear" w:color="auto" w:fill="FFFFFF"/>
        </w:rPr>
        <w:t>（规定比例）</w:t>
      </w:r>
      <w:r>
        <w:rPr>
          <w:rFonts w:hint="default" w:ascii="Times New Roman" w:hAnsi="Times New Roman" w:eastAsia="宋体" w:cs="Times New Roman"/>
          <w:color w:val="000000"/>
          <w:highlight w:val="none"/>
          <w:shd w:val="clear" w:color="auto" w:fill="FFFFFF"/>
        </w:rPr>
        <w:t>。</w:t>
      </w:r>
      <w:r>
        <w:rPr>
          <w:rStyle w:val="34"/>
          <w:rFonts w:hint="default" w:ascii="Times New Roman" w:hAnsi="Times New Roman" w:eastAsia="宋体" w:cs="Times New Roman"/>
          <w:i w:val="0"/>
          <w:iCs w:val="0"/>
          <w:color w:val="000000"/>
          <w:highlight w:val="none"/>
          <w:u w:val="single"/>
          <w:shd w:val="clear" w:color="auto" w:fill="FFFFFF"/>
        </w:rPr>
        <w:t>（产品名称2）</w:t>
      </w:r>
      <w:r>
        <w:rPr>
          <w:rFonts w:hint="default" w:ascii="Times New Roman" w:hAnsi="Times New Roman" w:eastAsia="宋体" w:cs="Times New Roman"/>
          <w:color w:val="000000"/>
          <w:highlight w:val="none"/>
          <w:shd w:val="clear" w:color="auto" w:fill="FFFFFF"/>
        </w:rPr>
        <w:t>的</w:t>
      </w:r>
      <w:r>
        <w:rPr>
          <w:rStyle w:val="34"/>
          <w:rFonts w:hint="default" w:ascii="Times New Roman" w:hAnsi="Times New Roman" w:eastAsia="宋体" w:cs="Times New Roman"/>
          <w:i w:val="0"/>
          <w:iCs w:val="0"/>
          <w:color w:val="000000"/>
          <w:highlight w:val="none"/>
          <w:u w:val="single"/>
          <w:shd w:val="clear" w:color="auto" w:fill="FFFFFF"/>
        </w:rPr>
        <w:t>（关键组件）</w:t>
      </w:r>
      <w:r>
        <w:rPr>
          <w:rFonts w:hint="default" w:ascii="Times New Roman" w:hAnsi="Times New Roman" w:eastAsia="宋体" w:cs="Times New Roman"/>
          <w:color w:val="000000"/>
          <w:highlight w:val="none"/>
          <w:shd w:val="clear" w:color="auto" w:fill="FFFFFF"/>
        </w:rPr>
        <w:t>在中国境内生产。</w:t>
      </w:r>
      <w:r>
        <w:rPr>
          <w:rStyle w:val="34"/>
          <w:rFonts w:hint="default" w:ascii="Times New Roman" w:hAnsi="Times New Roman" w:eastAsia="宋体" w:cs="Times New Roman"/>
          <w:i w:val="0"/>
          <w:iCs w:val="0"/>
          <w:color w:val="000000"/>
          <w:highlight w:val="none"/>
          <w:u w:val="single"/>
          <w:shd w:val="clear" w:color="auto" w:fill="FFFFFF"/>
        </w:rPr>
        <w:t>（产品名称2）</w:t>
      </w:r>
      <w:r>
        <w:rPr>
          <w:rFonts w:hint="default" w:ascii="Times New Roman" w:hAnsi="Times New Roman" w:eastAsia="宋体" w:cs="Times New Roman"/>
          <w:color w:val="000000"/>
          <w:highlight w:val="none"/>
          <w:shd w:val="clear" w:color="auto" w:fill="FFFFFF"/>
        </w:rPr>
        <w:t>的</w:t>
      </w:r>
      <w:r>
        <w:rPr>
          <w:rStyle w:val="34"/>
          <w:rFonts w:hint="default" w:ascii="Times New Roman" w:hAnsi="Times New Roman" w:eastAsia="宋体" w:cs="Times New Roman"/>
          <w:i w:val="0"/>
          <w:iCs w:val="0"/>
          <w:color w:val="000000"/>
          <w:highlight w:val="none"/>
          <w:u w:val="single"/>
          <w:shd w:val="clear" w:color="auto" w:fill="FFFFFF"/>
        </w:rPr>
        <w:t>（关键工序）</w:t>
      </w:r>
      <w:r>
        <w:rPr>
          <w:rFonts w:hint="default" w:ascii="Times New Roman" w:hAnsi="Times New Roman" w:eastAsia="宋体" w:cs="Times New Roman"/>
          <w:color w:val="000000"/>
          <w:highlight w:val="none"/>
          <w:shd w:val="clear" w:color="auto" w:fill="FFFFFF"/>
        </w:rPr>
        <w:t>在中国境内完成。</w:t>
      </w:r>
    </w:p>
    <w:p w14:paraId="65A47E89">
      <w:pPr>
        <w:pStyle w:val="23"/>
        <w:shd w:val="clear" w:color="auto" w:fill="FFFFFF"/>
        <w:spacing w:before="20" w:beforeAutospacing="0" w:after="20" w:afterAutospacing="0" w:line="560" w:lineRule="atLeast"/>
        <w:ind w:firstLine="420"/>
        <w:jc w:val="both"/>
        <w:textAlignment w:val="baseline"/>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shd w:val="clear" w:color="auto" w:fill="FFFFFF"/>
        </w:rPr>
        <w:t>……</w:t>
      </w:r>
    </w:p>
    <w:p w14:paraId="70AD68CC">
      <w:pPr>
        <w:pStyle w:val="23"/>
        <w:shd w:val="clear" w:color="auto" w:fill="FFFFFF"/>
        <w:spacing w:before="20" w:beforeAutospacing="0" w:after="20" w:afterAutospacing="0" w:line="560" w:lineRule="atLeast"/>
        <w:ind w:firstLine="420"/>
        <w:jc w:val="both"/>
        <w:textAlignment w:val="baseline"/>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shd w:val="clear" w:color="auto" w:fill="FFFFFF"/>
        </w:rPr>
        <w:t>本公司（单位）对上述声明内容的真实性负责。如有虚假，愿承担相应法律责任。</w:t>
      </w:r>
    </w:p>
    <w:p w14:paraId="46B5413D">
      <w:pPr>
        <w:pStyle w:val="23"/>
        <w:shd w:val="clear" w:color="auto" w:fill="FFFFFF"/>
        <w:spacing w:before="20" w:beforeAutospacing="0" w:after="20" w:afterAutospacing="0" w:line="560" w:lineRule="atLeast"/>
        <w:jc w:val="both"/>
        <w:textAlignment w:val="baseline"/>
        <w:rPr>
          <w:rFonts w:hint="default" w:ascii="Times New Roman" w:hAnsi="Times New Roman" w:eastAsia="宋体" w:cs="Times New Roman"/>
          <w:color w:val="000000"/>
          <w:highlight w:val="none"/>
        </w:rPr>
      </w:pPr>
    </w:p>
    <w:p w14:paraId="611F0B16">
      <w:pPr>
        <w:pStyle w:val="23"/>
        <w:shd w:val="clear" w:color="auto" w:fill="FFFFFF"/>
        <w:spacing w:before="20" w:beforeAutospacing="0" w:after="20" w:afterAutospacing="0" w:line="560" w:lineRule="atLeast"/>
        <w:jc w:val="right"/>
        <w:textAlignment w:val="baseline"/>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shd w:val="clear" w:color="auto" w:fill="FFFFFF"/>
        </w:rPr>
        <w:t xml:space="preserve">公司（单位）名称（盖章）：       </w:t>
      </w:r>
    </w:p>
    <w:p w14:paraId="178DA73A">
      <w:pPr>
        <w:pStyle w:val="23"/>
        <w:shd w:val="clear" w:color="auto" w:fill="FFFFFF"/>
        <w:spacing w:before="20" w:beforeAutospacing="0" w:after="20" w:afterAutospacing="0" w:line="560" w:lineRule="atLeast"/>
        <w:jc w:val="right"/>
        <w:textAlignment w:val="baseline"/>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shd w:val="clear" w:color="auto" w:fill="FFFFFF"/>
        </w:rPr>
        <w:t>日期：     年     月     日</w:t>
      </w:r>
    </w:p>
    <w:p w14:paraId="40772D84">
      <w:pPr>
        <w:pStyle w:val="97"/>
        <w:jc w:val="both"/>
        <w:rPr>
          <w:rFonts w:hint="default" w:ascii="Times New Roman" w:hAnsi="Times New Roman" w:eastAsia="宋体" w:cs="Times New Roman"/>
          <w:b/>
          <w:sz w:val="24"/>
          <w:highlight w:val="none"/>
        </w:rPr>
      </w:pPr>
    </w:p>
    <w:p w14:paraId="357CD8B1">
      <w:pPr>
        <w:pStyle w:val="97"/>
        <w:jc w:val="both"/>
        <w:rPr>
          <w:rFonts w:hint="default" w:ascii="Times New Roman" w:hAnsi="Times New Roman" w:eastAsia="宋体" w:cs="Times New Roman"/>
          <w:color w:val="000000"/>
          <w:sz w:val="18"/>
          <w:szCs w:val="18"/>
          <w:highlight w:val="none"/>
          <w:shd w:val="clear" w:color="auto" w:fill="FFFFFF"/>
        </w:rPr>
      </w:pPr>
      <w:r>
        <w:rPr>
          <w:rFonts w:hint="default" w:ascii="Times New Roman" w:hAnsi="Times New Roman" w:eastAsia="宋体" w:cs="Times New Roman"/>
          <w:b/>
          <w:sz w:val="24"/>
          <w:highlight w:val="none"/>
        </w:rPr>
        <w:t>备注：</w:t>
      </w:r>
    </w:p>
    <w:p w14:paraId="62A87D1B">
      <w:pPr>
        <w:pStyle w:val="97"/>
        <w:jc w:val="both"/>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1.产品如有型号，请在“产品名称”栏一并填写。</w:t>
      </w:r>
    </w:p>
    <w:p w14:paraId="3885A230">
      <w:pPr>
        <w:pStyle w:val="97"/>
        <w:jc w:val="both"/>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2.生产厂名与厂址应与生产厂营业执照载明的相关信息保持一致。</w:t>
      </w:r>
    </w:p>
    <w:p w14:paraId="37C7089F">
      <w:pPr>
        <w:pStyle w:val="97"/>
        <w:jc w:val="both"/>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3.该产品的中国境内生产的组件成本占比相关要求实施前</w:t>
      </w:r>
      <w:r>
        <w:rPr>
          <w:rFonts w:hint="default" w:ascii="Times New Roman" w:hAnsi="Times New Roman" w:eastAsia="宋体" w:cs="Times New Roman"/>
          <w:color w:val="FF0000"/>
          <w:sz w:val="24"/>
          <w:highlight w:val="none"/>
        </w:rPr>
        <w:t>，</w:t>
      </w:r>
      <w:r>
        <w:rPr>
          <w:rFonts w:hint="default" w:ascii="Times New Roman" w:hAnsi="Times New Roman" w:eastAsia="宋体" w:cs="Times New Roman"/>
          <w:b/>
          <w:bCs/>
          <w:color w:val="FF0000"/>
          <w:sz w:val="24"/>
          <w:highlight w:val="none"/>
        </w:rPr>
        <w:t>“规定比例”栏可不填，下同</w:t>
      </w:r>
      <w:r>
        <w:rPr>
          <w:rFonts w:hint="default" w:ascii="Times New Roman" w:hAnsi="Times New Roman" w:eastAsia="宋体" w:cs="Times New Roman"/>
          <w:color w:val="FF0000"/>
          <w:sz w:val="24"/>
          <w:highlight w:val="none"/>
        </w:rPr>
        <w:t>。</w:t>
      </w:r>
    </w:p>
    <w:p w14:paraId="67B9BA21">
      <w:pPr>
        <w:pStyle w:val="97"/>
        <w:jc w:val="both"/>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4.该产品的关键组件要求实施前，</w:t>
      </w:r>
      <w:r>
        <w:rPr>
          <w:rFonts w:hint="default" w:ascii="Times New Roman" w:hAnsi="Times New Roman" w:eastAsia="宋体" w:cs="Times New Roman"/>
          <w:b/>
          <w:bCs/>
          <w:color w:val="FF0000"/>
          <w:sz w:val="24"/>
          <w:highlight w:val="none"/>
        </w:rPr>
        <w:t>“关键组件”栏可不填，下同</w:t>
      </w:r>
      <w:r>
        <w:rPr>
          <w:rFonts w:hint="default" w:ascii="Times New Roman" w:hAnsi="Times New Roman" w:eastAsia="宋体" w:cs="Times New Roman"/>
          <w:color w:val="FF0000"/>
          <w:sz w:val="24"/>
          <w:highlight w:val="none"/>
        </w:rPr>
        <w:t>。</w:t>
      </w:r>
    </w:p>
    <w:p w14:paraId="28F14876">
      <w:pPr>
        <w:pStyle w:val="97"/>
        <w:jc w:val="both"/>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5.该产品的关键工序要求实施前，</w:t>
      </w:r>
      <w:r>
        <w:rPr>
          <w:rFonts w:hint="default" w:ascii="Times New Roman" w:hAnsi="Times New Roman" w:eastAsia="宋体" w:cs="Times New Roman"/>
          <w:b/>
          <w:bCs/>
          <w:color w:val="FF0000"/>
          <w:sz w:val="24"/>
          <w:highlight w:val="none"/>
        </w:rPr>
        <w:t>“关键工序”栏可不填，下同</w:t>
      </w:r>
      <w:r>
        <w:rPr>
          <w:rFonts w:hint="default" w:ascii="Times New Roman" w:hAnsi="Times New Roman" w:eastAsia="宋体" w:cs="Times New Roman"/>
          <w:color w:val="FF0000"/>
          <w:sz w:val="24"/>
          <w:highlight w:val="none"/>
        </w:rPr>
        <w:t>。</w:t>
      </w:r>
    </w:p>
    <w:p w14:paraId="54FEF28A">
      <w:pPr>
        <w:tabs>
          <w:tab w:val="left" w:pos="5580"/>
        </w:tabs>
        <w:adjustRightInd w:val="0"/>
        <w:snapToGrid w:val="0"/>
        <w:spacing w:line="360" w:lineRule="auto"/>
        <w:ind w:firstLine="480" w:firstLineChars="200"/>
        <w:rPr>
          <w:rFonts w:hint="default" w:ascii="Times New Roman" w:hAnsi="Times New Roman" w:eastAsia="宋体" w:cs="Times New Roman"/>
          <w:color w:val="333333"/>
          <w:sz w:val="24"/>
          <w:szCs w:val="24"/>
          <w:highlight w:val="none"/>
          <w:shd w:val="clear" w:color="auto" w:fill="FFFFFF"/>
        </w:rPr>
      </w:pPr>
    </w:p>
    <w:p w14:paraId="67D6F977">
      <w:pPr>
        <w:rPr>
          <w:rFonts w:hint="default" w:ascii="Times New Roman" w:hAnsi="Times New Roman" w:eastAsia="宋体" w:cs="Times New Roman"/>
          <w:color w:val="333333"/>
          <w:sz w:val="24"/>
          <w:szCs w:val="24"/>
          <w:highlight w:val="none"/>
          <w:shd w:val="clear" w:color="auto" w:fill="FFFFFF"/>
        </w:rPr>
      </w:pPr>
      <w:r>
        <w:rPr>
          <w:rFonts w:hint="default" w:ascii="Times New Roman" w:hAnsi="Times New Roman" w:eastAsia="宋体" w:cs="Times New Roman"/>
          <w:color w:val="333333"/>
          <w:sz w:val="24"/>
          <w:szCs w:val="24"/>
          <w:highlight w:val="none"/>
          <w:shd w:val="clear" w:color="auto" w:fill="FFFFFF"/>
        </w:rPr>
        <w:br w:type="page"/>
      </w:r>
    </w:p>
    <w:p w14:paraId="1E8F9E53">
      <w:pPr>
        <w:pStyle w:val="23"/>
        <w:shd w:val="clear" w:color="auto" w:fill="FFFFFF"/>
        <w:spacing w:before="20" w:after="20"/>
        <w:jc w:val="both"/>
        <w:rPr>
          <w:rStyle w:val="31"/>
          <w:rFonts w:hint="default" w:ascii="Times New Roman" w:hAnsi="Times New Roman" w:eastAsia="宋体" w:cs="Times New Roman"/>
          <w:color w:val="333333"/>
          <w:highlight w:val="none"/>
          <w:shd w:val="clear" w:color="auto" w:fill="FFFFFF"/>
        </w:rPr>
      </w:pPr>
      <w:r>
        <w:rPr>
          <w:rStyle w:val="31"/>
          <w:rFonts w:hint="default" w:ascii="Times New Roman" w:hAnsi="Times New Roman" w:eastAsia="宋体" w:cs="Times New Roman"/>
          <w:color w:val="333333"/>
          <w:highlight w:val="none"/>
          <w:shd w:val="clear" w:color="auto" w:fill="FFFFFF"/>
        </w:rPr>
        <w:t>关于符合本国产品标准的成本占比承诺函</w:t>
      </w:r>
    </w:p>
    <w:p w14:paraId="6AD047D0">
      <w:pPr>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(采购项目或采购包含有多种产品的适用）</w:t>
      </w:r>
    </w:p>
    <w:p w14:paraId="2855660B">
      <w:pPr>
        <w:rPr>
          <w:rFonts w:hint="default" w:ascii="Times New Roman" w:hAnsi="Times New Roman" w:eastAsia="宋体" w:cs="Times New Roman"/>
          <w:sz w:val="24"/>
          <w:szCs w:val="24"/>
          <w:highlight w:val="none"/>
        </w:rPr>
      </w:pPr>
    </w:p>
    <w:p w14:paraId="7E434EC9">
      <w:pPr>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本公司(单位)郑重声明，根据《国务院办公厅关于在政府采购中实施本国产品标准及相关政策的通知》(国办发[2025]34号)的规定，本公司(单位)提供的符合本国产品标准的产品成本之和占所提供的全部产品成本之和的比例达到80%上。</w:t>
      </w:r>
    </w:p>
    <w:p w14:paraId="056998F8">
      <w:pPr>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本公司(单位)对上述声明内容的真实性负责。如有虚假，愿承担相应法律责任。</w:t>
      </w:r>
    </w:p>
    <w:p w14:paraId="1FC84887">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                    </w:t>
      </w:r>
    </w:p>
    <w:p w14:paraId="7286E407">
      <w:pPr>
        <w:spacing w:line="360" w:lineRule="auto"/>
        <w:rPr>
          <w:rFonts w:hint="default" w:ascii="Times New Roman" w:hAnsi="Times New Roman" w:eastAsia="宋体" w:cs="Times New Roman"/>
          <w:sz w:val="24"/>
          <w:szCs w:val="24"/>
          <w:highlight w:val="none"/>
        </w:rPr>
      </w:pPr>
    </w:p>
    <w:p w14:paraId="09E111C6">
      <w:pPr>
        <w:spacing w:line="360" w:lineRule="auto"/>
        <w:rPr>
          <w:rFonts w:hint="default" w:ascii="Times New Roman" w:hAnsi="Times New Roman" w:eastAsia="宋体" w:cs="Times New Roman"/>
          <w:sz w:val="24"/>
          <w:szCs w:val="24"/>
          <w:highlight w:val="none"/>
          <w:u w:val="single"/>
        </w:rPr>
      </w:pPr>
      <w:r>
        <w:rPr>
          <w:rFonts w:hint="default" w:ascii="Times New Roman" w:hAnsi="Times New Roman" w:eastAsia="宋体" w:cs="Times New Roman"/>
          <w:sz w:val="24"/>
          <w:szCs w:val="24"/>
          <w:highlight w:val="none"/>
        </w:rPr>
        <w:t>公司(单位)名称(盖章):</w:t>
      </w:r>
      <w:r>
        <w:rPr>
          <w:rFonts w:hint="default" w:ascii="Times New Roman" w:hAnsi="Times New Roman" w:eastAsia="宋体" w:cs="Times New Roman"/>
          <w:sz w:val="24"/>
          <w:szCs w:val="24"/>
          <w:highlight w:val="none"/>
          <w:u w:val="single"/>
        </w:rPr>
        <w:t xml:space="preserve">         </w:t>
      </w:r>
    </w:p>
    <w:p w14:paraId="3132E483">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日 期：</w:t>
      </w:r>
      <w:r>
        <w:rPr>
          <w:rFonts w:hint="default" w:ascii="Times New Roman" w:hAnsi="Times New Roman" w:eastAsia="宋体" w:cs="Times New Roman"/>
          <w:sz w:val="24"/>
          <w:szCs w:val="24"/>
          <w:highlight w:val="none"/>
          <w:u w:val="single"/>
        </w:rPr>
        <w:t xml:space="preserve">      </w:t>
      </w:r>
      <w:r>
        <w:rPr>
          <w:rFonts w:hint="default" w:ascii="Times New Roman" w:hAnsi="Times New Roman" w:eastAsia="宋体" w:cs="Times New Roman"/>
          <w:sz w:val="24"/>
          <w:szCs w:val="24"/>
          <w:highlight w:val="none"/>
        </w:rPr>
        <w:t>年</w:t>
      </w:r>
      <w:r>
        <w:rPr>
          <w:rFonts w:hint="default" w:ascii="Times New Roman" w:hAnsi="Times New Roman" w:eastAsia="宋体" w:cs="Times New Roman"/>
          <w:sz w:val="24"/>
          <w:szCs w:val="24"/>
          <w:highlight w:val="none"/>
          <w:u w:val="single"/>
        </w:rPr>
        <w:t xml:space="preserve">     </w:t>
      </w:r>
      <w:r>
        <w:rPr>
          <w:rFonts w:hint="default" w:ascii="Times New Roman" w:hAnsi="Times New Roman" w:eastAsia="宋体" w:cs="Times New Roman"/>
          <w:sz w:val="24"/>
          <w:szCs w:val="24"/>
          <w:highlight w:val="none"/>
        </w:rPr>
        <w:t>月</w:t>
      </w:r>
      <w:r>
        <w:rPr>
          <w:rFonts w:hint="default" w:ascii="Times New Roman" w:hAnsi="Times New Roman" w:eastAsia="宋体" w:cs="Times New Roman"/>
          <w:sz w:val="24"/>
          <w:szCs w:val="24"/>
          <w:highlight w:val="none"/>
          <w:u w:val="single"/>
        </w:rPr>
        <w:t xml:space="preserve">      </w:t>
      </w:r>
      <w:r>
        <w:rPr>
          <w:rFonts w:hint="default" w:ascii="Times New Roman" w:hAnsi="Times New Roman" w:eastAsia="宋体" w:cs="Times New Roman"/>
          <w:sz w:val="24"/>
          <w:szCs w:val="24"/>
          <w:highlight w:val="none"/>
        </w:rPr>
        <w:t>日</w:t>
      </w:r>
    </w:p>
    <w:p w14:paraId="319E5F16">
      <w:pPr>
        <w:pStyle w:val="97"/>
        <w:jc w:val="both"/>
        <w:rPr>
          <w:rFonts w:hint="default" w:ascii="Times New Roman" w:hAnsi="Times New Roman" w:eastAsia="宋体" w:cs="Times New Roman"/>
          <w:highlight w:val="none"/>
        </w:rPr>
      </w:pPr>
    </w:p>
    <w:p w14:paraId="4E92576A">
      <w:pPr>
        <w:spacing w:line="360" w:lineRule="auto"/>
        <w:rPr>
          <w:rFonts w:hint="default" w:ascii="Times New Roman" w:hAnsi="Times New Roman" w:eastAsia="宋体" w:cs="Times New Roman"/>
          <w:b/>
          <w:bCs/>
          <w:highlight w:val="none"/>
        </w:rPr>
      </w:pPr>
    </w:p>
    <w:p w14:paraId="2A5FC8F1">
      <w:pPr>
        <w:rPr>
          <w:rFonts w:hint="default" w:ascii="Times New Roman" w:hAnsi="Times New Roman" w:eastAsia="宋体" w:cs="Times New Roman"/>
          <w:b/>
          <w:bCs/>
          <w:highlight w:val="none"/>
        </w:rPr>
      </w:pPr>
      <w:r>
        <w:rPr>
          <w:rFonts w:hint="default" w:ascii="Times New Roman" w:hAnsi="Times New Roman" w:eastAsia="宋体" w:cs="Times New Roman"/>
          <w:b/>
          <w:bCs/>
          <w:highlight w:val="none"/>
        </w:rPr>
        <w:br w:type="page"/>
      </w:r>
    </w:p>
    <w:p w14:paraId="7E4748C9">
      <w:pPr>
        <w:pStyle w:val="3"/>
        <w:spacing w:line="360" w:lineRule="auto"/>
        <w:jc w:val="both"/>
        <w:rPr>
          <w:rFonts w:hint="default" w:ascii="Times New Roman" w:hAnsi="Times New Roman" w:eastAsia="宋体" w:cs="Times New Roman"/>
          <w:b/>
          <w:bCs/>
          <w:highlight w:val="none"/>
        </w:rPr>
      </w:pPr>
      <w:r>
        <w:rPr>
          <w:rFonts w:hint="default" w:ascii="Times New Roman" w:hAnsi="Times New Roman" w:eastAsia="宋体" w:cs="Times New Roman"/>
          <w:b/>
          <w:bCs/>
          <w:highlight w:val="none"/>
        </w:rPr>
        <w:t>附件16：残疾人福利性单位声明函</w:t>
      </w:r>
    </w:p>
    <w:p w14:paraId="35F82F92">
      <w:pPr>
        <w:spacing w:line="360" w:lineRule="auto"/>
        <w:rPr>
          <w:rFonts w:hint="default" w:ascii="Times New Roman" w:hAnsi="Times New Roman" w:eastAsia="宋体" w:cs="Times New Roman"/>
          <w:highlight w:val="none"/>
        </w:rPr>
      </w:pPr>
      <w:r>
        <w:rPr>
          <w:rFonts w:hint="default" w:ascii="Times New Roman" w:hAnsi="Times New Roman" w:eastAsia="宋体" w:cs="Times New Roman"/>
          <w:highlight w:val="none"/>
        </w:rPr>
        <w:t>（如为残疾人福利性单位，应按《财政部 民政部 中国残疾人联合会关于促进残疾人就业政府采购政策的通知》（财库〔2017〕 141号）的规定提供）</w:t>
      </w:r>
    </w:p>
    <w:p w14:paraId="5EDC6E9E">
      <w:pPr>
        <w:spacing w:line="360" w:lineRule="auto"/>
        <w:rPr>
          <w:rFonts w:hint="default" w:ascii="Times New Roman" w:hAnsi="Times New Roman" w:eastAsia="宋体" w:cs="Times New Roman"/>
          <w:b/>
          <w:bCs/>
          <w:kern w:val="0"/>
          <w:sz w:val="24"/>
          <w:szCs w:val="24"/>
          <w:highlight w:val="none"/>
        </w:rPr>
      </w:pPr>
    </w:p>
    <w:p w14:paraId="53E2776E">
      <w:pPr>
        <w:spacing w:line="360" w:lineRule="auto"/>
        <w:rPr>
          <w:rFonts w:hint="default" w:ascii="Times New Roman" w:hAnsi="Times New Roman" w:eastAsia="宋体" w:cs="Times New Roman"/>
          <w:b/>
          <w:bCs/>
          <w:kern w:val="0"/>
          <w:sz w:val="24"/>
          <w:szCs w:val="24"/>
          <w:highlight w:val="none"/>
        </w:rPr>
      </w:pPr>
      <w:r>
        <w:rPr>
          <w:rFonts w:hint="default" w:ascii="Times New Roman" w:hAnsi="Times New Roman" w:eastAsia="宋体" w:cs="Times New Roman"/>
          <w:b/>
          <w:bCs/>
          <w:kern w:val="0"/>
          <w:sz w:val="24"/>
          <w:szCs w:val="24"/>
          <w:highlight w:val="none"/>
        </w:rPr>
        <w:t>残疾人福利性单位声明函</w:t>
      </w:r>
    </w:p>
    <w:p w14:paraId="12E7F3EC">
      <w:pPr>
        <w:spacing w:line="360" w:lineRule="auto"/>
        <w:ind w:firstLine="480" w:firstLineChars="200"/>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EA55C31">
      <w:pPr>
        <w:spacing w:line="360" w:lineRule="auto"/>
        <w:ind w:firstLine="480" w:firstLineChars="200"/>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本单位对上述声明的真实性负责。如有虚假，将依法承担相应责任。</w:t>
      </w:r>
    </w:p>
    <w:p w14:paraId="10090DAC">
      <w:pPr>
        <w:spacing w:line="360" w:lineRule="auto"/>
        <w:ind w:firstLine="480" w:firstLineChars="200"/>
        <w:rPr>
          <w:rFonts w:hint="default" w:ascii="Times New Roman" w:hAnsi="Times New Roman" w:eastAsia="宋体" w:cs="Times New Roman"/>
          <w:kern w:val="0"/>
          <w:sz w:val="24"/>
          <w:szCs w:val="24"/>
          <w:highlight w:val="none"/>
        </w:rPr>
      </w:pPr>
    </w:p>
    <w:p w14:paraId="4D44D94B">
      <w:pPr>
        <w:spacing w:line="360" w:lineRule="auto"/>
        <w:ind w:firstLine="480" w:firstLineChars="200"/>
        <w:rPr>
          <w:rFonts w:hint="default" w:ascii="Times New Roman" w:hAnsi="Times New Roman" w:eastAsia="宋体" w:cs="Times New Roman"/>
          <w:kern w:val="0"/>
          <w:sz w:val="24"/>
          <w:szCs w:val="24"/>
          <w:highlight w:val="none"/>
        </w:rPr>
      </w:pPr>
    </w:p>
    <w:p w14:paraId="157C8991">
      <w:pPr>
        <w:tabs>
          <w:tab w:val="left" w:pos="4860"/>
        </w:tabs>
        <w:spacing w:line="360" w:lineRule="auto"/>
        <w:ind w:right="1560" w:firstLine="480" w:firstLineChars="200"/>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xml:space="preserve">                         单位名称（盖章）：</w:t>
      </w:r>
    </w:p>
    <w:p w14:paraId="555205F9">
      <w:pPr>
        <w:tabs>
          <w:tab w:val="left" w:pos="4860"/>
        </w:tabs>
        <w:spacing w:line="360" w:lineRule="auto"/>
        <w:ind w:right="1560" w:firstLine="480" w:firstLineChars="200"/>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xml:space="preserve">               日  期：</w:t>
      </w:r>
    </w:p>
    <w:p w14:paraId="111322FC">
      <w:pPr>
        <w:pStyle w:val="3"/>
        <w:spacing w:line="360" w:lineRule="auto"/>
        <w:jc w:val="both"/>
        <w:rPr>
          <w:rFonts w:hint="default" w:ascii="Times New Roman" w:hAnsi="Times New Roman" w:eastAsia="宋体" w:cs="Times New Roman"/>
          <w:b/>
          <w:bCs/>
          <w:highlight w:val="none"/>
        </w:rPr>
      </w:pPr>
      <w:r>
        <w:rPr>
          <w:rFonts w:hint="default" w:ascii="Times New Roman" w:hAnsi="Times New Roman" w:eastAsia="宋体" w:cs="Times New Roman"/>
          <w:highlight w:val="none"/>
        </w:rPr>
        <w:br w:type="page"/>
      </w:r>
      <w:r>
        <w:rPr>
          <w:rFonts w:hint="default" w:ascii="Times New Roman" w:hAnsi="Times New Roman" w:eastAsia="宋体" w:cs="Times New Roman"/>
          <w:b/>
          <w:bCs/>
          <w:highlight w:val="none"/>
        </w:rPr>
        <w:t>附件17：政府采购投标担保函（项目用）</w:t>
      </w:r>
    </w:p>
    <w:p w14:paraId="50F5275A">
      <w:pPr>
        <w:spacing w:line="360" w:lineRule="auto"/>
        <w:rPr>
          <w:rFonts w:hint="default" w:ascii="Times New Roman" w:hAnsi="Times New Roman" w:eastAsia="宋体" w:cs="Times New Roman"/>
          <w:highlight w:val="none"/>
        </w:rPr>
      </w:pPr>
    </w:p>
    <w:p w14:paraId="3937DA78">
      <w:pPr>
        <w:widowControl/>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xml:space="preserve">                                                     编号： </w:t>
      </w:r>
    </w:p>
    <w:p w14:paraId="3A5CE478">
      <w:pPr>
        <w:widowControl/>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u w:val="single"/>
        </w:rPr>
        <w:t xml:space="preserve">                    </w:t>
      </w:r>
      <w:r>
        <w:rPr>
          <w:rFonts w:hint="default" w:ascii="Times New Roman" w:hAnsi="Times New Roman" w:eastAsia="宋体" w:cs="Times New Roman"/>
          <w:kern w:val="0"/>
          <w:sz w:val="24"/>
          <w:szCs w:val="24"/>
          <w:highlight w:val="none"/>
        </w:rPr>
        <w:t xml:space="preserve">（采购人或采购代理机构）： </w:t>
      </w:r>
    </w:p>
    <w:p w14:paraId="5F36F271">
      <w:pPr>
        <w:widowControl/>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鉴于</w:t>
      </w:r>
      <w:r>
        <w:rPr>
          <w:rFonts w:hint="default" w:ascii="Times New Roman" w:hAnsi="Times New Roman" w:eastAsia="宋体" w:cs="Times New Roman"/>
          <w:kern w:val="0"/>
          <w:sz w:val="24"/>
          <w:szCs w:val="24"/>
          <w:highlight w:val="none"/>
          <w:u w:val="single"/>
        </w:rPr>
        <w:t xml:space="preserve">               </w:t>
      </w:r>
      <w:r>
        <w:rPr>
          <w:rFonts w:hint="default" w:ascii="Times New Roman" w:hAnsi="Times New Roman" w:eastAsia="宋体" w:cs="Times New Roman"/>
          <w:kern w:val="0"/>
          <w:sz w:val="24"/>
          <w:szCs w:val="24"/>
          <w:highlight w:val="none"/>
        </w:rPr>
        <w:t>（以下简称“投标人”）拟参加编号为</w:t>
      </w:r>
      <w:r>
        <w:rPr>
          <w:rFonts w:hint="default" w:ascii="Times New Roman" w:hAnsi="Times New Roman" w:eastAsia="宋体" w:cs="Times New Roman"/>
          <w:kern w:val="0"/>
          <w:sz w:val="24"/>
          <w:szCs w:val="24"/>
          <w:highlight w:val="none"/>
          <w:u w:val="single"/>
        </w:rPr>
        <w:t xml:space="preserve">            </w:t>
      </w:r>
      <w:r>
        <w:rPr>
          <w:rFonts w:hint="default" w:ascii="Times New Roman" w:hAnsi="Times New Roman" w:eastAsia="宋体" w:cs="Times New Roman"/>
          <w:kern w:val="0"/>
          <w:sz w:val="24"/>
          <w:szCs w:val="24"/>
          <w:highlight w:val="none"/>
        </w:rPr>
        <w:t xml:space="preserve">的项目（以下简称“本项目”）投标，根据本项目招标文件，供应商参加投标时应向你方交纳投标保证金，且可以投标担保函的形式交纳投标保证金。应供应商的申请，我方以保证的方式向你方提供如下投标保证金担保： </w:t>
      </w:r>
    </w:p>
    <w:p w14:paraId="68E5F4C2">
      <w:pPr>
        <w:widowControl/>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xml:space="preserve">　　一、保证责任的情形及保证金额 </w:t>
      </w:r>
    </w:p>
    <w:p w14:paraId="35435FA3">
      <w:pPr>
        <w:widowControl/>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（一）在投标人出现下列情形之一时，我方承担保证责任：</w:t>
      </w:r>
    </w:p>
    <w:p w14:paraId="373993D6">
      <w:pPr>
        <w:widowControl/>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xml:space="preserve">　　1．中标后投标人无正当理由不与采购人或者采购代理机构签订《政府采购合同》； </w:t>
      </w:r>
    </w:p>
    <w:p w14:paraId="26E11EB7">
      <w:pPr>
        <w:widowControl/>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xml:space="preserve">　　2．违反招标文件规定的应当没收投标保证金的其他情形。 </w:t>
      </w:r>
    </w:p>
    <w:p w14:paraId="64C86A2E">
      <w:pPr>
        <w:widowControl/>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（二）我方承担保证责任的最高金额为人民币</w:t>
      </w:r>
      <w:r>
        <w:rPr>
          <w:rFonts w:hint="default" w:ascii="Times New Roman" w:hAnsi="Times New Roman" w:eastAsia="宋体" w:cs="Times New Roman"/>
          <w:kern w:val="0"/>
          <w:sz w:val="24"/>
          <w:szCs w:val="24"/>
          <w:highlight w:val="none"/>
          <w:u w:val="single"/>
        </w:rPr>
        <w:t xml:space="preserve">        </w:t>
      </w:r>
      <w:r>
        <w:rPr>
          <w:rFonts w:hint="default" w:ascii="Times New Roman" w:hAnsi="Times New Roman" w:eastAsia="宋体" w:cs="Times New Roman"/>
          <w:kern w:val="0"/>
          <w:sz w:val="24"/>
          <w:szCs w:val="24"/>
          <w:highlight w:val="none"/>
        </w:rPr>
        <w:t>元（大写</w:t>
      </w:r>
      <w:r>
        <w:rPr>
          <w:rFonts w:hint="default" w:ascii="Times New Roman" w:hAnsi="Times New Roman" w:eastAsia="宋体" w:cs="Times New Roman"/>
          <w:kern w:val="0"/>
          <w:sz w:val="24"/>
          <w:szCs w:val="24"/>
          <w:highlight w:val="none"/>
          <w:u w:val="single"/>
        </w:rPr>
        <w:t xml:space="preserve">             </w:t>
      </w:r>
      <w:r>
        <w:rPr>
          <w:rFonts w:hint="default" w:ascii="Times New Roman" w:hAnsi="Times New Roman" w:eastAsia="宋体" w:cs="Times New Roman"/>
          <w:kern w:val="0"/>
          <w:sz w:val="24"/>
          <w:szCs w:val="24"/>
          <w:highlight w:val="none"/>
        </w:rPr>
        <w:t xml:space="preserve">），即本项目的投标保证金金额。 </w:t>
      </w:r>
    </w:p>
    <w:p w14:paraId="4463387D">
      <w:pPr>
        <w:widowControl/>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b/>
          <w:kern w:val="0"/>
          <w:sz w:val="24"/>
          <w:szCs w:val="24"/>
          <w:highlight w:val="none"/>
        </w:rPr>
        <w:t>　　</w:t>
      </w:r>
      <w:r>
        <w:rPr>
          <w:rFonts w:hint="default" w:ascii="Times New Roman" w:hAnsi="Times New Roman" w:eastAsia="宋体" w:cs="Times New Roman"/>
          <w:kern w:val="0"/>
          <w:sz w:val="24"/>
          <w:szCs w:val="24"/>
          <w:highlight w:val="none"/>
        </w:rPr>
        <w:t xml:space="preserve">二、保证的方式及保证期间 </w:t>
      </w:r>
    </w:p>
    <w:p w14:paraId="430E4BBA">
      <w:pPr>
        <w:widowControl/>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xml:space="preserve">　　我方保证的方式为：连带责任保证。 </w:t>
      </w:r>
    </w:p>
    <w:p w14:paraId="4AEE3808">
      <w:pPr>
        <w:widowControl/>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我方的保证期间为：自本保函生效之日起</w:t>
      </w:r>
      <w:r>
        <w:rPr>
          <w:rFonts w:hint="default" w:ascii="Times New Roman" w:hAnsi="Times New Roman" w:eastAsia="宋体" w:cs="Times New Roman"/>
          <w:kern w:val="0"/>
          <w:sz w:val="24"/>
          <w:szCs w:val="24"/>
          <w:highlight w:val="none"/>
          <w:u w:val="single"/>
        </w:rPr>
        <w:t xml:space="preserve">     </w:t>
      </w:r>
      <w:r>
        <w:rPr>
          <w:rFonts w:hint="default" w:ascii="Times New Roman" w:hAnsi="Times New Roman" w:eastAsia="宋体" w:cs="Times New Roman"/>
          <w:kern w:val="0"/>
          <w:sz w:val="24"/>
          <w:szCs w:val="24"/>
          <w:highlight w:val="none"/>
        </w:rPr>
        <w:t xml:space="preserve">个月止。 </w:t>
      </w:r>
    </w:p>
    <w:p w14:paraId="564B995B">
      <w:pPr>
        <w:widowControl/>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b/>
          <w:kern w:val="0"/>
          <w:sz w:val="24"/>
          <w:szCs w:val="24"/>
          <w:highlight w:val="none"/>
        </w:rPr>
        <w:t>　　</w:t>
      </w:r>
      <w:r>
        <w:rPr>
          <w:rFonts w:hint="default" w:ascii="Times New Roman" w:hAnsi="Times New Roman" w:eastAsia="宋体" w:cs="Times New Roman"/>
          <w:kern w:val="0"/>
          <w:sz w:val="24"/>
          <w:szCs w:val="24"/>
          <w:highlight w:val="none"/>
        </w:rPr>
        <w:t xml:space="preserve">三、承担保证责任的程序 </w:t>
      </w:r>
    </w:p>
    <w:p w14:paraId="306ED870">
      <w:pPr>
        <w:widowControl/>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xml:space="preserve">　　1．你方要求我方承担保证责任的，应在本保函保证期间内向我方发出书面索赔通知。索赔通知应写明要求索赔的金额，支付款项应到达的账号，并附有证明投标人发生我方应承担保证责任情形的事实材料。 </w:t>
      </w:r>
    </w:p>
    <w:p w14:paraId="6DF018F1">
      <w:pPr>
        <w:widowControl/>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2．我方在收到索赔通知及相关证明材料后，在</w:t>
      </w:r>
      <w:r>
        <w:rPr>
          <w:rFonts w:hint="default" w:ascii="Times New Roman" w:hAnsi="Times New Roman" w:eastAsia="宋体" w:cs="Times New Roman"/>
          <w:kern w:val="0"/>
          <w:sz w:val="24"/>
          <w:szCs w:val="24"/>
          <w:highlight w:val="none"/>
          <w:u w:val="single"/>
        </w:rPr>
        <w:t xml:space="preserve">    </w:t>
      </w:r>
      <w:r>
        <w:rPr>
          <w:rFonts w:hint="default" w:ascii="Times New Roman" w:hAnsi="Times New Roman" w:eastAsia="宋体" w:cs="Times New Roman"/>
          <w:kern w:val="0"/>
          <w:sz w:val="24"/>
          <w:szCs w:val="24"/>
          <w:highlight w:val="none"/>
        </w:rPr>
        <w:t xml:space="preserve">个工作日内进行审查，符合应承担保证责任情形的，我方应按照你方的要求代投标人向你方支付投标保证金。 </w:t>
      </w:r>
    </w:p>
    <w:p w14:paraId="22573ACC">
      <w:pPr>
        <w:widowControl/>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b/>
          <w:kern w:val="0"/>
          <w:sz w:val="24"/>
          <w:szCs w:val="24"/>
          <w:highlight w:val="none"/>
        </w:rPr>
        <w:t>　</w:t>
      </w:r>
      <w:r>
        <w:rPr>
          <w:rFonts w:hint="default" w:ascii="Times New Roman" w:hAnsi="Times New Roman" w:eastAsia="宋体" w:cs="Times New Roman"/>
          <w:kern w:val="0"/>
          <w:sz w:val="24"/>
          <w:szCs w:val="24"/>
          <w:highlight w:val="none"/>
        </w:rPr>
        <w:t xml:space="preserve">　四、保证责任的终止 </w:t>
      </w:r>
    </w:p>
    <w:p w14:paraId="188E5D8B">
      <w:pPr>
        <w:widowControl/>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xml:space="preserve">　　1．保证期间届满你方未向我方书面主张保证责任的，自保证期间届满次日起，我方保证责任自动终止。 </w:t>
      </w:r>
    </w:p>
    <w:p w14:paraId="0DDFEBAC">
      <w:pPr>
        <w:widowControl/>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2．我方按照本保函向你方履行了保证责任后，自我方向你方支付款项（支付款项从我方账户划出）之日起，保证责任终止。</w:t>
      </w:r>
    </w:p>
    <w:p w14:paraId="79C66DB1">
      <w:pPr>
        <w:widowControl/>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xml:space="preserve">　　3．按照法律法规的规定或出现我方保证责任终止的其它情形的，我方在本保函项下的保证责任亦终止。 </w:t>
      </w:r>
    </w:p>
    <w:p w14:paraId="40523667">
      <w:pPr>
        <w:widowControl/>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xml:space="preserve">　　五、免责条款 </w:t>
      </w:r>
    </w:p>
    <w:p w14:paraId="36DA62FB">
      <w:pPr>
        <w:widowControl/>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1．依照法律规定或你方与投标人的另行约定，全部或者部分免除投标人投标保证金义务时，我方亦免除相应的保证责任。</w:t>
      </w:r>
    </w:p>
    <w:p w14:paraId="5237B4A4">
      <w:pPr>
        <w:widowControl/>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xml:space="preserve">　　2．因你方原因致使投标人发生本保函第一条第（一）款约定情形的，我方不承担保证责任。 </w:t>
      </w:r>
    </w:p>
    <w:p w14:paraId="51C63112">
      <w:pPr>
        <w:widowControl/>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xml:space="preserve">　　3．因不可抗力造成投标人发生本保函第一条约定情形的，我方不承担保证责任。 </w:t>
      </w:r>
    </w:p>
    <w:p w14:paraId="102CA647">
      <w:pPr>
        <w:widowControl/>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xml:space="preserve">　　4．你方或其他有权机关对招标文件进行任何澄清或修改，加重我方保证责任的，我方对加重部分不承担保证责任，但该澄清或修改经我方事先书面同意的除外。 </w:t>
      </w:r>
    </w:p>
    <w:p w14:paraId="5B2A8812">
      <w:pPr>
        <w:widowControl/>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xml:space="preserve">　　六、争议的解决 </w:t>
      </w:r>
    </w:p>
    <w:p w14:paraId="0278C7BD">
      <w:pPr>
        <w:widowControl/>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xml:space="preserve">　　因本保函发生的纠纷，由你我双方协商解决，协商不成的，通过诉讼程序解决，诉讼管辖地法院为 </w:t>
      </w:r>
      <w:r>
        <w:rPr>
          <w:rFonts w:hint="default" w:ascii="Times New Roman" w:hAnsi="Times New Roman" w:eastAsia="宋体" w:cs="Times New Roman"/>
          <w:kern w:val="0"/>
          <w:sz w:val="24"/>
          <w:szCs w:val="24"/>
          <w:highlight w:val="none"/>
          <w:u w:val="single"/>
        </w:rPr>
        <w:t xml:space="preserve">           </w:t>
      </w:r>
      <w:r>
        <w:rPr>
          <w:rFonts w:hint="default" w:ascii="Times New Roman" w:hAnsi="Times New Roman" w:eastAsia="宋体" w:cs="Times New Roman"/>
          <w:kern w:val="0"/>
          <w:sz w:val="24"/>
          <w:szCs w:val="24"/>
          <w:highlight w:val="none"/>
        </w:rPr>
        <w:t xml:space="preserve">法院。 </w:t>
      </w:r>
    </w:p>
    <w:p w14:paraId="4F096924">
      <w:pPr>
        <w:widowControl/>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b/>
          <w:kern w:val="0"/>
          <w:sz w:val="24"/>
          <w:szCs w:val="24"/>
          <w:highlight w:val="none"/>
        </w:rPr>
        <w:t>　　</w:t>
      </w:r>
      <w:r>
        <w:rPr>
          <w:rFonts w:hint="default" w:ascii="Times New Roman" w:hAnsi="Times New Roman" w:eastAsia="宋体" w:cs="Times New Roman"/>
          <w:kern w:val="0"/>
          <w:sz w:val="24"/>
          <w:szCs w:val="24"/>
          <w:highlight w:val="none"/>
        </w:rPr>
        <w:t xml:space="preserve">七、保函的生效 </w:t>
      </w:r>
    </w:p>
    <w:p w14:paraId="1A1BF469">
      <w:pPr>
        <w:widowControl/>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xml:space="preserve">　　本保函自我方加盖公章之日起生效。 </w:t>
      </w:r>
    </w:p>
    <w:p w14:paraId="32E0B2F2">
      <w:pPr>
        <w:widowControl/>
        <w:spacing w:before="100" w:beforeAutospacing="1" w:after="100" w:afterAutospacing="1" w:line="360" w:lineRule="auto"/>
        <w:ind w:firstLine="480" w:firstLineChars="200"/>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xml:space="preserve">保证人：（公章） </w:t>
      </w:r>
    </w:p>
    <w:p w14:paraId="5C9C3ABA">
      <w:pPr>
        <w:pStyle w:val="4"/>
        <w:spacing w:line="360" w:lineRule="auto"/>
        <w:ind w:firstLine="560"/>
        <w:jc w:val="both"/>
        <w:rPr>
          <w:rFonts w:hint="default" w:ascii="Times New Roman" w:hAnsi="Times New Roman" w:eastAsia="宋体" w:cs="Times New Roman"/>
          <w:highlight w:val="none"/>
        </w:rPr>
      </w:pPr>
      <w:r>
        <w:rPr>
          <w:rFonts w:hint="default" w:ascii="Times New Roman" w:hAnsi="Times New Roman" w:eastAsia="宋体" w:cs="Times New Roman"/>
          <w:highlight w:val="none"/>
        </w:rPr>
        <w:t>　　                                              年     月     日</w:t>
      </w:r>
    </w:p>
    <w:p w14:paraId="06D985ED">
      <w:pPr>
        <w:pStyle w:val="3"/>
        <w:spacing w:line="360" w:lineRule="auto"/>
        <w:jc w:val="both"/>
        <w:rPr>
          <w:rFonts w:hint="default" w:ascii="Times New Roman" w:hAnsi="Times New Roman" w:eastAsia="宋体" w:cs="Times New Roman"/>
          <w:highlight w:val="none"/>
        </w:rPr>
      </w:pPr>
      <w:r>
        <w:rPr>
          <w:rFonts w:hint="default" w:ascii="Times New Roman" w:hAnsi="Times New Roman" w:eastAsia="宋体" w:cs="Times New Roman"/>
          <w:highlight w:val="none"/>
        </w:rPr>
        <w:br w:type="page"/>
      </w:r>
      <w:r>
        <w:rPr>
          <w:rFonts w:hint="default" w:ascii="Times New Roman" w:hAnsi="Times New Roman" w:eastAsia="宋体" w:cs="Times New Roman"/>
          <w:b/>
          <w:bCs/>
          <w:highlight w:val="none"/>
        </w:rPr>
        <w:t>附件18：政府采购履约担保函（项目用）</w:t>
      </w:r>
    </w:p>
    <w:p w14:paraId="5AEB78E2">
      <w:pPr>
        <w:widowControl/>
        <w:wordWrap w:val="0"/>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xml:space="preserve">　                                                  　编号： </w:t>
      </w:r>
    </w:p>
    <w:p w14:paraId="3E9B37D5">
      <w:pPr>
        <w:widowControl/>
        <w:wordWrap w:val="0"/>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b/>
          <w:kern w:val="0"/>
          <w:sz w:val="24"/>
          <w:szCs w:val="24"/>
          <w:highlight w:val="none"/>
          <w:u w:val="single"/>
        </w:rPr>
        <w:t xml:space="preserve">                     </w:t>
      </w:r>
      <w:r>
        <w:rPr>
          <w:rFonts w:hint="default" w:ascii="Times New Roman" w:hAnsi="Times New Roman" w:eastAsia="宋体" w:cs="Times New Roman"/>
          <w:b/>
          <w:kern w:val="0"/>
          <w:sz w:val="24"/>
          <w:szCs w:val="24"/>
          <w:highlight w:val="none"/>
        </w:rPr>
        <w:t xml:space="preserve">（采购人）： </w:t>
      </w:r>
    </w:p>
    <w:p w14:paraId="1C56999B">
      <w:pPr>
        <w:widowControl/>
        <w:wordWrap w:val="0"/>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xml:space="preserve">　　鉴于你方与 </w:t>
      </w:r>
      <w:r>
        <w:rPr>
          <w:rFonts w:hint="default" w:ascii="Times New Roman" w:hAnsi="Times New Roman" w:eastAsia="宋体" w:cs="Times New Roman"/>
          <w:kern w:val="0"/>
          <w:sz w:val="24"/>
          <w:szCs w:val="24"/>
          <w:highlight w:val="none"/>
          <w:u w:val="single"/>
        </w:rPr>
        <w:t xml:space="preserve">             </w:t>
      </w:r>
      <w:r>
        <w:rPr>
          <w:rFonts w:hint="default" w:ascii="Times New Roman" w:hAnsi="Times New Roman" w:eastAsia="宋体" w:cs="Times New Roman"/>
          <w:kern w:val="0"/>
          <w:sz w:val="24"/>
          <w:szCs w:val="24"/>
          <w:highlight w:val="none"/>
        </w:rPr>
        <w:t>（以下简称供应商）于</w:t>
      </w:r>
      <w:r>
        <w:rPr>
          <w:rFonts w:hint="default" w:ascii="Times New Roman" w:hAnsi="Times New Roman" w:eastAsia="宋体" w:cs="Times New Roman"/>
          <w:kern w:val="0"/>
          <w:sz w:val="24"/>
          <w:szCs w:val="24"/>
          <w:highlight w:val="none"/>
          <w:u w:val="single"/>
        </w:rPr>
        <w:t xml:space="preserve">   </w:t>
      </w:r>
      <w:r>
        <w:rPr>
          <w:rFonts w:hint="default" w:ascii="Times New Roman" w:hAnsi="Times New Roman" w:eastAsia="宋体" w:cs="Times New Roman"/>
          <w:kern w:val="0"/>
          <w:sz w:val="24"/>
          <w:szCs w:val="24"/>
          <w:highlight w:val="none"/>
        </w:rPr>
        <w:t>年</w:t>
      </w:r>
      <w:r>
        <w:rPr>
          <w:rFonts w:hint="default" w:ascii="Times New Roman" w:hAnsi="Times New Roman" w:eastAsia="宋体" w:cs="Times New Roman"/>
          <w:kern w:val="0"/>
          <w:sz w:val="24"/>
          <w:szCs w:val="24"/>
          <w:highlight w:val="none"/>
          <w:u w:val="single"/>
        </w:rPr>
        <w:t xml:space="preserve">   </w:t>
      </w:r>
      <w:r>
        <w:rPr>
          <w:rFonts w:hint="default" w:ascii="Times New Roman" w:hAnsi="Times New Roman" w:eastAsia="宋体" w:cs="Times New Roman"/>
          <w:kern w:val="0"/>
          <w:sz w:val="24"/>
          <w:szCs w:val="24"/>
          <w:highlight w:val="none"/>
        </w:rPr>
        <w:t>月</w:t>
      </w:r>
      <w:r>
        <w:rPr>
          <w:rFonts w:hint="default" w:ascii="Times New Roman" w:hAnsi="Times New Roman" w:eastAsia="宋体" w:cs="Times New Roman"/>
          <w:kern w:val="0"/>
          <w:sz w:val="24"/>
          <w:szCs w:val="24"/>
          <w:highlight w:val="none"/>
          <w:u w:val="single"/>
        </w:rPr>
        <w:t xml:space="preserve">   </w:t>
      </w:r>
      <w:r>
        <w:rPr>
          <w:rFonts w:hint="default" w:ascii="Times New Roman" w:hAnsi="Times New Roman" w:eastAsia="宋体" w:cs="Times New Roman"/>
          <w:kern w:val="0"/>
          <w:sz w:val="24"/>
          <w:szCs w:val="24"/>
          <w:highlight w:val="none"/>
        </w:rPr>
        <w:t>日签定编号为</w:t>
      </w:r>
      <w:r>
        <w:rPr>
          <w:rFonts w:hint="default" w:ascii="Times New Roman" w:hAnsi="Times New Roman" w:eastAsia="宋体" w:cs="Times New Roman"/>
          <w:kern w:val="0"/>
          <w:sz w:val="24"/>
          <w:szCs w:val="24"/>
          <w:highlight w:val="none"/>
          <w:u w:val="single"/>
        </w:rPr>
        <w:t xml:space="preserve">            </w:t>
      </w:r>
      <w:r>
        <w:rPr>
          <w:rFonts w:hint="default" w:ascii="Times New Roman" w:hAnsi="Times New Roman" w:eastAsia="宋体" w:cs="Times New Roman"/>
          <w:kern w:val="0"/>
          <w:sz w:val="24"/>
          <w:szCs w:val="24"/>
          <w:highlight w:val="none"/>
        </w:rPr>
        <w:t>的《</w:t>
      </w:r>
      <w:r>
        <w:rPr>
          <w:rFonts w:hint="default" w:ascii="Times New Roman" w:hAnsi="Times New Roman" w:eastAsia="宋体" w:cs="Times New Roman"/>
          <w:kern w:val="0"/>
          <w:sz w:val="24"/>
          <w:szCs w:val="24"/>
          <w:highlight w:val="none"/>
          <w:u w:val="single"/>
        </w:rPr>
        <w:t xml:space="preserve">           </w:t>
      </w:r>
      <w:r>
        <w:rPr>
          <w:rFonts w:hint="default" w:ascii="Times New Roman" w:hAnsi="Times New Roman" w:eastAsia="宋体" w:cs="Times New Roman"/>
          <w:kern w:val="0"/>
          <w:sz w:val="24"/>
          <w:szCs w:val="24"/>
          <w:highlight w:val="none"/>
        </w:rPr>
        <w:t>政府采购合同》（以下简称主合同），且依据该合同的约定，供应商应在</w:t>
      </w:r>
      <w:r>
        <w:rPr>
          <w:rFonts w:hint="default" w:ascii="Times New Roman" w:hAnsi="Times New Roman" w:eastAsia="宋体" w:cs="Times New Roman"/>
          <w:kern w:val="0"/>
          <w:sz w:val="24"/>
          <w:szCs w:val="24"/>
          <w:highlight w:val="none"/>
          <w:u w:val="single"/>
        </w:rPr>
        <w:t xml:space="preserve">   </w:t>
      </w:r>
      <w:r>
        <w:rPr>
          <w:rFonts w:hint="default" w:ascii="Times New Roman" w:hAnsi="Times New Roman" w:eastAsia="宋体" w:cs="Times New Roman"/>
          <w:kern w:val="0"/>
          <w:sz w:val="24"/>
          <w:szCs w:val="24"/>
          <w:highlight w:val="none"/>
        </w:rPr>
        <w:t>年</w:t>
      </w:r>
      <w:r>
        <w:rPr>
          <w:rFonts w:hint="default" w:ascii="Times New Roman" w:hAnsi="Times New Roman" w:eastAsia="宋体" w:cs="Times New Roman"/>
          <w:kern w:val="0"/>
          <w:sz w:val="24"/>
          <w:szCs w:val="24"/>
          <w:highlight w:val="none"/>
          <w:u w:val="single"/>
        </w:rPr>
        <w:t xml:space="preserve">   </w:t>
      </w:r>
      <w:r>
        <w:rPr>
          <w:rFonts w:hint="default" w:ascii="Times New Roman" w:hAnsi="Times New Roman" w:eastAsia="宋体" w:cs="Times New Roman"/>
          <w:kern w:val="0"/>
          <w:sz w:val="24"/>
          <w:szCs w:val="24"/>
          <w:highlight w:val="none"/>
        </w:rPr>
        <w:t>月</w:t>
      </w:r>
      <w:r>
        <w:rPr>
          <w:rFonts w:hint="default" w:ascii="Times New Roman" w:hAnsi="Times New Roman" w:eastAsia="宋体" w:cs="Times New Roman"/>
          <w:kern w:val="0"/>
          <w:sz w:val="24"/>
          <w:szCs w:val="24"/>
          <w:highlight w:val="none"/>
          <w:u w:val="single"/>
        </w:rPr>
        <w:t xml:space="preserve">   </w:t>
      </w:r>
      <w:r>
        <w:rPr>
          <w:rFonts w:hint="default" w:ascii="Times New Roman" w:hAnsi="Times New Roman" w:eastAsia="宋体" w:cs="Times New Roman"/>
          <w:kern w:val="0"/>
          <w:sz w:val="24"/>
          <w:szCs w:val="24"/>
          <w:highlight w:val="none"/>
        </w:rPr>
        <w:t xml:space="preserve">日前向你方交纳履约保证金，且可以履约担保函的形式交纳履约保证金。应供应商的申请，我方以保证的方式向你方提供如下履约保证金担保： </w:t>
      </w:r>
    </w:p>
    <w:p w14:paraId="78BA39A7">
      <w:pPr>
        <w:widowControl/>
        <w:wordWrap w:val="0"/>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b/>
          <w:kern w:val="0"/>
          <w:sz w:val="24"/>
          <w:szCs w:val="24"/>
          <w:highlight w:val="none"/>
        </w:rPr>
        <w:t xml:space="preserve">　　一、保证责任的情形及保证金额 </w:t>
      </w:r>
    </w:p>
    <w:p w14:paraId="56A3A261">
      <w:pPr>
        <w:widowControl/>
        <w:wordWrap w:val="0"/>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（一）在供应商出现下列情形之一时，我方承担保证责任：</w:t>
      </w:r>
    </w:p>
    <w:p w14:paraId="7BEBDA0F">
      <w:pPr>
        <w:widowControl/>
        <w:wordWrap w:val="0"/>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xml:space="preserve">　　1．将中标项目转让给他人，或者在投标文件中未说明，且未经采购人同意，将中标项目分包给他人的； </w:t>
      </w:r>
    </w:p>
    <w:p w14:paraId="077567A5">
      <w:pPr>
        <w:widowControl/>
        <w:wordWrap w:val="0"/>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xml:space="preserve">　　2．主合同约定的应当缴纳履约保证金的情形: </w:t>
      </w:r>
    </w:p>
    <w:p w14:paraId="72F2C831">
      <w:pPr>
        <w:widowControl/>
        <w:wordWrap w:val="0"/>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xml:space="preserve">　　（1）未按主合同约定的质量、数量和期限供应货物/提供服务/完成工程的； </w:t>
      </w:r>
    </w:p>
    <w:p w14:paraId="675F64C7">
      <w:pPr>
        <w:widowControl/>
        <w:wordWrap w:val="0"/>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（2）</w:t>
      </w:r>
      <w:r>
        <w:rPr>
          <w:rFonts w:hint="default" w:ascii="Times New Roman" w:hAnsi="Times New Roman" w:eastAsia="宋体" w:cs="Times New Roman"/>
          <w:kern w:val="0"/>
          <w:sz w:val="24"/>
          <w:szCs w:val="24"/>
          <w:highlight w:val="none"/>
          <w:u w:val="single"/>
        </w:rPr>
        <w:t xml:space="preserve">                                           </w:t>
      </w:r>
      <w:r>
        <w:rPr>
          <w:rFonts w:hint="default" w:ascii="Times New Roman" w:hAnsi="Times New Roman" w:eastAsia="宋体" w:cs="Times New Roman"/>
          <w:kern w:val="0"/>
          <w:sz w:val="24"/>
          <w:szCs w:val="24"/>
          <w:highlight w:val="none"/>
        </w:rPr>
        <w:t xml:space="preserve">。 </w:t>
      </w:r>
    </w:p>
    <w:p w14:paraId="2D39534D">
      <w:pPr>
        <w:widowControl/>
        <w:wordWrap w:val="0"/>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（二）我方的保证范围是主合同约定的合同价款总额的</w:t>
      </w:r>
      <w:r>
        <w:rPr>
          <w:rFonts w:hint="default" w:ascii="Times New Roman" w:hAnsi="Times New Roman" w:eastAsia="宋体" w:cs="Times New Roman"/>
          <w:kern w:val="0"/>
          <w:sz w:val="24"/>
          <w:szCs w:val="24"/>
          <w:highlight w:val="none"/>
          <w:u w:val="single"/>
        </w:rPr>
        <w:t xml:space="preserve">   </w:t>
      </w:r>
      <w:r>
        <w:rPr>
          <w:rFonts w:hint="default" w:ascii="Times New Roman" w:hAnsi="Times New Roman" w:eastAsia="宋体" w:cs="Times New Roman"/>
          <w:kern w:val="0"/>
          <w:sz w:val="24"/>
          <w:szCs w:val="24"/>
          <w:highlight w:val="none"/>
        </w:rPr>
        <w:t>%，数额为</w:t>
      </w:r>
      <w:r>
        <w:rPr>
          <w:rFonts w:hint="default" w:ascii="Times New Roman" w:hAnsi="Times New Roman" w:eastAsia="宋体" w:cs="Times New Roman"/>
          <w:kern w:val="0"/>
          <w:sz w:val="24"/>
          <w:szCs w:val="24"/>
          <w:highlight w:val="none"/>
          <w:u w:val="single"/>
        </w:rPr>
        <w:t xml:space="preserve">      </w:t>
      </w:r>
      <w:r>
        <w:rPr>
          <w:rFonts w:hint="default" w:ascii="Times New Roman" w:hAnsi="Times New Roman" w:eastAsia="宋体" w:cs="Times New Roman"/>
          <w:kern w:val="0"/>
          <w:sz w:val="24"/>
          <w:szCs w:val="24"/>
          <w:highlight w:val="none"/>
        </w:rPr>
        <w:t>元（大写</w:t>
      </w:r>
      <w:r>
        <w:rPr>
          <w:rFonts w:hint="default" w:ascii="Times New Roman" w:hAnsi="Times New Roman" w:eastAsia="宋体" w:cs="Times New Roman"/>
          <w:kern w:val="0"/>
          <w:sz w:val="24"/>
          <w:szCs w:val="24"/>
          <w:highlight w:val="none"/>
          <w:u w:val="single"/>
        </w:rPr>
        <w:t xml:space="preserve">           </w:t>
      </w:r>
      <w:r>
        <w:rPr>
          <w:rFonts w:hint="default" w:ascii="Times New Roman" w:hAnsi="Times New Roman" w:eastAsia="宋体" w:cs="Times New Roman"/>
          <w:kern w:val="0"/>
          <w:sz w:val="24"/>
          <w:szCs w:val="24"/>
          <w:highlight w:val="none"/>
        </w:rPr>
        <w:t xml:space="preserve"> ），币种为</w:t>
      </w:r>
      <w:r>
        <w:rPr>
          <w:rFonts w:hint="default" w:ascii="Times New Roman" w:hAnsi="Times New Roman" w:eastAsia="宋体" w:cs="Times New Roman"/>
          <w:kern w:val="0"/>
          <w:sz w:val="24"/>
          <w:szCs w:val="24"/>
          <w:highlight w:val="none"/>
          <w:u w:val="single"/>
        </w:rPr>
        <w:t xml:space="preserve">     </w:t>
      </w:r>
      <w:r>
        <w:rPr>
          <w:rFonts w:hint="default" w:ascii="Times New Roman" w:hAnsi="Times New Roman" w:eastAsia="宋体" w:cs="Times New Roman"/>
          <w:kern w:val="0"/>
          <w:sz w:val="24"/>
          <w:szCs w:val="24"/>
          <w:highlight w:val="none"/>
        </w:rPr>
        <w:t xml:space="preserve"> 。（即主合同履约保证金金额） </w:t>
      </w:r>
    </w:p>
    <w:p w14:paraId="2067CE6C">
      <w:pPr>
        <w:widowControl/>
        <w:wordWrap w:val="0"/>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w:t>
      </w:r>
      <w:r>
        <w:rPr>
          <w:rFonts w:hint="default" w:ascii="Times New Roman" w:hAnsi="Times New Roman" w:eastAsia="宋体" w:cs="Times New Roman"/>
          <w:b/>
          <w:kern w:val="0"/>
          <w:sz w:val="24"/>
          <w:szCs w:val="24"/>
          <w:highlight w:val="none"/>
        </w:rPr>
        <w:t xml:space="preserve">二、保证的方式及保证期间 </w:t>
      </w:r>
    </w:p>
    <w:p w14:paraId="4E2DD07A">
      <w:pPr>
        <w:widowControl/>
        <w:wordWrap w:val="0"/>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xml:space="preserve">　　我方保证的方式为：连带责任保证。 </w:t>
      </w:r>
    </w:p>
    <w:p w14:paraId="4F793D61">
      <w:pPr>
        <w:widowControl/>
        <w:wordWrap w:val="0"/>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我方保证的期间为：自本合同生效之日起至供应商按照主合同约定的供货/完工期限届满后</w:t>
      </w:r>
      <w:r>
        <w:rPr>
          <w:rFonts w:hint="default" w:ascii="Times New Roman" w:hAnsi="Times New Roman" w:eastAsia="宋体" w:cs="Times New Roman"/>
          <w:kern w:val="0"/>
          <w:sz w:val="24"/>
          <w:szCs w:val="24"/>
          <w:highlight w:val="none"/>
          <w:u w:val="single"/>
        </w:rPr>
        <w:t xml:space="preserve">     </w:t>
      </w:r>
      <w:r>
        <w:rPr>
          <w:rFonts w:hint="default" w:ascii="Times New Roman" w:hAnsi="Times New Roman" w:eastAsia="宋体" w:cs="Times New Roman"/>
          <w:kern w:val="0"/>
          <w:sz w:val="24"/>
          <w:szCs w:val="24"/>
          <w:highlight w:val="none"/>
        </w:rPr>
        <w:t xml:space="preserve">日内。 </w:t>
      </w:r>
    </w:p>
    <w:p w14:paraId="4D682C3B">
      <w:pPr>
        <w:widowControl/>
        <w:wordWrap w:val="0"/>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xml:space="preserve">　　如果供应商未按主合同约定向贵方供应货物/提供服务/完成工程的，由我方在保证金额内向你方支付上述款项。 </w:t>
      </w:r>
    </w:p>
    <w:p w14:paraId="018FB91B">
      <w:pPr>
        <w:widowControl/>
        <w:wordWrap w:val="0"/>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w:t>
      </w:r>
      <w:r>
        <w:rPr>
          <w:rFonts w:hint="default" w:ascii="Times New Roman" w:hAnsi="Times New Roman" w:eastAsia="宋体" w:cs="Times New Roman"/>
          <w:b/>
          <w:kern w:val="0"/>
          <w:sz w:val="24"/>
          <w:szCs w:val="24"/>
          <w:highlight w:val="none"/>
        </w:rPr>
        <w:t xml:space="preserve">三、承担保证责任的程序 </w:t>
      </w:r>
    </w:p>
    <w:p w14:paraId="1E98D1E1">
      <w:pPr>
        <w:widowControl/>
        <w:wordWrap w:val="0"/>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1．你方要求我方承担保证责任的，应在本保函保证期间内向我方发出书面索赔通知。索赔通知应写明要求索赔的金额，支付款项应到达的帐号。并附有证明供应商违约事实的证明材料。</w:t>
      </w:r>
    </w:p>
    <w:p w14:paraId="5178C81E">
      <w:pPr>
        <w:widowControl/>
        <w:wordWrap w:val="0"/>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如果你方与供应商因货物质量问题产生争议，你方还需同时提供</w:t>
      </w:r>
      <w:r>
        <w:rPr>
          <w:rFonts w:hint="default" w:ascii="Times New Roman" w:hAnsi="Times New Roman" w:eastAsia="宋体" w:cs="Times New Roman"/>
          <w:kern w:val="0"/>
          <w:sz w:val="24"/>
          <w:szCs w:val="24"/>
          <w:highlight w:val="none"/>
          <w:u w:val="single"/>
        </w:rPr>
        <w:t xml:space="preserve">        </w:t>
      </w:r>
      <w:r>
        <w:rPr>
          <w:rFonts w:hint="default" w:ascii="Times New Roman" w:hAnsi="Times New Roman" w:eastAsia="宋体" w:cs="Times New Roman"/>
          <w:kern w:val="0"/>
          <w:sz w:val="24"/>
          <w:szCs w:val="24"/>
          <w:highlight w:val="none"/>
        </w:rPr>
        <w:t xml:space="preserve">部门出具的质量检测报告，或经诉讼（仲裁）程序裁决后的裁决书、调解书，本保证人即按照检测结果或裁决书、调解书决定是否承担保证责任。 </w:t>
      </w:r>
    </w:p>
    <w:p w14:paraId="059CDBBD">
      <w:pPr>
        <w:widowControl/>
        <w:wordWrap w:val="0"/>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2．我方收到你方的书面索赔通知及相应证明材料，在</w:t>
      </w:r>
      <w:r>
        <w:rPr>
          <w:rFonts w:hint="default" w:ascii="Times New Roman" w:hAnsi="Times New Roman" w:eastAsia="宋体" w:cs="Times New Roman"/>
          <w:kern w:val="0"/>
          <w:sz w:val="24"/>
          <w:szCs w:val="24"/>
          <w:highlight w:val="none"/>
          <w:u w:val="single"/>
        </w:rPr>
        <w:t xml:space="preserve">    </w:t>
      </w:r>
      <w:r>
        <w:rPr>
          <w:rFonts w:hint="default" w:ascii="Times New Roman" w:hAnsi="Times New Roman" w:eastAsia="宋体" w:cs="Times New Roman"/>
          <w:kern w:val="0"/>
          <w:sz w:val="24"/>
          <w:szCs w:val="24"/>
          <w:highlight w:val="none"/>
        </w:rPr>
        <w:t xml:space="preserve">工作日内进行核定后按照本保函的承诺承担保证责任。 </w:t>
      </w:r>
    </w:p>
    <w:p w14:paraId="70971685">
      <w:pPr>
        <w:widowControl/>
        <w:wordWrap w:val="0"/>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w:t>
      </w:r>
      <w:r>
        <w:rPr>
          <w:rFonts w:hint="default" w:ascii="Times New Roman" w:hAnsi="Times New Roman" w:eastAsia="宋体" w:cs="Times New Roman"/>
          <w:b/>
          <w:kern w:val="0"/>
          <w:sz w:val="24"/>
          <w:szCs w:val="24"/>
          <w:highlight w:val="none"/>
        </w:rPr>
        <w:t xml:space="preserve">　四、保证责任的终止 </w:t>
      </w:r>
    </w:p>
    <w:p w14:paraId="19DC16A7">
      <w:pPr>
        <w:widowControl/>
        <w:wordWrap w:val="0"/>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xml:space="preserve">　　1．保证期间届满你方未向我方书面主张保证责任的，自保证期间届满次日起，我方保证责任自动终止。保证期间届满前，主合同约定的货物\工程\服务全部验收合格的，自验收合格日起，我方保证责任自动终止。 </w:t>
      </w:r>
    </w:p>
    <w:p w14:paraId="678E0F08">
      <w:pPr>
        <w:widowControl/>
        <w:wordWrap w:val="0"/>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xml:space="preserve">　　2．我方按照本保函向你方履行了保证责任后，自我方向你方支付款项（支付款项从我方账户划出）之日起，保证责任即终止。 </w:t>
      </w:r>
    </w:p>
    <w:p w14:paraId="5FB40B9C">
      <w:pPr>
        <w:widowControl/>
        <w:wordWrap w:val="0"/>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xml:space="preserve">　　3．按照法律法规的规定或出现应终止我方保证责任的其它情形的，我方在本保函项下的保证责任亦终止。 </w:t>
      </w:r>
    </w:p>
    <w:p w14:paraId="2152958C">
      <w:pPr>
        <w:widowControl/>
        <w:wordWrap w:val="0"/>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xml:space="preserve">　　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 </w:t>
      </w:r>
    </w:p>
    <w:p w14:paraId="2FF87C27">
      <w:pPr>
        <w:widowControl/>
        <w:wordWrap w:val="0"/>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w:t>
      </w:r>
      <w:r>
        <w:rPr>
          <w:rFonts w:hint="default" w:ascii="Times New Roman" w:hAnsi="Times New Roman" w:eastAsia="宋体" w:cs="Times New Roman"/>
          <w:b/>
          <w:kern w:val="0"/>
          <w:sz w:val="24"/>
          <w:szCs w:val="24"/>
          <w:highlight w:val="none"/>
        </w:rPr>
        <w:t xml:space="preserve">　五、免责条款 </w:t>
      </w:r>
    </w:p>
    <w:p w14:paraId="6C2017D9">
      <w:pPr>
        <w:widowControl/>
        <w:wordWrap w:val="0"/>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xml:space="preserve">　　1．因你方违反主合同约定致使供应商不能履行义务的，我方不承担保证责任。 </w:t>
      </w:r>
    </w:p>
    <w:p w14:paraId="41A3B25A">
      <w:pPr>
        <w:widowControl/>
        <w:wordWrap w:val="0"/>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xml:space="preserve">　　2．依照法律法规的规定或你方与供应商的另行约定，全部或者部分免除供应商应缴纳的保证金义务的，我方亦免除相应的保证责任。 </w:t>
      </w:r>
    </w:p>
    <w:p w14:paraId="047E6C3F">
      <w:pPr>
        <w:widowControl/>
        <w:wordWrap w:val="0"/>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xml:space="preserve">　　3． 因不可抗力造成供应商不能履行供货义务的，我方不承担保证责任。 </w:t>
      </w:r>
    </w:p>
    <w:p w14:paraId="3E48C42B">
      <w:pPr>
        <w:widowControl/>
        <w:wordWrap w:val="0"/>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w:t>
      </w:r>
      <w:r>
        <w:rPr>
          <w:rFonts w:hint="default" w:ascii="Times New Roman" w:hAnsi="Times New Roman" w:eastAsia="宋体" w:cs="Times New Roman"/>
          <w:b/>
          <w:kern w:val="0"/>
          <w:sz w:val="24"/>
          <w:szCs w:val="24"/>
          <w:highlight w:val="none"/>
        </w:rPr>
        <w:t xml:space="preserve">六、争议的解决 </w:t>
      </w:r>
    </w:p>
    <w:p w14:paraId="004B284E">
      <w:pPr>
        <w:widowControl/>
        <w:wordWrap w:val="0"/>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因本保函发生的纠纷，由你我双方协商解决，协商不成的，通过诉讼程序解决，诉讼管辖地法院为</w:t>
      </w:r>
      <w:r>
        <w:rPr>
          <w:rFonts w:hint="default" w:ascii="Times New Roman" w:hAnsi="Times New Roman" w:eastAsia="宋体" w:cs="Times New Roman"/>
          <w:kern w:val="0"/>
          <w:sz w:val="24"/>
          <w:szCs w:val="24"/>
          <w:highlight w:val="none"/>
          <w:u w:val="single"/>
        </w:rPr>
        <w:t xml:space="preserve">           </w:t>
      </w:r>
      <w:r>
        <w:rPr>
          <w:rFonts w:hint="default" w:ascii="Times New Roman" w:hAnsi="Times New Roman" w:eastAsia="宋体" w:cs="Times New Roman"/>
          <w:kern w:val="0"/>
          <w:sz w:val="24"/>
          <w:szCs w:val="24"/>
          <w:highlight w:val="none"/>
        </w:rPr>
        <w:t xml:space="preserve">法院。 </w:t>
      </w:r>
    </w:p>
    <w:p w14:paraId="3159925A">
      <w:pPr>
        <w:widowControl/>
        <w:wordWrap w:val="0"/>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w:t>
      </w:r>
      <w:r>
        <w:rPr>
          <w:rFonts w:hint="default" w:ascii="Times New Roman" w:hAnsi="Times New Roman" w:eastAsia="宋体" w:cs="Times New Roman"/>
          <w:b/>
          <w:kern w:val="0"/>
          <w:sz w:val="24"/>
          <w:szCs w:val="24"/>
          <w:highlight w:val="none"/>
        </w:rPr>
        <w:t xml:space="preserve">　七、保函的生效 </w:t>
      </w:r>
    </w:p>
    <w:p w14:paraId="0FB685C6">
      <w:pPr>
        <w:widowControl/>
        <w:wordWrap w:val="0"/>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xml:space="preserve">　　本保函自我方加盖公章之日起生效。 </w:t>
      </w:r>
    </w:p>
    <w:p w14:paraId="0821F8D5">
      <w:pPr>
        <w:widowControl/>
        <w:wordWrap w:val="0"/>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xml:space="preserve">　                             </w:t>
      </w:r>
    </w:p>
    <w:p w14:paraId="0B81ED61">
      <w:pPr>
        <w:widowControl/>
        <w:wordWrap w:val="0"/>
        <w:spacing w:before="100" w:beforeAutospacing="1" w:after="100" w:afterAutospacing="1" w:line="360" w:lineRule="auto"/>
        <w:ind w:firstLine="720" w:firstLineChars="300"/>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xml:space="preserve"> 保证人：（公章） </w:t>
      </w:r>
    </w:p>
    <w:p w14:paraId="712EF740">
      <w:pPr>
        <w:widowControl/>
        <w:wordWrap w:val="0"/>
        <w:spacing w:before="100" w:beforeAutospacing="1" w:after="100" w:afterAutospacing="1" w:line="360" w:lineRule="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 xml:space="preserve">　　                                                       年   月    日 </w:t>
      </w:r>
    </w:p>
    <w:p w14:paraId="0954C643">
      <w:pPr>
        <w:pStyle w:val="3"/>
        <w:spacing w:line="360" w:lineRule="auto"/>
        <w:jc w:val="both"/>
        <w:rPr>
          <w:rFonts w:hint="default" w:ascii="Times New Roman" w:hAnsi="Times New Roman" w:eastAsia="宋体" w:cs="Times New Roman"/>
          <w:b/>
          <w:bCs/>
          <w:highlight w:val="none"/>
        </w:rPr>
      </w:pPr>
      <w:r>
        <w:rPr>
          <w:rFonts w:hint="default" w:ascii="Times New Roman" w:hAnsi="Times New Roman" w:eastAsia="宋体" w:cs="Times New Roman"/>
          <w:highlight w:val="none"/>
        </w:rPr>
        <w:br w:type="page"/>
      </w:r>
      <w:r>
        <w:rPr>
          <w:rFonts w:hint="default" w:ascii="Times New Roman" w:hAnsi="Times New Roman" w:eastAsia="宋体" w:cs="Times New Roman"/>
          <w:b/>
          <w:bCs/>
          <w:highlight w:val="none"/>
        </w:rPr>
        <w:t>附件19：预付款银行保函</w:t>
      </w:r>
    </w:p>
    <w:p w14:paraId="4B00D81F">
      <w:pPr>
        <w:pStyle w:val="4"/>
        <w:adjustRightInd w:val="0"/>
        <w:snapToGrid w:val="0"/>
        <w:spacing w:line="288" w:lineRule="auto"/>
        <w:ind w:firstLine="0"/>
        <w:jc w:val="center"/>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预付款保函（独立性参考格式）</w:t>
      </w:r>
    </w:p>
    <w:p w14:paraId="65785373">
      <w:pPr>
        <w:adjustRightInd w:val="0"/>
        <w:snapToGrid w:val="0"/>
        <w:spacing w:line="288" w:lineRule="auto"/>
        <w:ind w:right="463"/>
        <w:jc w:val="center"/>
        <w:rPr>
          <w:rFonts w:hint="default" w:ascii="Times New Roman" w:hAnsi="Times New Roman" w:eastAsia="宋体" w:cs="Times New Roman"/>
          <w:color w:val="000000" w:themeColor="text1"/>
          <w:sz w:val="24"/>
          <w:szCs w:val="24"/>
          <w:highlight w:val="none"/>
          <w:u w:val="singl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             编号：</w:t>
      </w:r>
      <w:r>
        <w:rPr>
          <w:rFonts w:hint="default" w:ascii="Times New Roman" w:hAnsi="Times New Roman" w:eastAsia="宋体" w:cs="Times New Roman"/>
          <w:color w:val="000000" w:themeColor="text1"/>
          <w:sz w:val="24"/>
          <w:szCs w:val="24"/>
          <w:highlight w:val="none"/>
          <w:u w:val="single"/>
          <w14:textFill>
            <w14:solidFill>
              <w14:schemeClr w14:val="tx1"/>
            </w14:solidFill>
          </w14:textFill>
        </w:rPr>
        <w:t xml:space="preserve">                  </w:t>
      </w:r>
    </w:p>
    <w:p w14:paraId="0FB3AA4C">
      <w:pPr>
        <w:spacing w:line="324" w:lineRule="auto"/>
        <w:jc w:val="left"/>
        <w:rPr>
          <w:rFonts w:hint="default" w:ascii="Times New Roman" w:hAnsi="Times New Roman" w:eastAsia="宋体" w:cs="Times New Roman"/>
          <w:color w:val="000000" w:themeColor="text1"/>
          <w:sz w:val="24"/>
          <w:szCs w:val="24"/>
          <w:highlight w:val="none"/>
          <w:u w:val="singl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致：</w:t>
      </w:r>
      <w:r>
        <w:rPr>
          <w:rFonts w:hint="default" w:ascii="Times New Roman" w:hAnsi="Times New Roman" w:eastAsia="宋体" w:cs="Times New Roman"/>
          <w:color w:val="000000" w:themeColor="text1"/>
          <w:sz w:val="24"/>
          <w:szCs w:val="24"/>
          <w:highlight w:val="none"/>
          <w:u w:val="single"/>
          <w14:textFill>
            <w14:solidFill>
              <w14:schemeClr w14:val="tx1"/>
            </w14:solidFill>
          </w14:textFill>
        </w:rPr>
        <w:t xml:space="preserve">                   </w:t>
      </w:r>
    </w:p>
    <w:p w14:paraId="3E4BCD29">
      <w:pPr>
        <w:spacing w:line="324" w:lineRule="auto"/>
        <w:ind w:firstLine="480" w:firstLineChars="200"/>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鉴于：</w:t>
      </w:r>
      <w:r>
        <w:rPr>
          <w:rFonts w:hint="default" w:ascii="Times New Roman" w:hAnsi="Times New Roman" w:eastAsia="宋体" w:cs="Times New Roman"/>
          <w:color w:val="000000" w:themeColor="text1"/>
          <w:sz w:val="24"/>
          <w:szCs w:val="24"/>
          <w:highlight w:val="none"/>
          <w:u w:val="single"/>
          <w14:textFill>
            <w14:solidFill>
              <w14:schemeClr w14:val="tx1"/>
            </w14:solidFill>
          </w14:textFill>
        </w:rPr>
        <w:t xml:space="preserve">                            </w:t>
      </w:r>
      <w:r>
        <w:rPr>
          <w:rFonts w:hint="default" w:ascii="Times New Roman" w:hAnsi="Times New Roman" w:eastAsia="宋体" w:cs="Times New Roman"/>
          <w:color w:val="000000" w:themeColor="text1"/>
          <w:sz w:val="24"/>
          <w:szCs w:val="24"/>
          <w:highlight w:val="none"/>
          <w14:textFill>
            <w14:solidFill>
              <w14:schemeClr w14:val="tx1"/>
            </w14:solidFill>
          </w14:textFill>
        </w:rPr>
        <w:t>（下称“卖方”）与贵方签订了编号为</w:t>
      </w:r>
      <w:r>
        <w:rPr>
          <w:rFonts w:hint="default" w:ascii="Times New Roman" w:hAnsi="Times New Roman" w:eastAsia="宋体" w:cs="Times New Roman"/>
          <w:color w:val="000000" w:themeColor="text1"/>
          <w:sz w:val="24"/>
          <w:szCs w:val="24"/>
          <w:highlight w:val="none"/>
          <w:u w:val="single"/>
          <w14:textFill>
            <w14:solidFill>
              <w14:schemeClr w14:val="tx1"/>
            </w14:solidFill>
          </w14:textFill>
        </w:rPr>
        <w:t xml:space="preserve">              </w:t>
      </w:r>
      <w:r>
        <w:rPr>
          <w:rFonts w:hint="default" w:ascii="Times New Roman" w:hAnsi="Times New Roman" w:eastAsia="宋体" w:cs="Times New Roman"/>
          <w:color w:val="000000" w:themeColor="text1"/>
          <w:sz w:val="24"/>
          <w:szCs w:val="24"/>
          <w:highlight w:val="none"/>
          <w14:textFill>
            <w14:solidFill>
              <w14:schemeClr w14:val="tx1"/>
            </w14:solidFill>
          </w14:textFill>
        </w:rPr>
        <w:t>的合同（下称“合同”）。根据合同约定，卖方因</w:t>
      </w:r>
      <w:r>
        <w:rPr>
          <w:rFonts w:hint="default" w:ascii="Times New Roman" w:hAnsi="Times New Roman" w:eastAsia="宋体" w:cs="Times New Roman"/>
          <w:color w:val="000000" w:themeColor="text1"/>
          <w:sz w:val="24"/>
          <w:szCs w:val="24"/>
          <w:highlight w:val="none"/>
          <w:u w:val="single"/>
          <w14:textFill>
            <w14:solidFill>
              <w14:schemeClr w14:val="tx1"/>
            </w14:solidFill>
          </w14:textFill>
        </w:rPr>
        <w:t xml:space="preserve">              </w:t>
      </w:r>
      <w:r>
        <w:rPr>
          <w:rFonts w:hint="default" w:ascii="Times New Roman" w:hAnsi="Times New Roman" w:eastAsia="宋体" w:cs="Times New Roman"/>
          <w:color w:val="000000" w:themeColor="text1"/>
          <w:sz w:val="24"/>
          <w:szCs w:val="24"/>
          <w:highlight w:val="none"/>
          <w14:textFill>
            <w14:solidFill>
              <w14:schemeClr w14:val="tx1"/>
            </w14:solidFill>
          </w14:textFill>
        </w:rPr>
        <w:t>需向贵方提交一份预付款保函。</w:t>
      </w:r>
    </w:p>
    <w:p w14:paraId="47A134B7">
      <w:pPr>
        <w:spacing w:line="324" w:lineRule="auto"/>
        <w:ind w:firstLine="480" w:firstLineChars="200"/>
        <w:jc w:val="lef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根据保函申请人</w:t>
      </w:r>
      <w:r>
        <w:rPr>
          <w:rFonts w:hint="default" w:ascii="Times New Roman" w:hAnsi="Times New Roman" w:eastAsia="宋体" w:cs="Times New Roman"/>
          <w:color w:val="000000" w:themeColor="text1"/>
          <w:sz w:val="24"/>
          <w:szCs w:val="24"/>
          <w:highlight w:val="none"/>
          <w:u w:val="single"/>
          <w14:textFill>
            <w14:solidFill>
              <w14:schemeClr w14:val="tx1"/>
            </w14:solidFill>
          </w14:textFill>
        </w:rPr>
        <w:t xml:space="preserve">                    </w:t>
      </w:r>
      <w:r>
        <w:rPr>
          <w:rFonts w:hint="default" w:ascii="Times New Roman" w:hAnsi="Times New Roman" w:eastAsia="宋体" w:cs="Times New Roman"/>
          <w:color w:val="000000" w:themeColor="text1"/>
          <w:sz w:val="24"/>
          <w:szCs w:val="24"/>
          <w:highlight w:val="none"/>
          <w14:textFill>
            <w14:solidFill>
              <w14:schemeClr w14:val="tx1"/>
            </w14:solidFill>
          </w14:textFill>
        </w:rPr>
        <w:t>的申请，我行（下称“担保人”）在此向贵方（下称“受益人”）开立不可撤销，担保金额累计不超过</w:t>
      </w:r>
      <w:r>
        <w:rPr>
          <w:rFonts w:hint="default" w:ascii="Times New Roman" w:hAnsi="Times New Roman" w:eastAsia="宋体" w:cs="Times New Roman"/>
          <w:color w:val="000000" w:themeColor="text1"/>
          <w:sz w:val="24"/>
          <w:szCs w:val="24"/>
          <w:highlight w:val="none"/>
          <w:u w:val="single"/>
          <w14:textFill>
            <w14:solidFill>
              <w14:schemeClr w14:val="tx1"/>
            </w14:solidFill>
          </w14:textFill>
        </w:rPr>
        <w:t xml:space="preserve">      </w:t>
      </w:r>
      <w:r>
        <w:rPr>
          <w:rFonts w:hint="default" w:ascii="Times New Roman" w:hAnsi="Times New Roman" w:eastAsia="宋体" w:cs="Times New Roman"/>
          <w:color w:val="000000" w:themeColor="text1"/>
          <w:sz w:val="24"/>
          <w:szCs w:val="24"/>
          <w:highlight w:val="none"/>
          <w14:textFill>
            <w14:solidFill>
              <w14:schemeClr w14:val="tx1"/>
            </w14:solidFill>
          </w14:textFill>
        </w:rPr>
        <w:t>（币种）</w:t>
      </w:r>
      <w:r>
        <w:rPr>
          <w:rFonts w:hint="default" w:ascii="Times New Roman" w:hAnsi="Times New Roman" w:eastAsia="宋体" w:cs="Times New Roman"/>
          <w:color w:val="000000" w:themeColor="text1"/>
          <w:sz w:val="24"/>
          <w:szCs w:val="24"/>
          <w:highlight w:val="none"/>
          <w:u w:val="single"/>
          <w14:textFill>
            <w14:solidFill>
              <w14:schemeClr w14:val="tx1"/>
            </w14:solidFill>
          </w14:textFill>
        </w:rPr>
        <w:t xml:space="preserve">                                </w:t>
      </w:r>
      <w:r>
        <w:rPr>
          <w:rFonts w:hint="default" w:ascii="Times New Roman" w:hAnsi="Times New Roman" w:eastAsia="宋体" w:cs="Times New Roman"/>
          <w:color w:val="000000" w:themeColor="text1"/>
          <w:sz w:val="24"/>
          <w:szCs w:val="24"/>
          <w:highlight w:val="none"/>
          <w14:textFill>
            <w14:solidFill>
              <w14:schemeClr w14:val="tx1"/>
            </w14:solidFill>
          </w14:textFill>
        </w:rPr>
        <w:t>（大写）的预付款保函（下称“本保函”）。</w:t>
      </w:r>
    </w:p>
    <w:p w14:paraId="2677DA9F">
      <w:pPr>
        <w:spacing w:line="324" w:lineRule="auto"/>
        <w:ind w:firstLine="480" w:firstLineChars="200"/>
        <w:jc w:val="lef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一、</w:t>
      </w:r>
      <w:r>
        <w:rPr>
          <w:rFonts w:hint="default" w:ascii="Times New Roman" w:hAnsi="Times New Roman" w:eastAsia="宋体" w:cs="Times New Roman"/>
          <w:b/>
          <w:color w:val="000000" w:themeColor="text1"/>
          <w:sz w:val="24"/>
          <w:szCs w:val="24"/>
          <w:highlight w:val="none"/>
          <w14:textFill>
            <w14:solidFill>
              <w14:schemeClr w14:val="tx1"/>
            </w14:solidFill>
          </w14:textFill>
        </w:rPr>
        <w:t>本保函为独立保函，见索即付</w:t>
      </w:r>
      <w:r>
        <w:rPr>
          <w:rFonts w:hint="default" w:ascii="Times New Roman" w:hAnsi="Times New Roman" w:eastAsia="宋体" w:cs="Times New Roman"/>
          <w:color w:val="000000" w:themeColor="text1"/>
          <w:sz w:val="24"/>
          <w:szCs w:val="24"/>
          <w:highlight w:val="none"/>
          <w14:textFill>
            <w14:solidFill>
              <w14:schemeClr w14:val="tx1"/>
            </w14:solidFill>
          </w14:textFill>
        </w:rPr>
        <w:t>。担保人承诺，在本保函有效期内收到受益人的索赔文件且符合本保函约定的，担保人将在收到索赔文件次日起十个工作日内在担保金额内向受益人付款。索赔文件约定如下：</w:t>
      </w:r>
    </w:p>
    <w:p w14:paraId="699E9892">
      <w:pPr>
        <w:spacing w:line="324" w:lineRule="auto"/>
        <w:ind w:firstLine="480" w:firstLineChars="200"/>
        <w:jc w:val="lef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1.经受益人有权签字人签字、加盖受益人公章的书面索赔声明正本，索赔声明须注明本保函编号并申明如下事实：</w:t>
      </w:r>
    </w:p>
    <w:p w14:paraId="1AFE3EBD">
      <w:pPr>
        <w:spacing w:line="324" w:lineRule="auto"/>
        <w:ind w:firstLine="570"/>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（1）卖方未履行合同约定；</w:t>
      </w:r>
    </w:p>
    <w:p w14:paraId="4198DE5C">
      <w:pPr>
        <w:spacing w:line="324" w:lineRule="auto"/>
        <w:ind w:firstLine="570"/>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（2）卖方的违约事实；</w:t>
      </w:r>
    </w:p>
    <w:p w14:paraId="2FD7C1D0">
      <w:pPr>
        <w:spacing w:line="324" w:lineRule="auto"/>
        <w:ind w:firstLine="570"/>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（3）卖方未退回受益人已支付的预付款。</w:t>
      </w:r>
    </w:p>
    <w:p w14:paraId="0B3E3E1C">
      <w:pPr>
        <w:spacing w:line="324" w:lineRule="auto"/>
        <w:ind w:firstLine="480" w:firstLineChars="200"/>
        <w:jc w:val="lef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2.本保函正本原件（电子保函无须提交正本原件）。</w:t>
      </w:r>
    </w:p>
    <w:p w14:paraId="04C177F4">
      <w:pPr>
        <w:spacing w:line="324" w:lineRule="auto"/>
        <w:ind w:firstLine="482" w:firstLineChars="200"/>
        <w:jc w:val="lef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b/>
          <w:color w:val="000000" w:themeColor="text1"/>
          <w:sz w:val="24"/>
          <w:szCs w:val="24"/>
          <w:highlight w:val="none"/>
          <w14:textFill>
            <w14:solidFill>
              <w14:schemeClr w14:val="tx1"/>
            </w14:solidFill>
          </w14:textFill>
        </w:rPr>
        <w:t>3.为确保索赔文件的真实性，索赔文件须经受益人开户行确认签字、盖章真实、有效并经其提交担保人</w:t>
      </w:r>
      <w:r>
        <w:rPr>
          <w:rFonts w:hint="default" w:ascii="Times New Roman" w:hAnsi="Times New Roman" w:eastAsia="宋体" w:cs="Times New Roman"/>
          <w:color w:val="000000" w:themeColor="text1"/>
          <w:sz w:val="24"/>
          <w:szCs w:val="24"/>
          <w:highlight w:val="none"/>
          <w14:textFill>
            <w14:solidFill>
              <w14:schemeClr w14:val="tx1"/>
            </w14:solidFill>
          </w14:textFill>
        </w:rPr>
        <w:t>，寄送地址为</w:t>
      </w:r>
      <w:r>
        <w:rPr>
          <w:rFonts w:hint="default" w:ascii="Times New Roman" w:hAnsi="Times New Roman" w:eastAsia="宋体" w:cs="Times New Roman"/>
          <w:color w:val="000000" w:themeColor="text1"/>
          <w:sz w:val="24"/>
          <w:szCs w:val="24"/>
          <w:highlight w:val="none"/>
          <w:u w:val="single"/>
          <w14:textFill>
            <w14:solidFill>
              <w14:schemeClr w14:val="tx1"/>
            </w14:solidFill>
          </w14:textFill>
        </w:rPr>
        <w:t xml:space="preserve">               </w:t>
      </w:r>
      <w:r>
        <w:rPr>
          <w:rFonts w:hint="default" w:ascii="Times New Roman" w:hAnsi="Times New Roman" w:eastAsia="宋体" w:cs="Times New Roman"/>
          <w:color w:val="000000" w:themeColor="text1"/>
          <w:sz w:val="24"/>
          <w:szCs w:val="24"/>
          <w:highlight w:val="none"/>
          <w14:textFill>
            <w14:solidFill>
              <w14:schemeClr w14:val="tx1"/>
            </w14:solidFill>
          </w14:textFill>
        </w:rPr>
        <w:t>。</w:t>
      </w:r>
    </w:p>
    <w:p w14:paraId="4FE4AA94">
      <w:pPr>
        <w:spacing w:line="324" w:lineRule="auto"/>
        <w:ind w:firstLine="480" w:firstLineChars="200"/>
        <w:jc w:val="lef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二、担保人的担保责任／担保金额将随着卖方的履约或担保人的赔付而相应递减。</w:t>
      </w:r>
    </w:p>
    <w:p w14:paraId="771F7A1D">
      <w:pPr>
        <w:spacing w:line="324" w:lineRule="auto"/>
        <w:ind w:firstLine="482" w:firstLineChars="200"/>
        <w:jc w:val="left"/>
        <w:rPr>
          <w:rFonts w:hint="default" w:ascii="Times New Roman" w:hAnsi="Times New Roman" w:eastAsia="宋体" w:cs="Times New Roman"/>
          <w:b/>
          <w:color w:val="000000" w:themeColor="text1"/>
          <w:sz w:val="24"/>
          <w:szCs w:val="24"/>
          <w:highlight w:val="none"/>
          <w14:textFill>
            <w14:solidFill>
              <w14:schemeClr w14:val="tx1"/>
            </w14:solidFill>
          </w14:textFill>
        </w:rPr>
      </w:pPr>
      <w:r>
        <w:rPr>
          <w:rFonts w:hint="default" w:ascii="Times New Roman" w:hAnsi="Times New Roman" w:eastAsia="宋体" w:cs="Times New Roman"/>
          <w:b/>
          <w:color w:val="000000" w:themeColor="text1"/>
          <w:sz w:val="24"/>
          <w:szCs w:val="24"/>
          <w:highlight w:val="none"/>
          <w14:textFill>
            <w14:solidFill>
              <w14:schemeClr w14:val="tx1"/>
            </w14:solidFill>
          </w14:textFill>
        </w:rPr>
        <w:t>三、受益人将基础交易项下债权转让第三人，或将保函索赔请求权转让第三人时，须经担保人书面同意，否则担保人在本保函项下的担保责任自动解除。</w:t>
      </w:r>
    </w:p>
    <w:p w14:paraId="5EC9BEC5">
      <w:pPr>
        <w:spacing w:line="324" w:lineRule="auto"/>
        <w:ind w:firstLine="480" w:firstLineChars="200"/>
        <w:jc w:val="lef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四、未经担保人书面同意，本保函不得转让、不得设定担保。</w:t>
      </w:r>
    </w:p>
    <w:p w14:paraId="0572AC85">
      <w:pPr>
        <w:spacing w:line="324" w:lineRule="auto"/>
        <w:ind w:firstLine="480" w:firstLineChars="200"/>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五、本保函自卖方收到受益人支付的按照合同约定的全部预付款之日起生效，于 </w:t>
      </w:r>
      <w:r>
        <w:rPr>
          <w:rFonts w:hint="default" w:ascii="Times New Roman" w:hAnsi="Times New Roman" w:eastAsia="宋体" w:cs="Times New Roman"/>
          <w:color w:val="000000" w:themeColor="text1"/>
          <w:sz w:val="24"/>
          <w:szCs w:val="24"/>
          <w:highlight w:val="none"/>
          <w:u w:val="single"/>
          <w14:textFill>
            <w14:solidFill>
              <w14:schemeClr w14:val="tx1"/>
            </w14:solidFill>
          </w14:textFill>
        </w:rPr>
        <w:t xml:space="preserve">    </w:t>
      </w:r>
      <w:r>
        <w:rPr>
          <w:rFonts w:hint="default" w:ascii="Times New Roman" w:hAnsi="Times New Roman" w:eastAsia="宋体" w:cs="Times New Roman"/>
          <w:color w:val="000000" w:themeColor="text1"/>
          <w:sz w:val="24"/>
          <w:szCs w:val="24"/>
          <w:highlight w:val="none"/>
          <w14:textFill>
            <w14:solidFill>
              <w14:schemeClr w14:val="tx1"/>
            </w14:solidFill>
          </w14:textFill>
        </w:rPr>
        <w:t>年</w:t>
      </w:r>
      <w:r>
        <w:rPr>
          <w:rFonts w:hint="default" w:ascii="Times New Roman" w:hAnsi="Times New Roman" w:eastAsia="宋体" w:cs="Times New Roman"/>
          <w:color w:val="000000" w:themeColor="text1"/>
          <w:sz w:val="24"/>
          <w:szCs w:val="24"/>
          <w:highlight w:val="none"/>
          <w:u w:val="single"/>
          <w14:textFill>
            <w14:solidFill>
              <w14:schemeClr w14:val="tx1"/>
            </w14:solidFill>
          </w14:textFill>
        </w:rPr>
        <w:t xml:space="preserve">    </w:t>
      </w:r>
      <w:r>
        <w:rPr>
          <w:rFonts w:hint="default" w:ascii="Times New Roman" w:hAnsi="Times New Roman" w:eastAsia="宋体" w:cs="Times New Roman"/>
          <w:color w:val="000000" w:themeColor="text1"/>
          <w:sz w:val="24"/>
          <w:szCs w:val="24"/>
          <w:highlight w:val="none"/>
          <w14:textFill>
            <w14:solidFill>
              <w14:schemeClr w14:val="tx1"/>
            </w14:solidFill>
          </w14:textFill>
        </w:rPr>
        <w:t>月</w:t>
      </w:r>
      <w:r>
        <w:rPr>
          <w:rFonts w:hint="default" w:ascii="Times New Roman" w:hAnsi="Times New Roman" w:eastAsia="宋体" w:cs="Times New Roman"/>
          <w:color w:val="000000" w:themeColor="text1"/>
          <w:sz w:val="24"/>
          <w:szCs w:val="24"/>
          <w:highlight w:val="none"/>
          <w:u w:val="single"/>
          <w14:textFill>
            <w14:solidFill>
              <w14:schemeClr w14:val="tx1"/>
            </w14:solidFill>
          </w14:textFill>
        </w:rPr>
        <w:t xml:space="preserve">    </w:t>
      </w:r>
      <w:r>
        <w:rPr>
          <w:rFonts w:hint="default" w:ascii="Times New Roman" w:hAnsi="Times New Roman" w:eastAsia="宋体" w:cs="Times New Roman"/>
          <w:color w:val="000000" w:themeColor="text1"/>
          <w:sz w:val="24"/>
          <w:szCs w:val="24"/>
          <w:highlight w:val="none"/>
          <w14:textFill>
            <w14:solidFill>
              <w14:schemeClr w14:val="tx1"/>
            </w14:solidFill>
          </w14:textFill>
        </w:rPr>
        <w:t>日担保人对公营业时间结束时失效（若该日为非银行营业时间，则以该日之前的最后一个银行营业日为准）。保函有效期内保函正本原件返还银行，或受益人声明放弃担保权益的，保函失效。</w:t>
      </w:r>
    </w:p>
    <w:p w14:paraId="575E9C69">
      <w:pPr>
        <w:spacing w:line="324"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color w:val="000000" w:themeColor="text1"/>
          <w:sz w:val="24"/>
          <w:szCs w:val="24"/>
          <w:highlight w:val="none"/>
          <w14:textFill>
            <w14:solidFill>
              <w14:schemeClr w14:val="tx1"/>
            </w14:solidFill>
          </w14:textFill>
        </w:rPr>
        <w:t>本保函失效后，担保人在本保函项下的担保责任和义务自动解除。如为纸质保函，受益人应立即将本保函正本原件退回担保人，但无论是否退回，均不影响保函失效；如为电子保函，失效后无论受益人是否继续保留本保函电子文本、打印件、复印件等任何形式，或采取其他任何行为，均不能使受益人得到在本保函项下继续提出索赔的权利</w:t>
      </w:r>
    </w:p>
    <w:p w14:paraId="5B22DDDD">
      <w:pPr>
        <w:spacing w:line="324" w:lineRule="auto"/>
        <w:ind w:firstLine="480" w:firstLineChars="200"/>
        <w:rPr>
          <w:rFonts w:hint="default" w:ascii="Times New Roman" w:hAnsi="Times New Roman" w:eastAsia="宋体" w:cs="Times New Roman"/>
          <w:b/>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六、本保函适用中华人民共和国法律，受中华人民共和国法律管辖。在本保函履行期间，如发生争议，各当事人首先应协商解决。</w:t>
      </w:r>
      <w:r>
        <w:rPr>
          <w:rFonts w:hint="default" w:ascii="Times New Roman" w:hAnsi="Times New Roman" w:eastAsia="宋体" w:cs="Times New Roman"/>
          <w:b/>
          <w:color w:val="000000" w:themeColor="text1"/>
          <w:sz w:val="24"/>
          <w:szCs w:val="24"/>
          <w:highlight w:val="none"/>
          <w14:textFill>
            <w14:solidFill>
              <w14:schemeClr w14:val="tx1"/>
            </w14:solidFill>
          </w14:textFill>
        </w:rPr>
        <w:t>协商不能解决的，</w:t>
      </w:r>
      <w:bookmarkStart w:id="32" w:name="核稿纠错_纠错结果_FHei4Rbf"/>
      <w:r>
        <w:rPr>
          <w:rFonts w:hint="default" w:ascii="Times New Roman" w:hAnsi="Times New Roman" w:eastAsia="宋体" w:cs="Times New Roman"/>
          <w:b/>
          <w:color w:val="000000" w:themeColor="text1"/>
          <w:sz w:val="24"/>
          <w:szCs w:val="24"/>
          <w:highlight w:val="none"/>
          <w14:textFill>
            <w14:solidFill>
              <w14:schemeClr w14:val="tx1"/>
            </w14:solidFill>
          </w14:textFill>
        </w:rPr>
        <w:t>任何一方应向担保人所在地</w:t>
      </w:r>
      <w:bookmarkEnd w:id="32"/>
      <w:r>
        <w:rPr>
          <w:rFonts w:hint="default" w:ascii="Times New Roman" w:hAnsi="Times New Roman" w:eastAsia="宋体" w:cs="Times New Roman"/>
          <w:b/>
          <w:color w:val="000000" w:themeColor="text1"/>
          <w:sz w:val="24"/>
          <w:szCs w:val="24"/>
          <w:highlight w:val="none"/>
          <w14:textFill>
            <w14:solidFill>
              <w14:schemeClr w14:val="tx1"/>
            </w14:solidFill>
          </w14:textFill>
        </w:rPr>
        <w:t>有管辖权的法院提起诉讼。</w:t>
      </w:r>
    </w:p>
    <w:p w14:paraId="30F83B1A">
      <w:pPr>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   </w:t>
      </w:r>
    </w:p>
    <w:p w14:paraId="5BB6EC14">
      <w:pPr>
        <w:jc w:val="lef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担保人：</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XX</w:t>
      </w:r>
      <w:r>
        <w:rPr>
          <w:rFonts w:hint="default" w:ascii="Times New Roman" w:hAnsi="Times New Roman" w:eastAsia="宋体" w:cs="Times New Roman"/>
          <w:color w:val="000000" w:themeColor="text1"/>
          <w:sz w:val="24"/>
          <w:szCs w:val="24"/>
          <w:highlight w:val="none"/>
          <w14:textFill>
            <w14:solidFill>
              <w14:schemeClr w14:val="tx1"/>
            </w14:solidFill>
          </w14:textFill>
        </w:rPr>
        <w:t>银行股份有限公司</w:t>
      </w:r>
      <w:r>
        <w:rPr>
          <w:rFonts w:hint="default" w:ascii="Times New Roman" w:hAnsi="Times New Roman" w:eastAsia="宋体" w:cs="Times New Roman"/>
          <w:color w:val="000000" w:themeColor="text1"/>
          <w:sz w:val="24"/>
          <w:szCs w:val="24"/>
          <w:highlight w:val="none"/>
          <w:u w:val="single"/>
          <w14:textFill>
            <w14:solidFill>
              <w14:schemeClr w14:val="tx1"/>
            </w14:solidFill>
          </w14:textFill>
        </w:rPr>
        <w:t xml:space="preserve">          </w:t>
      </w:r>
    </w:p>
    <w:p w14:paraId="12893FB9">
      <w:pPr>
        <w:ind w:firstLine="960" w:firstLineChars="400"/>
        <w:jc w:val="lef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（银行签章）</w:t>
      </w:r>
    </w:p>
    <w:p w14:paraId="3020C00D">
      <w:pPr>
        <w:jc w:val="left"/>
        <w:rPr>
          <w:rFonts w:hint="default" w:ascii="Times New Roman" w:hAnsi="Times New Roman" w:eastAsia="宋体" w:cs="Times New Roman"/>
          <w:color w:val="000000" w:themeColor="text1"/>
          <w:sz w:val="24"/>
          <w:szCs w:val="24"/>
          <w:highlight w:val="none"/>
          <w14:textFill>
            <w14:solidFill>
              <w14:schemeClr w14:val="tx1"/>
            </w14:solidFill>
          </w14:textFill>
        </w:rPr>
      </w:pPr>
    </w:p>
    <w:p w14:paraId="35A65F40">
      <w:pPr>
        <w:jc w:val="lef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有权签字人：</w:t>
      </w:r>
    </w:p>
    <w:p w14:paraId="2DCB9219">
      <w:pPr>
        <w:jc w:val="left"/>
        <w:rPr>
          <w:rFonts w:hint="default" w:ascii="Times New Roman" w:hAnsi="Times New Roman" w:eastAsia="宋体" w:cs="Times New Roman"/>
          <w:color w:val="000000" w:themeColor="text1"/>
          <w:sz w:val="28"/>
          <w:szCs w:val="28"/>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开具日期：  </w:t>
      </w:r>
      <w:r>
        <w:rPr>
          <w:rFonts w:hint="default" w:ascii="Times New Roman" w:hAnsi="Times New Roman" w:eastAsia="宋体" w:cs="Times New Roman"/>
          <w:color w:val="000000" w:themeColor="text1"/>
          <w:sz w:val="24"/>
          <w:szCs w:val="24"/>
          <w:highlight w:val="none"/>
          <w:u w:val="single"/>
          <w14:textFill>
            <w14:solidFill>
              <w14:schemeClr w14:val="tx1"/>
            </w14:solidFill>
          </w14:textFill>
        </w:rPr>
        <w:t xml:space="preserve">      </w:t>
      </w:r>
      <w:r>
        <w:rPr>
          <w:rFonts w:hint="default" w:ascii="Times New Roman" w:hAnsi="Times New Roman" w:eastAsia="宋体" w:cs="Times New Roman"/>
          <w:color w:val="000000" w:themeColor="text1"/>
          <w:sz w:val="24"/>
          <w:szCs w:val="24"/>
          <w:highlight w:val="none"/>
          <w14:textFill>
            <w14:solidFill>
              <w14:schemeClr w14:val="tx1"/>
            </w14:solidFill>
          </w14:textFill>
        </w:rPr>
        <w:t>年</w:t>
      </w:r>
      <w:r>
        <w:rPr>
          <w:rFonts w:hint="default" w:ascii="Times New Roman" w:hAnsi="Times New Roman" w:eastAsia="宋体" w:cs="Times New Roman"/>
          <w:color w:val="000000" w:themeColor="text1"/>
          <w:sz w:val="24"/>
          <w:szCs w:val="24"/>
          <w:highlight w:val="none"/>
          <w:u w:val="single"/>
          <w14:textFill>
            <w14:solidFill>
              <w14:schemeClr w14:val="tx1"/>
            </w14:solidFill>
          </w14:textFill>
        </w:rPr>
        <w:t xml:space="preserve">     </w:t>
      </w:r>
      <w:r>
        <w:rPr>
          <w:rFonts w:hint="default" w:ascii="Times New Roman" w:hAnsi="Times New Roman" w:eastAsia="宋体" w:cs="Times New Roman"/>
          <w:color w:val="000000" w:themeColor="text1"/>
          <w:sz w:val="24"/>
          <w:szCs w:val="24"/>
          <w:highlight w:val="none"/>
          <w14:textFill>
            <w14:solidFill>
              <w14:schemeClr w14:val="tx1"/>
            </w14:solidFill>
          </w14:textFill>
        </w:rPr>
        <w:t>月</w:t>
      </w:r>
      <w:r>
        <w:rPr>
          <w:rFonts w:hint="default" w:ascii="Times New Roman" w:hAnsi="Times New Roman" w:eastAsia="宋体" w:cs="Times New Roman"/>
          <w:color w:val="000000" w:themeColor="text1"/>
          <w:sz w:val="24"/>
          <w:szCs w:val="24"/>
          <w:highlight w:val="none"/>
          <w:u w:val="single"/>
          <w14:textFill>
            <w14:solidFill>
              <w14:schemeClr w14:val="tx1"/>
            </w14:solidFill>
          </w14:textFill>
        </w:rPr>
        <w:t xml:space="preserve">     </w:t>
      </w:r>
      <w:r>
        <w:rPr>
          <w:rFonts w:hint="default" w:ascii="Times New Roman" w:hAnsi="Times New Roman" w:eastAsia="宋体" w:cs="Times New Roman"/>
          <w:color w:val="000000" w:themeColor="text1"/>
          <w:sz w:val="24"/>
          <w:szCs w:val="24"/>
          <w:highlight w:val="none"/>
          <w14:textFill>
            <w14:solidFill>
              <w14:schemeClr w14:val="tx1"/>
            </w14:solidFill>
          </w14:textFill>
        </w:rPr>
        <w:t>日</w:t>
      </w:r>
    </w:p>
    <w:p w14:paraId="35F7AE3F">
      <w:pPr>
        <w:pStyle w:val="3"/>
        <w:rPr>
          <w:rFonts w:hint="default" w:ascii="Times New Roman" w:hAnsi="Times New Roman" w:eastAsia="宋体" w:cs="Times New Roman"/>
          <w:color w:val="000000" w:themeColor="text1"/>
          <w:highlight w:val="none"/>
          <w14:textFill>
            <w14:solidFill>
              <w14:schemeClr w14:val="tx1"/>
            </w14:solidFill>
          </w14:textFill>
        </w:rPr>
        <w:sectPr>
          <w:pgSz w:w="11906" w:h="16838"/>
          <w:pgMar w:top="1440" w:right="1800" w:bottom="1440" w:left="1800" w:header="851" w:footer="992" w:gutter="0"/>
          <w:cols w:space="425" w:num="1"/>
          <w:docGrid w:type="lines" w:linePitch="312" w:charSpace="0"/>
        </w:sectPr>
      </w:pPr>
    </w:p>
    <w:p w14:paraId="7E103B3B">
      <w:pPr>
        <w:pStyle w:val="3"/>
        <w:spacing w:line="360" w:lineRule="auto"/>
        <w:jc w:val="both"/>
        <w:rPr>
          <w:rFonts w:hint="default" w:ascii="Times New Roman" w:hAnsi="Times New Roman" w:eastAsia="宋体" w:cs="Times New Roman"/>
          <w:b/>
          <w:bCs/>
          <w:highlight w:val="none"/>
        </w:rPr>
      </w:pPr>
      <w:r>
        <w:rPr>
          <w:rFonts w:hint="default" w:ascii="Times New Roman" w:hAnsi="Times New Roman" w:eastAsia="宋体" w:cs="Times New Roman"/>
          <w:b/>
          <w:bCs/>
          <w:highlight w:val="none"/>
        </w:rPr>
        <w:t>附件20：节能产品、环境标志产品的证明材料</w:t>
      </w:r>
    </w:p>
    <w:p w14:paraId="29767ED3">
      <w:pPr>
        <w:pStyle w:val="4"/>
        <w:spacing w:line="360" w:lineRule="auto"/>
        <w:ind w:firstLine="560"/>
        <w:jc w:val="both"/>
        <w:rPr>
          <w:rFonts w:hint="default" w:ascii="Times New Roman" w:hAnsi="Times New Roman" w:eastAsia="宋体" w:cs="Times New Roman"/>
          <w:highlight w:val="none"/>
        </w:rPr>
      </w:pPr>
    </w:p>
    <w:p w14:paraId="1F9FC953">
      <w:pPr>
        <w:spacing w:line="360" w:lineRule="auto"/>
        <w:ind w:firstLine="480" w:firstLineChars="200"/>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依据《财政部 发展改革委 生态环境部 市场监管总局 关于调整优化节能产品、环境标志产品政府采购执行机制的通知》（财库〔2019〕9号）的规定，节能产品、环境标志产品依据国家有关主管部门发布的品目清单和认证证书实施政府优先采购和强制采购。本项目拟采购的产品属于品目清单范围的，在评审时将依据国家确定的认证机构出具的、处于有效期之内的节能产品、环境标志产品认证证书，对获得证书的产品实施政府优先采购或强制采购。</w:t>
      </w:r>
    </w:p>
    <w:p w14:paraId="6B6A5307">
      <w:pPr>
        <w:spacing w:line="360" w:lineRule="auto"/>
        <w:ind w:firstLine="480" w:firstLineChars="200"/>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一、如采购的产品属于强制采购的，投标人必须为投标产品出具由国家确定的认证机构出具的、处于有效期之内的认证证书，否则其投标将被视为无效投标。</w:t>
      </w:r>
    </w:p>
    <w:p w14:paraId="770725DF">
      <w:pPr>
        <w:spacing w:line="360" w:lineRule="auto"/>
        <w:ind w:firstLine="480" w:firstLineChars="200"/>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二、如采购的产品属于优先采购的，投标人可以为投标产品出具由国家确定的认证机构出具的、处于有效期之内的认证证书，在评审时作加分因素。</w:t>
      </w:r>
    </w:p>
    <w:p w14:paraId="089917ED">
      <w:pPr>
        <w:spacing w:line="360" w:lineRule="auto"/>
        <w:ind w:firstLine="480" w:firstLineChars="200"/>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三、节能产品政府采购品目清单及环境标志产品政府采购品目清单，投标人可在“中国政府采购网”相关栏目中查询。</w:t>
      </w:r>
    </w:p>
    <w:p w14:paraId="643E9EC8">
      <w:pPr>
        <w:autoSpaceDE w:val="0"/>
        <w:autoSpaceDN w:val="0"/>
        <w:adjustRightInd w:val="0"/>
        <w:spacing w:line="360" w:lineRule="auto"/>
        <w:rPr>
          <w:rFonts w:hint="default" w:ascii="Times New Roman" w:hAnsi="Times New Roman" w:eastAsia="宋体" w:cs="Times New Roman"/>
          <w:kern w:val="0"/>
          <w:sz w:val="24"/>
          <w:szCs w:val="24"/>
          <w:highlight w:val="none"/>
        </w:rPr>
      </w:pPr>
    </w:p>
    <w:p w14:paraId="62CF9A66">
      <w:pPr>
        <w:outlineLvl w:val="9"/>
        <w:rPr>
          <w:rFonts w:hint="default" w:ascii="Times New Roman" w:hAnsi="Times New Roman" w:eastAsia="宋体" w:cs="Times New Roman"/>
          <w:kern w:val="0"/>
          <w:sz w:val="24"/>
          <w:szCs w:val="24"/>
          <w:highlight w:val="none"/>
        </w:rPr>
      </w:pPr>
    </w:p>
    <w:p w14:paraId="23F33382">
      <w:pPr>
        <w:rPr>
          <w:rFonts w:hint="default" w:ascii="Times New Roman" w:hAnsi="Times New Roman" w:eastAsia="宋体" w:cs="Times New Roman"/>
          <w:highlight w:val="none"/>
        </w:rPr>
      </w:pPr>
      <w:r>
        <w:rPr>
          <w:rFonts w:hint="default" w:ascii="Times New Roman" w:hAnsi="Times New Roman" w:eastAsia="宋体" w:cs="Times New Roman"/>
          <w:highlight w:val="none"/>
        </w:rPr>
        <w:br w:type="page"/>
      </w:r>
    </w:p>
    <w:p w14:paraId="7CB72D38">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675" w:lineRule="atLeast"/>
        <w:ind w:left="0" w:right="0" w:firstLine="0"/>
        <w:jc w:val="center"/>
        <w:outlineLvl w:val="1"/>
        <w:rPr>
          <w:rFonts w:hint="default" w:ascii="Times New Roman" w:hAnsi="Times New Roman" w:eastAsia="宋体" w:cs="Times New Roman"/>
          <w:b/>
          <w:bCs/>
          <w:i w:val="0"/>
          <w:iCs w:val="0"/>
          <w:caps w:val="0"/>
          <w:color w:val="333333"/>
          <w:spacing w:val="0"/>
          <w:kern w:val="0"/>
          <w:sz w:val="24"/>
          <w:szCs w:val="24"/>
          <w:highlight w:val="none"/>
          <w:lang w:val="en-US" w:eastAsia="zh-CN" w:bidi="ar"/>
        </w:rPr>
      </w:pPr>
      <w:r>
        <w:rPr>
          <w:rFonts w:hint="default" w:ascii="Times New Roman" w:hAnsi="Times New Roman" w:eastAsia="宋体" w:cs="Times New Roman"/>
          <w:b/>
          <w:bCs/>
          <w:i w:val="0"/>
          <w:iCs w:val="0"/>
          <w:caps w:val="0"/>
          <w:color w:val="333333"/>
          <w:spacing w:val="0"/>
          <w:kern w:val="0"/>
          <w:sz w:val="24"/>
          <w:szCs w:val="24"/>
          <w:highlight w:val="none"/>
          <w:shd w:val="clear" w:color="auto" w:fill="FFFFFF"/>
          <w:lang w:val="en-US" w:eastAsia="zh-CN" w:bidi="ar"/>
        </w:rPr>
        <w:t>★附件21：关于《关于在政府采购活动中对有关美国企业采取相关措施的通知》的承诺函（统一格式）</w:t>
      </w:r>
    </w:p>
    <w:p w14:paraId="45252A65">
      <w:pPr>
        <w:spacing w:line="360" w:lineRule="auto"/>
        <w:rPr>
          <w:rFonts w:hint="default" w:ascii="Times New Roman" w:hAnsi="Times New Roman" w:eastAsia="宋体" w:cs="Times New Roman"/>
          <w:sz w:val="28"/>
          <w:szCs w:val="28"/>
          <w:highlight w:val="none"/>
          <w:lang w:val="en-US" w:eastAsia="zh-CN"/>
        </w:rPr>
      </w:pPr>
    </w:p>
    <w:p w14:paraId="50C60EA5">
      <w:pPr>
        <w:spacing w:line="360" w:lineRule="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致</w:t>
      </w:r>
      <w:r>
        <w:rPr>
          <w:rFonts w:hint="default" w:ascii="Times New Roman" w:hAnsi="Times New Roman" w:eastAsia="宋体" w:cs="Times New Roman"/>
          <w:sz w:val="24"/>
          <w:szCs w:val="24"/>
          <w:highlight w:val="none"/>
          <w:u w:val="single"/>
          <w:lang w:val="en-US" w:eastAsia="zh-CN"/>
        </w:rPr>
        <w:t xml:space="preserve">  （采购人名称）   </w:t>
      </w:r>
      <w:r>
        <w:rPr>
          <w:rFonts w:hint="default" w:ascii="Times New Roman" w:hAnsi="Times New Roman" w:eastAsia="宋体" w:cs="Times New Roman"/>
          <w:sz w:val="24"/>
          <w:szCs w:val="24"/>
          <w:highlight w:val="none"/>
          <w:lang w:val="en-US" w:eastAsia="zh-CN"/>
        </w:rPr>
        <w:t>：</w:t>
      </w:r>
    </w:p>
    <w:p w14:paraId="7255DAB7">
      <w:pPr>
        <w:spacing w:line="360" w:lineRule="auto"/>
        <w:rPr>
          <w:rFonts w:hint="default" w:ascii="Times New Roman" w:hAnsi="Times New Roman" w:eastAsia="宋体" w:cs="Times New Roman"/>
          <w:sz w:val="24"/>
          <w:szCs w:val="24"/>
          <w:highlight w:val="none"/>
          <w:lang w:val="en-US" w:eastAsia="zh-CN"/>
        </w:rPr>
      </w:pPr>
    </w:p>
    <w:p w14:paraId="5C8136A9">
      <w:pPr>
        <w:spacing w:line="360" w:lineRule="auto"/>
        <w:ind w:firstLine="480" w:firstLineChars="200"/>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我单位参加的</w:t>
      </w:r>
      <w:r>
        <w:rPr>
          <w:rFonts w:hint="default" w:ascii="Times New Roman" w:hAnsi="Times New Roman" w:eastAsia="宋体" w:cs="Times New Roman"/>
          <w:sz w:val="24"/>
          <w:szCs w:val="24"/>
          <w:highlight w:val="none"/>
          <w:u w:val="single"/>
          <w:lang w:val="en-US" w:eastAsia="zh-CN"/>
        </w:rPr>
        <w:t xml:space="preserve">  （项目名称、项目编号、包号）  </w:t>
      </w:r>
      <w:r>
        <w:rPr>
          <w:rFonts w:hint="default" w:ascii="Times New Roman" w:hAnsi="Times New Roman" w:eastAsia="宋体" w:cs="Times New Roman"/>
          <w:sz w:val="24"/>
          <w:szCs w:val="24"/>
          <w:highlight w:val="none"/>
          <w:u w:val="none"/>
          <w:lang w:val="en-US" w:eastAsia="zh-CN"/>
        </w:rPr>
        <w:t>投标活动中，</w:t>
      </w:r>
      <w:r>
        <w:rPr>
          <w:rFonts w:hint="default" w:ascii="Times New Roman" w:hAnsi="Times New Roman" w:eastAsia="宋体" w:cs="Times New Roman"/>
          <w:sz w:val="24"/>
          <w:szCs w:val="24"/>
          <w:highlight w:val="none"/>
          <w:lang w:val="en-US" w:eastAsia="zh-CN"/>
        </w:rPr>
        <w:t>承诺本次投标提供的所有投标产品均不属于《关于在政府采购活动中对有关美国企业采取相关措施的通知》（</w:t>
      </w:r>
      <w:r>
        <w:rPr>
          <w:rFonts w:hint="default" w:ascii="Times New Roman" w:hAnsi="Times New Roman" w:eastAsia="宋体" w:cs="Times New Roman"/>
          <w:i w:val="0"/>
          <w:iCs w:val="0"/>
          <w:caps w:val="0"/>
          <w:color w:val="333333"/>
          <w:spacing w:val="0"/>
          <w:sz w:val="24"/>
          <w:szCs w:val="24"/>
          <w:highlight w:val="none"/>
          <w:shd w:val="clear" w:color="auto" w:fill="FFFFFF"/>
        </w:rPr>
        <w:t>财库〔2026〕10号</w:t>
      </w:r>
      <w:r>
        <w:rPr>
          <w:rFonts w:hint="default" w:ascii="Times New Roman" w:hAnsi="Times New Roman" w:eastAsia="宋体" w:cs="Times New Roman"/>
          <w:sz w:val="24"/>
          <w:szCs w:val="24"/>
          <w:highlight w:val="none"/>
          <w:lang w:val="en-US" w:eastAsia="zh-CN"/>
        </w:rPr>
        <w:t>）中46家美国企业（不包括在华美资企业）生产的产品。</w:t>
      </w:r>
    </w:p>
    <w:p w14:paraId="3DDF55E6">
      <w:pPr>
        <w:spacing w:line="360" w:lineRule="auto"/>
        <w:ind w:firstLine="480" w:firstLineChars="200"/>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本承诺内容真实有效，如有虚假，我单位承担所有法律责任与后果。</w:t>
      </w:r>
    </w:p>
    <w:p w14:paraId="61ED4D01">
      <w:pPr>
        <w:spacing w:line="360" w:lineRule="auto"/>
        <w:ind w:firstLine="480" w:firstLineChars="200"/>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特此承诺！</w:t>
      </w:r>
    </w:p>
    <w:p w14:paraId="1ED4D418">
      <w:pPr>
        <w:spacing w:line="360" w:lineRule="auto"/>
        <w:ind w:firstLine="480" w:firstLineChars="200"/>
        <w:rPr>
          <w:rFonts w:hint="default" w:ascii="Times New Roman" w:hAnsi="Times New Roman" w:eastAsia="宋体" w:cs="Times New Roman"/>
          <w:sz w:val="24"/>
          <w:szCs w:val="24"/>
          <w:highlight w:val="none"/>
          <w:lang w:val="en-US" w:eastAsia="zh-CN"/>
        </w:rPr>
      </w:pPr>
    </w:p>
    <w:p w14:paraId="33847D74">
      <w:pPr>
        <w:spacing w:line="360" w:lineRule="auto"/>
        <w:ind w:firstLine="480" w:firstLineChars="200"/>
        <w:jc w:val="right"/>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投标人名称：</w:t>
      </w:r>
    </w:p>
    <w:p w14:paraId="4A5B9278">
      <w:pPr>
        <w:spacing w:line="360" w:lineRule="auto"/>
        <w:ind w:firstLine="480" w:firstLineChars="200"/>
        <w:jc w:val="right"/>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（盖章）</w:t>
      </w:r>
    </w:p>
    <w:p w14:paraId="6E6A06D5">
      <w:pPr>
        <w:spacing w:line="360" w:lineRule="auto"/>
        <w:ind w:firstLine="480" w:firstLineChars="200"/>
        <w:jc w:val="right"/>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时间：   年   月   日</w:t>
      </w:r>
    </w:p>
    <w:p w14:paraId="153EA91C">
      <w:pPr>
        <w:outlineLvl w:val="9"/>
        <w:rPr>
          <w:rFonts w:hint="default" w:ascii="Times New Roman" w:hAnsi="Times New Roman" w:eastAsia="宋体" w:cs="Times New Roman"/>
          <w:highlight w:val="none"/>
        </w:rPr>
      </w:pPr>
    </w:p>
    <w:p w14:paraId="2E6F826C">
      <w:pPr>
        <w:autoSpaceDE w:val="0"/>
        <w:autoSpaceDN w:val="0"/>
        <w:adjustRightInd w:val="0"/>
        <w:spacing w:line="360" w:lineRule="auto"/>
        <w:outlineLvl w:val="0"/>
        <w:rPr>
          <w:rFonts w:hint="default" w:ascii="Times New Roman" w:hAnsi="Times New Roman" w:eastAsia="宋体" w:cs="Times New Roman"/>
          <w:b/>
          <w:bCs/>
          <w:kern w:val="0"/>
          <w:sz w:val="44"/>
          <w:szCs w:val="44"/>
          <w:highlight w:val="none"/>
        </w:rPr>
      </w:pPr>
      <w:r>
        <w:rPr>
          <w:rFonts w:hint="default" w:ascii="Times New Roman" w:hAnsi="Times New Roman" w:eastAsia="宋体" w:cs="Times New Roman"/>
          <w:kern w:val="0"/>
          <w:sz w:val="32"/>
          <w:szCs w:val="32"/>
          <w:highlight w:val="none"/>
        </w:rPr>
        <w:br w:type="page"/>
      </w:r>
      <w:r>
        <w:rPr>
          <w:rFonts w:hint="default" w:ascii="Times New Roman" w:hAnsi="Times New Roman" w:eastAsia="宋体" w:cs="Times New Roman"/>
          <w:b/>
          <w:bCs/>
          <w:kern w:val="0"/>
          <w:sz w:val="44"/>
          <w:szCs w:val="44"/>
          <w:highlight w:val="none"/>
          <w:lang w:val="zh-CN"/>
        </w:rPr>
        <w:t>第七章 评标文件（附：评标标准）</w:t>
      </w:r>
    </w:p>
    <w:p w14:paraId="2130EBA4">
      <w:pPr>
        <w:pStyle w:val="7"/>
        <w:numPr>
          <w:ilvl w:val="0"/>
          <w:numId w:val="0"/>
        </w:numPr>
        <w:spacing w:after="0" w:line="360" w:lineRule="auto"/>
        <w:rPr>
          <w:rFonts w:hint="default" w:ascii="Times New Roman" w:hAnsi="Times New Roman" w:eastAsia="宋体" w:cs="Times New Roman"/>
          <w:sz w:val="28"/>
          <w:szCs w:val="28"/>
          <w:highlight w:val="none"/>
        </w:rPr>
      </w:pPr>
      <w:bookmarkStart w:id="33" w:name="_Toc25938564"/>
      <w:bookmarkStart w:id="34" w:name="_Toc73979859"/>
      <w:r>
        <w:rPr>
          <w:rFonts w:hint="default" w:ascii="Times New Roman" w:hAnsi="Times New Roman" w:eastAsia="宋体" w:cs="Times New Roman"/>
          <w:sz w:val="28"/>
          <w:szCs w:val="28"/>
          <w:highlight w:val="none"/>
        </w:rPr>
        <w:t>一、说明</w:t>
      </w:r>
      <w:bookmarkEnd w:id="33"/>
      <w:bookmarkEnd w:id="34"/>
    </w:p>
    <w:p w14:paraId="39D2335E">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1.1 概述</w:t>
      </w:r>
    </w:p>
    <w:p w14:paraId="45D1E798">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根据《中华人民共和国政府采购法》和国家及地方采购有关文件精神，在保证本项目招标公开、公平、公正的基础上，结合项目需求，由东方国际招标有限责任公司制定本评标文件，评标委员会确认。内容包括本次评标的评审过程和方法。</w:t>
      </w:r>
    </w:p>
    <w:p w14:paraId="07810274">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1.2 定义</w:t>
      </w:r>
    </w:p>
    <w:p w14:paraId="03F52A04">
      <w:pPr>
        <w:spacing w:line="360" w:lineRule="auto"/>
        <w:ind w:left="1382" w:hanging="1382" w:hangingChars="576"/>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采购人：ZYCGR22011901。</w:t>
      </w:r>
    </w:p>
    <w:p w14:paraId="0EF69AD6">
      <w:pPr>
        <w:spacing w:line="360" w:lineRule="auto"/>
        <w:ind w:left="1382" w:hanging="1382" w:hangingChars="576"/>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采购代理机构：东方国际招标有限责任公司。</w:t>
      </w:r>
    </w:p>
    <w:p w14:paraId="605A1BE1">
      <w:pPr>
        <w:pStyle w:val="7"/>
        <w:numPr>
          <w:ilvl w:val="0"/>
          <w:numId w:val="0"/>
        </w:numPr>
        <w:spacing w:after="0" w:line="360" w:lineRule="auto"/>
        <w:rPr>
          <w:rFonts w:hint="default" w:ascii="Times New Roman" w:hAnsi="Times New Roman" w:eastAsia="宋体" w:cs="Times New Roman"/>
          <w:sz w:val="28"/>
          <w:szCs w:val="28"/>
          <w:highlight w:val="none"/>
        </w:rPr>
      </w:pPr>
      <w:bookmarkStart w:id="35" w:name="_Toc439513449"/>
      <w:bookmarkStart w:id="36" w:name="_Toc458980397"/>
      <w:bookmarkStart w:id="37" w:name="_Toc422865425"/>
      <w:bookmarkStart w:id="38" w:name="_Toc416208490"/>
      <w:bookmarkStart w:id="39" w:name="_Toc438513738"/>
      <w:bookmarkStart w:id="40" w:name="_Toc438508601"/>
      <w:bookmarkStart w:id="41" w:name="_Toc273342936"/>
      <w:bookmarkStart w:id="42" w:name="_Toc369081823"/>
      <w:bookmarkStart w:id="43" w:name="_Toc479340793"/>
      <w:bookmarkStart w:id="44" w:name="_Toc477879844"/>
      <w:bookmarkStart w:id="45" w:name="_Toc486969383"/>
      <w:bookmarkStart w:id="46" w:name="_Toc414510784"/>
      <w:bookmarkStart w:id="47" w:name="_Toc23987"/>
      <w:bookmarkStart w:id="48" w:name="_Toc73979860"/>
      <w:bookmarkStart w:id="49" w:name="_Toc487044256"/>
      <w:bookmarkStart w:id="50" w:name="_Toc418023337"/>
      <w:bookmarkStart w:id="51" w:name="_Toc425347666"/>
      <w:bookmarkStart w:id="52" w:name="_Toc494812263"/>
      <w:bookmarkStart w:id="53" w:name="_Toc438722134"/>
      <w:bookmarkStart w:id="54" w:name="_Toc358307752"/>
      <w:bookmarkStart w:id="55" w:name="_Toc25938565"/>
      <w:bookmarkStart w:id="56" w:name="_Toc498035131"/>
      <w:bookmarkStart w:id="57" w:name="_Toc439513165"/>
      <w:bookmarkStart w:id="58" w:name="_Toc439679272"/>
      <w:bookmarkStart w:id="59" w:name="_Toc422161996"/>
      <w:bookmarkStart w:id="60" w:name="_Toc470184445"/>
      <w:bookmarkStart w:id="61" w:name="_Toc479325596"/>
      <w:bookmarkStart w:id="62" w:name="_Toc458635600"/>
      <w:r>
        <w:rPr>
          <w:rFonts w:hint="default" w:ascii="Times New Roman" w:hAnsi="Times New Roman" w:eastAsia="宋体" w:cs="Times New Roman"/>
          <w:sz w:val="28"/>
          <w:szCs w:val="28"/>
          <w:highlight w:val="none"/>
        </w:rPr>
        <w:t>二、评标须知</w:t>
      </w:r>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p>
    <w:p w14:paraId="1C98B7A7">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2.1 关于评标方案</w:t>
      </w:r>
    </w:p>
    <w:p w14:paraId="1436B598">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（1）评标委员会的每位成员（简称评委）应认真地阅读并确认已经正确理解了评标方案；</w:t>
      </w:r>
    </w:p>
    <w:p w14:paraId="236002AD">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（2）评委如对评标方案有异议，应在评标开始前提出。</w:t>
      </w:r>
    </w:p>
    <w:p w14:paraId="4709B34F">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2.2 关于评标纪律</w:t>
      </w:r>
    </w:p>
    <w:p w14:paraId="1CF6DAC9">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（1）评标委员会成员不得与任何投标人或者与招标结果有利害关系的人进行私下接触，</w:t>
      </w:r>
    </w:p>
    <w:p w14:paraId="222E629F">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不得收受投标人、中介人、其他利害关系人的财物或者其他好处；</w:t>
      </w:r>
    </w:p>
    <w:p w14:paraId="5E3467D4">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（2）评委应本着客观、公正的原则独立给出评价意见；</w:t>
      </w:r>
    </w:p>
    <w:p w14:paraId="7A808A73">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（3）评委之间不得相互串通进行评分；</w:t>
      </w:r>
    </w:p>
    <w:p w14:paraId="42FAEC5A">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（4）评委不得试图影响其他评委的评价意见；</w:t>
      </w:r>
    </w:p>
    <w:p w14:paraId="14AE319D">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（5）评委应关闭通讯工具或设置为震动状态，统一交由工作人员保管。</w:t>
      </w:r>
    </w:p>
    <w:p w14:paraId="4BE3F2E6">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2.3 关于评标责任</w:t>
      </w:r>
    </w:p>
    <w:p w14:paraId="7E46A602">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（1）评委应在其书面评审意见上签字确认；</w:t>
      </w:r>
    </w:p>
    <w:p w14:paraId="26F3546B">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（2）评委对其所提出的评审意见承担个人责任。</w:t>
      </w:r>
    </w:p>
    <w:p w14:paraId="57F85575">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2.4 关于回避</w:t>
      </w:r>
    </w:p>
    <w:p w14:paraId="2F5FE3EF">
      <w:pPr>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有下列情形之一的，不得担任评标委员会成员，如事先不知情的，应在宣读投标人名单及评标纪律后主动提出回避：</w:t>
      </w:r>
    </w:p>
    <w:p w14:paraId="6B131336">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（1）是投标人或者投标人主要负责人的近亲属；</w:t>
      </w:r>
    </w:p>
    <w:p w14:paraId="313D0F90">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（2）与投标人有经济利益关系，可能影响对投标公正评审的；</w:t>
      </w:r>
    </w:p>
    <w:p w14:paraId="0613FCA3">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（3）曾因在招标、评标以及其他与招标投标有关活动中从事违法行为而受过行政处罚或刑事处罚的。</w:t>
      </w:r>
    </w:p>
    <w:p w14:paraId="6846D3C7">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2.5 关于保密</w:t>
      </w:r>
    </w:p>
    <w:p w14:paraId="40970B8C">
      <w:pPr>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评标委员会成员和与评标活动有关的工作人员不得透露对投标文件的评审和比较、中标候选人的推荐情况以及评标有关的其他情况。</w:t>
      </w:r>
    </w:p>
    <w:p w14:paraId="0762EBC3">
      <w:pPr>
        <w:pStyle w:val="5"/>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前款所称与评标活动有关的工作人员，是指评标委员会成员以外的因参与评标监督工作或者事务性工作而知悉有关评标情况的所有人员。</w:t>
      </w:r>
    </w:p>
    <w:p w14:paraId="1BF0A019">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2.6投标文件的澄清</w:t>
      </w:r>
    </w:p>
    <w:p w14:paraId="27C78575">
      <w:pPr>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除评标委员会主动要求澄清外，从开标后至授予合同期间，任何投标人均不得就与其投标相关的任何问题与评标委员会联系。在评标过程中，如果投标人试图在投标文件审查、澄清、比较及授予合同方面向采购人施加任何影响，其投标将被拒绝。</w:t>
      </w:r>
    </w:p>
    <w:p w14:paraId="7B8345D1">
      <w:pPr>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2）评标委员会可以书面方式要求投标人对投标文件中含义不明确、对同类问题表述不一致或者有明显文字和计算错误的内容作必要的澄清、说明或者补正。澄清、说明或者补正应以书面方式进行并不得超出投标文件的范围或者改变投标文件的实质性内容。以书面形式表达并加盖公章的答复经评标委员会认可后，可作为投标文件的一部分参与评标。</w:t>
      </w:r>
    </w:p>
    <w:p w14:paraId="7296097F">
      <w:pPr>
        <w:pStyle w:val="7"/>
        <w:numPr>
          <w:ilvl w:val="0"/>
          <w:numId w:val="0"/>
        </w:numPr>
        <w:spacing w:after="0" w:line="360" w:lineRule="auto"/>
        <w:rPr>
          <w:rFonts w:hint="default" w:ascii="Times New Roman" w:hAnsi="Times New Roman" w:eastAsia="宋体" w:cs="Times New Roman"/>
          <w:sz w:val="28"/>
          <w:szCs w:val="28"/>
          <w:highlight w:val="none"/>
        </w:rPr>
      </w:pPr>
      <w:bookmarkStart w:id="63" w:name="_Toc425347667"/>
      <w:bookmarkStart w:id="64" w:name="_Toc477879845"/>
      <w:bookmarkStart w:id="65" w:name="_Toc422161997"/>
      <w:bookmarkStart w:id="66" w:name="_Toc479325597"/>
      <w:bookmarkStart w:id="67" w:name="_Toc414510785"/>
      <w:bookmarkStart w:id="68" w:name="_Toc458635601"/>
      <w:bookmarkStart w:id="69" w:name="_Toc479340794"/>
      <w:bookmarkStart w:id="70" w:name="_Toc24194"/>
      <w:bookmarkStart w:id="71" w:name="_Toc498035132"/>
      <w:bookmarkStart w:id="72" w:name="_Toc73979861"/>
      <w:bookmarkStart w:id="73" w:name="_Toc416208491"/>
      <w:bookmarkStart w:id="74" w:name="_Toc422865426"/>
      <w:bookmarkStart w:id="75" w:name="_Toc486969384"/>
      <w:bookmarkStart w:id="76" w:name="_Toc418023338"/>
      <w:bookmarkStart w:id="77" w:name="_Toc470184446"/>
      <w:bookmarkStart w:id="78" w:name="_Toc487044257"/>
      <w:bookmarkStart w:id="79" w:name="_Toc438722135"/>
      <w:bookmarkStart w:id="80" w:name="_Toc494812264"/>
      <w:bookmarkStart w:id="81" w:name="_Toc439513450"/>
      <w:bookmarkStart w:id="82" w:name="_Toc438513739"/>
      <w:bookmarkStart w:id="83" w:name="_Toc438508602"/>
      <w:bookmarkStart w:id="84" w:name="_Toc25938566"/>
      <w:bookmarkStart w:id="85" w:name="_Toc439679273"/>
      <w:bookmarkStart w:id="86" w:name="_Toc439513166"/>
      <w:bookmarkStart w:id="87" w:name="_Toc458980398"/>
      <w:r>
        <w:rPr>
          <w:rFonts w:hint="default" w:ascii="Times New Roman" w:hAnsi="Times New Roman" w:eastAsia="宋体" w:cs="Times New Roman"/>
          <w:sz w:val="28"/>
          <w:szCs w:val="28"/>
          <w:highlight w:val="none"/>
        </w:rPr>
        <w:t>三、评标委员会</w:t>
      </w:r>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p>
    <w:p w14:paraId="3823650C">
      <w:pPr>
        <w:spacing w:line="360" w:lineRule="auto"/>
        <w:ind w:left="631" w:hanging="631" w:hangingChars="263"/>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3.1依法组建评标委员会</w:t>
      </w:r>
    </w:p>
    <w:p w14:paraId="4EBB6059">
      <w:pPr>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评标委员会根据项目采购实际情况进行组建，并负责评标工作。采购代理机构将按照《中华人民共和国政府采购法》及有关规定组建评标委员会。评标委员会负责评标工作，对投标文件进行审查和评价，并向采购人提交书面评标报告。</w:t>
      </w:r>
    </w:p>
    <w:p w14:paraId="1CF0A910">
      <w:pPr>
        <w:spacing w:line="360" w:lineRule="auto"/>
        <w:ind w:left="630" w:right="17" w:rightChars="8" w:hanging="63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3.2评标委员会将只对确定为实质性响应招标文件要求的投标，即通过资格审查和符</w:t>
      </w:r>
    </w:p>
    <w:p w14:paraId="01BE7C11">
      <w:pPr>
        <w:spacing w:line="360" w:lineRule="auto"/>
        <w:ind w:left="630" w:right="17" w:rightChars="8" w:hanging="63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合性审查的投标进行评价和比较，响应的依据是招标文件本身的内容，而不寻求其它</w:t>
      </w:r>
    </w:p>
    <w:p w14:paraId="1E2894AE">
      <w:pPr>
        <w:spacing w:line="360" w:lineRule="auto"/>
        <w:ind w:left="630" w:right="17" w:rightChars="8" w:hanging="63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证据。实质性响应的投标应该是与招标文件要求的全部主要条款、条件和规格相符，</w:t>
      </w:r>
    </w:p>
    <w:p w14:paraId="062CBCE6">
      <w:pPr>
        <w:spacing w:line="360" w:lineRule="auto"/>
        <w:ind w:left="630" w:right="17" w:rightChars="8" w:hanging="63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没有重大偏离的投标。</w:t>
      </w:r>
    </w:p>
    <w:p w14:paraId="37D5A2AA">
      <w:pPr>
        <w:pStyle w:val="7"/>
        <w:numPr>
          <w:ilvl w:val="0"/>
          <w:numId w:val="0"/>
        </w:numPr>
        <w:spacing w:after="0" w:line="360" w:lineRule="auto"/>
        <w:rPr>
          <w:rFonts w:hint="default" w:ascii="Times New Roman" w:hAnsi="Times New Roman" w:eastAsia="宋体" w:cs="Times New Roman"/>
          <w:sz w:val="28"/>
          <w:szCs w:val="28"/>
          <w:highlight w:val="none"/>
        </w:rPr>
      </w:pPr>
      <w:bookmarkStart w:id="88" w:name="_Toc470184447"/>
      <w:bookmarkStart w:id="89" w:name="_Toc438722136"/>
      <w:bookmarkStart w:id="90" w:name="_Toc25938567"/>
      <w:bookmarkStart w:id="91" w:name="_Toc439513167"/>
      <w:bookmarkStart w:id="92" w:name="_Toc479325598"/>
      <w:bookmarkStart w:id="93" w:name="_Toc439679274"/>
      <w:bookmarkStart w:id="94" w:name="_Toc498035133"/>
      <w:bookmarkStart w:id="95" w:name="_Toc414510786"/>
      <w:bookmarkStart w:id="96" w:name="_Toc422161998"/>
      <w:bookmarkStart w:id="97" w:name="_Toc425347668"/>
      <w:bookmarkStart w:id="98" w:name="_Toc73979862"/>
      <w:bookmarkStart w:id="99" w:name="_Toc416208492"/>
      <w:bookmarkStart w:id="100" w:name="_Toc369081824"/>
      <w:bookmarkStart w:id="101" w:name="_Toc273342937"/>
      <w:bookmarkStart w:id="102" w:name="_Toc422865427"/>
      <w:bookmarkStart w:id="103" w:name="_Toc479340795"/>
      <w:bookmarkStart w:id="104" w:name="_Toc494812265"/>
      <w:bookmarkStart w:id="105" w:name="_Toc458635602"/>
      <w:bookmarkStart w:id="106" w:name="_Toc358307753"/>
      <w:bookmarkStart w:id="107" w:name="_Toc487044258"/>
      <w:bookmarkStart w:id="108" w:name="_Toc23199"/>
      <w:bookmarkStart w:id="109" w:name="_Toc438513740"/>
      <w:bookmarkStart w:id="110" w:name="_Toc477879846"/>
      <w:bookmarkStart w:id="111" w:name="_Toc438508603"/>
      <w:bookmarkStart w:id="112" w:name="_Toc439513451"/>
      <w:bookmarkStart w:id="113" w:name="_Toc486969385"/>
      <w:bookmarkStart w:id="114" w:name="_Toc458980399"/>
      <w:bookmarkStart w:id="115" w:name="_Toc418023339"/>
      <w:r>
        <w:rPr>
          <w:rFonts w:hint="default" w:ascii="Times New Roman" w:hAnsi="Times New Roman" w:eastAsia="宋体" w:cs="Times New Roman"/>
          <w:sz w:val="28"/>
          <w:szCs w:val="28"/>
          <w:highlight w:val="none"/>
        </w:rPr>
        <w:t>四、评标原则</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p>
    <w:p w14:paraId="5E07E9B8">
      <w:pPr>
        <w:spacing w:line="360" w:lineRule="auto"/>
        <w:ind w:left="734" w:hanging="734" w:hangingChars="306"/>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4.1 评标工作应依据《中华人民共和国政府采购法》的有关规定，遵循“公平、公正、科学、择优”的原则。</w:t>
      </w:r>
    </w:p>
    <w:p w14:paraId="4686D560">
      <w:pPr>
        <w:spacing w:line="360" w:lineRule="auto"/>
        <w:ind w:left="734" w:hanging="734" w:hangingChars="306"/>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4.2 确定中标人的评标准则是：能够最大限度满足招标文件中规定的各项综合评价标</w:t>
      </w:r>
    </w:p>
    <w:p w14:paraId="72E2F967">
      <w:pPr>
        <w:spacing w:line="360" w:lineRule="auto"/>
        <w:ind w:left="734" w:hanging="734" w:hangingChars="306"/>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准。评标委员会没有义务必须接受最低报价的投标。</w:t>
      </w:r>
    </w:p>
    <w:p w14:paraId="7C60533F">
      <w:pPr>
        <w:spacing w:line="360" w:lineRule="auto"/>
        <w:ind w:left="-2"/>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4.3 评标委员会有权根据有关规定否决所有投标。</w:t>
      </w:r>
    </w:p>
    <w:p w14:paraId="0FDEC028">
      <w:pPr>
        <w:pStyle w:val="7"/>
        <w:numPr>
          <w:ilvl w:val="0"/>
          <w:numId w:val="0"/>
        </w:numPr>
        <w:spacing w:after="0" w:line="360" w:lineRule="auto"/>
        <w:rPr>
          <w:rFonts w:hint="default" w:ascii="Times New Roman" w:hAnsi="Times New Roman" w:eastAsia="宋体" w:cs="Times New Roman"/>
          <w:sz w:val="28"/>
          <w:szCs w:val="28"/>
          <w:highlight w:val="none"/>
        </w:rPr>
      </w:pPr>
      <w:bookmarkStart w:id="116" w:name="_Toc438722137"/>
      <w:bookmarkStart w:id="117" w:name="_Toc438508604"/>
      <w:bookmarkStart w:id="118" w:name="_Toc498035134"/>
      <w:bookmarkStart w:id="119" w:name="_Toc458980400"/>
      <w:bookmarkStart w:id="120" w:name="_Toc494812266"/>
      <w:bookmarkStart w:id="121" w:name="_Toc107383644"/>
      <w:bookmarkStart w:id="122" w:name="_Toc439679275"/>
      <w:bookmarkStart w:id="123" w:name="_Toc416208493"/>
      <w:bookmarkStart w:id="124" w:name="_Toc116924486"/>
      <w:bookmarkStart w:id="125" w:name="_Toc25938568"/>
      <w:bookmarkStart w:id="126" w:name="_Toc470184448"/>
      <w:bookmarkStart w:id="127" w:name="_Toc272394436"/>
      <w:bookmarkStart w:id="128" w:name="_Toc487044259"/>
      <w:bookmarkStart w:id="129" w:name="_Toc73979863"/>
      <w:bookmarkStart w:id="130" w:name="_Toc7451"/>
      <w:bookmarkStart w:id="131" w:name="_Toc479340796"/>
      <w:bookmarkStart w:id="132" w:name="_Toc422865428"/>
      <w:bookmarkStart w:id="133" w:name="_Toc479325599"/>
      <w:bookmarkStart w:id="134" w:name="_Toc414510787"/>
      <w:bookmarkStart w:id="135" w:name="_Toc116981030"/>
      <w:bookmarkStart w:id="136" w:name="_Toc369081825"/>
      <w:bookmarkStart w:id="137" w:name="_Toc116976130"/>
      <w:bookmarkStart w:id="138" w:name="_Toc438513741"/>
      <w:bookmarkStart w:id="139" w:name="_Toc422161999"/>
      <w:bookmarkStart w:id="140" w:name="_Toc458635603"/>
      <w:bookmarkStart w:id="141" w:name="_Toc330545477"/>
      <w:bookmarkStart w:id="142" w:name="_Toc418023340"/>
      <w:bookmarkStart w:id="143" w:name="_Toc439513452"/>
      <w:bookmarkStart w:id="144" w:name="_Toc107385316"/>
      <w:bookmarkStart w:id="145" w:name="_Toc122420764"/>
      <w:bookmarkStart w:id="146" w:name="_Toc486969386"/>
      <w:bookmarkStart w:id="147" w:name="_Toc358307754"/>
      <w:bookmarkStart w:id="148" w:name="_Toc439513168"/>
      <w:bookmarkStart w:id="149" w:name="_Toc277154673"/>
      <w:bookmarkStart w:id="150" w:name="_Toc425347669"/>
      <w:bookmarkStart w:id="151" w:name="_Toc477879847"/>
      <w:bookmarkStart w:id="152" w:name="_Toc61327435"/>
      <w:bookmarkStart w:id="153" w:name="_Toc267904313"/>
      <w:bookmarkStart w:id="154" w:name="_Toc107460009"/>
      <w:bookmarkStart w:id="155" w:name="_Toc262564643"/>
      <w:bookmarkStart w:id="156" w:name="_Toc265700488"/>
      <w:bookmarkStart w:id="157" w:name="_Toc109467929"/>
      <w:r>
        <w:rPr>
          <w:rFonts w:hint="default" w:ascii="Times New Roman" w:hAnsi="Times New Roman" w:eastAsia="宋体" w:cs="Times New Roman"/>
          <w:sz w:val="28"/>
          <w:szCs w:val="28"/>
          <w:highlight w:val="none"/>
        </w:rPr>
        <w:t>五、评标方法及流程</w:t>
      </w:r>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p w14:paraId="62F423FD">
      <w:pPr>
        <w:pStyle w:val="11"/>
        <w:spacing w:after="0" w:line="360" w:lineRule="auto"/>
        <w:ind w:left="0" w:leftChars="0"/>
        <w:rPr>
          <w:rFonts w:hint="default" w:ascii="Times New Roman" w:hAnsi="Times New Roman" w:eastAsia="宋体" w:cs="Times New Roman"/>
          <w:b/>
          <w:bCs/>
          <w:sz w:val="24"/>
          <w:highlight w:val="none"/>
        </w:rPr>
      </w:pPr>
      <w:bookmarkStart w:id="158" w:name="_Toc61327437"/>
      <w:r>
        <w:rPr>
          <w:rFonts w:hint="default" w:ascii="Times New Roman" w:hAnsi="Times New Roman" w:eastAsia="宋体" w:cs="Times New Roman"/>
          <w:b/>
          <w:bCs/>
          <w:sz w:val="24"/>
          <w:highlight w:val="none"/>
        </w:rPr>
        <w:t>5.2评标</w:t>
      </w:r>
      <w:bookmarkEnd w:id="158"/>
    </w:p>
    <w:p w14:paraId="7B2C4E6A">
      <w:pPr>
        <w:pStyle w:val="27"/>
        <w:jc w:val="both"/>
        <w:rPr>
          <w:rFonts w:hint="default" w:ascii="Times New Roman" w:hAnsi="Times New Roman" w:eastAsia="宋体" w:cs="Times New Roman"/>
          <w:sz w:val="24"/>
          <w:szCs w:val="21"/>
          <w:highlight w:val="none"/>
        </w:rPr>
      </w:pPr>
      <w:r>
        <w:rPr>
          <w:rFonts w:hint="default" w:ascii="Times New Roman" w:hAnsi="Times New Roman" w:eastAsia="宋体" w:cs="Times New Roman"/>
          <w:sz w:val="24"/>
          <w:szCs w:val="21"/>
          <w:highlight w:val="none"/>
        </w:rPr>
        <w:t>本次招标的评标方法采用综合评分方法。</w:t>
      </w:r>
    </w:p>
    <w:p w14:paraId="6D53E8DA">
      <w:pPr>
        <w:spacing w:line="360" w:lineRule="auto"/>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评标分阶段进行：</w:t>
      </w:r>
      <w:r>
        <w:rPr>
          <w:rFonts w:hint="default" w:ascii="Times New Roman" w:hAnsi="Times New Roman" w:eastAsia="宋体" w:cs="Times New Roman"/>
          <w:bCs/>
          <w:sz w:val="24"/>
          <w:highlight w:val="none"/>
        </w:rPr>
        <w:t>投标文件资格审查、符合性审查和投标文件详细评审。</w:t>
      </w:r>
    </w:p>
    <w:p w14:paraId="42145467">
      <w:pPr>
        <w:pStyle w:val="11"/>
        <w:spacing w:after="0" w:line="360" w:lineRule="auto"/>
        <w:ind w:left="0" w:leftChars="0"/>
        <w:rPr>
          <w:rFonts w:hint="default" w:ascii="Times New Roman" w:hAnsi="Times New Roman" w:eastAsia="宋体" w:cs="Times New Roman"/>
          <w:sz w:val="24"/>
          <w:highlight w:val="none"/>
        </w:rPr>
      </w:pPr>
      <w:r>
        <w:rPr>
          <w:rFonts w:hint="default" w:ascii="Times New Roman" w:hAnsi="Times New Roman" w:eastAsia="宋体" w:cs="Times New Roman"/>
          <w:b/>
          <w:bCs/>
          <w:sz w:val="24"/>
          <w:highlight w:val="none"/>
        </w:rPr>
        <w:t>5.2.1 投标文件资格审查</w:t>
      </w:r>
    </w:p>
    <w:p w14:paraId="6D5F2B53">
      <w:pPr>
        <w:spacing w:line="360" w:lineRule="auto"/>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资格审查：开标结束后，采购人或者采购代理机构应当依法对投标人的资格进行审查。未通过资格审查的投标人，不进入符合性审查。</w:t>
      </w:r>
    </w:p>
    <w:p w14:paraId="70050596">
      <w:pPr>
        <w:pStyle w:val="11"/>
        <w:spacing w:after="0" w:line="360" w:lineRule="auto"/>
        <w:ind w:left="0" w:leftChars="0"/>
        <w:rPr>
          <w:rFonts w:hint="default" w:ascii="Times New Roman" w:hAnsi="Times New Roman" w:eastAsia="宋体" w:cs="Times New Roman"/>
          <w:sz w:val="24"/>
          <w:highlight w:val="none"/>
        </w:rPr>
      </w:pPr>
      <w:r>
        <w:rPr>
          <w:rFonts w:hint="default" w:ascii="Times New Roman" w:hAnsi="Times New Roman" w:eastAsia="宋体" w:cs="Times New Roman"/>
          <w:b/>
          <w:bCs/>
          <w:sz w:val="24"/>
          <w:highlight w:val="none"/>
        </w:rPr>
        <w:t>5.2.2 投标文件符合性审查</w:t>
      </w:r>
    </w:p>
    <w:p w14:paraId="1158646B">
      <w:pPr>
        <w:spacing w:line="360" w:lineRule="auto"/>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符合性审查：评标委员会应当对符合资格的投标人的投标文件进行符合性审查，以确定其是否满足招标文件的实质性要求。未通过符合性审查的投标人，不进入技术、商务和价格评审。</w:t>
      </w:r>
    </w:p>
    <w:p w14:paraId="73AA35B0">
      <w:pPr>
        <w:spacing w:line="360" w:lineRule="auto"/>
        <w:rPr>
          <w:rFonts w:hint="default" w:ascii="Times New Roman" w:hAnsi="Times New Roman" w:eastAsia="宋体" w:cs="Times New Roman"/>
          <w:b/>
          <w:sz w:val="24"/>
          <w:highlight w:val="none"/>
        </w:rPr>
      </w:pPr>
      <w:r>
        <w:rPr>
          <w:rFonts w:hint="default" w:ascii="Times New Roman" w:hAnsi="Times New Roman" w:eastAsia="宋体" w:cs="Times New Roman"/>
          <w:b/>
          <w:bCs/>
          <w:sz w:val="24"/>
          <w:highlight w:val="none"/>
        </w:rPr>
        <w:t>（1）</w:t>
      </w:r>
      <w:r>
        <w:rPr>
          <w:rFonts w:hint="default" w:ascii="Times New Roman" w:hAnsi="Times New Roman" w:eastAsia="宋体" w:cs="Times New Roman"/>
          <w:b/>
          <w:bCs/>
          <w:kern w:val="0"/>
          <w:sz w:val="24"/>
          <w:szCs w:val="24"/>
          <w:highlight w:val="none"/>
          <w:lang w:val="zh-CN"/>
        </w:rPr>
        <w:t>实质上没有响应招标文件要求的投标将被拒绝。投标人不得通过修正或撤销不符合要求的偏离或保留从而使其投标成为实质上响应的投标。如发现下列情况之一的，将被视为无效投标，其投标将被拒绝</w:t>
      </w:r>
      <w:r>
        <w:rPr>
          <w:rFonts w:hint="default" w:ascii="Times New Roman" w:hAnsi="Times New Roman" w:eastAsia="宋体" w:cs="Times New Roman"/>
          <w:b/>
          <w:bCs/>
          <w:sz w:val="24"/>
          <w:highlight w:val="none"/>
        </w:rPr>
        <w:t>：</w:t>
      </w:r>
    </w:p>
    <w:p w14:paraId="56A55C54">
      <w:pPr>
        <w:autoSpaceDE w:val="0"/>
        <w:autoSpaceDN w:val="0"/>
        <w:adjustRightInd w:val="0"/>
        <w:spacing w:line="360" w:lineRule="auto"/>
        <w:ind w:firstLine="480"/>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sz w:val="24"/>
          <w:szCs w:val="24"/>
          <w:highlight w:val="none"/>
        </w:rPr>
        <w:t>1.</w:t>
      </w:r>
      <w:r>
        <w:rPr>
          <w:rFonts w:hint="default" w:ascii="Times New Roman" w:hAnsi="Times New Roman" w:eastAsia="宋体" w:cs="Times New Roman"/>
          <w:kern w:val="0"/>
          <w:sz w:val="24"/>
          <w:szCs w:val="24"/>
          <w:highlight w:val="none"/>
          <w:lang w:val="zh-CN"/>
        </w:rPr>
        <w:t>不具备招标文件中规定资格的；</w:t>
      </w:r>
    </w:p>
    <w:p w14:paraId="2A86E58D">
      <w:pPr>
        <w:autoSpaceDE w:val="0"/>
        <w:autoSpaceDN w:val="0"/>
        <w:adjustRightInd w:val="0"/>
        <w:spacing w:line="360" w:lineRule="auto"/>
        <w:ind w:firstLine="480"/>
        <w:rPr>
          <w:rFonts w:hint="default" w:ascii="Times New Roman" w:hAnsi="Times New Roman" w:eastAsia="宋体" w:cs="Times New Roman"/>
          <w:sz w:val="24"/>
          <w:szCs w:val="24"/>
          <w:highlight w:val="none"/>
          <w:lang w:val="zh-CN"/>
        </w:rPr>
      </w:pPr>
      <w:r>
        <w:rPr>
          <w:rFonts w:hint="default" w:ascii="Times New Roman" w:hAnsi="Times New Roman" w:eastAsia="宋体" w:cs="Times New Roman"/>
          <w:sz w:val="24"/>
          <w:szCs w:val="24"/>
          <w:highlight w:val="none"/>
        </w:rPr>
        <w:t>2.</w:t>
      </w:r>
      <w:r>
        <w:rPr>
          <w:rFonts w:hint="default" w:ascii="Times New Roman" w:hAnsi="Times New Roman" w:eastAsia="宋体" w:cs="Times New Roman"/>
          <w:sz w:val="24"/>
          <w:szCs w:val="24"/>
          <w:highlight w:val="none"/>
          <w:lang w:val="zh-CN"/>
        </w:rPr>
        <w:t>投标有效期不足的；</w:t>
      </w:r>
    </w:p>
    <w:p w14:paraId="2D3F90B2">
      <w:pPr>
        <w:autoSpaceDE w:val="0"/>
        <w:autoSpaceDN w:val="0"/>
        <w:adjustRightInd w:val="0"/>
        <w:spacing w:line="360" w:lineRule="auto"/>
        <w:ind w:firstLine="480"/>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rPr>
        <w:t>3</w:t>
      </w:r>
      <w:r>
        <w:rPr>
          <w:rFonts w:hint="default" w:ascii="Times New Roman" w:hAnsi="Times New Roman" w:eastAsia="宋体" w:cs="Times New Roman"/>
          <w:kern w:val="0"/>
          <w:sz w:val="24"/>
          <w:szCs w:val="24"/>
          <w:highlight w:val="none"/>
          <w:lang w:val="zh-CN"/>
        </w:rPr>
        <w:t>.未按照招标文件规定要求密封、签署、盖章的；</w:t>
      </w:r>
    </w:p>
    <w:p w14:paraId="42CC71EA">
      <w:pPr>
        <w:autoSpaceDE w:val="0"/>
        <w:autoSpaceDN w:val="0"/>
        <w:adjustRightInd w:val="0"/>
        <w:spacing w:line="360" w:lineRule="auto"/>
        <w:ind w:firstLine="480"/>
        <w:rPr>
          <w:rFonts w:hint="default" w:ascii="Times New Roman" w:hAnsi="Times New Roman" w:eastAsia="宋体" w:cs="Times New Roman"/>
          <w:sz w:val="24"/>
          <w:szCs w:val="24"/>
          <w:highlight w:val="none"/>
        </w:rPr>
      </w:pPr>
      <w:r>
        <w:rPr>
          <w:rFonts w:hint="default" w:ascii="Times New Roman" w:hAnsi="Times New Roman" w:eastAsia="宋体" w:cs="Times New Roman"/>
          <w:kern w:val="0"/>
          <w:sz w:val="24"/>
          <w:szCs w:val="24"/>
          <w:highlight w:val="none"/>
        </w:rPr>
        <w:t>4.</w:t>
      </w:r>
      <w:r>
        <w:rPr>
          <w:rFonts w:hint="default" w:ascii="Times New Roman" w:hAnsi="Times New Roman" w:eastAsia="宋体" w:cs="Times New Roman"/>
          <w:sz w:val="24"/>
          <w:szCs w:val="24"/>
          <w:highlight w:val="none"/>
        </w:rPr>
        <w:t>投标人未提交投标保证金或形式不符或金额不足的；</w:t>
      </w:r>
    </w:p>
    <w:p w14:paraId="0BF37104">
      <w:pPr>
        <w:autoSpaceDE w:val="0"/>
        <w:autoSpaceDN w:val="0"/>
        <w:adjustRightInd w:val="0"/>
        <w:spacing w:line="360" w:lineRule="auto"/>
        <w:ind w:firstLine="480"/>
        <w:rPr>
          <w:rFonts w:hint="default" w:ascii="Times New Roman" w:hAnsi="Times New Roman" w:eastAsia="宋体" w:cs="Times New Roman"/>
          <w:sz w:val="24"/>
          <w:szCs w:val="24"/>
          <w:highlight w:val="none"/>
          <w:lang w:val="zh-CN"/>
        </w:rPr>
      </w:pPr>
      <w:r>
        <w:rPr>
          <w:rFonts w:hint="default" w:ascii="Times New Roman" w:hAnsi="Times New Roman" w:eastAsia="宋体" w:cs="Times New Roman"/>
          <w:kern w:val="0"/>
          <w:sz w:val="24"/>
          <w:szCs w:val="24"/>
          <w:highlight w:val="none"/>
        </w:rPr>
        <w:t>5</w:t>
      </w:r>
      <w:r>
        <w:rPr>
          <w:rFonts w:hint="default" w:ascii="Times New Roman" w:hAnsi="Times New Roman" w:eastAsia="宋体" w:cs="Times New Roman"/>
          <w:kern w:val="0"/>
          <w:sz w:val="24"/>
          <w:szCs w:val="24"/>
          <w:highlight w:val="none"/>
          <w:lang w:val="zh-CN"/>
        </w:rPr>
        <w:t>.投标报价超</w:t>
      </w:r>
      <w:r>
        <w:rPr>
          <w:rFonts w:hint="default" w:ascii="Times New Roman" w:hAnsi="Times New Roman" w:eastAsia="宋体" w:cs="Times New Roman"/>
          <w:sz w:val="24"/>
          <w:szCs w:val="24"/>
          <w:highlight w:val="none"/>
          <w:lang w:val="zh-CN"/>
        </w:rPr>
        <w:t>过预算金额（如有最高限价则不得超过最高限价）；</w:t>
      </w:r>
    </w:p>
    <w:p w14:paraId="08970EA1">
      <w:pPr>
        <w:autoSpaceDE w:val="0"/>
        <w:autoSpaceDN w:val="0"/>
        <w:adjustRightInd w:val="0"/>
        <w:spacing w:line="360" w:lineRule="auto"/>
        <w:ind w:firstLine="480"/>
        <w:rPr>
          <w:rFonts w:hint="default" w:ascii="Times New Roman" w:hAnsi="Times New Roman" w:eastAsia="宋体" w:cs="Times New Roman"/>
          <w:sz w:val="24"/>
          <w:szCs w:val="24"/>
          <w:highlight w:val="none"/>
          <w:lang w:val="zh-CN"/>
        </w:rPr>
      </w:pPr>
      <w:r>
        <w:rPr>
          <w:rFonts w:hint="default" w:ascii="Times New Roman" w:hAnsi="Times New Roman" w:eastAsia="宋体" w:cs="Times New Roman"/>
          <w:sz w:val="24"/>
          <w:szCs w:val="24"/>
          <w:highlight w:val="none"/>
        </w:rPr>
        <w:t>6</w:t>
      </w:r>
      <w:r>
        <w:rPr>
          <w:rFonts w:hint="default" w:ascii="Times New Roman" w:hAnsi="Times New Roman" w:eastAsia="宋体" w:cs="Times New Roman"/>
          <w:sz w:val="24"/>
          <w:szCs w:val="24"/>
          <w:highlight w:val="none"/>
          <w:lang w:val="zh-CN"/>
        </w:rPr>
        <w:t>.未提供法定代表人资格证明书及法定代表人授权委托书的；</w:t>
      </w:r>
    </w:p>
    <w:p w14:paraId="0B2BC9E0">
      <w:pPr>
        <w:autoSpaceDE w:val="0"/>
        <w:autoSpaceDN w:val="0"/>
        <w:adjustRightInd w:val="0"/>
        <w:spacing w:line="360" w:lineRule="auto"/>
        <w:ind w:firstLine="480"/>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7.投标人有违法违纪行为，被列入失信被执行人、重大税收违法</w:t>
      </w:r>
      <w:r>
        <w:rPr>
          <w:rFonts w:hint="default" w:ascii="Times New Roman" w:hAnsi="Times New Roman" w:eastAsia="宋体" w:cs="Times New Roman"/>
          <w:kern w:val="0"/>
          <w:sz w:val="24"/>
          <w:szCs w:val="24"/>
          <w:highlight w:val="none"/>
          <w:lang w:eastAsia="zh-CN"/>
        </w:rPr>
        <w:t>失信主体</w:t>
      </w:r>
      <w:r>
        <w:rPr>
          <w:rFonts w:hint="default" w:ascii="Times New Roman" w:hAnsi="Times New Roman" w:eastAsia="宋体" w:cs="Times New Roman"/>
          <w:kern w:val="0"/>
          <w:sz w:val="24"/>
          <w:szCs w:val="24"/>
          <w:highlight w:val="none"/>
        </w:rPr>
        <w:t>名单、政府采购严重违法失信行为记录名单的，或在过去三年中有重大的质量、信誉等问题；</w:t>
      </w:r>
    </w:p>
    <w:p w14:paraId="496CF29F">
      <w:pPr>
        <w:autoSpaceDE w:val="0"/>
        <w:autoSpaceDN w:val="0"/>
        <w:adjustRightInd w:val="0"/>
        <w:spacing w:line="360" w:lineRule="auto"/>
        <w:ind w:firstLine="480"/>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8.投标文件中提供虚假或失实资料的；</w:t>
      </w:r>
    </w:p>
    <w:p w14:paraId="7E714818">
      <w:pPr>
        <w:autoSpaceDE w:val="0"/>
        <w:autoSpaceDN w:val="0"/>
        <w:adjustRightInd w:val="0"/>
        <w:spacing w:line="360" w:lineRule="auto"/>
        <w:ind w:firstLine="480"/>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rPr>
        <w:t>9.不符合法律、法规和招标文件中★号条款规定的</w:t>
      </w:r>
      <w:r>
        <w:rPr>
          <w:rFonts w:hint="default" w:ascii="Times New Roman" w:hAnsi="Times New Roman" w:eastAsia="宋体" w:cs="Times New Roman"/>
          <w:kern w:val="0"/>
          <w:sz w:val="24"/>
          <w:szCs w:val="24"/>
          <w:highlight w:val="none"/>
          <w:lang w:val="zh-CN"/>
        </w:rPr>
        <w:t>以及其他实质性要求的。</w:t>
      </w:r>
    </w:p>
    <w:p w14:paraId="7FCC7400">
      <w:pPr>
        <w:spacing w:line="360" w:lineRule="auto"/>
        <w:rPr>
          <w:rFonts w:hint="default" w:ascii="Times New Roman" w:hAnsi="Times New Roman" w:eastAsia="宋体" w:cs="Times New Roman"/>
          <w:b/>
          <w:sz w:val="24"/>
          <w:highlight w:val="none"/>
        </w:rPr>
      </w:pPr>
      <w:r>
        <w:rPr>
          <w:rFonts w:hint="default" w:ascii="Times New Roman" w:hAnsi="Times New Roman" w:eastAsia="宋体" w:cs="Times New Roman"/>
          <w:b/>
          <w:bCs/>
          <w:sz w:val="24"/>
          <w:highlight w:val="none"/>
        </w:rPr>
        <w:t>（2）</w:t>
      </w:r>
      <w:r>
        <w:rPr>
          <w:rFonts w:hint="default" w:ascii="Times New Roman" w:hAnsi="Times New Roman" w:eastAsia="宋体" w:cs="Times New Roman"/>
          <w:b/>
          <w:sz w:val="24"/>
          <w:highlight w:val="none"/>
        </w:rPr>
        <w:t>评标过程中投标文件出现下列情况之一时，对该投标文件作废标处理：</w:t>
      </w:r>
    </w:p>
    <w:p w14:paraId="219A4B55">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1）供应商以他人的名义投标、串通投标、以行贿手段谋取中标或者以其他弄虚作假方式投标的；具体情形如下：</w:t>
      </w:r>
    </w:p>
    <w:p w14:paraId="758E64E5">
      <w:pPr>
        <w:spacing w:line="360" w:lineRule="auto"/>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a）不同投标人的投标文件由同一单位或者个人编制；</w:t>
      </w:r>
    </w:p>
    <w:p w14:paraId="1CB3B8E2">
      <w:pPr>
        <w:spacing w:line="360" w:lineRule="auto"/>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b）不同投标人委托同一单位或者个人办理投标事宜；</w:t>
      </w:r>
    </w:p>
    <w:p w14:paraId="343E41C7">
      <w:pPr>
        <w:spacing w:line="360" w:lineRule="auto"/>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c）不同投标人的投标文件载明的项目管理成员或者联系人员为同一人；</w:t>
      </w:r>
    </w:p>
    <w:p w14:paraId="337F8ED9">
      <w:pPr>
        <w:spacing w:line="360" w:lineRule="auto"/>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d）不同投标人的投标文件异常一致或者投标报价呈规律性差异；</w:t>
      </w:r>
    </w:p>
    <w:p w14:paraId="7B1A53C2">
      <w:pPr>
        <w:spacing w:line="360" w:lineRule="auto"/>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e）不同投标人的投标文件相互混装；</w:t>
      </w:r>
    </w:p>
    <w:p w14:paraId="0FD4FDB7">
      <w:pPr>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f）不同投标人的投标保证金由同一个账号汇出。</w:t>
      </w:r>
    </w:p>
    <w:p w14:paraId="1357C00E">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2）依据《关于推动解决政府采购异常低价问题的通知》（财库〔2026〕2号）启动</w:t>
      </w:r>
      <w:r>
        <w:rPr>
          <w:rFonts w:hint="default" w:ascii="Times New Roman" w:hAnsi="Times New Roman" w:eastAsia="宋体" w:cs="Times New Roman"/>
          <w:color w:val="383838"/>
          <w:sz w:val="24"/>
          <w:szCs w:val="24"/>
          <w:highlight w:val="none"/>
          <w:shd w:val="clear" w:color="auto" w:fill="FFFFFF"/>
        </w:rPr>
        <w:t>异常低价审查如下：</w:t>
      </w:r>
    </w:p>
    <w:p w14:paraId="4E6FBB6E">
      <w:pPr>
        <w:widowControl/>
        <w:shd w:val="clear" w:color="auto" w:fill="FFFFFF"/>
        <w:spacing w:line="480" w:lineRule="atLeast"/>
        <w:ind w:firstLine="640"/>
        <w:textAlignment w:val="baseline"/>
        <w:rPr>
          <w:rFonts w:hint="default" w:ascii="Times New Roman" w:hAnsi="Times New Roman" w:eastAsia="宋体" w:cs="Times New Roman"/>
          <w:color w:val="383838"/>
          <w:szCs w:val="21"/>
          <w:highlight w:val="none"/>
        </w:rPr>
      </w:pPr>
      <w:r>
        <w:rPr>
          <w:rFonts w:hint="default" w:ascii="Times New Roman" w:hAnsi="Times New Roman" w:eastAsia="宋体" w:cs="Times New Roman"/>
          <w:sz w:val="24"/>
          <w:highlight w:val="none"/>
        </w:rPr>
        <w:t>a）</w:t>
      </w:r>
      <w:r>
        <w:rPr>
          <w:rFonts w:hint="default" w:ascii="Times New Roman" w:hAnsi="Times New Roman" w:eastAsia="宋体" w:cs="Times New Roman"/>
          <w:color w:val="383838"/>
          <w:kern w:val="0"/>
          <w:sz w:val="24"/>
          <w:szCs w:val="24"/>
          <w:highlight w:val="none"/>
          <w:shd w:val="clear" w:color="auto" w:fill="FFFFFF"/>
          <w:lang w:bidi="ar"/>
        </w:rPr>
        <w:t>政府采购评审中出现下列情形之一的，评审委员会应当启动异常低价投标（响应）审查程序：</w:t>
      </w:r>
    </w:p>
    <w:p w14:paraId="692F5AB6">
      <w:pPr>
        <w:widowControl/>
        <w:shd w:val="clear" w:color="auto" w:fill="FFFFFF"/>
        <w:spacing w:line="480" w:lineRule="atLeast"/>
        <w:ind w:firstLine="640"/>
        <w:textAlignment w:val="baseline"/>
        <w:rPr>
          <w:rFonts w:hint="default" w:ascii="Times New Roman" w:hAnsi="Times New Roman" w:eastAsia="宋体" w:cs="Times New Roman"/>
          <w:color w:val="383838"/>
          <w:szCs w:val="21"/>
          <w:highlight w:val="none"/>
        </w:rPr>
      </w:pPr>
      <w:r>
        <w:rPr>
          <w:rFonts w:hint="default" w:ascii="Times New Roman" w:hAnsi="Times New Roman" w:eastAsia="宋体" w:cs="Times New Roman"/>
          <w:color w:val="383838"/>
          <w:kern w:val="0"/>
          <w:sz w:val="24"/>
          <w:szCs w:val="24"/>
          <w:highlight w:val="none"/>
          <w:shd w:val="clear" w:color="auto" w:fill="FFFFFF"/>
          <w:lang w:bidi="ar"/>
        </w:rPr>
        <w:t>1.投标（响应）报价低于全部通过符合性审查供应商投标（响应）报价平均值50%的，即投标（响应）报价&lt;全部通过符合性审查供应商投标（响应）报价平均值×50%；</w:t>
      </w:r>
    </w:p>
    <w:p w14:paraId="2575822B">
      <w:pPr>
        <w:widowControl/>
        <w:shd w:val="clear" w:color="auto" w:fill="FFFFFF"/>
        <w:spacing w:line="480" w:lineRule="atLeast"/>
        <w:ind w:firstLine="640"/>
        <w:textAlignment w:val="baseline"/>
        <w:rPr>
          <w:rFonts w:hint="default" w:ascii="Times New Roman" w:hAnsi="Times New Roman" w:eastAsia="宋体" w:cs="Times New Roman"/>
          <w:color w:val="383838"/>
          <w:szCs w:val="21"/>
          <w:highlight w:val="none"/>
        </w:rPr>
      </w:pPr>
      <w:r>
        <w:rPr>
          <w:rFonts w:hint="default" w:ascii="Times New Roman" w:hAnsi="Times New Roman" w:eastAsia="宋体" w:cs="Times New Roman"/>
          <w:color w:val="383838"/>
          <w:kern w:val="0"/>
          <w:sz w:val="24"/>
          <w:szCs w:val="24"/>
          <w:highlight w:val="none"/>
          <w:shd w:val="clear" w:color="auto" w:fill="FFFFFF"/>
          <w:lang w:bidi="ar"/>
        </w:rPr>
        <w:t>2.投标（响应）报价低于通过符合性审查的次低报价供应商投标（响应）报价50%的，即投标（响应）报价&lt;通过符合性审查的次低报价供应商投标（响应）报价×50%；</w:t>
      </w:r>
    </w:p>
    <w:p w14:paraId="3459CB0E">
      <w:pPr>
        <w:widowControl/>
        <w:shd w:val="clear" w:color="auto" w:fill="FFFFFF"/>
        <w:spacing w:line="480" w:lineRule="atLeast"/>
        <w:ind w:firstLine="640"/>
        <w:textAlignment w:val="baseline"/>
        <w:rPr>
          <w:rFonts w:hint="default" w:ascii="Times New Roman" w:hAnsi="Times New Roman" w:eastAsia="宋体" w:cs="Times New Roman"/>
          <w:color w:val="383838"/>
          <w:szCs w:val="21"/>
          <w:highlight w:val="none"/>
        </w:rPr>
      </w:pPr>
      <w:r>
        <w:rPr>
          <w:rFonts w:hint="default" w:ascii="Times New Roman" w:hAnsi="Times New Roman" w:eastAsia="宋体" w:cs="Times New Roman"/>
          <w:color w:val="383838"/>
          <w:kern w:val="0"/>
          <w:sz w:val="24"/>
          <w:szCs w:val="24"/>
          <w:highlight w:val="none"/>
          <w:shd w:val="clear" w:color="auto" w:fill="FFFFFF"/>
          <w:lang w:bidi="ar"/>
        </w:rPr>
        <w:t>3.投标（响应）报价低于采购项目最高限价45%的，即投标（响应）报价&lt;采购项目最高限价×45%；</w:t>
      </w:r>
    </w:p>
    <w:p w14:paraId="27A6CE33">
      <w:pPr>
        <w:widowControl/>
        <w:shd w:val="clear" w:color="auto" w:fill="FFFFFF"/>
        <w:spacing w:line="480" w:lineRule="atLeast"/>
        <w:ind w:firstLine="640"/>
        <w:textAlignment w:val="baseline"/>
        <w:rPr>
          <w:rFonts w:hint="default" w:ascii="Times New Roman" w:hAnsi="Times New Roman" w:eastAsia="宋体" w:cs="Times New Roman"/>
          <w:color w:val="383838"/>
          <w:szCs w:val="21"/>
          <w:highlight w:val="none"/>
        </w:rPr>
      </w:pPr>
      <w:r>
        <w:rPr>
          <w:rFonts w:hint="default" w:ascii="Times New Roman" w:hAnsi="Times New Roman" w:eastAsia="宋体" w:cs="Times New Roman"/>
          <w:color w:val="383838"/>
          <w:kern w:val="0"/>
          <w:sz w:val="24"/>
          <w:szCs w:val="24"/>
          <w:highlight w:val="none"/>
          <w:shd w:val="clear" w:color="auto" w:fill="FFFFFF"/>
          <w:lang w:bidi="ar"/>
        </w:rPr>
        <w:t>4.评审委员会基于专业判断，认为供应商报价过低，有可能影响产品质量或者不能诚信履约的其他情形。</w:t>
      </w:r>
    </w:p>
    <w:p w14:paraId="2CED24FE">
      <w:pPr>
        <w:widowControl/>
        <w:shd w:val="clear" w:color="auto" w:fill="FFFFFF"/>
        <w:spacing w:line="480" w:lineRule="atLeast"/>
        <w:ind w:firstLine="640"/>
        <w:textAlignment w:val="baseline"/>
        <w:rPr>
          <w:rFonts w:hint="default" w:ascii="Times New Roman" w:hAnsi="Times New Roman" w:eastAsia="宋体" w:cs="Times New Roman"/>
          <w:color w:val="383838"/>
          <w:szCs w:val="21"/>
          <w:highlight w:val="none"/>
        </w:rPr>
      </w:pPr>
      <w:r>
        <w:rPr>
          <w:rFonts w:hint="default" w:ascii="Times New Roman" w:hAnsi="Times New Roman" w:eastAsia="宋体" w:cs="Times New Roman"/>
          <w:color w:val="383838"/>
          <w:kern w:val="0"/>
          <w:sz w:val="24"/>
          <w:szCs w:val="24"/>
          <w:highlight w:val="none"/>
          <w:shd w:val="clear" w:color="auto" w:fill="FFFFFF"/>
          <w:lang w:bidi="ar"/>
        </w:rPr>
        <w:t>采购人可以结合具体项目实际情况，提高上述第1项至第3项中启动异常低价投标（响应）审查的数值标准，但是最高不得超过65%。</w:t>
      </w:r>
    </w:p>
    <w:p w14:paraId="7F2D9943">
      <w:pPr>
        <w:widowControl/>
        <w:shd w:val="clear" w:color="auto" w:fill="FFFFFF"/>
        <w:spacing w:line="480" w:lineRule="atLeast"/>
        <w:ind w:firstLine="640"/>
        <w:textAlignment w:val="baseline"/>
        <w:rPr>
          <w:rFonts w:hint="default" w:ascii="Times New Roman" w:hAnsi="Times New Roman" w:eastAsia="宋体" w:cs="Times New Roman"/>
          <w:color w:val="383838"/>
          <w:szCs w:val="21"/>
          <w:highlight w:val="none"/>
        </w:rPr>
      </w:pPr>
      <w:r>
        <w:rPr>
          <w:rFonts w:hint="default" w:ascii="Times New Roman" w:hAnsi="Times New Roman" w:eastAsia="宋体" w:cs="Times New Roman"/>
          <w:color w:val="383838"/>
          <w:kern w:val="0"/>
          <w:sz w:val="24"/>
          <w:szCs w:val="24"/>
          <w:highlight w:val="none"/>
          <w:shd w:val="clear" w:color="auto" w:fill="FFFFFF"/>
          <w:lang w:bidi="ar"/>
        </w:rPr>
        <w:t>相关法律法规对供应商报价有规定的，从其规定。</w:t>
      </w:r>
    </w:p>
    <w:p w14:paraId="07AE9992">
      <w:pPr>
        <w:widowControl/>
        <w:shd w:val="clear" w:color="auto" w:fill="FFFFFF"/>
        <w:spacing w:line="480" w:lineRule="atLeast"/>
        <w:ind w:firstLine="640"/>
        <w:textAlignment w:val="baseline"/>
        <w:rPr>
          <w:rFonts w:hint="default" w:ascii="Times New Roman" w:hAnsi="Times New Roman" w:eastAsia="宋体" w:cs="Times New Roman"/>
          <w:color w:val="383838"/>
          <w:szCs w:val="21"/>
          <w:highlight w:val="none"/>
        </w:rPr>
      </w:pPr>
      <w:r>
        <w:rPr>
          <w:rFonts w:hint="default" w:ascii="Times New Roman" w:hAnsi="Times New Roman" w:eastAsia="宋体" w:cs="Times New Roman"/>
          <w:color w:val="383838"/>
          <w:kern w:val="0"/>
          <w:sz w:val="24"/>
          <w:szCs w:val="24"/>
          <w:highlight w:val="none"/>
          <w:shd w:val="clear" w:color="auto" w:fill="FFFFFF"/>
          <w:lang w:bidi="ar"/>
        </w:rPr>
        <w:t>b）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1A70D474">
      <w:pPr>
        <w:widowControl/>
        <w:shd w:val="clear" w:color="auto" w:fill="FFFFFF"/>
        <w:spacing w:line="480" w:lineRule="atLeast"/>
        <w:ind w:firstLine="640"/>
        <w:textAlignment w:val="baseline"/>
        <w:rPr>
          <w:rFonts w:hint="default" w:ascii="Times New Roman" w:hAnsi="Times New Roman" w:eastAsia="宋体" w:cs="Times New Roman"/>
          <w:color w:val="383838"/>
          <w:szCs w:val="21"/>
          <w:highlight w:val="none"/>
        </w:rPr>
      </w:pPr>
      <w:r>
        <w:rPr>
          <w:rFonts w:hint="default" w:ascii="Times New Roman" w:hAnsi="Times New Roman" w:eastAsia="宋体" w:cs="Times New Roman"/>
          <w:color w:val="383838"/>
          <w:kern w:val="0"/>
          <w:sz w:val="24"/>
          <w:szCs w:val="24"/>
          <w:highlight w:val="none"/>
          <w:shd w:val="clear" w:color="auto" w:fill="FFFFFF"/>
          <w:lang w:bidi="ar"/>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BB54959">
      <w:pPr>
        <w:widowControl/>
        <w:shd w:val="clear" w:color="auto" w:fill="FFFFFF"/>
        <w:spacing w:line="480" w:lineRule="atLeast"/>
        <w:ind w:firstLine="640"/>
        <w:textAlignment w:val="baseline"/>
        <w:rPr>
          <w:rFonts w:hint="default" w:ascii="Times New Roman" w:hAnsi="Times New Roman" w:eastAsia="宋体" w:cs="Times New Roman"/>
          <w:color w:val="383838"/>
          <w:szCs w:val="21"/>
          <w:highlight w:val="none"/>
        </w:rPr>
      </w:pPr>
      <w:r>
        <w:rPr>
          <w:rFonts w:hint="default" w:ascii="Times New Roman" w:hAnsi="Times New Roman" w:eastAsia="宋体" w:cs="Times New Roman"/>
          <w:color w:val="383838"/>
          <w:kern w:val="0"/>
          <w:sz w:val="24"/>
          <w:szCs w:val="24"/>
          <w:highlight w:val="none"/>
          <w:shd w:val="clear" w:color="auto" w:fill="FFFFFF"/>
          <w:lang w:bidi="ar"/>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13C4896D">
      <w:pPr>
        <w:widowControl/>
        <w:shd w:val="clear" w:color="auto" w:fill="FFFFFF"/>
        <w:spacing w:line="480" w:lineRule="atLeast"/>
        <w:ind w:firstLine="640"/>
        <w:textAlignment w:val="baseline"/>
        <w:rPr>
          <w:rFonts w:hint="default" w:ascii="Times New Roman" w:hAnsi="Times New Roman" w:eastAsia="宋体" w:cs="Times New Roman"/>
          <w:sz w:val="24"/>
          <w:highlight w:val="none"/>
        </w:rPr>
      </w:pPr>
      <w:r>
        <w:rPr>
          <w:rFonts w:hint="default" w:ascii="Times New Roman" w:hAnsi="Times New Roman" w:eastAsia="宋体" w:cs="Times New Roman"/>
          <w:color w:val="383838"/>
          <w:kern w:val="0"/>
          <w:sz w:val="24"/>
          <w:szCs w:val="24"/>
          <w:highlight w:val="none"/>
          <w:shd w:val="clear" w:color="auto" w:fill="FFFFFF"/>
          <w:lang w:bidi="ar"/>
        </w:rPr>
        <w:t>异常低价投标（响应）审查的启动原因、审查意见和审查结果应当在评审报告中记录，并随供应商提供的相关书面说明及证明材料，以及评审委员会有关互联网浏览、查询历史一并归档。</w:t>
      </w:r>
    </w:p>
    <w:p w14:paraId="7D010293">
      <w:pPr>
        <w:spacing w:line="360" w:lineRule="auto"/>
        <w:ind w:firstLine="480" w:firstLineChars="200"/>
        <w:rPr>
          <w:rFonts w:hint="default" w:ascii="Times New Roman" w:hAnsi="Times New Roman" w:eastAsia="宋体" w:cs="Times New Roman"/>
          <w:highlight w:val="none"/>
        </w:rPr>
      </w:pPr>
      <w:r>
        <w:rPr>
          <w:rFonts w:hint="default" w:ascii="Times New Roman" w:hAnsi="Times New Roman" w:eastAsia="宋体" w:cs="Times New Roman"/>
          <w:sz w:val="24"/>
          <w:highlight w:val="none"/>
        </w:rPr>
        <w:t>被评委会确定为投标文件无效标或废标的，其投标文件即被视为不能通过资格、符合性审查，不得参与技术、商务和价格的评审。</w:t>
      </w:r>
    </w:p>
    <w:p w14:paraId="4C23CF0D">
      <w:pPr>
        <w:pStyle w:val="11"/>
        <w:spacing w:line="360" w:lineRule="auto"/>
        <w:ind w:left="0" w:leftChars="0"/>
        <w:rPr>
          <w:rFonts w:hint="default" w:ascii="Times New Roman" w:hAnsi="Times New Roman" w:eastAsia="宋体" w:cs="Times New Roman"/>
          <w:b/>
          <w:bCs/>
          <w:sz w:val="24"/>
          <w:highlight w:val="none"/>
        </w:rPr>
      </w:pPr>
      <w:bookmarkStart w:id="159" w:name="_Toc61327439"/>
      <w:bookmarkStart w:id="160" w:name="_Toc107383646"/>
      <w:r>
        <w:rPr>
          <w:rFonts w:hint="default" w:ascii="Times New Roman" w:hAnsi="Times New Roman" w:eastAsia="宋体" w:cs="Times New Roman"/>
          <w:b/>
          <w:bCs/>
          <w:sz w:val="24"/>
          <w:highlight w:val="none"/>
        </w:rPr>
        <w:t>5.2.3 投标文件详细评审</w:t>
      </w:r>
      <w:bookmarkEnd w:id="159"/>
      <w:bookmarkEnd w:id="160"/>
      <w:r>
        <w:rPr>
          <w:rFonts w:hint="default" w:ascii="Times New Roman" w:hAnsi="Times New Roman" w:eastAsia="宋体" w:cs="Times New Roman"/>
          <w:b/>
          <w:bCs/>
          <w:sz w:val="24"/>
          <w:highlight w:val="none"/>
        </w:rPr>
        <w:t>（详见技术、商务、价格评审表）</w:t>
      </w:r>
    </w:p>
    <w:p w14:paraId="65898ECD">
      <w:pPr>
        <w:spacing w:line="360" w:lineRule="auto"/>
        <w:ind w:firstLine="480" w:firstLineChars="200"/>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1）在资格审查、符合性检查时，未能通过资格、符合性审查被认定为无效投标，只有全部满足《资格审查表》和《符合性审查表》所列各项要求的投标才是有效投标，只要不满足资格、符合性条款中所列各项要求之一的，将被认定为无效投标。</w:t>
      </w:r>
    </w:p>
    <w:p w14:paraId="6F570EDD">
      <w:pPr>
        <w:spacing w:line="360" w:lineRule="auto"/>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bCs/>
          <w:sz w:val="24"/>
          <w:highlight w:val="none"/>
        </w:rPr>
        <w:t>（2）</w:t>
      </w:r>
      <w:r>
        <w:rPr>
          <w:rFonts w:hint="default" w:ascii="Times New Roman" w:hAnsi="Times New Roman" w:eastAsia="宋体" w:cs="Times New Roman"/>
          <w:sz w:val="24"/>
          <w:highlight w:val="none"/>
        </w:rPr>
        <w:t>当通过</w:t>
      </w:r>
      <w:r>
        <w:rPr>
          <w:rFonts w:hint="default" w:ascii="Times New Roman" w:hAnsi="Times New Roman" w:eastAsia="宋体" w:cs="Times New Roman"/>
          <w:bCs/>
          <w:sz w:val="24"/>
          <w:highlight w:val="none"/>
        </w:rPr>
        <w:t>资格审查、符合性检查</w:t>
      </w:r>
      <w:r>
        <w:rPr>
          <w:rFonts w:hint="default" w:ascii="Times New Roman" w:hAnsi="Times New Roman" w:eastAsia="宋体" w:cs="Times New Roman"/>
          <w:sz w:val="24"/>
          <w:highlight w:val="none"/>
        </w:rPr>
        <w:t>的投标人多于或等于三家时，按照评标程序的规定和依据评分标准以及各项权重、符合性审查结果，各位评委单独就每个投标人的技术、商务、价格进行评审和比较，评出其技术评分、商务评分和价格评分。将技术得分、商务得分和价格得分相加得出总分，并按总分高低排出名次。评标委员会依据得分情况推荐出第一中标</w:t>
      </w:r>
      <w:r>
        <w:rPr>
          <w:rFonts w:hint="default" w:ascii="Times New Roman" w:hAnsi="Times New Roman" w:eastAsia="宋体" w:cs="Times New Roman"/>
          <w:sz w:val="24"/>
          <w:highlight w:val="none"/>
          <w:lang w:eastAsia="zh-CN"/>
        </w:rPr>
        <w:t>候选人</w:t>
      </w:r>
      <w:r>
        <w:rPr>
          <w:rFonts w:hint="default" w:ascii="Times New Roman" w:hAnsi="Times New Roman" w:eastAsia="宋体" w:cs="Times New Roman"/>
          <w:sz w:val="24"/>
          <w:highlight w:val="none"/>
        </w:rPr>
        <w:t>一名，第二中标</w:t>
      </w:r>
      <w:r>
        <w:rPr>
          <w:rFonts w:hint="default" w:ascii="Times New Roman" w:hAnsi="Times New Roman" w:eastAsia="宋体" w:cs="Times New Roman"/>
          <w:sz w:val="24"/>
          <w:highlight w:val="none"/>
          <w:lang w:eastAsia="zh-CN"/>
        </w:rPr>
        <w:t>候选人</w:t>
      </w:r>
      <w:r>
        <w:rPr>
          <w:rFonts w:hint="default" w:ascii="Times New Roman" w:hAnsi="Times New Roman" w:eastAsia="宋体" w:cs="Times New Roman"/>
          <w:sz w:val="24"/>
          <w:highlight w:val="none"/>
        </w:rPr>
        <w:t>一名，第三中标</w:t>
      </w:r>
      <w:r>
        <w:rPr>
          <w:rFonts w:hint="default" w:ascii="Times New Roman" w:hAnsi="Times New Roman" w:eastAsia="宋体" w:cs="Times New Roman"/>
          <w:sz w:val="24"/>
          <w:highlight w:val="none"/>
          <w:lang w:eastAsia="zh-CN"/>
        </w:rPr>
        <w:t>候选人</w:t>
      </w:r>
      <w:r>
        <w:rPr>
          <w:rFonts w:hint="default" w:ascii="Times New Roman" w:hAnsi="Times New Roman" w:eastAsia="宋体" w:cs="Times New Roman"/>
          <w:sz w:val="24"/>
          <w:highlight w:val="none"/>
        </w:rPr>
        <w:t>一名。</w:t>
      </w:r>
    </w:p>
    <w:p w14:paraId="5B25E718">
      <w:pPr>
        <w:spacing w:line="360" w:lineRule="auto"/>
        <w:ind w:right="-195" w:rightChars="-93"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bCs/>
          <w:sz w:val="24"/>
          <w:highlight w:val="none"/>
        </w:rPr>
        <w:t>（3）</w:t>
      </w:r>
      <w:r>
        <w:rPr>
          <w:rFonts w:hint="default" w:ascii="Times New Roman" w:hAnsi="Times New Roman" w:eastAsia="宋体" w:cs="Times New Roman"/>
          <w:sz w:val="24"/>
          <w:highlight w:val="none"/>
        </w:rPr>
        <w:t>当通过</w:t>
      </w:r>
      <w:r>
        <w:rPr>
          <w:rFonts w:hint="default" w:ascii="Times New Roman" w:hAnsi="Times New Roman" w:eastAsia="宋体" w:cs="Times New Roman"/>
          <w:bCs/>
          <w:sz w:val="24"/>
          <w:highlight w:val="none"/>
        </w:rPr>
        <w:t>资格审查</w:t>
      </w:r>
      <w:r>
        <w:rPr>
          <w:rFonts w:hint="default" w:ascii="Times New Roman" w:hAnsi="Times New Roman" w:eastAsia="宋体" w:cs="Times New Roman"/>
          <w:sz w:val="24"/>
          <w:highlight w:val="none"/>
        </w:rPr>
        <w:t>的投标人少于三家时，评标委员会否决所有投标文件，提请依法重新招标。</w:t>
      </w:r>
    </w:p>
    <w:p w14:paraId="2C2F2971">
      <w:pPr>
        <w:spacing w:line="360" w:lineRule="auto"/>
        <w:ind w:firstLine="480" w:firstLineChars="200"/>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4）提供相同品牌产品且通过资格审查、符合性审查的不同投标人参加同一合同项下同一项目包投标的，按一家投标人计算，评审后得分最高的同品牌投标人获得中标人推荐资格；评审得分相同的，按投标报价排列，报价最低的投标人获得中标人推荐资格；得分与投标报价均相同的，按技术指标优劣排列，技术得分最高的投标人获得中标人推荐资格。</w:t>
      </w:r>
      <w:r>
        <w:rPr>
          <w:rFonts w:hint="default" w:ascii="Times New Roman" w:hAnsi="Times New Roman" w:eastAsia="宋体" w:cs="Times New Roman"/>
          <w:sz w:val="24"/>
          <w:highlight w:val="none"/>
        </w:rPr>
        <w:t>（注：</w:t>
      </w:r>
      <w:r>
        <w:rPr>
          <w:rFonts w:hint="default" w:ascii="Times New Roman" w:hAnsi="Times New Roman" w:eastAsia="宋体" w:cs="Times New Roman"/>
          <w:color w:val="000000"/>
          <w:kern w:val="0"/>
          <w:sz w:val="24"/>
          <w:szCs w:val="24"/>
          <w:highlight w:val="none"/>
          <w:lang w:bidi="ar"/>
        </w:rPr>
        <w:t>为扶持不发达地区和少数民族地区，得分且投标报价相同的，评标委员会优先推荐企业注册地在不发达地区和少数民族地区的投标人。</w:t>
      </w:r>
      <w:r>
        <w:rPr>
          <w:rFonts w:hint="default" w:ascii="Times New Roman" w:hAnsi="Times New Roman" w:eastAsia="宋体" w:cs="Times New Roman"/>
          <w:sz w:val="24"/>
          <w:szCs w:val="24"/>
          <w:highlight w:val="none"/>
        </w:rPr>
        <w:t>不发达地区或少数民族地区的供应商需提供属于不发达地区或少数民族地区企业的相关证明材料，或供应商注册地为少数民族地区的相关证明材料）</w:t>
      </w:r>
    </w:p>
    <w:p w14:paraId="7A36483D">
      <w:pPr>
        <w:pStyle w:val="7"/>
        <w:numPr>
          <w:ilvl w:val="0"/>
          <w:numId w:val="0"/>
        </w:numPr>
        <w:spacing w:after="0" w:line="360" w:lineRule="auto"/>
        <w:rPr>
          <w:rFonts w:hint="default" w:ascii="Times New Roman" w:hAnsi="Times New Roman" w:eastAsia="宋体" w:cs="Times New Roman"/>
          <w:sz w:val="28"/>
          <w:szCs w:val="28"/>
          <w:highlight w:val="none"/>
        </w:rPr>
      </w:pPr>
      <w:bookmarkStart w:id="161" w:name="_Toc458635604"/>
      <w:bookmarkStart w:id="162" w:name="_Toc107385317"/>
      <w:bookmarkStart w:id="163" w:name="_Toc439513453"/>
      <w:bookmarkStart w:id="164" w:name="_Toc73979864"/>
      <w:bookmarkStart w:id="165" w:name="_Toc498035135"/>
      <w:bookmarkStart w:id="166" w:name="_Toc486969387"/>
      <w:bookmarkStart w:id="167" w:name="_Toc272394437"/>
      <w:bookmarkStart w:id="168" w:name="_Toc439679276"/>
      <w:bookmarkStart w:id="169" w:name="_Toc369081826"/>
      <w:bookmarkStart w:id="170" w:name="_Toc477879848"/>
      <w:bookmarkStart w:id="171" w:name="_Toc422865429"/>
      <w:bookmarkStart w:id="172" w:name="_Toc277154674"/>
      <w:bookmarkStart w:id="173" w:name="_Toc116976131"/>
      <w:bookmarkStart w:id="174" w:name="_Toc439513169"/>
      <w:bookmarkStart w:id="175" w:name="_Toc122420765"/>
      <w:bookmarkStart w:id="176" w:name="_Toc262564644"/>
      <w:bookmarkStart w:id="177" w:name="_Toc487044260"/>
      <w:bookmarkStart w:id="178" w:name="_Toc479340797"/>
      <w:bookmarkStart w:id="179" w:name="_Toc438508605"/>
      <w:bookmarkStart w:id="180" w:name="_Toc330545478"/>
      <w:bookmarkStart w:id="181" w:name="_Toc416208494"/>
      <w:bookmarkStart w:id="182" w:name="_Toc425347670"/>
      <w:bookmarkStart w:id="183" w:name="_Toc494812267"/>
      <w:bookmarkStart w:id="184" w:name="_Toc267904314"/>
      <w:bookmarkStart w:id="185" w:name="_Toc107383647"/>
      <w:bookmarkStart w:id="186" w:name="_Toc414510788"/>
      <w:bookmarkStart w:id="187" w:name="_Toc25938569"/>
      <w:bookmarkStart w:id="188" w:name="_Toc438513742"/>
      <w:bookmarkStart w:id="189" w:name="_Toc418023341"/>
      <w:bookmarkStart w:id="190" w:name="_Toc265700489"/>
      <w:bookmarkStart w:id="191" w:name="_Toc23008"/>
      <w:bookmarkStart w:id="192" w:name="_Toc358307755"/>
      <w:bookmarkStart w:id="193" w:name="_Toc422162000"/>
      <w:bookmarkStart w:id="194" w:name="_Toc470184449"/>
      <w:bookmarkStart w:id="195" w:name="_Toc109467930"/>
      <w:bookmarkStart w:id="196" w:name="_Toc438722138"/>
      <w:bookmarkStart w:id="197" w:name="_Toc116981031"/>
      <w:bookmarkStart w:id="198" w:name="_Toc107460010"/>
      <w:bookmarkStart w:id="199" w:name="_Toc61327440"/>
      <w:bookmarkStart w:id="200" w:name="_Toc458980401"/>
      <w:bookmarkStart w:id="201" w:name="_Toc479325600"/>
      <w:bookmarkStart w:id="202" w:name="_Toc116924487"/>
      <w:r>
        <w:rPr>
          <w:rFonts w:hint="default" w:ascii="Times New Roman" w:hAnsi="Times New Roman" w:eastAsia="宋体" w:cs="Times New Roman"/>
          <w:sz w:val="28"/>
          <w:szCs w:val="28"/>
          <w:highlight w:val="none"/>
        </w:rPr>
        <w:t>六、评分标准和权重</w:t>
      </w:r>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14:paraId="558FEBB1">
      <w:pPr>
        <w:spacing w:line="360" w:lineRule="auto"/>
        <w:rPr>
          <w:rFonts w:hint="default" w:ascii="Times New Roman" w:hAnsi="Times New Roman" w:eastAsia="宋体" w:cs="Times New Roman"/>
          <w:b/>
          <w:bCs/>
          <w:highlight w:val="none"/>
        </w:rPr>
      </w:pPr>
      <w:bookmarkStart w:id="203" w:name="_Toc61327441"/>
      <w:r>
        <w:rPr>
          <w:rFonts w:hint="default" w:ascii="Times New Roman" w:hAnsi="Times New Roman" w:eastAsia="宋体" w:cs="Times New Roman"/>
          <w:b/>
          <w:bCs/>
          <w:sz w:val="24"/>
          <w:highlight w:val="none"/>
        </w:rPr>
        <w:t>6.1 评分标准</w:t>
      </w:r>
      <w:bookmarkEnd w:id="203"/>
    </w:p>
    <w:p w14:paraId="45AA2873">
      <w:pPr>
        <w:spacing w:line="360" w:lineRule="auto"/>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评委对投标文件的技术及商务响应情况进行评分。评分采用量化方法。</w:t>
      </w:r>
    </w:p>
    <w:p w14:paraId="6EAD61BB">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技术、商务、价格评分应分别考虑下列因素：</w:t>
      </w:r>
    </w:p>
    <w:p w14:paraId="2179A5EF">
      <w:pPr>
        <w:spacing w:line="360" w:lineRule="auto"/>
        <w:outlineLvl w:val="3"/>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6.1.1 技术、商务评审</w:t>
      </w:r>
    </w:p>
    <w:p w14:paraId="6D7F1EB8">
      <w:pPr>
        <w:spacing w:line="360" w:lineRule="auto"/>
        <w:ind w:firstLine="480" w:firstLineChars="200"/>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评审内容详见技术（商务）响应评审表</w:t>
      </w:r>
    </w:p>
    <w:p w14:paraId="785FE465">
      <w:pPr>
        <w:spacing w:line="360" w:lineRule="auto"/>
        <w:ind w:left="420" w:leftChars="200" w:firstLine="523" w:firstLineChars="218"/>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计算公式（四舍五入保留两位小数）：</w:t>
      </w:r>
    </w:p>
    <w:p w14:paraId="63F2A5AC">
      <w:pPr>
        <w:spacing w:line="360" w:lineRule="auto"/>
        <w:ind w:left="420" w:leftChars="200" w:firstLine="523" w:firstLineChars="218"/>
        <w:rPr>
          <w:rFonts w:hint="default" w:ascii="Times New Roman" w:hAnsi="Times New Roman" w:eastAsia="宋体" w:cs="Times New Roman"/>
          <w:bCs/>
          <w:sz w:val="24"/>
          <w:highlight w:val="none"/>
        </w:rPr>
      </w:pPr>
      <w:r>
        <w:rPr>
          <w:rFonts w:hint="default" w:ascii="Times New Roman" w:hAnsi="Times New Roman" w:eastAsia="宋体" w:cs="Times New Roman"/>
          <w:bCs/>
          <w:color w:val="000000"/>
          <w:sz w:val="24"/>
          <w:highlight w:val="none"/>
        </w:rPr>
        <w:t>子项评分=各评委子项评分总和</w:t>
      </w:r>
    </w:p>
    <w:p w14:paraId="1097B0B7">
      <w:pPr>
        <w:spacing w:line="360" w:lineRule="auto"/>
        <w:ind w:left="420" w:leftChars="200" w:firstLine="523" w:firstLineChars="218"/>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技术（商务）得分=各子项得分之和</w:t>
      </w:r>
    </w:p>
    <w:p w14:paraId="3B4A9AC8">
      <w:pPr>
        <w:spacing w:line="360" w:lineRule="auto"/>
        <w:outlineLvl w:val="3"/>
        <w:rPr>
          <w:rFonts w:hint="default" w:ascii="Times New Roman" w:hAnsi="Times New Roman" w:eastAsia="宋体" w:cs="Times New Roman"/>
          <w:bCs/>
          <w:sz w:val="24"/>
          <w:highlight w:val="none"/>
        </w:rPr>
      </w:pPr>
      <w:bookmarkStart w:id="204" w:name="_Toc61327442"/>
      <w:r>
        <w:rPr>
          <w:rFonts w:hint="default" w:ascii="Times New Roman" w:hAnsi="Times New Roman" w:eastAsia="宋体" w:cs="Times New Roman"/>
          <w:bCs/>
          <w:sz w:val="24"/>
          <w:highlight w:val="none"/>
        </w:rPr>
        <w:t>6.1.2 价格的开启、核准和评分</w:t>
      </w:r>
    </w:p>
    <w:p w14:paraId="71C7147D">
      <w:pPr>
        <w:tabs>
          <w:tab w:val="left" w:pos="930"/>
        </w:tabs>
        <w:spacing w:line="360" w:lineRule="auto"/>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6.1.2.1 评标委员会详细分析、核准价格表，检查其是否存在计算上或累加上的算术错误，修正错误的原则如下：</w:t>
      </w:r>
    </w:p>
    <w:p w14:paraId="78E829C2">
      <w:pPr>
        <w:tabs>
          <w:tab w:val="left" w:pos="1050"/>
        </w:tabs>
        <w:spacing w:line="360" w:lineRule="auto"/>
        <w:ind w:firstLine="480" w:firstLineChars="200"/>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a) 投标文件中投标一览表（报价表）内容与投标文件中相应内容不一致的，以投标一览表（报价表）为准；</w:t>
      </w:r>
    </w:p>
    <w:p w14:paraId="5ED26600">
      <w:pPr>
        <w:tabs>
          <w:tab w:val="left" w:pos="1050"/>
        </w:tabs>
        <w:spacing w:line="360" w:lineRule="auto"/>
        <w:ind w:left="420"/>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b) 大写金额和小写金额不一致的，以大写金额为准；</w:t>
      </w:r>
    </w:p>
    <w:p w14:paraId="36D19B6F">
      <w:pPr>
        <w:tabs>
          <w:tab w:val="left" w:pos="1050"/>
        </w:tabs>
        <w:spacing w:line="360" w:lineRule="auto"/>
        <w:ind w:firstLine="480" w:firstLineChars="200"/>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c) 单价金额小数点或者百分比有明显错位的，以开标一览表的总价为准，并修改单价；</w:t>
      </w:r>
    </w:p>
    <w:p w14:paraId="3C429A61">
      <w:pPr>
        <w:tabs>
          <w:tab w:val="left" w:pos="1050"/>
        </w:tabs>
        <w:spacing w:line="360" w:lineRule="auto"/>
        <w:ind w:left="420"/>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d）总价金额与按单价汇总金额不一致的，以单价金额计算结果为准；</w:t>
      </w:r>
    </w:p>
    <w:p w14:paraId="2E5A9206">
      <w:pPr>
        <w:tabs>
          <w:tab w:val="left" w:pos="1050"/>
        </w:tabs>
        <w:spacing w:line="360" w:lineRule="auto"/>
        <w:ind w:firstLine="480" w:firstLineChars="200"/>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同时出现两种以上不一致的，按照前款规定的顺序修正。修正后的报价按照投标人的澄清、说明或者补正应当采用书面形式，并加盖公章，或者由法定代表人或其授权的代表签字。投标人的澄清、说明或者补正不得超出投标文件的范围或者改变投标文件的实质性内容。经投标人确认后产生约束力，投标人不确认的，其投标无效。</w:t>
      </w:r>
    </w:p>
    <w:p w14:paraId="43B273DA">
      <w:pPr>
        <w:tabs>
          <w:tab w:val="left" w:pos="930"/>
        </w:tabs>
        <w:spacing w:line="360" w:lineRule="auto"/>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6.1.2.2 服务范围（包括设备和服务）缺漏项的调整，其调整价格为该项在其他有效投标中的最高报价。</w:t>
      </w:r>
    </w:p>
    <w:p w14:paraId="049EF7F5">
      <w:pPr>
        <w:tabs>
          <w:tab w:val="left" w:pos="930"/>
        </w:tabs>
        <w:spacing w:line="360" w:lineRule="auto"/>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6.1.2.3 评标委员会将按照上述修正错误的方法调整投标文件中投标报价，调整后的价格对投标人具有约束力。如果投标人不接受修正后的投标价格，则其投标将被拒绝。</w:t>
      </w:r>
    </w:p>
    <w:p w14:paraId="60374001">
      <w:pPr>
        <w:tabs>
          <w:tab w:val="left" w:pos="930"/>
        </w:tabs>
        <w:spacing w:line="360" w:lineRule="auto"/>
        <w:outlineLvl w:val="3"/>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6.1.3 政策价格扣除</w:t>
      </w:r>
    </w:p>
    <w:p w14:paraId="648E00BD">
      <w:pPr>
        <w:tabs>
          <w:tab w:val="left" w:pos="0"/>
        </w:tabs>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6.1.3.1 小型和微型企业产品价格扣除</w:t>
      </w:r>
    </w:p>
    <w:p w14:paraId="19F2F2D6">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sz w:val="24"/>
          <w:szCs w:val="24"/>
          <w:highlight w:val="none"/>
        </w:rPr>
        <w:t>6.1.3.1.</w:t>
      </w:r>
      <w:r>
        <w:rPr>
          <w:rFonts w:hint="default" w:ascii="Times New Roman" w:hAnsi="Times New Roman" w:eastAsia="宋体" w:cs="Times New Roman"/>
          <w:kern w:val="0"/>
          <w:sz w:val="24"/>
          <w:szCs w:val="24"/>
          <w:highlight w:val="none"/>
          <w:lang w:val="zh-CN"/>
        </w:rPr>
        <w:t xml:space="preserve">1 </w:t>
      </w:r>
      <w:r>
        <w:rPr>
          <w:rFonts w:hint="default" w:ascii="Times New Roman" w:hAnsi="Times New Roman" w:eastAsia="宋体" w:cs="Times New Roman"/>
          <w:sz w:val="24"/>
          <w:szCs w:val="24"/>
          <w:highlight w:val="none"/>
          <w:lang w:bidi="ar"/>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hint="default" w:ascii="Times New Roman" w:hAnsi="Times New Roman" w:eastAsia="宋体" w:cs="Times New Roman"/>
          <w:kern w:val="0"/>
          <w:sz w:val="24"/>
          <w:szCs w:val="24"/>
          <w:highlight w:val="none"/>
          <w:lang w:val="zh-CN"/>
        </w:rPr>
        <w:t>根据工业和信息化部、统计局、发展改革委、财政部四部门印发的《关于印发中小企业划型标准规定的通知》（工信部联企业﹝2011﹞300号）、财政部、工业和信息化部印发的《政府采购促进中小企业发展管理办法》（财库﹝2020﹞46号）以及财政部发布的《关于进一步加大政府采购支持中小企业力度的通知》的规定，供应商提供的货物、工程或者服务符合下列情形的，享受中小企业扶持政策：</w:t>
      </w:r>
    </w:p>
    <w:p w14:paraId="7AE8FF69">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（1）在货物采购项目中，货物由中小企业制造，即货物由中小企业生产且使用该中小企业商号或者注册商标；</w:t>
      </w:r>
    </w:p>
    <w:p w14:paraId="7C133544">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（2）在工程采购项目中，工程由中小企业承建，即工程施工单位为中小企业；</w:t>
      </w:r>
    </w:p>
    <w:p w14:paraId="1D2B7B33">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kern w:val="0"/>
          <w:sz w:val="24"/>
          <w:szCs w:val="24"/>
          <w:highlight w:val="none"/>
          <w:lang w:val="zh-CN"/>
        </w:rPr>
        <w:t>（3）在服务采购项目中，服务由中小企业承接，即提供服务的人员为中小企业依照《中华人民共和国劳动合同法》订立劳动合同的从业人员。</w:t>
      </w:r>
    </w:p>
    <w:p w14:paraId="5D824F0C">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sz w:val="24"/>
          <w:szCs w:val="24"/>
          <w:highlight w:val="none"/>
        </w:rPr>
        <w:t>6.1.3.1.</w:t>
      </w:r>
      <w:r>
        <w:rPr>
          <w:rFonts w:hint="default" w:ascii="Times New Roman" w:hAnsi="Times New Roman" w:eastAsia="宋体" w:cs="Times New Roman"/>
          <w:kern w:val="0"/>
          <w:sz w:val="24"/>
          <w:szCs w:val="24"/>
          <w:highlight w:val="none"/>
          <w:lang w:val="zh-CN"/>
        </w:rPr>
        <w:t>2在货物采购项目中，供应商提供的货物既有中小企业制造货物，也有大型企业制造货物的，不享受中小企业扶持政策。</w:t>
      </w:r>
    </w:p>
    <w:p w14:paraId="45529523">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sz w:val="24"/>
          <w:szCs w:val="24"/>
          <w:highlight w:val="none"/>
        </w:rPr>
        <w:t>6.1.3.1.</w:t>
      </w:r>
      <w:r>
        <w:rPr>
          <w:rFonts w:hint="default" w:ascii="Times New Roman" w:hAnsi="Times New Roman" w:eastAsia="宋体" w:cs="Times New Roman"/>
          <w:kern w:val="0"/>
          <w:sz w:val="24"/>
          <w:szCs w:val="24"/>
          <w:highlight w:val="none"/>
          <w:lang w:val="zh-CN"/>
        </w:rPr>
        <w:t>3货物全部由政策要求的小型、微型企业制造的或服务全部由符合政策要求的小型、微型企业承接的或工程全部由政策要求的小型、微型企业承建的，投标价格给予10%的价格扣除后参与价格分数计算。评标委员会根据投标人提供的《中小企业声明函》中的承诺，认定其是否属于小型和微型企业并享受小微企业优惠政策。投标人对其承诺的企业规模真实性自行负责。投标人在《中小企业声明函》中的承诺如有虚假，其中标资格将被取消。</w:t>
      </w:r>
    </w:p>
    <w:p w14:paraId="0A297D73">
      <w:pPr>
        <w:autoSpaceDE w:val="0"/>
        <w:autoSpaceDN w:val="0"/>
        <w:adjustRightInd w:val="0"/>
        <w:spacing w:line="360" w:lineRule="auto"/>
        <w:rPr>
          <w:rFonts w:hint="default" w:ascii="Times New Roman" w:hAnsi="Times New Roman" w:eastAsia="宋体" w:cs="Times New Roman"/>
          <w:kern w:val="0"/>
          <w:sz w:val="24"/>
          <w:szCs w:val="24"/>
          <w:highlight w:val="none"/>
          <w:lang w:val="zh-CN"/>
        </w:rPr>
      </w:pPr>
      <w:r>
        <w:rPr>
          <w:rFonts w:hint="default" w:ascii="Times New Roman" w:hAnsi="Times New Roman" w:eastAsia="宋体" w:cs="Times New Roman"/>
          <w:sz w:val="24"/>
          <w:szCs w:val="24"/>
          <w:highlight w:val="none"/>
        </w:rPr>
        <w:t>6.1.3.1.</w:t>
      </w:r>
      <w:r>
        <w:rPr>
          <w:rFonts w:hint="default" w:ascii="Times New Roman" w:hAnsi="Times New Roman" w:eastAsia="宋体" w:cs="Times New Roman"/>
          <w:kern w:val="0"/>
          <w:sz w:val="24"/>
          <w:szCs w:val="24"/>
          <w:highlight w:val="none"/>
          <w:lang w:val="zh-CN"/>
        </w:rPr>
        <w:t>4 以联合体形式参加政府采购活动，联合体各方均为中小企业的，联合体视同中小企业。其中，联合体各方均为小微企业的，联合体视同小微企业。小型、微型企业的协议合同金额占到联合体协议合同总金额30%以上的，可给予联合体4%的价格扣除。</w:t>
      </w:r>
    </w:p>
    <w:p w14:paraId="0156D730">
      <w:pPr>
        <w:tabs>
          <w:tab w:val="left" w:pos="0"/>
        </w:tabs>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6.1.3.2 监狱企业产品价格扣除</w:t>
      </w:r>
    </w:p>
    <w:p w14:paraId="6578C9D9">
      <w:pPr>
        <w:tabs>
          <w:tab w:val="left" w:pos="1050"/>
        </w:tabs>
        <w:spacing w:line="360" w:lineRule="auto"/>
        <w:ind w:firstLine="480" w:firstLineChars="200"/>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a）监狱企业视同小型、微型企业，按上述4.1的a)条款享受评审中价格扣除。</w:t>
      </w:r>
    </w:p>
    <w:p w14:paraId="49FAD90F">
      <w:pPr>
        <w:tabs>
          <w:tab w:val="left" w:pos="1050"/>
        </w:tabs>
        <w:spacing w:line="360" w:lineRule="auto"/>
        <w:ind w:firstLine="480" w:firstLineChars="200"/>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b)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017099D">
      <w:pPr>
        <w:tabs>
          <w:tab w:val="left" w:pos="1050"/>
        </w:tabs>
        <w:spacing w:line="360" w:lineRule="auto"/>
        <w:ind w:firstLine="480" w:firstLineChars="200"/>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c)监狱企业参加政府采购活动时，应当提供由省级以上监狱管理局、戒毒管理局（含新疆生产建设兵团）出具的属于监狱企业的证明文件，否则不予认可。</w:t>
      </w:r>
    </w:p>
    <w:p w14:paraId="1C745E31">
      <w:pPr>
        <w:tabs>
          <w:tab w:val="left" w:pos="0"/>
        </w:tabs>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6.1.3.3 残疾人福利性单位产品价格扣除</w:t>
      </w:r>
    </w:p>
    <w:p w14:paraId="0E414244">
      <w:pPr>
        <w:tabs>
          <w:tab w:val="left" w:pos="1050"/>
        </w:tabs>
        <w:spacing w:line="360" w:lineRule="auto"/>
        <w:ind w:firstLine="480" w:firstLineChars="200"/>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a)残疾人福利性单位视同小型、微型企业，按上述4.1的a)条款享受评审中价格扣除。</w:t>
      </w:r>
    </w:p>
    <w:p w14:paraId="0C794BBF">
      <w:pPr>
        <w:tabs>
          <w:tab w:val="left" w:pos="1050"/>
        </w:tabs>
        <w:spacing w:line="360" w:lineRule="auto"/>
        <w:ind w:firstLine="480" w:firstLineChars="200"/>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b)根据财政部、民政部、中国残疾人联合会印发的《关于促进残疾人就业政府采购政策的通知》（财库〔2017〕141号）的规定，符合条件的残疾人福利性单位在参加政府采购活动时，应当提供该通知规定的《残疾人福利性单位声明函》（格式见第六章投标文件格式），并对声明的真实性负责。一旦中标将在中标公告中公告其声明函，接受社会监督。投标人提供的《残疾人福利性单位声明函》与事实不符的，依照《政府采购法》第七十七条第一款的规定追究法律责任。</w:t>
      </w:r>
    </w:p>
    <w:p w14:paraId="5710477F">
      <w:pPr>
        <w:tabs>
          <w:tab w:val="left" w:pos="1050"/>
        </w:tabs>
        <w:spacing w:line="360" w:lineRule="auto"/>
        <w:rPr>
          <w:rFonts w:hint="default" w:ascii="Times New Roman" w:hAnsi="Times New Roman" w:eastAsia="宋体" w:cs="Times New Roman"/>
          <w:bCs/>
          <w:sz w:val="24"/>
          <w:highlight w:val="none"/>
        </w:rPr>
      </w:pPr>
      <w:r>
        <w:rPr>
          <w:rFonts w:hint="default" w:ascii="Times New Roman" w:hAnsi="Times New Roman" w:eastAsia="宋体" w:cs="Times New Roman"/>
          <w:sz w:val="24"/>
          <w:szCs w:val="24"/>
          <w:highlight w:val="none"/>
        </w:rPr>
        <w:t>6.1.3.4</w:t>
      </w:r>
      <w:r>
        <w:rPr>
          <w:rFonts w:hint="default" w:ascii="Times New Roman" w:hAnsi="Times New Roman" w:eastAsia="宋体" w:cs="Times New Roman"/>
          <w:bCs/>
          <w:sz w:val="24"/>
          <w:highlight w:val="none"/>
        </w:rPr>
        <w:t>本国产品价格扣除：</w:t>
      </w:r>
    </w:p>
    <w:p w14:paraId="139BD339">
      <w:pPr>
        <w:tabs>
          <w:tab w:val="left" w:pos="1050"/>
        </w:tabs>
        <w:spacing w:line="360" w:lineRule="auto"/>
        <w:ind w:firstLine="480" w:firstLineChars="200"/>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1）根据《国务院办公厅关于在政府采购中实施本国产品标准及相关政策的通知》（国办发〔2025〕34号）的规定，政府采购活动中既有本国产品又有非本国产品参与竞争的，依法对本国产品给予价格评审优惠，对本国产品的报价给予20%的价格扣除，用扣除后的价格参与评审。</w:t>
      </w:r>
    </w:p>
    <w:p w14:paraId="00F855B6">
      <w:pPr>
        <w:tabs>
          <w:tab w:val="left" w:pos="1050"/>
        </w:tabs>
        <w:spacing w:line="360" w:lineRule="auto"/>
        <w:ind w:firstLine="480" w:firstLineChars="200"/>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 </w:t>
      </w:r>
    </w:p>
    <w:p w14:paraId="307752CB">
      <w:pPr>
        <w:tabs>
          <w:tab w:val="left" w:pos="1050"/>
        </w:tabs>
        <w:spacing w:line="360" w:lineRule="auto"/>
        <w:ind w:firstLine="480" w:firstLineChars="200"/>
        <w:rPr>
          <w:rFonts w:hint="default" w:ascii="Times New Roman" w:hAnsi="Times New Roman" w:eastAsia="宋体" w:cs="Times New Roman"/>
          <w:bCs/>
          <w:sz w:val="24"/>
          <w:highlight w:val="none"/>
        </w:rPr>
      </w:pPr>
      <w:r>
        <w:rPr>
          <w:rFonts w:hint="default" w:ascii="Times New Roman" w:hAnsi="Times New Roman" w:eastAsia="宋体" w:cs="Times New Roman"/>
          <w:bCs/>
          <w:sz w:val="24"/>
          <w:highlight w:val="none"/>
        </w:rPr>
        <w:t>（3）供应商提供符合本国产品标准的产品参加政府采购活动的，应当提供《关于符合本国产品标准的声明函》（见投标文件格式）或财政部会同有关部门规定的有关证明文件。出具符合要求的《关于符合本国产品标准的声明函》或有关证明文件的，该产品视为本国产品。</w:t>
      </w:r>
    </w:p>
    <w:p w14:paraId="1D39E799">
      <w:pPr>
        <w:tabs>
          <w:tab w:val="left" w:pos="0"/>
        </w:tabs>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6.1.3.5 投标人同时为小型、微型企业、监狱企业和残疾人福利性单位任两种或以上情况的，评审中只享受一次价格扣除。不重复进行价格扣除，</w:t>
      </w:r>
      <w:r>
        <w:rPr>
          <w:rFonts w:hint="default" w:ascii="Times New Roman" w:hAnsi="Times New Roman" w:eastAsia="宋体" w:cs="Times New Roman"/>
          <w:bCs/>
          <w:sz w:val="24"/>
          <w:highlight w:val="none"/>
        </w:rPr>
        <w:t>本国产品除外。</w:t>
      </w:r>
    </w:p>
    <w:p w14:paraId="493C32BB">
      <w:pPr>
        <w:spacing w:line="360" w:lineRule="auto"/>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highlight w:val="none"/>
        </w:rPr>
        <w:t xml:space="preserve">6.2 </w:t>
      </w:r>
      <w:r>
        <w:rPr>
          <w:rFonts w:hint="default" w:ascii="Times New Roman" w:hAnsi="Times New Roman" w:eastAsia="宋体" w:cs="Times New Roman"/>
          <w:b/>
          <w:bCs/>
          <w:sz w:val="24"/>
          <w:szCs w:val="24"/>
          <w:highlight w:val="none"/>
        </w:rPr>
        <w:t>价格分采用低价优先法计算。</w:t>
      </w:r>
    </w:p>
    <w:p w14:paraId="07976C6D">
      <w:pPr>
        <w:tabs>
          <w:tab w:val="left" w:pos="1050"/>
        </w:tabs>
        <w:spacing w:line="360" w:lineRule="auto"/>
        <w:rPr>
          <w:rFonts w:hint="default" w:ascii="Times New Roman" w:hAnsi="Times New Roman" w:eastAsia="宋体" w:cs="Times New Roman"/>
          <w:b/>
          <w:bCs/>
          <w:sz w:val="24"/>
          <w:highlight w:val="none"/>
        </w:rPr>
      </w:pPr>
      <w:r>
        <w:rPr>
          <w:rFonts w:hint="default" w:ascii="Times New Roman" w:hAnsi="Times New Roman" w:eastAsia="宋体" w:cs="Times New Roman"/>
          <w:sz w:val="24"/>
          <w:szCs w:val="24"/>
          <w:highlight w:val="none"/>
        </w:rPr>
        <w:t>即满足招标文件要求且投标价格最低的投标报价为评标基准价，其价格分为满分。其它投标人的价格分统一按下列公式计算：投标报价得分=（评标基准价/投标报价）×权重×100；计算结果保留至小数点后两位。</w:t>
      </w:r>
    </w:p>
    <w:p w14:paraId="73C65640">
      <w:pPr>
        <w:spacing w:line="360" w:lineRule="auto"/>
        <w:rPr>
          <w:rFonts w:hint="default" w:ascii="Times New Roman" w:hAnsi="Times New Roman" w:eastAsia="宋体" w:cs="Times New Roman"/>
          <w:b/>
          <w:bCs/>
          <w:highlight w:val="none"/>
        </w:rPr>
      </w:pPr>
      <w:r>
        <w:rPr>
          <w:rFonts w:hint="default" w:ascii="Times New Roman" w:hAnsi="Times New Roman" w:eastAsia="宋体" w:cs="Times New Roman"/>
          <w:b/>
          <w:bCs/>
          <w:sz w:val="24"/>
          <w:highlight w:val="none"/>
        </w:rPr>
        <w:t>6.3 权重分配</w:t>
      </w:r>
      <w:bookmarkEnd w:id="204"/>
      <w:r>
        <w:rPr>
          <w:rFonts w:hint="default" w:ascii="Times New Roman" w:hAnsi="Times New Roman" w:eastAsia="宋体" w:cs="Times New Roman"/>
          <w:b/>
          <w:bCs/>
          <w:sz w:val="24"/>
          <w:highlight w:val="none"/>
        </w:rPr>
        <w:t>（详见评标标准）</w:t>
      </w:r>
    </w:p>
    <w:p w14:paraId="2D957400">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综合得分=价格得分+商务得分+技术得分</w:t>
      </w:r>
    </w:p>
    <w:p w14:paraId="0440AE4C">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评标委员会根据投标人最终得分高低排定名次。</w:t>
      </w:r>
    </w:p>
    <w:p w14:paraId="77D9E23B">
      <w:pPr>
        <w:pStyle w:val="7"/>
        <w:numPr>
          <w:ilvl w:val="0"/>
          <w:numId w:val="0"/>
        </w:numPr>
        <w:spacing w:after="0" w:line="360" w:lineRule="auto"/>
        <w:rPr>
          <w:rFonts w:hint="default" w:ascii="Times New Roman" w:hAnsi="Times New Roman" w:eastAsia="宋体" w:cs="Times New Roman"/>
          <w:sz w:val="28"/>
          <w:szCs w:val="28"/>
          <w:highlight w:val="none"/>
        </w:rPr>
      </w:pPr>
      <w:r>
        <w:rPr>
          <w:rFonts w:hint="default" w:ascii="Times New Roman" w:hAnsi="Times New Roman" w:eastAsia="宋体" w:cs="Times New Roman"/>
          <w:sz w:val="28"/>
          <w:szCs w:val="28"/>
          <w:highlight w:val="none"/>
        </w:rPr>
        <w:t>七、确定中标</w:t>
      </w:r>
    </w:p>
    <w:p w14:paraId="1937E06C">
      <w:pPr>
        <w:spacing w:line="360" w:lineRule="auto"/>
        <w:outlineLvl w:val="3"/>
        <w:rPr>
          <w:rFonts w:hint="default" w:ascii="Times New Roman" w:hAnsi="Times New Roman" w:eastAsia="宋体" w:cs="Times New Roman"/>
          <w:b/>
          <w:bCs/>
          <w:sz w:val="24"/>
          <w:highlight w:val="none"/>
        </w:rPr>
      </w:pPr>
      <w:r>
        <w:rPr>
          <w:rFonts w:hint="default" w:ascii="Times New Roman" w:hAnsi="Times New Roman" w:eastAsia="宋体" w:cs="Times New Roman"/>
          <w:b/>
          <w:bCs/>
          <w:sz w:val="24"/>
          <w:highlight w:val="none"/>
        </w:rPr>
        <w:t>7.1 确定中标候选人</w:t>
      </w:r>
    </w:p>
    <w:p w14:paraId="7A46E2A3">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评标委员会将根据评标标准，按综合评价得分排名确定。</w:t>
      </w:r>
    </w:p>
    <w:p w14:paraId="07BFB5BB">
      <w:pPr>
        <w:spacing w:line="360" w:lineRule="auto"/>
        <w:outlineLvl w:val="3"/>
        <w:rPr>
          <w:rFonts w:hint="default" w:ascii="Times New Roman" w:hAnsi="Times New Roman" w:eastAsia="宋体" w:cs="Times New Roman"/>
          <w:b/>
          <w:bCs/>
          <w:sz w:val="24"/>
          <w:highlight w:val="none"/>
        </w:rPr>
      </w:pPr>
      <w:bookmarkStart w:id="205" w:name="_Toc89569868"/>
      <w:bookmarkStart w:id="206" w:name="_Toc520356172"/>
      <w:r>
        <w:rPr>
          <w:rFonts w:hint="default" w:ascii="Times New Roman" w:hAnsi="Times New Roman" w:eastAsia="宋体" w:cs="Times New Roman"/>
          <w:b/>
          <w:bCs/>
          <w:sz w:val="24"/>
          <w:highlight w:val="none"/>
        </w:rPr>
        <w:t>7.2</w:t>
      </w:r>
      <w:bookmarkEnd w:id="205"/>
      <w:bookmarkEnd w:id="206"/>
      <w:r>
        <w:rPr>
          <w:rFonts w:hint="default" w:ascii="Times New Roman" w:hAnsi="Times New Roman" w:eastAsia="宋体" w:cs="Times New Roman"/>
          <w:b/>
          <w:bCs/>
          <w:sz w:val="24"/>
          <w:highlight w:val="none"/>
        </w:rPr>
        <w:t xml:space="preserve"> 确定中标人</w:t>
      </w:r>
    </w:p>
    <w:p w14:paraId="078D1DAC">
      <w:pPr>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评标委员会将根据评标标准，推荐评标排序，或根据采购人的委托，直接确定中标人。</w:t>
      </w:r>
    </w:p>
    <w:p w14:paraId="06C2BA97">
      <w:pPr>
        <w:spacing w:line="360" w:lineRule="auto"/>
        <w:outlineLvl w:val="3"/>
        <w:rPr>
          <w:rFonts w:hint="default" w:ascii="Times New Roman" w:hAnsi="Times New Roman" w:eastAsia="宋体" w:cs="Times New Roman"/>
          <w:b/>
          <w:bCs/>
          <w:sz w:val="24"/>
          <w:highlight w:val="none"/>
        </w:rPr>
      </w:pPr>
      <w:r>
        <w:rPr>
          <w:rFonts w:hint="default" w:ascii="Times New Roman" w:hAnsi="Times New Roman" w:eastAsia="宋体" w:cs="Times New Roman"/>
          <w:b/>
          <w:bCs/>
          <w:sz w:val="24"/>
          <w:highlight w:val="none"/>
        </w:rPr>
        <w:t>7.3 中标通知书</w:t>
      </w:r>
    </w:p>
    <w:p w14:paraId="4C2CE5B5">
      <w:pPr>
        <w:spacing w:line="360" w:lineRule="auto"/>
        <w:ind w:left="-2" w:leftChars="-1"/>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7.3.1中标供应商确定后，采购代理机构将在规定的发布信息媒体(中国政府采购网（http://www.ccgp.gov.cn/）)上发布中标结果公告。投标人可通过相关发布媒体查询评标结果。投标人对中标结果提出质疑的，应当在中标公告期限届满之日起七个工作日内，以书面形式向采购代理机构一次性提出质疑，但需对质疑内容的真实性承担责任及后果，并提交相应的证明材料。</w:t>
      </w:r>
    </w:p>
    <w:p w14:paraId="27AB827C">
      <w:pPr>
        <w:spacing w:line="360" w:lineRule="auto"/>
        <w:ind w:left="-2" w:leftChars="-1"/>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7.3.2在投标有效期内，中标人确定后，采购代理机构以书面形式向中标人发出中标通知书。</w:t>
      </w:r>
    </w:p>
    <w:p w14:paraId="3E6FD2FB">
      <w:pPr>
        <w:spacing w:line="360" w:lineRule="auto"/>
        <w:ind w:left="-2" w:leftChars="-1"/>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7.3.3中标通知书是合同的组成部分。</w:t>
      </w:r>
    </w:p>
    <w:p w14:paraId="754167DE">
      <w:pPr>
        <w:spacing w:before="12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7.3.4采购代理机构将向其他投标人发出中标通知书，并退还投标保证金。</w:t>
      </w:r>
    </w:p>
    <w:p w14:paraId="3FEBAF76">
      <w:pPr>
        <w:spacing w:line="360" w:lineRule="auto"/>
        <w:outlineLvl w:val="3"/>
        <w:rPr>
          <w:rFonts w:hint="default" w:ascii="Times New Roman" w:hAnsi="Times New Roman" w:eastAsia="宋体" w:cs="Times New Roman"/>
          <w:b/>
          <w:bCs/>
          <w:sz w:val="24"/>
          <w:highlight w:val="none"/>
        </w:rPr>
      </w:pPr>
      <w:r>
        <w:rPr>
          <w:rFonts w:hint="default" w:ascii="Times New Roman" w:hAnsi="Times New Roman" w:eastAsia="宋体" w:cs="Times New Roman"/>
          <w:b/>
          <w:bCs/>
          <w:sz w:val="24"/>
          <w:highlight w:val="none"/>
        </w:rPr>
        <w:t>7.4 签订合同</w:t>
      </w:r>
    </w:p>
    <w:p w14:paraId="3EEB8220">
      <w:pPr>
        <w:spacing w:line="360" w:lineRule="auto"/>
        <w:ind w:left="-2" w:leftChars="-1"/>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7.4.1采购人、中标人应当自中标通知书发出之日起30日内，按照中标人投标文件和招标文件的约定，签订书面合同。</w:t>
      </w:r>
    </w:p>
    <w:p w14:paraId="0723FAF7">
      <w:pPr>
        <w:spacing w:line="360" w:lineRule="auto"/>
        <w:ind w:left="-2" w:leftChars="-1"/>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7.4.2中标人的投标文件、招标文件及其澄清文件等，均为签订合同的依据。</w:t>
      </w:r>
    </w:p>
    <w:p w14:paraId="7F6FF041">
      <w:pPr>
        <w:spacing w:line="360" w:lineRule="auto"/>
        <w:ind w:left="-2" w:leftChars="-1"/>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7.4.3 如果中标人没有按照上述第7.4.1条与采购人签约，采购人将有充分理由取消该中标决定。在此情况下采购人可将标授予下一个最高综合评分的投标人或重新招标。</w:t>
      </w:r>
    </w:p>
    <w:p w14:paraId="253C4599">
      <w:pPr>
        <w:spacing w:line="360" w:lineRule="auto"/>
        <w:ind w:left="-2" w:leftChars="-1"/>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7.4.4 政府采购合同履行中，采购人需追加与合同标的相同的货物、工程或者服务的，在不改变合同其他条款的前提下，可以与中标人协商签订补充合同，但所有补充合同的采购金额不得超过原合同采购金额的百分之十。</w:t>
      </w:r>
    </w:p>
    <w:p w14:paraId="761C9E6D">
      <w:pPr>
        <w:spacing w:line="360" w:lineRule="auto"/>
        <w:outlineLvl w:val="3"/>
        <w:rPr>
          <w:rFonts w:hint="default" w:ascii="Times New Roman" w:hAnsi="Times New Roman" w:eastAsia="宋体" w:cs="Times New Roman"/>
          <w:b/>
          <w:bCs/>
          <w:sz w:val="24"/>
          <w:highlight w:val="none"/>
        </w:rPr>
      </w:pPr>
      <w:r>
        <w:rPr>
          <w:rFonts w:hint="default" w:ascii="Times New Roman" w:hAnsi="Times New Roman" w:eastAsia="宋体" w:cs="Times New Roman"/>
          <w:b/>
          <w:bCs/>
          <w:sz w:val="24"/>
          <w:highlight w:val="none"/>
        </w:rPr>
        <w:t>7.5 履约保证金</w:t>
      </w:r>
    </w:p>
    <w:p w14:paraId="2BD88921">
      <w:pPr>
        <w:pStyle w:val="27"/>
        <w:jc w:val="both"/>
        <w:rPr>
          <w:rFonts w:hint="default" w:ascii="Times New Roman" w:hAnsi="Times New Roman" w:eastAsia="宋体" w:cs="Times New Roman"/>
          <w:sz w:val="24"/>
          <w:szCs w:val="21"/>
          <w:highlight w:val="none"/>
        </w:rPr>
      </w:pPr>
      <w:r>
        <w:rPr>
          <w:rFonts w:hint="default" w:ascii="Times New Roman" w:hAnsi="Times New Roman" w:eastAsia="宋体" w:cs="Times New Roman"/>
          <w:sz w:val="24"/>
          <w:szCs w:val="21"/>
          <w:highlight w:val="none"/>
        </w:rPr>
        <w:t>7.5.1中标人应按第二章“资料表”中的规定的时间、金额、有效期，并按照招标文件中提供的履约保证金保函格式或买方可以接受的其他形式向买方提交履约保证金。</w:t>
      </w:r>
    </w:p>
    <w:p w14:paraId="42E3BAC1">
      <w:pPr>
        <w:pStyle w:val="27"/>
        <w:jc w:val="both"/>
        <w:rPr>
          <w:rFonts w:hint="default" w:ascii="Times New Roman" w:hAnsi="Times New Roman" w:eastAsia="宋体" w:cs="Times New Roman"/>
          <w:sz w:val="24"/>
          <w:szCs w:val="21"/>
          <w:highlight w:val="none"/>
        </w:rPr>
      </w:pPr>
      <w:r>
        <w:rPr>
          <w:rFonts w:hint="default" w:ascii="Times New Roman" w:hAnsi="Times New Roman" w:eastAsia="宋体" w:cs="Times New Roman"/>
          <w:sz w:val="24"/>
          <w:szCs w:val="21"/>
          <w:highlight w:val="none"/>
        </w:rPr>
        <w:t>7.5.2如果中标人没有按照上述第7.4条或7.5.1条的规定执行，采购人和采购代理机构将取消该中标决定，该中标人的投标保证金不予返还，同时将结果报上级主管部门备案。</w:t>
      </w:r>
    </w:p>
    <w:p w14:paraId="0F9EA3C1">
      <w:pPr>
        <w:pStyle w:val="27"/>
        <w:ind w:firstLine="560"/>
        <w:jc w:val="both"/>
        <w:rPr>
          <w:rFonts w:hint="default" w:ascii="Times New Roman" w:hAnsi="Times New Roman" w:eastAsia="宋体" w:cs="Times New Roman"/>
          <w:highlight w:val="none"/>
        </w:rPr>
      </w:pPr>
      <w:r>
        <w:rPr>
          <w:rFonts w:hint="default" w:ascii="Times New Roman" w:hAnsi="Times New Roman" w:eastAsia="宋体" w:cs="Times New Roman"/>
          <w:highlight w:val="none"/>
        </w:rPr>
        <w:br w:type="page"/>
      </w:r>
    </w:p>
    <w:p w14:paraId="69B683A8">
      <w:pPr>
        <w:spacing w:line="360" w:lineRule="auto"/>
        <w:rPr>
          <w:rFonts w:hint="default" w:ascii="Times New Roman" w:hAnsi="Times New Roman" w:eastAsia="宋体" w:cs="Times New Roman"/>
          <w:sz w:val="24"/>
          <w:highlight w:val="none"/>
        </w:rPr>
      </w:pPr>
    </w:p>
    <w:p w14:paraId="3E1F0C62">
      <w:pPr>
        <w:pStyle w:val="27"/>
        <w:ind w:firstLine="562"/>
        <w:jc w:val="both"/>
        <w:outlineLvl w:val="1"/>
        <w:rPr>
          <w:rFonts w:hint="default" w:ascii="Times New Roman" w:hAnsi="Times New Roman" w:eastAsia="宋体" w:cs="Times New Roman"/>
          <w:b/>
          <w:bCs/>
          <w:highlight w:val="none"/>
        </w:rPr>
      </w:pPr>
      <w:r>
        <w:rPr>
          <w:rFonts w:hint="default" w:ascii="Times New Roman" w:hAnsi="Times New Roman" w:eastAsia="宋体" w:cs="Times New Roman"/>
          <w:b/>
          <w:bCs/>
          <w:highlight w:val="none"/>
        </w:rPr>
        <w:t>八、附表：评标标准</w:t>
      </w:r>
    </w:p>
    <w:p w14:paraId="1D9712B4">
      <w:pPr>
        <w:autoSpaceDE w:val="0"/>
        <w:autoSpaceDN w:val="0"/>
        <w:adjustRightInd w:val="0"/>
        <w:spacing w:line="360" w:lineRule="auto"/>
        <w:outlineLvl w:val="2"/>
        <w:rPr>
          <w:rFonts w:hint="default" w:ascii="Times New Roman" w:hAnsi="Times New Roman" w:eastAsia="宋体" w:cs="Times New Roman"/>
          <w:b/>
          <w:bCs/>
          <w:kern w:val="0"/>
          <w:sz w:val="28"/>
          <w:szCs w:val="28"/>
          <w:highlight w:val="none"/>
        </w:rPr>
      </w:pPr>
      <w:r>
        <w:rPr>
          <w:rFonts w:hint="default" w:ascii="Times New Roman" w:hAnsi="Times New Roman" w:eastAsia="宋体" w:cs="Times New Roman"/>
          <w:b/>
          <w:bCs/>
          <w:kern w:val="0"/>
          <w:sz w:val="28"/>
          <w:szCs w:val="28"/>
          <w:highlight w:val="none"/>
        </w:rPr>
        <w:t>一、投标文件的初审：</w:t>
      </w:r>
    </w:p>
    <w:p w14:paraId="6DDEFEE6">
      <w:pPr>
        <w:spacing w:line="360" w:lineRule="auto"/>
        <w:ind w:firstLine="480" w:firstLineChars="200"/>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sz w:val="24"/>
          <w:highlight w:val="none"/>
        </w:rPr>
        <w:t>本次评标采用综合评价打分法，即在</w:t>
      </w:r>
      <w:r>
        <w:rPr>
          <w:rFonts w:hint="default" w:ascii="Times New Roman" w:hAnsi="Times New Roman" w:eastAsia="宋体" w:cs="Times New Roman"/>
          <w:color w:val="000000"/>
          <w:kern w:val="0"/>
          <w:sz w:val="24"/>
          <w:highlight w:val="none"/>
        </w:rPr>
        <w:t>投标文件满足招标文件全部实质性要求</w:t>
      </w:r>
      <w:r>
        <w:rPr>
          <w:rFonts w:hint="default" w:ascii="Times New Roman" w:hAnsi="Times New Roman" w:eastAsia="宋体" w:cs="Times New Roman"/>
          <w:sz w:val="24"/>
          <w:highlight w:val="none"/>
        </w:rPr>
        <w:t>前提下，根据招标文件中规定的各项因素及权重（分值），评标委员会每位成员分别对每个通过初审的投标人进行综合评审后，</w:t>
      </w:r>
      <w:r>
        <w:rPr>
          <w:rFonts w:hint="default" w:ascii="Times New Roman" w:hAnsi="Times New Roman" w:eastAsia="宋体" w:cs="Times New Roman"/>
          <w:color w:val="000000"/>
          <w:kern w:val="0"/>
          <w:sz w:val="24"/>
          <w:highlight w:val="none"/>
        </w:rPr>
        <w:t>评审得分最高的投标人为中标候选人的评标方法。</w:t>
      </w:r>
    </w:p>
    <w:p w14:paraId="7C479691">
      <w:pPr>
        <w:spacing w:line="360" w:lineRule="auto"/>
        <w:ind w:firstLine="482" w:firstLineChars="200"/>
        <w:outlineLvl w:val="3"/>
        <w:rPr>
          <w:rFonts w:hint="default" w:ascii="Times New Roman" w:hAnsi="Times New Roman" w:eastAsia="宋体" w:cs="Times New Roman"/>
          <w:b/>
          <w:color w:val="000000"/>
          <w:sz w:val="24"/>
          <w:highlight w:val="none"/>
        </w:rPr>
      </w:pPr>
      <w:r>
        <w:rPr>
          <w:rFonts w:hint="default" w:ascii="Times New Roman" w:hAnsi="Times New Roman" w:eastAsia="宋体" w:cs="Times New Roman"/>
          <w:b/>
          <w:color w:val="000000"/>
          <w:sz w:val="24"/>
          <w:highlight w:val="none"/>
        </w:rPr>
        <w:t>1、资格检查</w:t>
      </w:r>
    </w:p>
    <w:tbl>
      <w:tblPr>
        <w:tblStyle w:val="28"/>
        <w:tblW w:w="97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1"/>
        <w:gridCol w:w="2296"/>
        <w:gridCol w:w="6482"/>
      </w:tblGrid>
      <w:tr w14:paraId="0F7E2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trPr>
        <w:tc>
          <w:tcPr>
            <w:tcW w:w="1001" w:type="dxa"/>
            <w:shd w:val="clear" w:color="auto" w:fill="FFFFFF"/>
            <w:vAlign w:val="center"/>
          </w:tcPr>
          <w:p w14:paraId="6E4F4E81">
            <w:pPr>
              <w:spacing w:line="360" w:lineRule="auto"/>
              <w:rPr>
                <w:rFonts w:hint="default" w:ascii="Times New Roman" w:hAnsi="Times New Roman" w:eastAsia="宋体" w:cs="Times New Roman"/>
                <w:b/>
                <w:bCs/>
                <w:sz w:val="24"/>
                <w:highlight w:val="none"/>
              </w:rPr>
            </w:pPr>
            <w:r>
              <w:rPr>
                <w:rFonts w:hint="default" w:ascii="Times New Roman" w:hAnsi="Times New Roman" w:eastAsia="宋体" w:cs="Times New Roman"/>
                <w:b/>
                <w:bCs/>
                <w:sz w:val="24"/>
                <w:highlight w:val="none"/>
              </w:rPr>
              <w:t>序号</w:t>
            </w:r>
          </w:p>
        </w:tc>
        <w:tc>
          <w:tcPr>
            <w:tcW w:w="8778" w:type="dxa"/>
            <w:gridSpan w:val="2"/>
            <w:shd w:val="clear" w:color="auto" w:fill="FFFFFF"/>
            <w:vAlign w:val="center"/>
          </w:tcPr>
          <w:p w14:paraId="2DDA27BA">
            <w:pPr>
              <w:spacing w:line="360" w:lineRule="auto"/>
              <w:ind w:right="-124" w:rightChars="-59"/>
              <w:rPr>
                <w:rFonts w:hint="default" w:ascii="Times New Roman" w:hAnsi="Times New Roman" w:eastAsia="宋体" w:cs="Times New Roman"/>
                <w:b/>
                <w:bCs/>
                <w:sz w:val="24"/>
                <w:highlight w:val="none"/>
              </w:rPr>
            </w:pPr>
            <w:r>
              <w:rPr>
                <w:rFonts w:hint="default" w:ascii="Times New Roman" w:hAnsi="Times New Roman" w:eastAsia="宋体" w:cs="Times New Roman"/>
                <w:b/>
                <w:bCs/>
                <w:sz w:val="24"/>
                <w:highlight w:val="none"/>
              </w:rPr>
              <w:t>评审内容</w:t>
            </w:r>
          </w:p>
        </w:tc>
      </w:tr>
      <w:tr w14:paraId="208A0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001" w:type="dxa"/>
            <w:vMerge w:val="restart"/>
            <w:vAlign w:val="center"/>
          </w:tcPr>
          <w:p w14:paraId="267372E0">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1</w:t>
            </w:r>
          </w:p>
        </w:tc>
        <w:tc>
          <w:tcPr>
            <w:tcW w:w="2296" w:type="dxa"/>
            <w:vMerge w:val="restart"/>
            <w:vAlign w:val="center"/>
          </w:tcPr>
          <w:p w14:paraId="16870715">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kern w:val="28"/>
                <w:sz w:val="24"/>
                <w:highlight w:val="none"/>
              </w:rPr>
              <w:t>具备《政府采购法》第二十二条投标人资格条件</w:t>
            </w:r>
          </w:p>
        </w:tc>
        <w:tc>
          <w:tcPr>
            <w:tcW w:w="6482" w:type="dxa"/>
            <w:vAlign w:val="center"/>
          </w:tcPr>
          <w:p w14:paraId="06913CF6">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具有独立承担民事责任的能力；</w:t>
            </w:r>
          </w:p>
        </w:tc>
      </w:tr>
      <w:tr w14:paraId="32F18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001" w:type="dxa"/>
            <w:vMerge w:val="continue"/>
            <w:vAlign w:val="center"/>
          </w:tcPr>
          <w:p w14:paraId="372D5708">
            <w:pPr>
              <w:spacing w:line="360" w:lineRule="auto"/>
              <w:rPr>
                <w:rFonts w:hint="default" w:ascii="Times New Roman" w:hAnsi="Times New Roman" w:eastAsia="宋体" w:cs="Times New Roman"/>
                <w:kern w:val="28"/>
                <w:sz w:val="24"/>
                <w:highlight w:val="none"/>
              </w:rPr>
            </w:pPr>
          </w:p>
        </w:tc>
        <w:tc>
          <w:tcPr>
            <w:tcW w:w="2296" w:type="dxa"/>
            <w:vMerge w:val="continue"/>
            <w:vAlign w:val="center"/>
          </w:tcPr>
          <w:p w14:paraId="51E6D267">
            <w:pPr>
              <w:spacing w:line="360" w:lineRule="auto"/>
              <w:rPr>
                <w:rFonts w:hint="default" w:ascii="Times New Roman" w:hAnsi="Times New Roman" w:eastAsia="宋体" w:cs="Times New Roman"/>
                <w:kern w:val="28"/>
                <w:sz w:val="24"/>
                <w:highlight w:val="none"/>
              </w:rPr>
            </w:pPr>
          </w:p>
        </w:tc>
        <w:tc>
          <w:tcPr>
            <w:tcW w:w="6482" w:type="dxa"/>
            <w:vAlign w:val="center"/>
          </w:tcPr>
          <w:p w14:paraId="411D6BCA">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 xml:space="preserve">具有良好的商业信誉和健全的财务会计制度； </w:t>
            </w:r>
          </w:p>
        </w:tc>
      </w:tr>
      <w:tr w14:paraId="03EBD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001" w:type="dxa"/>
            <w:vMerge w:val="continue"/>
            <w:vAlign w:val="center"/>
          </w:tcPr>
          <w:p w14:paraId="4883365F">
            <w:pPr>
              <w:spacing w:line="360" w:lineRule="auto"/>
              <w:rPr>
                <w:rFonts w:hint="default" w:ascii="Times New Roman" w:hAnsi="Times New Roman" w:eastAsia="宋体" w:cs="Times New Roman"/>
                <w:kern w:val="28"/>
                <w:sz w:val="24"/>
                <w:highlight w:val="none"/>
              </w:rPr>
            </w:pPr>
          </w:p>
        </w:tc>
        <w:tc>
          <w:tcPr>
            <w:tcW w:w="2296" w:type="dxa"/>
            <w:vMerge w:val="continue"/>
            <w:vAlign w:val="center"/>
          </w:tcPr>
          <w:p w14:paraId="06775EF3">
            <w:pPr>
              <w:spacing w:line="360" w:lineRule="auto"/>
              <w:rPr>
                <w:rFonts w:hint="default" w:ascii="Times New Roman" w:hAnsi="Times New Roman" w:eastAsia="宋体" w:cs="Times New Roman"/>
                <w:kern w:val="28"/>
                <w:sz w:val="24"/>
                <w:highlight w:val="none"/>
              </w:rPr>
            </w:pPr>
          </w:p>
        </w:tc>
        <w:tc>
          <w:tcPr>
            <w:tcW w:w="6482" w:type="dxa"/>
            <w:vAlign w:val="center"/>
          </w:tcPr>
          <w:p w14:paraId="03D9AC77">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 xml:space="preserve">具有履行合同所必需的设备和专业技术能力； </w:t>
            </w:r>
          </w:p>
        </w:tc>
      </w:tr>
      <w:tr w14:paraId="7D8B9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001" w:type="dxa"/>
            <w:vMerge w:val="continue"/>
            <w:vAlign w:val="center"/>
          </w:tcPr>
          <w:p w14:paraId="172996F2">
            <w:pPr>
              <w:spacing w:line="360" w:lineRule="auto"/>
              <w:rPr>
                <w:rFonts w:hint="default" w:ascii="Times New Roman" w:hAnsi="Times New Roman" w:eastAsia="宋体" w:cs="Times New Roman"/>
                <w:kern w:val="28"/>
                <w:sz w:val="24"/>
                <w:highlight w:val="none"/>
              </w:rPr>
            </w:pPr>
          </w:p>
        </w:tc>
        <w:tc>
          <w:tcPr>
            <w:tcW w:w="2296" w:type="dxa"/>
            <w:vMerge w:val="continue"/>
            <w:vAlign w:val="center"/>
          </w:tcPr>
          <w:p w14:paraId="5D3F1B39">
            <w:pPr>
              <w:spacing w:line="360" w:lineRule="auto"/>
              <w:rPr>
                <w:rFonts w:hint="default" w:ascii="Times New Roman" w:hAnsi="Times New Roman" w:eastAsia="宋体" w:cs="Times New Roman"/>
                <w:kern w:val="28"/>
                <w:sz w:val="24"/>
                <w:highlight w:val="none"/>
              </w:rPr>
            </w:pPr>
          </w:p>
        </w:tc>
        <w:tc>
          <w:tcPr>
            <w:tcW w:w="6482" w:type="dxa"/>
            <w:vAlign w:val="center"/>
          </w:tcPr>
          <w:p w14:paraId="53BA7285">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 xml:space="preserve">有依法缴纳税收和社会保障资金的良好记录； </w:t>
            </w:r>
          </w:p>
        </w:tc>
      </w:tr>
      <w:tr w14:paraId="58474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001" w:type="dxa"/>
            <w:vMerge w:val="continue"/>
            <w:vAlign w:val="center"/>
          </w:tcPr>
          <w:p w14:paraId="7136E3D6">
            <w:pPr>
              <w:spacing w:line="360" w:lineRule="auto"/>
              <w:rPr>
                <w:rFonts w:hint="default" w:ascii="Times New Roman" w:hAnsi="Times New Roman" w:eastAsia="宋体" w:cs="Times New Roman"/>
                <w:kern w:val="28"/>
                <w:sz w:val="24"/>
                <w:highlight w:val="none"/>
              </w:rPr>
            </w:pPr>
          </w:p>
        </w:tc>
        <w:tc>
          <w:tcPr>
            <w:tcW w:w="2296" w:type="dxa"/>
            <w:vMerge w:val="continue"/>
            <w:vAlign w:val="center"/>
          </w:tcPr>
          <w:p w14:paraId="0C40A299">
            <w:pPr>
              <w:spacing w:line="360" w:lineRule="auto"/>
              <w:rPr>
                <w:rFonts w:hint="default" w:ascii="Times New Roman" w:hAnsi="Times New Roman" w:eastAsia="宋体" w:cs="Times New Roman"/>
                <w:kern w:val="28"/>
                <w:sz w:val="24"/>
                <w:highlight w:val="none"/>
              </w:rPr>
            </w:pPr>
          </w:p>
        </w:tc>
        <w:tc>
          <w:tcPr>
            <w:tcW w:w="6482" w:type="dxa"/>
            <w:vAlign w:val="center"/>
          </w:tcPr>
          <w:p w14:paraId="74272076">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 xml:space="preserve">参加招标投标活动前三年内，在经营活动中没有重大违法记录； </w:t>
            </w:r>
          </w:p>
        </w:tc>
      </w:tr>
      <w:tr w14:paraId="3DB0C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001" w:type="dxa"/>
            <w:vMerge w:val="continue"/>
            <w:vAlign w:val="center"/>
          </w:tcPr>
          <w:p w14:paraId="79AC9CD7">
            <w:pPr>
              <w:spacing w:line="360" w:lineRule="auto"/>
              <w:rPr>
                <w:rFonts w:hint="default" w:ascii="Times New Roman" w:hAnsi="Times New Roman" w:eastAsia="宋体" w:cs="Times New Roman"/>
                <w:kern w:val="28"/>
                <w:sz w:val="24"/>
                <w:highlight w:val="none"/>
              </w:rPr>
            </w:pPr>
          </w:p>
        </w:tc>
        <w:tc>
          <w:tcPr>
            <w:tcW w:w="2296" w:type="dxa"/>
            <w:vMerge w:val="continue"/>
            <w:vAlign w:val="center"/>
          </w:tcPr>
          <w:p w14:paraId="5B67874E">
            <w:pPr>
              <w:spacing w:line="360" w:lineRule="auto"/>
              <w:rPr>
                <w:rFonts w:hint="default" w:ascii="Times New Roman" w:hAnsi="Times New Roman" w:eastAsia="宋体" w:cs="Times New Roman"/>
                <w:kern w:val="28"/>
                <w:sz w:val="24"/>
                <w:highlight w:val="none"/>
              </w:rPr>
            </w:pPr>
          </w:p>
        </w:tc>
        <w:tc>
          <w:tcPr>
            <w:tcW w:w="6482" w:type="dxa"/>
            <w:vAlign w:val="center"/>
          </w:tcPr>
          <w:p w14:paraId="44432D65">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法律、行政法规规定的其他条件</w:t>
            </w:r>
          </w:p>
        </w:tc>
      </w:tr>
      <w:tr w14:paraId="285BF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01" w:type="dxa"/>
            <w:vAlign w:val="center"/>
          </w:tcPr>
          <w:p w14:paraId="2B48CDDB">
            <w:pPr>
              <w:spacing w:line="360" w:lineRule="auto"/>
              <w:rPr>
                <w:rFonts w:hint="default" w:ascii="Times New Roman" w:hAnsi="Times New Roman" w:eastAsia="宋体" w:cs="Times New Roman"/>
                <w:kern w:val="28"/>
                <w:sz w:val="24"/>
                <w:highlight w:val="none"/>
              </w:rPr>
            </w:pPr>
            <w:r>
              <w:rPr>
                <w:rFonts w:hint="default" w:ascii="Times New Roman" w:hAnsi="Times New Roman" w:eastAsia="宋体" w:cs="Times New Roman"/>
                <w:kern w:val="28"/>
                <w:sz w:val="24"/>
                <w:highlight w:val="none"/>
              </w:rPr>
              <w:t>2</w:t>
            </w:r>
          </w:p>
        </w:tc>
        <w:tc>
          <w:tcPr>
            <w:tcW w:w="8778" w:type="dxa"/>
            <w:gridSpan w:val="2"/>
            <w:vAlign w:val="center"/>
          </w:tcPr>
          <w:p w14:paraId="575284E7">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kern w:val="0"/>
                <w:sz w:val="24"/>
                <w:highlight w:val="none"/>
              </w:rPr>
              <w:t>在中华人民共和国境内依法注册的，具有独立承担民事责任能力，遵守国家法律法规，具有良好信誉，具有履行合同能力和良好的履行合同的记录，具有良好资金、财务状况的企事业法人、其他组织或者自然人（投标人为企业（包括合伙企业）的，应提供有效的“营业执照”；投标人为事业单位的，应提供有效的“事业单位法人证书”；投标人是非企业机构的，应提供有效的“执业许可证”、“登记证书”等证明文件；投标人是个体工商户的，应提供有效的“个体工商户营业执照”；投标人是自然人的，应提供有效的自然人身份证明。</w:t>
            </w:r>
            <w:r>
              <w:rPr>
                <w:rFonts w:hint="default" w:ascii="Times New Roman" w:hAnsi="Times New Roman" w:eastAsia="宋体" w:cs="Times New Roman"/>
                <w:kern w:val="0"/>
                <w:sz w:val="24"/>
                <w:szCs w:val="24"/>
                <w:highlight w:val="none"/>
              </w:rPr>
              <w:t>分公司投标的，需提供具有法人资格的总公司的营业执照副本复印件及授权书。</w:t>
            </w:r>
            <w:r>
              <w:rPr>
                <w:rFonts w:hint="default" w:ascii="Times New Roman" w:hAnsi="Times New Roman" w:eastAsia="宋体" w:cs="Times New Roman"/>
                <w:kern w:val="0"/>
                <w:sz w:val="24"/>
                <w:highlight w:val="none"/>
              </w:rPr>
              <w:t>）</w:t>
            </w:r>
          </w:p>
        </w:tc>
      </w:tr>
      <w:tr w14:paraId="226BD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1001" w:type="dxa"/>
            <w:vAlign w:val="center"/>
          </w:tcPr>
          <w:p w14:paraId="7E79C3EB">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3</w:t>
            </w:r>
          </w:p>
        </w:tc>
        <w:tc>
          <w:tcPr>
            <w:tcW w:w="8778" w:type="dxa"/>
            <w:gridSpan w:val="2"/>
            <w:vAlign w:val="center"/>
          </w:tcPr>
          <w:p w14:paraId="29190D8A">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投标人资格声明函（统一格式，加盖公章）</w:t>
            </w:r>
          </w:p>
        </w:tc>
      </w:tr>
      <w:tr w14:paraId="478B0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1001" w:type="dxa"/>
            <w:vAlign w:val="center"/>
          </w:tcPr>
          <w:p w14:paraId="471315D7">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4</w:t>
            </w:r>
          </w:p>
        </w:tc>
        <w:tc>
          <w:tcPr>
            <w:tcW w:w="8778" w:type="dxa"/>
            <w:gridSpan w:val="2"/>
            <w:vAlign w:val="center"/>
          </w:tcPr>
          <w:p w14:paraId="519AA004">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按本投标邀请的规定获取招标文件</w:t>
            </w:r>
          </w:p>
        </w:tc>
      </w:tr>
      <w:tr w14:paraId="713B0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1001" w:type="dxa"/>
            <w:vAlign w:val="center"/>
          </w:tcPr>
          <w:p w14:paraId="634F28FC">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5</w:t>
            </w:r>
          </w:p>
        </w:tc>
        <w:tc>
          <w:tcPr>
            <w:tcW w:w="8778" w:type="dxa"/>
            <w:gridSpan w:val="2"/>
            <w:vAlign w:val="center"/>
          </w:tcPr>
          <w:p w14:paraId="7B210B64">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本项目不接受联合体投标</w:t>
            </w:r>
          </w:p>
        </w:tc>
      </w:tr>
      <w:tr w14:paraId="3A07E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3" w:hRule="atLeast"/>
        </w:trPr>
        <w:tc>
          <w:tcPr>
            <w:tcW w:w="1001" w:type="dxa"/>
            <w:vAlign w:val="center"/>
          </w:tcPr>
          <w:p w14:paraId="67C2D653">
            <w:pPr>
              <w:spacing w:line="360" w:lineRule="auto"/>
              <w:rPr>
                <w:rFonts w:hint="default" w:ascii="Times New Roman" w:hAnsi="Times New Roman" w:eastAsia="宋体" w:cs="Times New Roman"/>
                <w:kern w:val="28"/>
                <w:sz w:val="24"/>
                <w:highlight w:val="none"/>
              </w:rPr>
            </w:pPr>
            <w:r>
              <w:rPr>
                <w:rFonts w:hint="default" w:ascii="Times New Roman" w:hAnsi="Times New Roman" w:eastAsia="宋体" w:cs="Times New Roman"/>
                <w:kern w:val="28"/>
                <w:sz w:val="24"/>
                <w:highlight w:val="none"/>
              </w:rPr>
              <w:t>6</w:t>
            </w:r>
          </w:p>
        </w:tc>
        <w:tc>
          <w:tcPr>
            <w:tcW w:w="8778" w:type="dxa"/>
            <w:gridSpan w:val="2"/>
            <w:vAlign w:val="center"/>
          </w:tcPr>
          <w:p w14:paraId="05A09614">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投标人未被列入“信用中国”网站(www.creditchina.gov.cn)“记录失信被执行人或重大税收违法</w:t>
            </w:r>
            <w:r>
              <w:rPr>
                <w:rFonts w:hint="default" w:ascii="Times New Roman" w:hAnsi="Times New Roman" w:eastAsia="宋体" w:cs="Times New Roman"/>
                <w:sz w:val="24"/>
                <w:highlight w:val="none"/>
                <w:lang w:eastAsia="zh-CN"/>
              </w:rPr>
              <w:t>失信主体</w:t>
            </w:r>
            <w:r>
              <w:rPr>
                <w:rFonts w:hint="default" w:ascii="Times New Roman" w:hAnsi="Times New Roman" w:eastAsia="宋体" w:cs="Times New Roman"/>
                <w:sz w:val="24"/>
                <w:highlight w:val="none"/>
              </w:rPr>
              <w:t>名单或政府采购严重违法失信行为”记录名单；不处于中国政府采购网(www.ccgp.gov.cn)“政府采购严重违法失信行为信息记录”中的禁止参加政府采购活动期间；（以采购代理机构于投标截止日当天在“信用中国”网站（www.creditchina.gov.cn）、中国政府采购网（http://www.ccgp.gov.cn）查询结果为准，如相关失信记录已失效，投标人需提供相关证明资料）。</w:t>
            </w:r>
          </w:p>
        </w:tc>
      </w:tr>
      <w:tr w14:paraId="17905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1001" w:type="dxa"/>
            <w:vAlign w:val="center"/>
          </w:tcPr>
          <w:p w14:paraId="5C2EF82B">
            <w:pPr>
              <w:spacing w:line="360" w:lineRule="auto"/>
              <w:rPr>
                <w:rFonts w:hint="default" w:ascii="Times New Roman" w:hAnsi="Times New Roman" w:eastAsia="宋体" w:cs="Times New Roman"/>
                <w:kern w:val="28"/>
                <w:sz w:val="24"/>
                <w:highlight w:val="none"/>
              </w:rPr>
            </w:pPr>
            <w:r>
              <w:rPr>
                <w:rFonts w:hint="default" w:ascii="Times New Roman" w:hAnsi="Times New Roman" w:eastAsia="宋体" w:cs="Times New Roman"/>
                <w:kern w:val="28"/>
                <w:sz w:val="24"/>
                <w:highlight w:val="none"/>
              </w:rPr>
              <w:t>7</w:t>
            </w:r>
          </w:p>
        </w:tc>
        <w:tc>
          <w:tcPr>
            <w:tcW w:w="8778" w:type="dxa"/>
            <w:gridSpan w:val="2"/>
            <w:vAlign w:val="center"/>
          </w:tcPr>
          <w:p w14:paraId="5A129233">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color w:val="000000"/>
                <w:kern w:val="0"/>
                <w:sz w:val="24"/>
                <w:szCs w:val="24"/>
                <w:highlight w:val="none"/>
                <w:lang w:bidi="ar"/>
              </w:rPr>
              <w:t>其他特定资格要求（如有，见投标邀请）</w:t>
            </w:r>
          </w:p>
        </w:tc>
      </w:tr>
      <w:tr w14:paraId="6B968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9779" w:type="dxa"/>
            <w:gridSpan w:val="3"/>
            <w:vAlign w:val="center"/>
          </w:tcPr>
          <w:p w14:paraId="47614A3E">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结论</w:t>
            </w:r>
          </w:p>
        </w:tc>
      </w:tr>
    </w:tbl>
    <w:p w14:paraId="155516F0">
      <w:pPr>
        <w:spacing w:line="360" w:lineRule="auto"/>
        <w:ind w:firstLine="480" w:firstLineChars="200"/>
        <w:rPr>
          <w:rFonts w:hint="default" w:ascii="Times New Roman" w:hAnsi="Times New Roman" w:eastAsia="宋体" w:cs="Times New Roman"/>
          <w:sz w:val="24"/>
          <w:highlight w:val="none"/>
        </w:rPr>
      </w:pPr>
    </w:p>
    <w:p w14:paraId="2C761296">
      <w:pPr>
        <w:spacing w:line="360" w:lineRule="auto"/>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注：结论栏中填写“合格”表示该投标人投标文件符合招标文件的资格要求，“不合格”表示该投标人投标文件不符合招标文件的资格要求。</w:t>
      </w:r>
    </w:p>
    <w:p w14:paraId="5A6026C8">
      <w:pPr>
        <w:spacing w:line="360" w:lineRule="auto"/>
        <w:ind w:firstLine="480" w:firstLineChars="200"/>
        <w:rPr>
          <w:rFonts w:hint="default" w:ascii="Times New Roman" w:hAnsi="Times New Roman" w:eastAsia="宋体" w:cs="Times New Roman"/>
          <w:color w:val="000000"/>
          <w:sz w:val="24"/>
          <w:highlight w:val="none"/>
        </w:rPr>
      </w:pPr>
    </w:p>
    <w:p w14:paraId="2F01F901">
      <w:pPr>
        <w:spacing w:line="360" w:lineRule="auto"/>
        <w:ind w:firstLine="482" w:firstLineChars="200"/>
        <w:outlineLvl w:val="3"/>
        <w:rPr>
          <w:rFonts w:hint="default" w:ascii="Times New Roman" w:hAnsi="Times New Roman" w:eastAsia="宋体" w:cs="Times New Roman"/>
          <w:b/>
          <w:color w:val="000000"/>
          <w:sz w:val="24"/>
          <w:highlight w:val="none"/>
        </w:rPr>
      </w:pPr>
      <w:r>
        <w:rPr>
          <w:rFonts w:hint="default" w:ascii="Times New Roman" w:hAnsi="Times New Roman" w:eastAsia="宋体" w:cs="Times New Roman"/>
          <w:b/>
          <w:color w:val="000000"/>
          <w:sz w:val="24"/>
          <w:highlight w:val="none"/>
        </w:rPr>
        <w:t>2、符合性检查</w:t>
      </w:r>
    </w:p>
    <w:tbl>
      <w:tblPr>
        <w:tblStyle w:val="28"/>
        <w:tblW w:w="9781" w:type="dxa"/>
        <w:tblInd w:w="16" w:type="dxa"/>
        <w:tblLayout w:type="fixed"/>
        <w:tblCellMar>
          <w:top w:w="0" w:type="dxa"/>
          <w:left w:w="0" w:type="dxa"/>
          <w:bottom w:w="0" w:type="dxa"/>
          <w:right w:w="0" w:type="dxa"/>
        </w:tblCellMar>
      </w:tblPr>
      <w:tblGrid>
        <w:gridCol w:w="735"/>
        <w:gridCol w:w="9046"/>
      </w:tblGrid>
      <w:tr w14:paraId="20A773FC">
        <w:tblPrEx>
          <w:tblCellMar>
            <w:top w:w="0" w:type="dxa"/>
            <w:left w:w="0" w:type="dxa"/>
            <w:bottom w:w="0" w:type="dxa"/>
            <w:right w:w="0" w:type="dxa"/>
          </w:tblCellMar>
        </w:tblPrEx>
        <w:trPr>
          <w:cantSplit/>
          <w:trHeight w:val="468" w:hRule="atLeast"/>
        </w:trPr>
        <w:tc>
          <w:tcPr>
            <w:tcW w:w="735" w:type="dxa"/>
            <w:vMerge w:val="restart"/>
            <w:tcBorders>
              <w:top w:val="single" w:color="auto" w:sz="4" w:space="0"/>
              <w:left w:val="single" w:color="auto" w:sz="4" w:space="0"/>
              <w:bottom w:val="single" w:color="000000" w:sz="4" w:space="0"/>
              <w:right w:val="single" w:color="auto" w:sz="4" w:space="0"/>
            </w:tcBorders>
            <w:tcMar>
              <w:top w:w="16" w:type="dxa"/>
              <w:left w:w="16" w:type="dxa"/>
              <w:bottom w:w="0" w:type="dxa"/>
              <w:right w:w="16" w:type="dxa"/>
            </w:tcMar>
            <w:vAlign w:val="center"/>
          </w:tcPr>
          <w:p w14:paraId="41E8C3B6">
            <w:pPr>
              <w:spacing w:line="360" w:lineRule="auto"/>
              <w:ind w:right="-120" w:rightChars="-57"/>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序号</w:t>
            </w:r>
          </w:p>
        </w:tc>
        <w:tc>
          <w:tcPr>
            <w:tcW w:w="9046" w:type="dxa"/>
            <w:vMerge w:val="restart"/>
            <w:tcBorders>
              <w:top w:val="single" w:color="auto" w:sz="4" w:space="0"/>
              <w:left w:val="single" w:color="auto" w:sz="4" w:space="0"/>
              <w:bottom w:val="single" w:color="000000" w:sz="4" w:space="0"/>
              <w:right w:val="single" w:color="000000" w:sz="4" w:space="0"/>
            </w:tcBorders>
            <w:vAlign w:val="center"/>
          </w:tcPr>
          <w:p w14:paraId="5907EF95">
            <w:pPr>
              <w:spacing w:line="360" w:lineRule="auto"/>
              <w:ind w:right="-120" w:rightChars="-57"/>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评审内容</w:t>
            </w:r>
          </w:p>
        </w:tc>
      </w:tr>
      <w:tr w14:paraId="3FC7D2A0">
        <w:tblPrEx>
          <w:tblCellMar>
            <w:top w:w="0" w:type="dxa"/>
            <w:left w:w="0" w:type="dxa"/>
            <w:bottom w:w="0" w:type="dxa"/>
            <w:right w:w="0" w:type="dxa"/>
          </w:tblCellMar>
        </w:tblPrEx>
        <w:trPr>
          <w:cantSplit/>
          <w:trHeight w:val="468" w:hRule="atLeast"/>
        </w:trPr>
        <w:tc>
          <w:tcPr>
            <w:tcW w:w="735" w:type="dxa"/>
            <w:vMerge w:val="continue"/>
            <w:tcBorders>
              <w:top w:val="single" w:color="auto" w:sz="4" w:space="0"/>
              <w:left w:val="single" w:color="auto" w:sz="4" w:space="0"/>
              <w:bottom w:val="single" w:color="000000" w:sz="4" w:space="0"/>
              <w:right w:val="single" w:color="auto" w:sz="4" w:space="0"/>
            </w:tcBorders>
            <w:vAlign w:val="center"/>
          </w:tcPr>
          <w:p w14:paraId="790090A3">
            <w:pPr>
              <w:spacing w:line="360" w:lineRule="auto"/>
              <w:rPr>
                <w:rFonts w:hint="default" w:ascii="Times New Roman" w:hAnsi="Times New Roman" w:eastAsia="宋体" w:cs="Times New Roman"/>
                <w:sz w:val="24"/>
                <w:highlight w:val="none"/>
              </w:rPr>
            </w:pPr>
          </w:p>
        </w:tc>
        <w:tc>
          <w:tcPr>
            <w:tcW w:w="9046" w:type="dxa"/>
            <w:vMerge w:val="continue"/>
            <w:tcBorders>
              <w:top w:val="single" w:color="auto" w:sz="4" w:space="0"/>
              <w:left w:val="single" w:color="auto" w:sz="4" w:space="0"/>
              <w:bottom w:val="single" w:color="000000" w:sz="4" w:space="0"/>
              <w:right w:val="single" w:color="000000" w:sz="4" w:space="0"/>
            </w:tcBorders>
            <w:vAlign w:val="center"/>
          </w:tcPr>
          <w:p w14:paraId="679D0307">
            <w:pPr>
              <w:spacing w:line="360" w:lineRule="auto"/>
              <w:rPr>
                <w:rFonts w:hint="default" w:ascii="Times New Roman" w:hAnsi="Times New Roman" w:eastAsia="宋体" w:cs="Times New Roman"/>
                <w:sz w:val="24"/>
                <w:highlight w:val="none"/>
              </w:rPr>
            </w:pPr>
          </w:p>
        </w:tc>
      </w:tr>
      <w:tr w14:paraId="4588D7ED">
        <w:tblPrEx>
          <w:tblCellMar>
            <w:top w:w="0" w:type="dxa"/>
            <w:left w:w="0" w:type="dxa"/>
            <w:bottom w:w="0" w:type="dxa"/>
            <w:right w:w="0" w:type="dxa"/>
          </w:tblCellMar>
        </w:tblPrEx>
        <w:trPr>
          <w:trHeight w:val="454" w:hRule="atLeast"/>
        </w:trPr>
        <w:tc>
          <w:tcPr>
            <w:tcW w:w="735" w:type="dxa"/>
            <w:tcBorders>
              <w:top w:val="nil"/>
              <w:left w:val="single" w:color="auto" w:sz="4" w:space="0"/>
              <w:bottom w:val="single" w:color="auto" w:sz="4" w:space="0"/>
              <w:right w:val="single" w:color="auto" w:sz="4" w:space="0"/>
            </w:tcBorders>
            <w:tcMar>
              <w:top w:w="16" w:type="dxa"/>
              <w:left w:w="16" w:type="dxa"/>
              <w:bottom w:w="0" w:type="dxa"/>
              <w:right w:w="16" w:type="dxa"/>
            </w:tcMar>
            <w:vAlign w:val="center"/>
          </w:tcPr>
          <w:p w14:paraId="47C18BB0">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1</w:t>
            </w:r>
          </w:p>
        </w:tc>
        <w:tc>
          <w:tcPr>
            <w:tcW w:w="9046" w:type="dxa"/>
            <w:tcBorders>
              <w:top w:val="nil"/>
              <w:left w:val="single" w:color="auto" w:sz="4" w:space="0"/>
              <w:bottom w:val="single" w:color="auto" w:sz="4" w:space="0"/>
              <w:right w:val="single" w:color="auto" w:sz="4" w:space="0"/>
            </w:tcBorders>
            <w:vAlign w:val="center"/>
          </w:tcPr>
          <w:p w14:paraId="552EEA2F">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color w:val="000000"/>
                <w:kern w:val="0"/>
                <w:sz w:val="24"/>
                <w:highlight w:val="none"/>
              </w:rPr>
              <w:t>是否由法人代表或授权代表有效签署</w:t>
            </w:r>
          </w:p>
        </w:tc>
      </w:tr>
      <w:tr w14:paraId="067BB11C">
        <w:tblPrEx>
          <w:tblCellMar>
            <w:top w:w="0" w:type="dxa"/>
            <w:left w:w="0" w:type="dxa"/>
            <w:bottom w:w="0" w:type="dxa"/>
            <w:right w:w="0" w:type="dxa"/>
          </w:tblCellMar>
        </w:tblPrEx>
        <w:trPr>
          <w:trHeight w:val="454" w:hRule="atLeast"/>
        </w:trPr>
        <w:tc>
          <w:tcPr>
            <w:tcW w:w="735" w:type="dxa"/>
            <w:tcBorders>
              <w:top w:val="nil"/>
              <w:left w:val="single" w:color="auto" w:sz="4" w:space="0"/>
              <w:bottom w:val="single" w:color="auto" w:sz="4" w:space="0"/>
              <w:right w:val="single" w:color="auto" w:sz="4" w:space="0"/>
            </w:tcBorders>
            <w:tcMar>
              <w:top w:w="16" w:type="dxa"/>
              <w:left w:w="16" w:type="dxa"/>
              <w:bottom w:w="0" w:type="dxa"/>
              <w:right w:w="16" w:type="dxa"/>
            </w:tcMar>
            <w:vAlign w:val="center"/>
          </w:tcPr>
          <w:p w14:paraId="3BAA27DC">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2</w:t>
            </w:r>
          </w:p>
        </w:tc>
        <w:tc>
          <w:tcPr>
            <w:tcW w:w="9046" w:type="dxa"/>
            <w:tcBorders>
              <w:top w:val="nil"/>
              <w:left w:val="single" w:color="auto" w:sz="4" w:space="0"/>
              <w:bottom w:val="single" w:color="auto" w:sz="4" w:space="0"/>
              <w:right w:val="single" w:color="auto" w:sz="4" w:space="0"/>
            </w:tcBorders>
            <w:vAlign w:val="center"/>
          </w:tcPr>
          <w:p w14:paraId="29A5A8F7">
            <w:pPr>
              <w:spacing w:line="360" w:lineRule="auto"/>
              <w:rPr>
                <w:rFonts w:hint="default" w:ascii="Times New Roman" w:hAnsi="Times New Roman" w:eastAsia="宋体" w:cs="Times New Roman"/>
                <w:color w:val="000000"/>
                <w:kern w:val="0"/>
                <w:sz w:val="24"/>
                <w:highlight w:val="none"/>
              </w:rPr>
            </w:pPr>
            <w:r>
              <w:rPr>
                <w:rFonts w:hint="default" w:ascii="Times New Roman" w:hAnsi="Times New Roman" w:eastAsia="宋体" w:cs="Times New Roman"/>
                <w:color w:val="000000"/>
                <w:kern w:val="0"/>
                <w:sz w:val="24"/>
                <w:highlight w:val="none"/>
              </w:rPr>
              <w:t>是否按招标文件规定提供法人代表授权书（如适用）</w:t>
            </w:r>
          </w:p>
        </w:tc>
      </w:tr>
      <w:tr w14:paraId="119E68FF">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000000" w:sz="4" w:space="0"/>
              <w:right w:val="single" w:color="auto" w:sz="4" w:space="0"/>
            </w:tcBorders>
            <w:vAlign w:val="center"/>
          </w:tcPr>
          <w:p w14:paraId="7A0974A1">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3</w:t>
            </w:r>
          </w:p>
        </w:tc>
        <w:tc>
          <w:tcPr>
            <w:tcW w:w="9046" w:type="dxa"/>
            <w:tcBorders>
              <w:top w:val="single" w:color="auto" w:sz="4" w:space="0"/>
              <w:left w:val="single" w:color="auto" w:sz="4" w:space="0"/>
              <w:bottom w:val="single" w:color="000000" w:sz="4" w:space="0"/>
              <w:right w:val="single" w:color="000000" w:sz="4" w:space="0"/>
            </w:tcBorders>
            <w:vAlign w:val="center"/>
          </w:tcPr>
          <w:p w14:paraId="778DDC81">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color w:val="000000"/>
                <w:sz w:val="24"/>
                <w:highlight w:val="none"/>
              </w:rPr>
              <w:t>是否按招标文件规定要求密封、签署、盖章</w:t>
            </w:r>
          </w:p>
        </w:tc>
      </w:tr>
      <w:tr w14:paraId="2497B15D">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65FE384F">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4</w:t>
            </w:r>
          </w:p>
        </w:tc>
        <w:tc>
          <w:tcPr>
            <w:tcW w:w="9046" w:type="dxa"/>
            <w:tcBorders>
              <w:top w:val="single" w:color="auto" w:sz="4" w:space="0"/>
              <w:left w:val="single" w:color="auto" w:sz="4" w:space="0"/>
              <w:bottom w:val="single" w:color="auto" w:sz="4" w:space="0"/>
              <w:right w:val="single" w:color="000000" w:sz="4" w:space="0"/>
            </w:tcBorders>
            <w:vAlign w:val="center"/>
          </w:tcPr>
          <w:p w14:paraId="53354152">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投标有效期是否满足招标文件（不少于90个日历日）</w:t>
            </w:r>
          </w:p>
        </w:tc>
      </w:tr>
      <w:tr w14:paraId="707817BB">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7F8E4C13">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5</w:t>
            </w:r>
          </w:p>
        </w:tc>
        <w:tc>
          <w:tcPr>
            <w:tcW w:w="9046" w:type="dxa"/>
            <w:tcBorders>
              <w:top w:val="single" w:color="auto" w:sz="4" w:space="0"/>
              <w:left w:val="single" w:color="auto" w:sz="4" w:space="0"/>
              <w:bottom w:val="single" w:color="auto" w:sz="4" w:space="0"/>
              <w:right w:val="single" w:color="000000" w:sz="4" w:space="0"/>
            </w:tcBorders>
            <w:vAlign w:val="center"/>
          </w:tcPr>
          <w:p w14:paraId="3A79F4FA">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kern w:val="0"/>
                <w:sz w:val="24"/>
                <w:highlight w:val="none"/>
              </w:rPr>
              <w:t>是否按招标文件规定提交足额投标保证金</w:t>
            </w:r>
          </w:p>
        </w:tc>
      </w:tr>
      <w:tr w14:paraId="0AEA5A43">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3D179B87">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6</w:t>
            </w:r>
          </w:p>
        </w:tc>
        <w:tc>
          <w:tcPr>
            <w:tcW w:w="9046" w:type="dxa"/>
            <w:tcBorders>
              <w:top w:val="single" w:color="auto" w:sz="4" w:space="0"/>
              <w:left w:val="single" w:color="auto" w:sz="4" w:space="0"/>
              <w:bottom w:val="single" w:color="auto" w:sz="4" w:space="0"/>
              <w:right w:val="single" w:color="000000" w:sz="4" w:space="0"/>
            </w:tcBorders>
            <w:vAlign w:val="center"/>
          </w:tcPr>
          <w:p w14:paraId="4C796380">
            <w:pPr>
              <w:spacing w:line="360" w:lineRule="auto"/>
              <w:rPr>
                <w:rFonts w:hint="default" w:ascii="Times New Roman" w:hAnsi="Times New Roman" w:eastAsia="宋体" w:cs="Times New Roman"/>
                <w:kern w:val="0"/>
                <w:sz w:val="24"/>
                <w:highlight w:val="none"/>
              </w:rPr>
            </w:pPr>
            <w:r>
              <w:rPr>
                <w:rFonts w:hint="default" w:ascii="Times New Roman" w:hAnsi="Times New Roman" w:eastAsia="宋体" w:cs="Times New Roman"/>
                <w:kern w:val="0"/>
                <w:sz w:val="24"/>
                <w:highlight w:val="none"/>
              </w:rPr>
              <w:t>投标保证金的有效期是否满足招标文件（同投标有效期）</w:t>
            </w:r>
          </w:p>
        </w:tc>
      </w:tr>
      <w:tr w14:paraId="3A247BA9">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6318BFA5">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7</w:t>
            </w:r>
          </w:p>
        </w:tc>
        <w:tc>
          <w:tcPr>
            <w:tcW w:w="9046" w:type="dxa"/>
            <w:tcBorders>
              <w:top w:val="single" w:color="auto" w:sz="4" w:space="0"/>
              <w:left w:val="single" w:color="auto" w:sz="4" w:space="0"/>
              <w:bottom w:val="single" w:color="auto" w:sz="4" w:space="0"/>
              <w:right w:val="single" w:color="000000" w:sz="4" w:space="0"/>
            </w:tcBorders>
            <w:vAlign w:val="center"/>
          </w:tcPr>
          <w:p w14:paraId="22C317DC">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投标报价是否固定唯一，投标报价是否超过采购预算（设置最高限价的，以最高限价为准）</w:t>
            </w:r>
          </w:p>
        </w:tc>
      </w:tr>
      <w:tr w14:paraId="2BE81D4F">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5AEB1F40">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8</w:t>
            </w:r>
          </w:p>
        </w:tc>
        <w:tc>
          <w:tcPr>
            <w:tcW w:w="9046" w:type="dxa"/>
            <w:tcBorders>
              <w:top w:val="single" w:color="auto" w:sz="4" w:space="0"/>
              <w:left w:val="single" w:color="auto" w:sz="4" w:space="0"/>
              <w:bottom w:val="single" w:color="auto" w:sz="4" w:space="0"/>
              <w:right w:val="single" w:color="000000" w:sz="4" w:space="0"/>
            </w:tcBorders>
            <w:vAlign w:val="center"/>
          </w:tcPr>
          <w:p w14:paraId="37762622">
            <w:pPr>
              <w:spacing w:line="360" w:lineRule="auto"/>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rPr>
              <w:t>如评审委员会启动异常低价投标（响应）审查后，投标（响应）供应商不能提供书面说明、证明材料，或者提供的书面说明、证明材料不能证明其报价合理性的，评审委员会应当将其作为无效投标（响应）处理</w:t>
            </w:r>
          </w:p>
        </w:tc>
      </w:tr>
      <w:tr w14:paraId="320B27A5">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5011B34C">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9</w:t>
            </w:r>
          </w:p>
        </w:tc>
        <w:tc>
          <w:tcPr>
            <w:tcW w:w="9046" w:type="dxa"/>
            <w:tcBorders>
              <w:top w:val="single" w:color="auto" w:sz="4" w:space="0"/>
              <w:left w:val="single" w:color="auto" w:sz="4" w:space="0"/>
              <w:bottom w:val="single" w:color="auto" w:sz="4" w:space="0"/>
              <w:right w:val="single" w:color="000000" w:sz="4" w:space="0"/>
            </w:tcBorders>
            <w:vAlign w:val="center"/>
          </w:tcPr>
          <w:p w14:paraId="6ABC0118">
            <w:pPr>
              <w:spacing w:line="360" w:lineRule="auto"/>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kern w:val="0"/>
                <w:sz w:val="24"/>
                <w:szCs w:val="24"/>
                <w:highlight w:val="none"/>
                <w:lang w:bidi="ar"/>
              </w:rPr>
              <w:t>是否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4531BBB2">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1FEBF39C">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10</w:t>
            </w:r>
          </w:p>
        </w:tc>
        <w:tc>
          <w:tcPr>
            <w:tcW w:w="9046" w:type="dxa"/>
            <w:tcBorders>
              <w:top w:val="single" w:color="auto" w:sz="4" w:space="0"/>
              <w:left w:val="single" w:color="auto" w:sz="4" w:space="0"/>
              <w:bottom w:val="single" w:color="auto" w:sz="4" w:space="0"/>
              <w:right w:val="single" w:color="000000" w:sz="4" w:space="0"/>
            </w:tcBorders>
            <w:vAlign w:val="center"/>
          </w:tcPr>
          <w:p w14:paraId="1E918C2B">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color w:val="000000"/>
                <w:sz w:val="24"/>
                <w:highlight w:val="none"/>
              </w:rPr>
              <w:t>招标文件中明确规定不接受进口产品的，投标人是否提供了进口产品</w:t>
            </w:r>
          </w:p>
        </w:tc>
      </w:tr>
      <w:tr w14:paraId="0795AE22">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47014912">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11</w:t>
            </w:r>
          </w:p>
        </w:tc>
        <w:tc>
          <w:tcPr>
            <w:tcW w:w="9046" w:type="dxa"/>
            <w:tcBorders>
              <w:top w:val="single" w:color="auto" w:sz="4" w:space="0"/>
              <w:left w:val="single" w:color="auto" w:sz="4" w:space="0"/>
              <w:bottom w:val="single" w:color="auto" w:sz="4" w:space="0"/>
              <w:right w:val="single" w:color="000000" w:sz="4" w:space="0"/>
            </w:tcBorders>
            <w:vAlign w:val="center"/>
          </w:tcPr>
          <w:p w14:paraId="1BF49DEC">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color w:val="000000"/>
                <w:sz w:val="24"/>
                <w:highlight w:val="none"/>
              </w:rPr>
              <w:t>是否符合招标文件规定的其它实质性要求</w:t>
            </w:r>
            <w:r>
              <w:rPr>
                <w:rFonts w:hint="default" w:ascii="Times New Roman" w:hAnsi="Times New Roman" w:eastAsia="宋体" w:cs="Times New Roman"/>
                <w:kern w:val="1"/>
                <w:sz w:val="24"/>
                <w:highlight w:val="none"/>
              </w:rPr>
              <w:t>（须</w:t>
            </w:r>
            <w:r>
              <w:rPr>
                <w:rFonts w:hint="default" w:ascii="Times New Roman" w:hAnsi="Times New Roman" w:eastAsia="宋体" w:cs="Times New Roman"/>
                <w:sz w:val="24"/>
                <w:highlight w:val="none"/>
              </w:rPr>
              <w:t>满足带★条款</w:t>
            </w:r>
            <w:r>
              <w:rPr>
                <w:rFonts w:hint="default" w:ascii="Times New Roman" w:hAnsi="Times New Roman" w:eastAsia="宋体" w:cs="Times New Roman"/>
                <w:kern w:val="1"/>
                <w:sz w:val="24"/>
                <w:highlight w:val="none"/>
              </w:rPr>
              <w:t>）</w:t>
            </w:r>
          </w:p>
        </w:tc>
      </w:tr>
      <w:tr w14:paraId="634A4D61">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75F1FD8A">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12</w:t>
            </w:r>
          </w:p>
        </w:tc>
        <w:tc>
          <w:tcPr>
            <w:tcW w:w="9046" w:type="dxa"/>
            <w:tcBorders>
              <w:top w:val="single" w:color="auto" w:sz="4" w:space="0"/>
              <w:left w:val="single" w:color="auto" w:sz="4" w:space="0"/>
              <w:bottom w:val="single" w:color="auto" w:sz="4" w:space="0"/>
              <w:right w:val="single" w:color="000000" w:sz="4" w:space="0"/>
            </w:tcBorders>
            <w:vAlign w:val="center"/>
          </w:tcPr>
          <w:p w14:paraId="1BBC5109">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投标文件是否有招标文件中规定的其它无效投标条款</w:t>
            </w:r>
          </w:p>
        </w:tc>
      </w:tr>
      <w:tr w14:paraId="1B9143CB">
        <w:tblPrEx>
          <w:tblCellMar>
            <w:top w:w="0" w:type="dxa"/>
            <w:left w:w="0" w:type="dxa"/>
            <w:bottom w:w="0" w:type="dxa"/>
            <w:right w:w="0" w:type="dxa"/>
          </w:tblCellMar>
        </w:tblPrEx>
        <w:trPr>
          <w:trHeight w:val="617" w:hRule="atLeast"/>
        </w:trPr>
        <w:tc>
          <w:tcPr>
            <w:tcW w:w="9781" w:type="dxa"/>
            <w:gridSpan w:val="2"/>
            <w:tcBorders>
              <w:top w:val="single" w:color="auto" w:sz="4" w:space="0"/>
              <w:left w:val="single" w:color="auto" w:sz="4" w:space="0"/>
              <w:bottom w:val="single" w:color="auto" w:sz="4" w:space="0"/>
              <w:right w:val="single" w:color="000000" w:sz="4" w:space="0"/>
            </w:tcBorders>
            <w:tcMar>
              <w:top w:w="16" w:type="dxa"/>
              <w:left w:w="16" w:type="dxa"/>
              <w:bottom w:w="0" w:type="dxa"/>
              <w:right w:w="16" w:type="dxa"/>
            </w:tcMar>
            <w:vAlign w:val="center"/>
          </w:tcPr>
          <w:p w14:paraId="768C848D">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结    论</w:t>
            </w:r>
          </w:p>
        </w:tc>
      </w:tr>
    </w:tbl>
    <w:p w14:paraId="411B7EE2">
      <w:pPr>
        <w:spacing w:line="360" w:lineRule="auto"/>
        <w:rPr>
          <w:rFonts w:hint="default" w:ascii="Times New Roman" w:hAnsi="Times New Roman" w:eastAsia="宋体" w:cs="Times New Roman"/>
          <w:szCs w:val="21"/>
          <w:highlight w:val="none"/>
        </w:rPr>
      </w:pPr>
    </w:p>
    <w:p w14:paraId="310957D2">
      <w:pPr>
        <w:spacing w:line="360" w:lineRule="auto"/>
        <w:ind w:firstLine="48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注：结论栏中填写“合格”表示该投标人投标文件满足招标文件的符合性要求，“不合格”表示该投标人投标文件不满足招标文件的符合性要求。</w:t>
      </w:r>
    </w:p>
    <w:p w14:paraId="3BBFD036">
      <w:pPr>
        <w:spacing w:line="360" w:lineRule="auto"/>
        <w:ind w:firstLine="480" w:firstLineChars="200"/>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rPr>
        <w:t>资格检查和符合性检查均“合格”的，通过投标文件的初审，进入下一步具体评分环节；否则，其投标无效。</w:t>
      </w:r>
    </w:p>
    <w:p w14:paraId="3F7FDF72">
      <w:pPr>
        <w:spacing w:line="360" w:lineRule="auto"/>
        <w:rPr>
          <w:rFonts w:hint="default" w:ascii="Times New Roman" w:hAnsi="Times New Roman" w:eastAsia="宋体" w:cs="Times New Roman"/>
          <w:b/>
          <w:sz w:val="24"/>
          <w:highlight w:val="none"/>
        </w:rPr>
      </w:pPr>
    </w:p>
    <w:p w14:paraId="2C8787EA">
      <w:pPr>
        <w:spacing w:line="360" w:lineRule="auto"/>
        <w:outlineLvl w:val="0"/>
        <w:rPr>
          <w:rFonts w:hint="default" w:ascii="Times New Roman" w:hAnsi="Times New Roman" w:eastAsia="宋体" w:cs="Times New Roman"/>
          <w:b/>
          <w:sz w:val="28"/>
          <w:szCs w:val="28"/>
          <w:highlight w:val="none"/>
        </w:rPr>
      </w:pPr>
      <w:r>
        <w:rPr>
          <w:rFonts w:hint="default" w:ascii="Times New Roman" w:hAnsi="Times New Roman" w:eastAsia="宋体" w:cs="Times New Roman"/>
          <w:b/>
          <w:sz w:val="28"/>
          <w:szCs w:val="28"/>
          <w:highlight w:val="none"/>
        </w:rPr>
        <w:t>二、具体评分标准（满分为100分）</w:t>
      </w:r>
    </w:p>
    <w:tbl>
      <w:tblPr>
        <w:tblStyle w:val="28"/>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6"/>
        <w:gridCol w:w="7222"/>
        <w:gridCol w:w="976"/>
      </w:tblGrid>
      <w:tr w14:paraId="62C2D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trPr>
        <w:tc>
          <w:tcPr>
            <w:tcW w:w="1266" w:type="dxa"/>
            <w:tcBorders>
              <w:top w:val="single" w:color="auto" w:sz="4" w:space="0"/>
              <w:left w:val="single" w:color="auto" w:sz="4" w:space="0"/>
              <w:bottom w:val="single" w:color="auto" w:sz="4" w:space="0"/>
              <w:right w:val="single" w:color="auto" w:sz="4" w:space="0"/>
            </w:tcBorders>
            <w:vAlign w:val="center"/>
          </w:tcPr>
          <w:p w14:paraId="109ACBE4">
            <w:pPr>
              <w:snapToGrid w:val="0"/>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评分项目</w:t>
            </w:r>
          </w:p>
        </w:tc>
        <w:tc>
          <w:tcPr>
            <w:tcW w:w="7222" w:type="dxa"/>
            <w:tcBorders>
              <w:top w:val="single" w:color="auto" w:sz="4" w:space="0"/>
              <w:left w:val="single" w:color="auto" w:sz="4" w:space="0"/>
              <w:bottom w:val="single" w:color="auto" w:sz="4" w:space="0"/>
              <w:right w:val="single" w:color="auto" w:sz="4" w:space="0"/>
            </w:tcBorders>
            <w:vAlign w:val="center"/>
          </w:tcPr>
          <w:p w14:paraId="5A5F6DDB">
            <w:pPr>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评分细则</w:t>
            </w:r>
          </w:p>
        </w:tc>
        <w:tc>
          <w:tcPr>
            <w:tcW w:w="976" w:type="dxa"/>
            <w:tcBorders>
              <w:top w:val="single" w:color="auto" w:sz="4" w:space="0"/>
              <w:left w:val="single" w:color="auto" w:sz="4" w:space="0"/>
              <w:bottom w:val="single" w:color="auto" w:sz="4" w:space="0"/>
              <w:right w:val="single" w:color="auto" w:sz="4" w:space="0"/>
            </w:tcBorders>
            <w:vAlign w:val="center"/>
          </w:tcPr>
          <w:p w14:paraId="2F4069C7">
            <w:pPr>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分值</w:t>
            </w:r>
          </w:p>
        </w:tc>
      </w:tr>
      <w:tr w14:paraId="078EC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66" w:type="dxa"/>
            <w:tcBorders>
              <w:top w:val="single" w:color="auto" w:sz="4" w:space="0"/>
              <w:left w:val="single" w:color="auto" w:sz="4" w:space="0"/>
              <w:bottom w:val="single" w:color="auto" w:sz="4" w:space="0"/>
              <w:right w:val="single" w:color="auto" w:sz="4" w:space="0"/>
            </w:tcBorders>
            <w:vAlign w:val="center"/>
          </w:tcPr>
          <w:p w14:paraId="15F0D0E4">
            <w:pPr>
              <w:snapToGrid w:val="0"/>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价格部分</w:t>
            </w:r>
          </w:p>
          <w:p w14:paraId="60BE278B">
            <w:pPr>
              <w:snapToGrid w:val="0"/>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(30分)</w:t>
            </w:r>
          </w:p>
          <w:p w14:paraId="389E54A8">
            <w:pPr>
              <w:snapToGrid w:val="0"/>
              <w:spacing w:line="360" w:lineRule="auto"/>
              <w:rPr>
                <w:rFonts w:hint="default" w:ascii="Times New Roman" w:hAnsi="Times New Roman" w:eastAsia="宋体" w:cs="Times New Roman"/>
                <w:bCs/>
                <w:sz w:val="24"/>
                <w:szCs w:val="24"/>
                <w:highlight w:val="none"/>
              </w:rPr>
            </w:pPr>
          </w:p>
        </w:tc>
        <w:tc>
          <w:tcPr>
            <w:tcW w:w="7222" w:type="dxa"/>
            <w:tcBorders>
              <w:top w:val="single" w:color="auto" w:sz="4" w:space="0"/>
              <w:left w:val="single" w:color="auto" w:sz="4" w:space="0"/>
              <w:bottom w:val="single" w:color="auto" w:sz="4" w:space="0"/>
              <w:right w:val="single" w:color="auto" w:sz="4" w:space="0"/>
            </w:tcBorders>
            <w:vAlign w:val="center"/>
          </w:tcPr>
          <w:p w14:paraId="577E7954">
            <w:pPr>
              <w:spacing w:line="360" w:lineRule="auto"/>
              <w:textAlignment w:val="center"/>
              <w:rPr>
                <w:rFonts w:hint="default" w:ascii="Times New Roman" w:hAnsi="Times New Roman" w:eastAsia="宋体" w:cs="Times New Roman"/>
                <w:bCs/>
                <w:color w:val="000000"/>
                <w:sz w:val="24"/>
                <w:szCs w:val="24"/>
                <w:highlight w:val="none"/>
              </w:rPr>
            </w:pPr>
            <w:r>
              <w:rPr>
                <w:rFonts w:hint="default" w:ascii="Times New Roman" w:hAnsi="Times New Roman" w:eastAsia="宋体" w:cs="Times New Roman"/>
                <w:bCs/>
                <w:color w:val="000000"/>
                <w:sz w:val="24"/>
                <w:szCs w:val="24"/>
                <w:highlight w:val="none"/>
              </w:rPr>
              <w:t>根据《政府采购货物和服务招标投标管理办法》（财政部令第87号）的规定，本次价格评分统一采用低价优先法计算，即满足招标文件要求且投标价格最低的投标报价为评标基准价，其价格分为满分。其他供应商的价格评分统一按照下列公式计算：</w:t>
            </w:r>
          </w:p>
          <w:p w14:paraId="62955DB0">
            <w:pPr>
              <w:spacing w:line="360" w:lineRule="auto"/>
              <w:textAlignment w:val="center"/>
              <w:rPr>
                <w:rFonts w:hint="default" w:ascii="Times New Roman" w:hAnsi="Times New Roman" w:eastAsia="宋体" w:cs="Times New Roman"/>
                <w:highlight w:val="none"/>
              </w:rPr>
            </w:pPr>
            <w:r>
              <w:rPr>
                <w:rFonts w:hint="default" w:ascii="Times New Roman" w:hAnsi="Times New Roman" w:eastAsia="宋体" w:cs="Times New Roman"/>
                <w:bCs/>
                <w:color w:val="000000"/>
                <w:sz w:val="24"/>
                <w:szCs w:val="24"/>
                <w:highlight w:val="none"/>
              </w:rPr>
              <w:t>价格评分 =（评标基准价/投标报价）×30</w:t>
            </w:r>
          </w:p>
        </w:tc>
        <w:tc>
          <w:tcPr>
            <w:tcW w:w="976" w:type="dxa"/>
            <w:tcBorders>
              <w:top w:val="single" w:color="auto" w:sz="4" w:space="0"/>
              <w:left w:val="single" w:color="auto" w:sz="4" w:space="0"/>
              <w:bottom w:val="single" w:color="auto" w:sz="4" w:space="0"/>
              <w:right w:val="single" w:color="auto" w:sz="4" w:space="0"/>
            </w:tcBorders>
            <w:vAlign w:val="center"/>
          </w:tcPr>
          <w:p w14:paraId="4C3E8F0E">
            <w:pPr>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30</w:t>
            </w:r>
          </w:p>
        </w:tc>
      </w:tr>
      <w:tr w14:paraId="53F18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66" w:type="dxa"/>
            <w:vMerge w:val="restart"/>
            <w:tcBorders>
              <w:top w:val="single" w:color="auto" w:sz="4" w:space="0"/>
              <w:left w:val="single" w:color="auto" w:sz="4" w:space="0"/>
              <w:right w:val="single" w:color="auto" w:sz="4" w:space="0"/>
            </w:tcBorders>
            <w:vAlign w:val="center"/>
          </w:tcPr>
          <w:p w14:paraId="7CFD6EEC">
            <w:pPr>
              <w:snapToGrid w:val="0"/>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商务部分</w:t>
            </w:r>
          </w:p>
          <w:p w14:paraId="4AA23BF1">
            <w:pPr>
              <w:snapToGrid w:val="0"/>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lang w:val="en-US" w:eastAsia="zh-CN"/>
              </w:rPr>
              <w:t>28</w:t>
            </w:r>
            <w:r>
              <w:rPr>
                <w:rFonts w:hint="default" w:ascii="Times New Roman" w:hAnsi="Times New Roman" w:eastAsia="宋体" w:cs="Times New Roman"/>
                <w:bCs/>
                <w:sz w:val="24"/>
                <w:szCs w:val="24"/>
                <w:highlight w:val="none"/>
              </w:rPr>
              <w:t>分)</w:t>
            </w:r>
          </w:p>
        </w:tc>
        <w:tc>
          <w:tcPr>
            <w:tcW w:w="7222" w:type="dxa"/>
            <w:tcBorders>
              <w:top w:val="single" w:color="auto" w:sz="4" w:space="0"/>
              <w:left w:val="single" w:color="auto" w:sz="4" w:space="0"/>
              <w:bottom w:val="single" w:color="auto" w:sz="4" w:space="0"/>
              <w:right w:val="single" w:color="auto" w:sz="4" w:space="0"/>
            </w:tcBorders>
            <w:vAlign w:val="center"/>
          </w:tcPr>
          <w:p w14:paraId="11F7C1C3">
            <w:pPr>
              <w:spacing w:line="360" w:lineRule="auto"/>
              <w:textAlignment w:val="center"/>
              <w:rPr>
                <w:rFonts w:hint="default" w:ascii="Times New Roman" w:hAnsi="Times New Roman" w:eastAsia="宋体" w:cs="Times New Roman"/>
                <w:bCs/>
                <w:color w:val="000000"/>
                <w:sz w:val="24"/>
                <w:szCs w:val="24"/>
                <w:highlight w:val="none"/>
              </w:rPr>
            </w:pPr>
            <w:r>
              <w:rPr>
                <w:rFonts w:hint="default" w:ascii="Times New Roman" w:hAnsi="Times New Roman" w:eastAsia="宋体" w:cs="Times New Roman"/>
                <w:bCs/>
                <w:color w:val="000000"/>
                <w:sz w:val="24"/>
                <w:szCs w:val="24"/>
                <w:highlight w:val="none"/>
              </w:rPr>
              <w:t>1、商务要求条款应答响应情况：</w:t>
            </w:r>
          </w:p>
          <w:p w14:paraId="037C9D7A">
            <w:pPr>
              <w:spacing w:line="360" w:lineRule="auto"/>
              <w:textAlignment w:val="center"/>
              <w:rPr>
                <w:rFonts w:hint="default" w:ascii="Times New Roman" w:hAnsi="Times New Roman" w:eastAsia="宋体" w:cs="Times New Roman"/>
                <w:bCs/>
                <w:color w:val="000000"/>
                <w:sz w:val="24"/>
                <w:szCs w:val="24"/>
                <w:highlight w:val="none"/>
              </w:rPr>
            </w:pPr>
            <w:r>
              <w:rPr>
                <w:rFonts w:hint="default" w:ascii="Times New Roman" w:hAnsi="Times New Roman" w:eastAsia="宋体" w:cs="Times New Roman"/>
                <w:bCs/>
                <w:color w:val="000000"/>
                <w:sz w:val="24"/>
                <w:szCs w:val="24"/>
                <w:highlight w:val="none"/>
              </w:rPr>
              <w:t>（1）标记为“★”的是关键商务条款，正偏离不加分，如不满足其投标予以拒绝。</w:t>
            </w:r>
          </w:p>
          <w:p w14:paraId="447A79F6">
            <w:pPr>
              <w:spacing w:line="360" w:lineRule="auto"/>
              <w:textAlignment w:val="center"/>
              <w:rPr>
                <w:rFonts w:hint="default" w:ascii="Times New Roman" w:hAnsi="Times New Roman" w:eastAsia="宋体" w:cs="Times New Roman"/>
                <w:bCs/>
                <w:color w:val="000000"/>
                <w:sz w:val="24"/>
                <w:szCs w:val="24"/>
                <w:highlight w:val="none"/>
              </w:rPr>
            </w:pPr>
            <w:r>
              <w:rPr>
                <w:rFonts w:hint="default" w:ascii="Times New Roman" w:hAnsi="Times New Roman" w:eastAsia="宋体" w:cs="Times New Roman"/>
                <w:bCs/>
                <w:color w:val="000000"/>
                <w:sz w:val="24"/>
                <w:szCs w:val="24"/>
                <w:highlight w:val="none"/>
              </w:rPr>
              <w:t>（2）标记“▲”的商务条款：应答有负偏离得0分，应答全部无偏离得</w:t>
            </w:r>
            <w:r>
              <w:rPr>
                <w:rFonts w:hint="default" w:ascii="Times New Roman" w:hAnsi="Times New Roman" w:eastAsia="宋体" w:cs="Times New Roman"/>
                <w:bCs/>
                <w:color w:val="000000"/>
                <w:sz w:val="24"/>
                <w:szCs w:val="24"/>
                <w:highlight w:val="none"/>
                <w:lang w:val="en-US" w:eastAsia="zh-CN"/>
              </w:rPr>
              <w:t>1.5</w:t>
            </w:r>
            <w:r>
              <w:rPr>
                <w:rFonts w:hint="default" w:ascii="Times New Roman" w:hAnsi="Times New Roman" w:eastAsia="宋体" w:cs="Times New Roman"/>
                <w:bCs/>
                <w:color w:val="000000"/>
                <w:sz w:val="24"/>
                <w:szCs w:val="24"/>
                <w:highlight w:val="none"/>
              </w:rPr>
              <w:t>分，正偏离不加分。</w:t>
            </w:r>
          </w:p>
          <w:p w14:paraId="0C5764D4">
            <w:pPr>
              <w:spacing w:line="360" w:lineRule="auto"/>
              <w:textAlignment w:val="center"/>
              <w:rPr>
                <w:rFonts w:hint="default" w:ascii="Times New Roman" w:hAnsi="Times New Roman" w:eastAsia="宋体" w:cs="Times New Roman"/>
                <w:bCs/>
                <w:color w:val="000000"/>
                <w:sz w:val="24"/>
                <w:szCs w:val="24"/>
                <w:highlight w:val="none"/>
              </w:rPr>
            </w:pPr>
            <w:r>
              <w:rPr>
                <w:rFonts w:hint="default" w:ascii="Times New Roman" w:hAnsi="Times New Roman" w:eastAsia="宋体" w:cs="Times New Roman"/>
                <w:bCs/>
                <w:color w:val="000000"/>
                <w:sz w:val="24"/>
                <w:szCs w:val="24"/>
                <w:highlight w:val="none"/>
              </w:rPr>
              <w:t>（3）无标记的商务条款：应答有负偏离得0分，应答全部无偏离得0.5分，正偏离不加分。</w:t>
            </w:r>
          </w:p>
        </w:tc>
        <w:tc>
          <w:tcPr>
            <w:tcW w:w="976" w:type="dxa"/>
            <w:tcBorders>
              <w:top w:val="single" w:color="auto" w:sz="4" w:space="0"/>
              <w:left w:val="single" w:color="auto" w:sz="4" w:space="0"/>
              <w:bottom w:val="single" w:color="auto" w:sz="4" w:space="0"/>
              <w:right w:val="single" w:color="auto" w:sz="4" w:space="0"/>
            </w:tcBorders>
            <w:vAlign w:val="center"/>
          </w:tcPr>
          <w:p w14:paraId="3101A47F">
            <w:pPr>
              <w:spacing w:line="360" w:lineRule="auto"/>
              <w:rPr>
                <w:rFonts w:hint="default" w:ascii="Times New Roman" w:hAnsi="Times New Roman" w:eastAsia="宋体" w:cs="Times New Roman"/>
                <w:bCs/>
                <w:sz w:val="24"/>
                <w:szCs w:val="24"/>
                <w:highlight w:val="none"/>
                <w:lang w:eastAsia="zh-CN"/>
              </w:rPr>
            </w:pPr>
            <w:r>
              <w:rPr>
                <w:rFonts w:hint="default" w:ascii="Times New Roman" w:hAnsi="Times New Roman" w:eastAsia="宋体" w:cs="Times New Roman"/>
                <w:bCs/>
                <w:sz w:val="24"/>
                <w:szCs w:val="24"/>
                <w:highlight w:val="none"/>
                <w:lang w:val="en-US" w:eastAsia="zh-CN"/>
              </w:rPr>
              <w:t>2</w:t>
            </w:r>
          </w:p>
        </w:tc>
      </w:tr>
      <w:tr w14:paraId="2B362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66" w:type="dxa"/>
            <w:vMerge w:val="continue"/>
            <w:tcBorders>
              <w:left w:val="single" w:color="auto" w:sz="4" w:space="0"/>
              <w:right w:val="single" w:color="auto" w:sz="4" w:space="0"/>
            </w:tcBorders>
            <w:vAlign w:val="center"/>
          </w:tcPr>
          <w:p w14:paraId="5A0A9A3A">
            <w:pPr>
              <w:snapToGrid w:val="0"/>
              <w:spacing w:line="360" w:lineRule="auto"/>
              <w:rPr>
                <w:rFonts w:hint="default" w:ascii="Times New Roman" w:hAnsi="Times New Roman" w:eastAsia="宋体" w:cs="Times New Roman"/>
                <w:bCs/>
                <w:sz w:val="24"/>
                <w:szCs w:val="24"/>
                <w:highlight w:val="none"/>
              </w:rPr>
            </w:pPr>
          </w:p>
        </w:tc>
        <w:tc>
          <w:tcPr>
            <w:tcW w:w="7222" w:type="dxa"/>
            <w:tcBorders>
              <w:top w:val="single" w:color="auto" w:sz="4" w:space="0"/>
              <w:left w:val="single" w:color="auto" w:sz="4" w:space="0"/>
              <w:bottom w:val="single" w:color="auto" w:sz="4" w:space="0"/>
              <w:right w:val="single" w:color="auto" w:sz="4" w:space="0"/>
            </w:tcBorders>
            <w:vAlign w:val="center"/>
          </w:tcPr>
          <w:p w14:paraId="31D613F6">
            <w:pPr>
              <w:keepNext w:val="0"/>
              <w:keepLines w:val="0"/>
              <w:suppressLineNumbers w:val="0"/>
              <w:snapToGrid/>
              <w:spacing w:before="0" w:beforeAutospacing="0" w:after="0" w:afterAutospacing="0" w:line="360" w:lineRule="auto"/>
              <w:ind w:left="0" w:right="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lang w:val="en-US" w:eastAsia="zh-CN"/>
              </w:rPr>
              <w:t>2</w:t>
            </w:r>
            <w:r>
              <w:rPr>
                <w:rFonts w:hint="default" w:ascii="Times New Roman" w:hAnsi="Times New Roman" w:eastAsia="宋体" w:cs="Times New Roman"/>
                <w:sz w:val="24"/>
                <w:szCs w:val="24"/>
                <w:highlight w:val="none"/>
              </w:rPr>
              <w:t>、同类业绩：</w:t>
            </w:r>
          </w:p>
          <w:p w14:paraId="7D9D729E">
            <w:pPr>
              <w:spacing w:line="360" w:lineRule="auto"/>
              <w:rPr>
                <w:rFonts w:hint="default" w:ascii="Times New Roman" w:hAnsi="Times New Roman" w:eastAsia="宋体" w:cs="Times New Roman"/>
                <w:bCs/>
                <w:color w:val="000000"/>
                <w:sz w:val="24"/>
                <w:szCs w:val="24"/>
                <w:highlight w:val="none"/>
              </w:rPr>
            </w:pPr>
            <w:r>
              <w:rPr>
                <w:rFonts w:hint="default" w:ascii="Times New Roman" w:hAnsi="Times New Roman" w:eastAsia="宋体" w:cs="Times New Roman"/>
                <w:sz w:val="24"/>
                <w:szCs w:val="24"/>
                <w:highlight w:val="none"/>
              </w:rPr>
              <w:t>投标人近三年（</w:t>
            </w:r>
            <w:r>
              <w:rPr>
                <w:rFonts w:hint="default" w:ascii="Times New Roman" w:hAnsi="Times New Roman" w:eastAsia="宋体" w:cs="Times New Roman"/>
                <w:sz w:val="24"/>
                <w:szCs w:val="24"/>
                <w:highlight w:val="none"/>
                <w:lang w:val="en-US" w:eastAsia="zh-CN"/>
              </w:rPr>
              <w:t>2023年1月1日至投标截止日</w:t>
            </w:r>
            <w:r>
              <w:rPr>
                <w:rFonts w:hint="default" w:ascii="Times New Roman" w:hAnsi="Times New Roman" w:eastAsia="宋体" w:cs="Times New Roman"/>
                <w:sz w:val="24"/>
                <w:szCs w:val="24"/>
                <w:highlight w:val="none"/>
              </w:rPr>
              <w:t>，以合同签订日期为准）独立承担的</w:t>
            </w:r>
            <w:r>
              <w:rPr>
                <w:rFonts w:hint="default" w:ascii="Times New Roman" w:hAnsi="Times New Roman" w:eastAsia="宋体" w:cs="Times New Roman"/>
                <w:sz w:val="24"/>
                <w:szCs w:val="24"/>
                <w:highlight w:val="none"/>
                <w:lang w:val="en-US" w:eastAsia="zh-CN"/>
              </w:rPr>
              <w:t>与本项目类似的自动化整合类</w:t>
            </w:r>
            <w:r>
              <w:rPr>
                <w:rFonts w:hint="default" w:ascii="Times New Roman" w:hAnsi="Times New Roman" w:eastAsia="宋体" w:cs="Times New Roman"/>
                <w:sz w:val="24"/>
                <w:szCs w:val="24"/>
                <w:highlight w:val="none"/>
              </w:rPr>
              <w:t>项目案例，每项得0.5分；本项最高得</w:t>
            </w:r>
            <w:r>
              <w:rPr>
                <w:rFonts w:hint="default" w:ascii="Times New Roman" w:hAnsi="Times New Roman" w:eastAsia="宋体" w:cs="Times New Roman"/>
                <w:sz w:val="24"/>
                <w:szCs w:val="24"/>
                <w:highlight w:val="none"/>
                <w:lang w:val="en-US" w:eastAsia="zh-CN"/>
              </w:rPr>
              <w:t>1.5</w:t>
            </w:r>
            <w:r>
              <w:rPr>
                <w:rFonts w:hint="default" w:ascii="Times New Roman" w:hAnsi="Times New Roman" w:eastAsia="宋体" w:cs="Times New Roman"/>
                <w:sz w:val="24"/>
                <w:szCs w:val="24"/>
                <w:highlight w:val="none"/>
              </w:rPr>
              <w:t>分（须提供合同</w:t>
            </w:r>
            <w:r>
              <w:rPr>
                <w:rFonts w:hint="default" w:ascii="Times New Roman" w:hAnsi="Times New Roman" w:eastAsia="宋体" w:cs="Times New Roman"/>
                <w:sz w:val="24"/>
                <w:szCs w:val="24"/>
                <w:highlight w:val="none"/>
                <w:lang w:val="en-US" w:eastAsia="zh-CN"/>
              </w:rPr>
              <w:t>复印件</w:t>
            </w:r>
            <w:r>
              <w:rPr>
                <w:rFonts w:hint="default" w:ascii="Times New Roman" w:hAnsi="Times New Roman" w:eastAsia="宋体" w:cs="Times New Roman"/>
                <w:sz w:val="24"/>
                <w:szCs w:val="24"/>
                <w:highlight w:val="none"/>
              </w:rPr>
              <w:t>，至少包括合同甲乙双方，合同详细标的和双方签章及生效时间）</w:t>
            </w:r>
          </w:p>
        </w:tc>
        <w:tc>
          <w:tcPr>
            <w:tcW w:w="976" w:type="dxa"/>
            <w:tcBorders>
              <w:top w:val="single" w:color="auto" w:sz="4" w:space="0"/>
              <w:left w:val="single" w:color="auto" w:sz="4" w:space="0"/>
              <w:bottom w:val="single" w:color="auto" w:sz="4" w:space="0"/>
              <w:right w:val="single" w:color="auto" w:sz="4" w:space="0"/>
            </w:tcBorders>
            <w:vAlign w:val="center"/>
          </w:tcPr>
          <w:p w14:paraId="300E5491">
            <w:pPr>
              <w:spacing w:line="360" w:lineRule="auto"/>
              <w:rPr>
                <w:rFonts w:hint="default" w:ascii="Times New Roman" w:hAnsi="Times New Roman" w:eastAsia="宋体" w:cs="Times New Roman"/>
                <w:bCs/>
                <w:sz w:val="24"/>
                <w:szCs w:val="24"/>
                <w:highlight w:val="none"/>
                <w:lang w:val="en-US" w:eastAsia="zh-CN"/>
              </w:rPr>
            </w:pPr>
            <w:r>
              <w:rPr>
                <w:rFonts w:hint="default" w:ascii="Times New Roman" w:hAnsi="Times New Roman" w:eastAsia="宋体" w:cs="Times New Roman"/>
                <w:bCs/>
                <w:sz w:val="24"/>
                <w:szCs w:val="24"/>
                <w:highlight w:val="none"/>
                <w:lang w:val="en-US" w:eastAsia="zh-CN"/>
              </w:rPr>
              <w:t>1.5</w:t>
            </w:r>
          </w:p>
        </w:tc>
      </w:tr>
      <w:tr w14:paraId="14FA0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6" w:hRule="atLeast"/>
        </w:trPr>
        <w:tc>
          <w:tcPr>
            <w:tcW w:w="1266" w:type="dxa"/>
            <w:vMerge w:val="continue"/>
            <w:tcBorders>
              <w:left w:val="single" w:color="auto" w:sz="4" w:space="0"/>
              <w:right w:val="single" w:color="auto" w:sz="4" w:space="0"/>
            </w:tcBorders>
            <w:vAlign w:val="center"/>
          </w:tcPr>
          <w:p w14:paraId="08075906">
            <w:pPr>
              <w:snapToGrid w:val="0"/>
              <w:spacing w:line="360" w:lineRule="auto"/>
              <w:rPr>
                <w:rFonts w:hint="default" w:ascii="Times New Roman" w:hAnsi="Times New Roman" w:eastAsia="宋体" w:cs="Times New Roman"/>
                <w:bCs/>
                <w:sz w:val="24"/>
                <w:szCs w:val="24"/>
                <w:highlight w:val="none"/>
              </w:rPr>
            </w:pPr>
          </w:p>
        </w:tc>
        <w:tc>
          <w:tcPr>
            <w:tcW w:w="7222" w:type="dxa"/>
            <w:tcBorders>
              <w:top w:val="single" w:color="auto" w:sz="4" w:space="0"/>
              <w:left w:val="single" w:color="auto" w:sz="4" w:space="0"/>
              <w:bottom w:val="single" w:color="auto" w:sz="4" w:space="0"/>
              <w:right w:val="single" w:color="auto" w:sz="4" w:space="0"/>
            </w:tcBorders>
            <w:vAlign w:val="center"/>
          </w:tcPr>
          <w:p w14:paraId="3A7BD332">
            <w:pPr>
              <w:keepNext w:val="0"/>
              <w:keepLines w:val="0"/>
              <w:suppressLineNumbers w:val="0"/>
              <w:spacing w:before="0" w:beforeAutospacing="0" w:after="0" w:afterAutospacing="0" w:line="360" w:lineRule="auto"/>
              <w:ind w:left="0" w:right="0"/>
              <w:rPr>
                <w:rFonts w:hint="default" w:ascii="Times New Roman" w:hAnsi="Times New Roman" w:eastAsia="宋体" w:cs="Times New Roman"/>
                <w:color w:val="000000"/>
                <w:sz w:val="24"/>
                <w:szCs w:val="22"/>
                <w:highlight w:val="none"/>
              </w:rPr>
            </w:pPr>
            <w:r>
              <w:rPr>
                <w:rFonts w:hint="default" w:ascii="Times New Roman" w:hAnsi="Times New Roman" w:eastAsia="宋体" w:cs="Times New Roman"/>
                <w:color w:val="000000"/>
                <w:sz w:val="24"/>
                <w:szCs w:val="22"/>
                <w:highlight w:val="none"/>
                <w:lang w:val="en-US" w:eastAsia="zh-CN"/>
              </w:rPr>
              <w:t>3</w:t>
            </w:r>
            <w:r>
              <w:rPr>
                <w:rFonts w:hint="default" w:ascii="Times New Roman" w:hAnsi="Times New Roman" w:eastAsia="宋体" w:cs="Times New Roman"/>
                <w:color w:val="000000"/>
                <w:sz w:val="24"/>
                <w:szCs w:val="22"/>
                <w:highlight w:val="none"/>
              </w:rPr>
              <w:t>、体系认证：</w:t>
            </w:r>
          </w:p>
          <w:p w14:paraId="2D80524B">
            <w:pPr>
              <w:keepNext w:val="0"/>
              <w:keepLines w:val="0"/>
              <w:suppressLineNumbers w:val="0"/>
              <w:spacing w:before="0" w:beforeAutospacing="0" w:after="0" w:afterAutospacing="0" w:line="360" w:lineRule="auto"/>
              <w:ind w:left="0" w:right="0"/>
              <w:rPr>
                <w:rFonts w:hint="default" w:ascii="Times New Roman" w:hAnsi="Times New Roman" w:eastAsia="宋体" w:cs="Times New Roman"/>
                <w:color w:val="000000"/>
                <w:sz w:val="24"/>
                <w:szCs w:val="22"/>
                <w:highlight w:val="none"/>
              </w:rPr>
            </w:pPr>
            <w:r>
              <w:rPr>
                <w:rFonts w:hint="default" w:ascii="Times New Roman" w:hAnsi="Times New Roman" w:eastAsia="宋体" w:cs="Times New Roman"/>
                <w:color w:val="000000"/>
                <w:sz w:val="24"/>
                <w:szCs w:val="22"/>
                <w:highlight w:val="none"/>
              </w:rPr>
              <w:t>投标人具有有效期内的环境管理体系认证证书，质量管理体系认证证书，职业健康安全管理体系认证证书，证书认证范围应包含实验室仪器设备销售及售后等相关内容；每</w:t>
            </w:r>
            <w:r>
              <w:rPr>
                <w:rFonts w:hint="default" w:ascii="Times New Roman" w:hAnsi="Times New Roman" w:eastAsia="宋体" w:cs="Times New Roman"/>
                <w:color w:val="000000"/>
                <w:sz w:val="24"/>
                <w:szCs w:val="22"/>
                <w:highlight w:val="none"/>
                <w:lang w:val="en-US" w:eastAsia="zh-CN"/>
              </w:rPr>
              <w:t>提供</w:t>
            </w:r>
            <w:r>
              <w:rPr>
                <w:rFonts w:hint="default" w:ascii="Times New Roman" w:hAnsi="Times New Roman" w:eastAsia="宋体" w:cs="Times New Roman"/>
                <w:color w:val="000000"/>
                <w:sz w:val="24"/>
                <w:szCs w:val="22"/>
                <w:highlight w:val="none"/>
              </w:rPr>
              <w:t>1份证书</w:t>
            </w:r>
            <w:r>
              <w:rPr>
                <w:rFonts w:hint="default" w:ascii="Times New Roman" w:hAnsi="Times New Roman" w:eastAsia="宋体" w:cs="Times New Roman"/>
                <w:color w:val="000000"/>
                <w:sz w:val="24"/>
                <w:szCs w:val="22"/>
                <w:highlight w:val="none"/>
                <w:lang w:val="en-US" w:eastAsia="zh-CN"/>
              </w:rPr>
              <w:t>得0.5分，最高得1.5分</w:t>
            </w:r>
            <w:r>
              <w:rPr>
                <w:rFonts w:hint="default" w:ascii="Times New Roman" w:hAnsi="Times New Roman" w:eastAsia="宋体" w:cs="Times New Roman"/>
                <w:color w:val="000000"/>
                <w:sz w:val="24"/>
                <w:szCs w:val="22"/>
                <w:highlight w:val="none"/>
              </w:rPr>
              <w:t>。</w:t>
            </w:r>
          </w:p>
          <w:p w14:paraId="7A766806">
            <w:pPr>
              <w:spacing w:line="360" w:lineRule="auto"/>
              <w:textAlignment w:val="auto"/>
              <w:rPr>
                <w:rFonts w:hint="default" w:ascii="Times New Roman" w:hAnsi="Times New Roman" w:eastAsia="宋体" w:cs="Times New Roman"/>
                <w:bCs/>
                <w:color w:val="000000"/>
                <w:sz w:val="24"/>
                <w:szCs w:val="24"/>
                <w:highlight w:val="none"/>
              </w:rPr>
            </w:pPr>
            <w:r>
              <w:rPr>
                <w:rFonts w:hint="default" w:ascii="Times New Roman" w:hAnsi="Times New Roman" w:eastAsia="宋体" w:cs="Times New Roman"/>
                <w:color w:val="000000"/>
                <w:sz w:val="24"/>
                <w:szCs w:val="22"/>
                <w:highlight w:val="none"/>
              </w:rPr>
              <w:t>注：提供证明材料复印件并加盖单位公章，否则不予认可</w:t>
            </w:r>
          </w:p>
        </w:tc>
        <w:tc>
          <w:tcPr>
            <w:tcW w:w="976" w:type="dxa"/>
            <w:tcBorders>
              <w:top w:val="single" w:color="auto" w:sz="4" w:space="0"/>
              <w:left w:val="single" w:color="auto" w:sz="4" w:space="0"/>
              <w:bottom w:val="single" w:color="auto" w:sz="4" w:space="0"/>
              <w:right w:val="single" w:color="auto" w:sz="4" w:space="0"/>
            </w:tcBorders>
            <w:vAlign w:val="center"/>
          </w:tcPr>
          <w:p w14:paraId="471E621B">
            <w:pPr>
              <w:spacing w:line="360" w:lineRule="auto"/>
              <w:rPr>
                <w:rFonts w:hint="default" w:ascii="Times New Roman" w:hAnsi="Times New Roman" w:eastAsia="宋体" w:cs="Times New Roman"/>
                <w:bCs/>
                <w:sz w:val="24"/>
                <w:szCs w:val="24"/>
                <w:highlight w:val="none"/>
                <w:lang w:val="en-US" w:eastAsia="zh-CN"/>
              </w:rPr>
            </w:pPr>
            <w:r>
              <w:rPr>
                <w:rFonts w:hint="default" w:ascii="Times New Roman" w:hAnsi="Times New Roman" w:eastAsia="宋体" w:cs="Times New Roman"/>
                <w:bCs/>
                <w:sz w:val="24"/>
                <w:szCs w:val="24"/>
                <w:highlight w:val="none"/>
                <w:lang w:val="en-US" w:eastAsia="zh-CN"/>
              </w:rPr>
              <w:t>1.5</w:t>
            </w:r>
          </w:p>
        </w:tc>
      </w:tr>
      <w:tr w14:paraId="1A986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66" w:type="dxa"/>
            <w:vMerge w:val="continue"/>
            <w:tcBorders>
              <w:left w:val="single" w:color="auto" w:sz="4" w:space="0"/>
              <w:right w:val="single" w:color="auto" w:sz="4" w:space="0"/>
            </w:tcBorders>
            <w:vAlign w:val="center"/>
          </w:tcPr>
          <w:p w14:paraId="55C4C1FA">
            <w:pPr>
              <w:snapToGrid w:val="0"/>
              <w:spacing w:line="360" w:lineRule="auto"/>
              <w:rPr>
                <w:rFonts w:hint="default" w:ascii="Times New Roman" w:hAnsi="Times New Roman" w:eastAsia="宋体" w:cs="Times New Roman"/>
                <w:bCs/>
                <w:sz w:val="24"/>
                <w:szCs w:val="24"/>
                <w:highlight w:val="none"/>
              </w:rPr>
            </w:pPr>
          </w:p>
        </w:tc>
        <w:tc>
          <w:tcPr>
            <w:tcW w:w="7222" w:type="dxa"/>
            <w:tcBorders>
              <w:top w:val="single" w:color="auto" w:sz="4" w:space="0"/>
              <w:left w:val="single" w:color="auto" w:sz="4" w:space="0"/>
              <w:bottom w:val="single" w:color="auto" w:sz="4" w:space="0"/>
              <w:right w:val="single" w:color="auto" w:sz="4" w:space="0"/>
            </w:tcBorders>
            <w:vAlign w:val="center"/>
          </w:tcPr>
          <w:p w14:paraId="34F0B5B6">
            <w:pPr>
              <w:keepNext w:val="0"/>
              <w:keepLines w:val="0"/>
              <w:suppressLineNumbers w:val="0"/>
              <w:spacing w:before="0" w:beforeAutospacing="0" w:after="0" w:afterAutospacing="0" w:line="360" w:lineRule="auto"/>
              <w:ind w:left="0" w:right="0"/>
              <w:rPr>
                <w:rFonts w:hint="default" w:ascii="Times New Roman" w:hAnsi="Times New Roman" w:eastAsia="宋体" w:cs="Times New Roman"/>
                <w:sz w:val="24"/>
                <w:szCs w:val="22"/>
                <w:highlight w:val="none"/>
              </w:rPr>
            </w:pPr>
            <w:r>
              <w:rPr>
                <w:rFonts w:hint="default" w:ascii="Times New Roman" w:hAnsi="Times New Roman" w:eastAsia="宋体" w:cs="Times New Roman"/>
                <w:sz w:val="24"/>
                <w:szCs w:val="22"/>
                <w:highlight w:val="none"/>
                <w:lang w:val="en-US" w:eastAsia="zh-CN"/>
              </w:rPr>
              <w:t>4</w:t>
            </w:r>
            <w:r>
              <w:rPr>
                <w:rFonts w:hint="default" w:ascii="Times New Roman" w:hAnsi="Times New Roman" w:eastAsia="宋体" w:cs="Times New Roman"/>
                <w:sz w:val="24"/>
                <w:szCs w:val="22"/>
                <w:highlight w:val="none"/>
              </w:rPr>
              <w:t>、科研实力：</w:t>
            </w:r>
          </w:p>
          <w:p w14:paraId="7BC9D39D">
            <w:pPr>
              <w:keepNext w:val="0"/>
              <w:keepLines w:val="0"/>
              <w:suppressLineNumbers w:val="0"/>
              <w:spacing w:before="0" w:beforeAutospacing="0" w:after="0" w:afterAutospacing="0" w:line="360" w:lineRule="auto"/>
              <w:ind w:left="0" w:right="0"/>
              <w:rPr>
                <w:rFonts w:hint="default" w:ascii="Times New Roman" w:hAnsi="Times New Roman" w:eastAsia="宋体" w:cs="Times New Roman"/>
                <w:sz w:val="24"/>
                <w:szCs w:val="22"/>
                <w:highlight w:val="none"/>
              </w:rPr>
            </w:pPr>
            <w:r>
              <w:rPr>
                <w:rFonts w:hint="default" w:ascii="Times New Roman" w:hAnsi="Times New Roman" w:eastAsia="宋体" w:cs="Times New Roman"/>
                <w:sz w:val="24"/>
                <w:szCs w:val="22"/>
                <w:highlight w:val="none"/>
              </w:rPr>
              <w:t>（1）投标人具有相关专利证书（含发明专利、实用新型专利，不含外观设计专利），所提供的专利应与本项目实验室样本前处理、核酸提取、文库构建自动化系统等领域相关。每提供1项有效专利得0.5分，满分</w:t>
            </w:r>
            <w:r>
              <w:rPr>
                <w:rFonts w:hint="default" w:ascii="Times New Roman" w:hAnsi="Times New Roman" w:eastAsia="宋体" w:cs="Times New Roman"/>
                <w:sz w:val="24"/>
                <w:szCs w:val="22"/>
                <w:highlight w:val="none"/>
                <w:lang w:val="en-US" w:eastAsia="zh-CN"/>
              </w:rPr>
              <w:t>2</w:t>
            </w:r>
            <w:r>
              <w:rPr>
                <w:rFonts w:hint="default" w:ascii="Times New Roman" w:hAnsi="Times New Roman" w:eastAsia="宋体" w:cs="Times New Roman"/>
                <w:sz w:val="24"/>
                <w:szCs w:val="22"/>
                <w:highlight w:val="none"/>
              </w:rPr>
              <w:t>分，未提供不得分。</w:t>
            </w:r>
          </w:p>
          <w:p w14:paraId="70BBE62C">
            <w:pPr>
              <w:keepNext w:val="0"/>
              <w:keepLines w:val="0"/>
              <w:suppressLineNumbers w:val="0"/>
              <w:spacing w:before="0" w:beforeAutospacing="0" w:after="0" w:afterAutospacing="0" w:line="360" w:lineRule="auto"/>
              <w:ind w:left="0" w:right="0"/>
              <w:rPr>
                <w:rFonts w:hint="default" w:ascii="Times New Roman" w:hAnsi="Times New Roman" w:eastAsia="宋体" w:cs="Times New Roman"/>
                <w:sz w:val="24"/>
                <w:szCs w:val="22"/>
                <w:highlight w:val="none"/>
              </w:rPr>
            </w:pPr>
            <w:r>
              <w:rPr>
                <w:rFonts w:hint="default" w:ascii="Times New Roman" w:hAnsi="Times New Roman" w:eastAsia="宋体" w:cs="Times New Roman"/>
                <w:sz w:val="24"/>
                <w:szCs w:val="22"/>
                <w:highlight w:val="none"/>
              </w:rPr>
              <w:t>专利权人名称须与投标人名称完全一致，提供母子公司或关联方证书不予计分。投标文件中须提供专利证书扫描件作为评审依据。</w:t>
            </w:r>
          </w:p>
          <w:p w14:paraId="3F694866">
            <w:pPr>
              <w:keepNext w:val="0"/>
              <w:keepLines w:val="0"/>
              <w:suppressLineNumbers w:val="0"/>
              <w:spacing w:before="0" w:beforeAutospacing="0" w:after="0" w:afterAutospacing="0" w:line="360" w:lineRule="auto"/>
              <w:ind w:left="0" w:right="0"/>
              <w:rPr>
                <w:rFonts w:hint="default" w:ascii="Times New Roman" w:hAnsi="Times New Roman" w:eastAsia="宋体" w:cs="Times New Roman"/>
                <w:sz w:val="24"/>
                <w:szCs w:val="22"/>
                <w:highlight w:val="none"/>
              </w:rPr>
            </w:pPr>
            <w:r>
              <w:rPr>
                <w:rFonts w:hint="default" w:ascii="Times New Roman" w:hAnsi="Times New Roman" w:eastAsia="宋体" w:cs="Times New Roman"/>
                <w:sz w:val="24"/>
                <w:szCs w:val="22"/>
                <w:highlight w:val="none"/>
              </w:rPr>
              <w:t>（2）投标人具有相关软件著作权证书，所提供的软件著作权应与本项目实验室自动化控制、NGS实验数据分析、智能调度</w:t>
            </w:r>
            <w:r>
              <w:rPr>
                <w:rFonts w:hint="default" w:ascii="Times New Roman" w:hAnsi="Times New Roman" w:eastAsia="宋体" w:cs="Times New Roman"/>
                <w:sz w:val="24"/>
                <w:szCs w:val="22"/>
                <w:highlight w:val="none"/>
                <w:lang w:val="en-US" w:eastAsia="zh-CN"/>
              </w:rPr>
              <w:t>等</w:t>
            </w:r>
            <w:r>
              <w:rPr>
                <w:rFonts w:hint="default" w:ascii="Times New Roman" w:hAnsi="Times New Roman" w:eastAsia="宋体" w:cs="Times New Roman"/>
                <w:sz w:val="24"/>
                <w:szCs w:val="22"/>
                <w:highlight w:val="none"/>
              </w:rPr>
              <w:t>领域相关。每提供1项有效软件著作权得0.5分，满分</w:t>
            </w:r>
            <w:r>
              <w:rPr>
                <w:rFonts w:hint="default" w:ascii="Times New Roman" w:hAnsi="Times New Roman" w:eastAsia="宋体" w:cs="Times New Roman"/>
                <w:sz w:val="24"/>
                <w:szCs w:val="22"/>
                <w:highlight w:val="none"/>
                <w:lang w:val="en-US" w:eastAsia="zh-CN"/>
              </w:rPr>
              <w:t>2</w:t>
            </w:r>
            <w:r>
              <w:rPr>
                <w:rFonts w:hint="default" w:ascii="Times New Roman" w:hAnsi="Times New Roman" w:eastAsia="宋体" w:cs="Times New Roman"/>
                <w:sz w:val="24"/>
                <w:szCs w:val="22"/>
                <w:highlight w:val="none"/>
              </w:rPr>
              <w:t>分，未提供不得分。</w:t>
            </w:r>
          </w:p>
          <w:p w14:paraId="057A157D">
            <w:pPr>
              <w:keepNext w:val="0"/>
              <w:keepLines w:val="0"/>
              <w:suppressLineNumbers w:val="0"/>
              <w:spacing w:before="0" w:beforeAutospacing="0" w:after="0" w:afterAutospacing="0" w:line="360" w:lineRule="auto"/>
              <w:ind w:left="0" w:right="0"/>
              <w:rPr>
                <w:rFonts w:hint="default" w:ascii="Times New Roman" w:hAnsi="Times New Roman" w:eastAsia="宋体" w:cs="Times New Roman"/>
                <w:sz w:val="24"/>
                <w:szCs w:val="22"/>
                <w:highlight w:val="none"/>
              </w:rPr>
            </w:pPr>
            <w:r>
              <w:rPr>
                <w:rFonts w:hint="default" w:ascii="Times New Roman" w:hAnsi="Times New Roman" w:eastAsia="宋体" w:cs="Times New Roman"/>
                <w:sz w:val="24"/>
                <w:szCs w:val="22"/>
                <w:highlight w:val="none"/>
              </w:rPr>
              <w:t>著作权人名称须与投标人名称完全一致，提供母子公司或关联方证书不予计分。投标文件中须提供著作权证书扫描件作为评审依据。</w:t>
            </w:r>
          </w:p>
          <w:p w14:paraId="79CAD6B0">
            <w:pPr>
              <w:keepNext w:val="0"/>
              <w:keepLines w:val="0"/>
              <w:suppressLineNumbers w:val="0"/>
              <w:spacing w:before="0" w:beforeAutospacing="0" w:after="0" w:afterAutospacing="0" w:line="360" w:lineRule="auto"/>
              <w:ind w:left="0" w:right="0"/>
              <w:rPr>
                <w:rFonts w:hint="default" w:ascii="Times New Roman" w:hAnsi="Times New Roman" w:eastAsia="宋体" w:cs="Times New Roman"/>
                <w:sz w:val="24"/>
                <w:szCs w:val="22"/>
                <w:highlight w:val="none"/>
                <w:lang w:val="en-US" w:eastAsia="zh-CN"/>
              </w:rPr>
            </w:pPr>
            <w:r>
              <w:rPr>
                <w:rFonts w:hint="default" w:ascii="Times New Roman" w:hAnsi="Times New Roman" w:eastAsia="宋体" w:cs="Times New Roman"/>
                <w:sz w:val="24"/>
                <w:szCs w:val="22"/>
                <w:highlight w:val="none"/>
              </w:rPr>
              <w:t>（3）投标人须拥有智能自动化生产产线运营能力及配套智能化交付平台。</w:t>
            </w:r>
            <w:r>
              <w:rPr>
                <w:rFonts w:hint="default" w:ascii="Times New Roman" w:hAnsi="Times New Roman" w:eastAsia="宋体" w:cs="Times New Roman"/>
                <w:sz w:val="24"/>
                <w:szCs w:val="22"/>
                <w:highlight w:val="none"/>
                <w:lang w:val="en-US" w:eastAsia="zh-CN"/>
              </w:rPr>
              <w:t>如投标人属于第三方合作的平台，需另外提供合作证明以及第三方自有平台证明。</w:t>
            </w:r>
          </w:p>
          <w:p w14:paraId="33CCC9A6">
            <w:pPr>
              <w:spacing w:after="0"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sz w:val="24"/>
                <w:szCs w:val="22"/>
                <w:highlight w:val="none"/>
              </w:rPr>
              <w:t>提供平台介绍、系统功能介绍、系统运行照片，三项材料齐全且真实有效，得</w:t>
            </w:r>
            <w:r>
              <w:rPr>
                <w:rFonts w:hint="default" w:ascii="Times New Roman" w:hAnsi="Times New Roman" w:eastAsia="宋体" w:cs="Times New Roman"/>
                <w:sz w:val="24"/>
                <w:szCs w:val="22"/>
                <w:highlight w:val="none"/>
                <w:lang w:val="en-US" w:eastAsia="zh-CN"/>
              </w:rPr>
              <w:t>2</w:t>
            </w:r>
            <w:r>
              <w:rPr>
                <w:rFonts w:hint="default" w:ascii="Times New Roman" w:hAnsi="Times New Roman" w:eastAsia="宋体" w:cs="Times New Roman"/>
                <w:sz w:val="24"/>
                <w:szCs w:val="22"/>
                <w:highlight w:val="none"/>
              </w:rPr>
              <w:t>分；存在资料缺漏的，本项不予计分。</w:t>
            </w:r>
          </w:p>
        </w:tc>
        <w:tc>
          <w:tcPr>
            <w:tcW w:w="976" w:type="dxa"/>
            <w:tcBorders>
              <w:top w:val="single" w:color="auto" w:sz="4" w:space="0"/>
              <w:left w:val="single" w:color="auto" w:sz="4" w:space="0"/>
              <w:bottom w:val="single" w:color="auto" w:sz="4" w:space="0"/>
              <w:right w:val="single" w:color="auto" w:sz="4" w:space="0"/>
            </w:tcBorders>
            <w:vAlign w:val="center"/>
          </w:tcPr>
          <w:p w14:paraId="1F577873">
            <w:pPr>
              <w:spacing w:line="360" w:lineRule="auto"/>
              <w:rPr>
                <w:rFonts w:hint="default" w:ascii="Times New Roman" w:hAnsi="Times New Roman" w:eastAsia="宋体" w:cs="Times New Roman"/>
                <w:bCs/>
                <w:sz w:val="24"/>
                <w:szCs w:val="24"/>
                <w:highlight w:val="none"/>
                <w:lang w:eastAsia="zh-CN"/>
              </w:rPr>
            </w:pPr>
            <w:r>
              <w:rPr>
                <w:rFonts w:hint="default" w:ascii="Times New Roman" w:hAnsi="Times New Roman" w:eastAsia="宋体" w:cs="Times New Roman"/>
                <w:bCs/>
                <w:sz w:val="24"/>
                <w:szCs w:val="24"/>
                <w:highlight w:val="none"/>
                <w:lang w:val="en-US" w:eastAsia="zh-CN"/>
              </w:rPr>
              <w:t>6</w:t>
            </w:r>
          </w:p>
        </w:tc>
      </w:tr>
      <w:tr w14:paraId="31411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66" w:type="dxa"/>
            <w:vMerge w:val="continue"/>
            <w:tcBorders>
              <w:left w:val="single" w:color="auto" w:sz="4" w:space="0"/>
              <w:right w:val="single" w:color="auto" w:sz="4" w:space="0"/>
            </w:tcBorders>
            <w:vAlign w:val="center"/>
          </w:tcPr>
          <w:p w14:paraId="0738EDDC">
            <w:pPr>
              <w:snapToGrid w:val="0"/>
              <w:spacing w:line="360" w:lineRule="auto"/>
              <w:rPr>
                <w:rFonts w:hint="default" w:ascii="Times New Roman" w:hAnsi="Times New Roman" w:eastAsia="宋体" w:cs="Times New Roman"/>
                <w:bCs/>
                <w:sz w:val="24"/>
                <w:szCs w:val="24"/>
                <w:highlight w:val="none"/>
              </w:rPr>
            </w:pPr>
          </w:p>
        </w:tc>
        <w:tc>
          <w:tcPr>
            <w:tcW w:w="7222" w:type="dxa"/>
            <w:tcBorders>
              <w:top w:val="single" w:color="auto" w:sz="4" w:space="0"/>
              <w:left w:val="single" w:color="auto" w:sz="4" w:space="0"/>
              <w:bottom w:val="single" w:color="auto" w:sz="4" w:space="0"/>
              <w:right w:val="single" w:color="auto" w:sz="4" w:space="0"/>
            </w:tcBorders>
            <w:vAlign w:val="center"/>
          </w:tcPr>
          <w:p w14:paraId="3461425A">
            <w:pPr>
              <w:keepNext w:val="0"/>
              <w:keepLines w:val="0"/>
              <w:suppressLineNumbers w:val="0"/>
              <w:spacing w:before="0" w:beforeAutospacing="0" w:after="0" w:afterAutospacing="0" w:line="360" w:lineRule="auto"/>
              <w:ind w:left="0" w:right="0"/>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lang w:val="en-US" w:eastAsia="zh-CN"/>
              </w:rPr>
              <w:t>5</w:t>
            </w:r>
            <w:r>
              <w:rPr>
                <w:rFonts w:hint="default" w:ascii="Times New Roman" w:hAnsi="Times New Roman" w:eastAsia="宋体" w:cs="Times New Roman"/>
                <w:sz w:val="24"/>
                <w:szCs w:val="20"/>
                <w:highlight w:val="none"/>
              </w:rPr>
              <w:t>、服务方案：</w:t>
            </w:r>
          </w:p>
          <w:p w14:paraId="32AD2CF5">
            <w:pPr>
              <w:keepNext w:val="0"/>
              <w:keepLines w:val="0"/>
              <w:suppressLineNumbers w:val="0"/>
              <w:spacing w:before="0" w:beforeAutospacing="0" w:after="0" w:afterAutospacing="0" w:line="360" w:lineRule="auto"/>
              <w:ind w:left="0" w:right="0"/>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（1）运输及包装方案：</w:t>
            </w:r>
          </w:p>
          <w:p w14:paraId="4638CF9A">
            <w:pPr>
              <w:keepNext w:val="0"/>
              <w:keepLines w:val="0"/>
              <w:suppressLineNumbers w:val="0"/>
              <w:spacing w:before="0" w:beforeAutospacing="0" w:after="0" w:afterAutospacing="0" w:line="360" w:lineRule="auto"/>
              <w:ind w:left="0" w:right="0"/>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针对本项目制定具体包装和运输方案（包括但不限于包装工艺、包装防护措施、运输安全保障、应急保障措施等内容）以上内容每提供一项得0.25分，满分1分；</w:t>
            </w:r>
          </w:p>
          <w:p w14:paraId="50394342">
            <w:pPr>
              <w:keepNext w:val="0"/>
              <w:keepLines w:val="0"/>
              <w:suppressLineNumbers w:val="0"/>
              <w:spacing w:before="0" w:beforeAutospacing="0" w:after="0" w:afterAutospacing="0" w:line="360" w:lineRule="auto"/>
              <w:ind w:left="0" w:right="0"/>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（2）安装、调试及验收方案：</w:t>
            </w:r>
          </w:p>
          <w:p w14:paraId="72E874D2">
            <w:pPr>
              <w:keepNext w:val="0"/>
              <w:keepLines w:val="0"/>
              <w:suppressLineNumbers w:val="0"/>
              <w:spacing w:before="0" w:beforeAutospacing="0" w:after="0" w:afterAutospacing="0" w:line="360" w:lineRule="auto"/>
              <w:ind w:left="0" w:right="0"/>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针对本项目制定具体安装、调试及验收方案（包括但不限于安装流程、设备调试流程、验收流程、质量管控等内容）以上内容每提供一项得0.25分，满分1分；</w:t>
            </w:r>
          </w:p>
          <w:p w14:paraId="3D78A93B">
            <w:pPr>
              <w:keepNext w:val="0"/>
              <w:keepLines w:val="0"/>
              <w:suppressLineNumbers w:val="0"/>
              <w:spacing w:before="0" w:beforeAutospacing="0" w:after="0" w:afterAutospacing="0" w:line="360" w:lineRule="auto"/>
              <w:ind w:left="0" w:right="0"/>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（3）专用实验场地配套保障：</w:t>
            </w:r>
          </w:p>
          <w:p w14:paraId="6AE2E45B">
            <w:pPr>
              <w:keepNext w:val="0"/>
              <w:keepLines w:val="0"/>
              <w:suppressLineNumbers w:val="0"/>
              <w:spacing w:before="0" w:beforeAutospacing="0" w:after="0" w:afterAutospacing="0" w:line="360" w:lineRule="auto"/>
              <w:ind w:left="0" w:right="0"/>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针对本项目规划适配的三大模块暂存、调试的标准化洁净区域，并提供真实实验室布局图、场地面积说明、场地实景资料作为佐证并提供保障承诺函。</w:t>
            </w:r>
          </w:p>
          <w:p w14:paraId="06564571">
            <w:pPr>
              <w:keepNext w:val="0"/>
              <w:keepLines w:val="0"/>
              <w:suppressLineNumbers w:val="0"/>
              <w:spacing w:before="0" w:beforeAutospacing="0" w:after="0" w:afterAutospacing="0" w:line="360" w:lineRule="auto"/>
              <w:ind w:left="0" w:right="0"/>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以上全部配套资料完整齐备、实验场地条件均满足项目实施要求并提供保障承诺函，</w:t>
            </w:r>
            <w:r>
              <w:rPr>
                <w:rFonts w:hint="default" w:ascii="Times New Roman" w:hAnsi="Times New Roman" w:eastAsia="宋体" w:cs="Times New Roman"/>
                <w:sz w:val="24"/>
                <w:szCs w:val="20"/>
                <w:highlight w:val="none"/>
                <w:lang w:val="en-US" w:eastAsia="zh-CN"/>
              </w:rPr>
              <w:t>得2</w:t>
            </w:r>
            <w:r>
              <w:rPr>
                <w:rFonts w:hint="default" w:ascii="Times New Roman" w:hAnsi="Times New Roman" w:eastAsia="宋体" w:cs="Times New Roman"/>
                <w:sz w:val="24"/>
                <w:szCs w:val="20"/>
                <w:highlight w:val="none"/>
              </w:rPr>
              <w:t>分；存在资料缺漏、场地配套条件无法适配项目需求或未提供相关佐证材料任一情形的，本项不予计分。</w:t>
            </w:r>
          </w:p>
          <w:p w14:paraId="6E55C0C4">
            <w:pPr>
              <w:keepNext w:val="0"/>
              <w:keepLines w:val="0"/>
              <w:suppressLineNumbers w:val="0"/>
              <w:spacing w:before="0" w:beforeAutospacing="0" w:after="0" w:afterAutospacing="0" w:line="360" w:lineRule="auto"/>
              <w:ind w:left="0" w:right="0"/>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（4）模型训练数据支撑：</w:t>
            </w:r>
          </w:p>
          <w:p w14:paraId="4897EB2A">
            <w:pPr>
              <w:keepNext w:val="0"/>
              <w:keepLines w:val="0"/>
              <w:suppressLineNumbers w:val="0"/>
              <w:spacing w:before="0" w:beforeAutospacing="0" w:after="0" w:afterAutospacing="0" w:line="360" w:lineRule="auto"/>
              <w:ind w:left="0" w:right="0"/>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提供不低于100万份真实样本从组织到文库的系统流数据用于基座模型迭代优化，并完整提交数据溯源佐证文件、数据保真承诺函；</w:t>
            </w:r>
          </w:p>
          <w:p w14:paraId="52A1C82F">
            <w:pPr>
              <w:spacing w:after="60"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sz w:val="24"/>
                <w:szCs w:val="20"/>
                <w:highlight w:val="none"/>
              </w:rPr>
              <w:t>以上全部配套资料完整齐备、数据体量达标的，</w:t>
            </w:r>
            <w:r>
              <w:rPr>
                <w:rFonts w:hint="default" w:ascii="Times New Roman" w:hAnsi="Times New Roman" w:eastAsia="宋体" w:cs="Times New Roman"/>
                <w:sz w:val="24"/>
                <w:szCs w:val="20"/>
                <w:highlight w:val="none"/>
                <w:lang w:val="en-US" w:eastAsia="zh-CN"/>
              </w:rPr>
              <w:t>得2</w:t>
            </w:r>
            <w:r>
              <w:rPr>
                <w:rFonts w:hint="default" w:ascii="Times New Roman" w:hAnsi="Times New Roman" w:eastAsia="宋体" w:cs="Times New Roman"/>
                <w:sz w:val="24"/>
                <w:szCs w:val="20"/>
                <w:highlight w:val="none"/>
              </w:rPr>
              <w:t>分；存在资料缺漏、数据体量不达标或未提供相关佐证材料任一情形的，本项不予计分。</w:t>
            </w:r>
          </w:p>
        </w:tc>
        <w:tc>
          <w:tcPr>
            <w:tcW w:w="976" w:type="dxa"/>
            <w:tcBorders>
              <w:top w:val="single" w:color="auto" w:sz="4" w:space="0"/>
              <w:left w:val="single" w:color="auto" w:sz="4" w:space="0"/>
              <w:bottom w:val="single" w:color="auto" w:sz="4" w:space="0"/>
              <w:right w:val="single" w:color="auto" w:sz="4" w:space="0"/>
            </w:tcBorders>
            <w:vAlign w:val="center"/>
          </w:tcPr>
          <w:p w14:paraId="22461517">
            <w:pPr>
              <w:spacing w:line="360" w:lineRule="auto"/>
              <w:rPr>
                <w:rFonts w:hint="default" w:ascii="Times New Roman" w:hAnsi="Times New Roman" w:eastAsia="宋体" w:cs="Times New Roman"/>
                <w:bCs/>
                <w:sz w:val="24"/>
                <w:szCs w:val="24"/>
                <w:highlight w:val="none"/>
                <w:lang w:val="en-US" w:eastAsia="zh-CN"/>
              </w:rPr>
            </w:pPr>
            <w:r>
              <w:rPr>
                <w:rFonts w:hint="default" w:ascii="Times New Roman" w:hAnsi="Times New Roman" w:eastAsia="宋体" w:cs="Times New Roman"/>
                <w:bCs/>
                <w:sz w:val="24"/>
                <w:szCs w:val="24"/>
                <w:highlight w:val="none"/>
                <w:lang w:val="en-US" w:eastAsia="zh-CN"/>
              </w:rPr>
              <w:t>6</w:t>
            </w:r>
          </w:p>
        </w:tc>
      </w:tr>
      <w:tr w14:paraId="6F037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66" w:type="dxa"/>
            <w:vMerge w:val="continue"/>
            <w:tcBorders>
              <w:left w:val="single" w:color="auto" w:sz="4" w:space="0"/>
              <w:right w:val="single" w:color="auto" w:sz="4" w:space="0"/>
            </w:tcBorders>
            <w:vAlign w:val="center"/>
          </w:tcPr>
          <w:p w14:paraId="0FA1B4BC">
            <w:pPr>
              <w:snapToGrid w:val="0"/>
              <w:spacing w:line="360" w:lineRule="auto"/>
              <w:rPr>
                <w:rFonts w:hint="default" w:ascii="Times New Roman" w:hAnsi="Times New Roman" w:eastAsia="宋体" w:cs="Times New Roman"/>
                <w:bCs/>
                <w:sz w:val="24"/>
                <w:szCs w:val="24"/>
                <w:highlight w:val="none"/>
              </w:rPr>
            </w:pPr>
          </w:p>
        </w:tc>
        <w:tc>
          <w:tcPr>
            <w:tcW w:w="7222" w:type="dxa"/>
            <w:tcBorders>
              <w:top w:val="single" w:color="auto" w:sz="4" w:space="0"/>
              <w:left w:val="single" w:color="auto" w:sz="4" w:space="0"/>
              <w:bottom w:val="single" w:color="auto" w:sz="4" w:space="0"/>
              <w:right w:val="single" w:color="auto" w:sz="4" w:space="0"/>
            </w:tcBorders>
            <w:vAlign w:val="center"/>
          </w:tcPr>
          <w:p w14:paraId="7730C5BC">
            <w:pPr>
              <w:snapToGrid/>
              <w:spacing w:after="60" w:line="360" w:lineRule="auto"/>
              <w:rPr>
                <w:rFonts w:hint="default" w:ascii="Times New Roman" w:hAnsi="Times New Roman" w:eastAsia="宋体" w:cs="Times New Roman"/>
                <w:sz w:val="24"/>
                <w:szCs w:val="22"/>
                <w:highlight w:val="none"/>
              </w:rPr>
            </w:pPr>
            <w:r>
              <w:rPr>
                <w:rFonts w:hint="default" w:ascii="Times New Roman" w:hAnsi="Times New Roman" w:eastAsia="宋体" w:cs="Times New Roman"/>
                <w:sz w:val="24"/>
                <w:szCs w:val="22"/>
                <w:highlight w:val="none"/>
                <w:lang w:val="en-US" w:eastAsia="zh-CN"/>
              </w:rPr>
              <w:t>6</w:t>
            </w:r>
            <w:r>
              <w:rPr>
                <w:rFonts w:hint="default" w:ascii="Times New Roman" w:hAnsi="Times New Roman" w:eastAsia="宋体" w:cs="Times New Roman"/>
                <w:sz w:val="24"/>
                <w:szCs w:val="22"/>
                <w:highlight w:val="none"/>
              </w:rPr>
              <w:t>、售后服务：</w:t>
            </w:r>
          </w:p>
          <w:p w14:paraId="5F104C98">
            <w:pPr>
              <w:spacing w:after="60"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针对本项目的需求制定售后服务方案（包括但不限于以下内容：交货计划、应急维修时间安排、质保期外的维修服务收费标准、其它服务承诺）进行评审：</w:t>
            </w:r>
          </w:p>
          <w:p w14:paraId="38FC456F">
            <w:pPr>
              <w:keepNext w:val="0"/>
              <w:keepLines w:val="0"/>
              <w:suppressLineNumbers w:val="0"/>
              <w:spacing w:before="0" w:beforeAutospacing="0" w:after="60" w:afterAutospacing="0" w:line="360" w:lineRule="auto"/>
              <w:ind w:left="0" w:leftChars="0" w:right="0" w:rightChars="0"/>
              <w:rPr>
                <w:rFonts w:hint="default" w:ascii="Times New Roman" w:hAnsi="Times New Roman" w:eastAsia="宋体" w:cs="Times New Roman"/>
                <w:bCs/>
                <w:sz w:val="24"/>
                <w:szCs w:val="24"/>
                <w:highlight w:val="none"/>
              </w:rPr>
            </w:pPr>
            <w:r>
              <w:rPr>
                <w:rFonts w:hint="default" w:ascii="Times New Roman" w:hAnsi="Times New Roman" w:eastAsia="宋体" w:cs="Times New Roman"/>
                <w:b w:val="0"/>
                <w:bCs/>
                <w:sz w:val="24"/>
                <w:szCs w:val="24"/>
                <w:highlight w:val="none"/>
              </w:rPr>
              <w:t>评审标准：</w:t>
            </w:r>
            <w:r>
              <w:rPr>
                <w:rFonts w:hint="default" w:ascii="Times New Roman" w:hAnsi="Times New Roman" w:eastAsia="宋体" w:cs="Times New Roman"/>
                <w:b w:val="0"/>
                <w:bCs/>
                <w:sz w:val="24"/>
                <w:szCs w:val="20"/>
                <w:highlight w:val="none"/>
                <w:lang w:val="en-US" w:eastAsia="zh-CN"/>
              </w:rPr>
              <w:t>方案</w:t>
            </w:r>
            <w:r>
              <w:rPr>
                <w:rFonts w:hint="default" w:ascii="Times New Roman" w:hAnsi="Times New Roman" w:eastAsia="宋体" w:cs="Times New Roman"/>
                <w:b w:val="0"/>
                <w:bCs/>
                <w:sz w:val="24"/>
                <w:szCs w:val="20"/>
                <w:highlight w:val="none"/>
              </w:rPr>
              <w:t>内容涵盖上述每一点得</w:t>
            </w:r>
            <w:r>
              <w:rPr>
                <w:rFonts w:hint="default" w:ascii="Times New Roman" w:hAnsi="Times New Roman" w:eastAsia="宋体" w:cs="Times New Roman"/>
                <w:b w:val="0"/>
                <w:bCs/>
                <w:sz w:val="24"/>
                <w:szCs w:val="20"/>
                <w:highlight w:val="none"/>
                <w:lang w:val="en-US" w:eastAsia="zh-CN"/>
              </w:rPr>
              <w:t>0.25</w:t>
            </w:r>
            <w:r>
              <w:rPr>
                <w:rFonts w:hint="default" w:ascii="Times New Roman" w:hAnsi="Times New Roman" w:eastAsia="宋体" w:cs="Times New Roman"/>
                <w:b w:val="0"/>
                <w:bCs/>
                <w:sz w:val="24"/>
                <w:szCs w:val="20"/>
                <w:highlight w:val="none"/>
              </w:rPr>
              <w:t>分，最高得</w:t>
            </w:r>
            <w:r>
              <w:rPr>
                <w:rFonts w:hint="default" w:ascii="Times New Roman" w:hAnsi="Times New Roman" w:eastAsia="宋体" w:cs="Times New Roman"/>
                <w:b w:val="0"/>
                <w:bCs/>
                <w:sz w:val="24"/>
                <w:szCs w:val="20"/>
                <w:highlight w:val="none"/>
                <w:lang w:val="en-US" w:eastAsia="zh-CN"/>
              </w:rPr>
              <w:t>1</w:t>
            </w:r>
            <w:r>
              <w:rPr>
                <w:rFonts w:hint="default" w:ascii="Times New Roman" w:hAnsi="Times New Roman" w:eastAsia="宋体" w:cs="Times New Roman"/>
                <w:b w:val="0"/>
                <w:bCs/>
                <w:sz w:val="24"/>
                <w:szCs w:val="20"/>
                <w:highlight w:val="none"/>
              </w:rPr>
              <w:t>分。</w:t>
            </w:r>
          </w:p>
        </w:tc>
        <w:tc>
          <w:tcPr>
            <w:tcW w:w="976" w:type="dxa"/>
            <w:tcBorders>
              <w:top w:val="single" w:color="auto" w:sz="4" w:space="0"/>
              <w:left w:val="single" w:color="auto" w:sz="4" w:space="0"/>
              <w:bottom w:val="single" w:color="auto" w:sz="4" w:space="0"/>
              <w:right w:val="single" w:color="auto" w:sz="4" w:space="0"/>
            </w:tcBorders>
            <w:vAlign w:val="center"/>
          </w:tcPr>
          <w:p w14:paraId="354EB96E">
            <w:pPr>
              <w:keepNext w:val="0"/>
              <w:keepLines w:val="0"/>
              <w:suppressLineNumbers w:val="0"/>
              <w:spacing w:before="0" w:beforeAutospacing="0" w:after="0" w:afterAutospacing="0" w:line="360" w:lineRule="auto"/>
              <w:ind w:left="0" w:leftChars="0" w:right="0" w:rightChars="0"/>
              <w:jc w:val="center"/>
              <w:rPr>
                <w:rFonts w:hint="default" w:ascii="Times New Roman" w:hAnsi="Times New Roman" w:eastAsia="宋体" w:cs="Times New Roman"/>
                <w:bCs/>
                <w:sz w:val="24"/>
                <w:szCs w:val="24"/>
                <w:highlight w:val="none"/>
                <w:lang w:val="en-US" w:eastAsia="zh-CN"/>
              </w:rPr>
            </w:pPr>
            <w:r>
              <w:rPr>
                <w:rFonts w:hint="default" w:ascii="Times New Roman" w:hAnsi="Times New Roman" w:eastAsia="宋体" w:cs="Times New Roman"/>
                <w:color w:val="000000"/>
                <w:sz w:val="24"/>
                <w:szCs w:val="22"/>
                <w:highlight w:val="none"/>
                <w:lang w:val="en-US" w:eastAsia="zh-CN"/>
              </w:rPr>
              <w:t>1</w:t>
            </w:r>
          </w:p>
        </w:tc>
      </w:tr>
      <w:tr w14:paraId="1F1A6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trPr>
        <w:tc>
          <w:tcPr>
            <w:tcW w:w="1266" w:type="dxa"/>
            <w:vMerge w:val="continue"/>
            <w:tcBorders>
              <w:left w:val="single" w:color="auto" w:sz="4" w:space="0"/>
              <w:right w:val="single" w:color="auto" w:sz="4" w:space="0"/>
            </w:tcBorders>
            <w:vAlign w:val="center"/>
          </w:tcPr>
          <w:p w14:paraId="7ACDC95D">
            <w:pPr>
              <w:snapToGrid w:val="0"/>
              <w:spacing w:line="360" w:lineRule="auto"/>
              <w:rPr>
                <w:rFonts w:hint="default" w:ascii="Times New Roman" w:hAnsi="Times New Roman" w:eastAsia="宋体" w:cs="Times New Roman"/>
                <w:bCs/>
                <w:sz w:val="24"/>
                <w:szCs w:val="24"/>
                <w:highlight w:val="none"/>
              </w:rPr>
            </w:pPr>
          </w:p>
        </w:tc>
        <w:tc>
          <w:tcPr>
            <w:tcW w:w="7222" w:type="dxa"/>
            <w:tcBorders>
              <w:top w:val="single" w:color="auto" w:sz="4" w:space="0"/>
              <w:left w:val="single" w:color="auto" w:sz="4" w:space="0"/>
              <w:bottom w:val="single" w:color="auto" w:sz="4" w:space="0"/>
              <w:right w:val="single" w:color="auto" w:sz="4" w:space="0"/>
            </w:tcBorders>
            <w:vAlign w:val="center"/>
          </w:tcPr>
          <w:p w14:paraId="27C9E429">
            <w:pPr>
              <w:snapToGrid/>
              <w:spacing w:after="60" w:line="360" w:lineRule="auto"/>
              <w:rPr>
                <w:rFonts w:hint="default" w:ascii="Times New Roman" w:hAnsi="Times New Roman" w:eastAsia="宋体" w:cs="Times New Roman"/>
                <w:sz w:val="24"/>
                <w:szCs w:val="22"/>
                <w:highlight w:val="none"/>
              </w:rPr>
            </w:pPr>
            <w:r>
              <w:rPr>
                <w:rFonts w:hint="default" w:ascii="Times New Roman" w:hAnsi="Times New Roman" w:eastAsia="宋体" w:cs="Times New Roman"/>
                <w:sz w:val="24"/>
                <w:szCs w:val="22"/>
                <w:highlight w:val="none"/>
                <w:lang w:val="en-US" w:eastAsia="zh-CN"/>
              </w:rPr>
              <w:t>7</w:t>
            </w:r>
            <w:r>
              <w:rPr>
                <w:rFonts w:hint="default" w:ascii="Times New Roman" w:hAnsi="Times New Roman" w:eastAsia="宋体" w:cs="Times New Roman"/>
                <w:sz w:val="24"/>
                <w:szCs w:val="22"/>
                <w:highlight w:val="none"/>
              </w:rPr>
              <w:t>、售后服务：</w:t>
            </w:r>
          </w:p>
          <w:p w14:paraId="5BB0A650">
            <w:pPr>
              <w:spacing w:after="60" w:line="360" w:lineRule="auto"/>
              <w:rPr>
                <w:rFonts w:hint="default" w:ascii="Times New Roman" w:hAnsi="Times New Roman" w:eastAsia="宋体" w:cs="Times New Roman"/>
                <w:b w:val="0"/>
                <w:bCs/>
                <w:sz w:val="24"/>
                <w:szCs w:val="24"/>
                <w:highlight w:val="none"/>
              </w:rPr>
            </w:pPr>
            <w:r>
              <w:rPr>
                <w:rFonts w:hint="default" w:ascii="Times New Roman" w:hAnsi="Times New Roman" w:eastAsia="宋体" w:cs="Times New Roman"/>
                <w:b w:val="0"/>
                <w:bCs/>
                <w:sz w:val="24"/>
                <w:szCs w:val="20"/>
                <w:highlight w:val="none"/>
              </w:rPr>
              <w:t>在此基础上，专家根据各投标人的具体响应内容按照量化的评审因素指标进一步评审，评审为优的</w:t>
            </w:r>
            <w:bookmarkStart w:id="207" w:name="OLE_LINK13"/>
            <w:r>
              <w:rPr>
                <w:rFonts w:hint="default" w:ascii="Times New Roman" w:hAnsi="Times New Roman" w:eastAsia="宋体" w:cs="Times New Roman"/>
                <w:b w:val="0"/>
                <w:bCs/>
                <w:sz w:val="24"/>
                <w:szCs w:val="20"/>
                <w:highlight w:val="none"/>
                <w:lang w:val="en-US" w:eastAsia="zh-CN"/>
              </w:rPr>
              <w:t>得</w:t>
            </w:r>
            <w:bookmarkEnd w:id="207"/>
            <w:r>
              <w:rPr>
                <w:rFonts w:hint="default" w:ascii="Times New Roman" w:hAnsi="Times New Roman" w:eastAsia="宋体" w:cs="Times New Roman"/>
                <w:b w:val="0"/>
                <w:bCs/>
                <w:sz w:val="24"/>
                <w:szCs w:val="20"/>
                <w:highlight w:val="none"/>
                <w:lang w:val="en-US" w:eastAsia="zh-CN"/>
              </w:rPr>
              <w:t>3</w:t>
            </w:r>
            <w:r>
              <w:rPr>
                <w:rFonts w:hint="default" w:ascii="Times New Roman" w:hAnsi="Times New Roman" w:eastAsia="宋体" w:cs="Times New Roman"/>
                <w:b w:val="0"/>
                <w:bCs/>
                <w:sz w:val="24"/>
                <w:szCs w:val="20"/>
                <w:highlight w:val="none"/>
              </w:rPr>
              <w:t>分，评审为良的</w:t>
            </w:r>
            <w:r>
              <w:rPr>
                <w:rFonts w:hint="default" w:ascii="Times New Roman" w:hAnsi="Times New Roman" w:eastAsia="宋体" w:cs="Times New Roman"/>
                <w:b w:val="0"/>
                <w:bCs/>
                <w:sz w:val="24"/>
                <w:szCs w:val="20"/>
                <w:highlight w:val="none"/>
                <w:lang w:val="en-US" w:eastAsia="zh-CN"/>
              </w:rPr>
              <w:t>得2</w:t>
            </w:r>
            <w:r>
              <w:rPr>
                <w:rFonts w:hint="default" w:ascii="Times New Roman" w:hAnsi="Times New Roman" w:eastAsia="宋体" w:cs="Times New Roman"/>
                <w:b w:val="0"/>
                <w:bCs/>
                <w:sz w:val="24"/>
                <w:szCs w:val="20"/>
                <w:highlight w:val="none"/>
              </w:rPr>
              <w:t>分，评审为</w:t>
            </w:r>
            <w:r>
              <w:rPr>
                <w:rFonts w:hint="default" w:ascii="Times New Roman" w:hAnsi="Times New Roman" w:eastAsia="宋体" w:cs="Times New Roman"/>
                <w:b w:val="0"/>
                <w:bCs/>
                <w:sz w:val="24"/>
                <w:szCs w:val="20"/>
                <w:highlight w:val="none"/>
                <w:lang w:val="en-US" w:eastAsia="zh-CN"/>
              </w:rPr>
              <w:t>中的得1分，</w:t>
            </w:r>
            <w:r>
              <w:rPr>
                <w:rFonts w:hint="default" w:ascii="Times New Roman" w:hAnsi="Times New Roman" w:eastAsia="宋体" w:cs="Times New Roman"/>
                <w:b w:val="0"/>
                <w:bCs/>
                <w:sz w:val="24"/>
                <w:szCs w:val="20"/>
                <w:highlight w:val="none"/>
              </w:rPr>
              <w:t>评审为</w:t>
            </w:r>
            <w:r>
              <w:rPr>
                <w:rFonts w:hint="default" w:ascii="Times New Roman" w:hAnsi="Times New Roman" w:eastAsia="宋体" w:cs="Times New Roman"/>
                <w:b w:val="0"/>
                <w:bCs/>
                <w:sz w:val="24"/>
                <w:szCs w:val="20"/>
                <w:highlight w:val="none"/>
                <w:lang w:val="en-US" w:eastAsia="zh-CN"/>
              </w:rPr>
              <w:t>差</w:t>
            </w:r>
            <w:r>
              <w:rPr>
                <w:rFonts w:hint="default" w:ascii="Times New Roman" w:hAnsi="Times New Roman" w:eastAsia="宋体" w:cs="Times New Roman"/>
                <w:b w:val="0"/>
                <w:bCs/>
                <w:sz w:val="24"/>
                <w:szCs w:val="20"/>
                <w:highlight w:val="none"/>
              </w:rPr>
              <w:t>的</w:t>
            </w:r>
            <w:r>
              <w:rPr>
                <w:rFonts w:hint="default" w:ascii="Times New Roman" w:hAnsi="Times New Roman" w:eastAsia="宋体" w:cs="Times New Roman"/>
                <w:b w:val="0"/>
                <w:bCs/>
                <w:sz w:val="24"/>
                <w:szCs w:val="20"/>
                <w:highlight w:val="none"/>
                <w:lang w:val="en-US" w:eastAsia="zh-CN"/>
              </w:rPr>
              <w:t>得0</w:t>
            </w:r>
            <w:r>
              <w:rPr>
                <w:rFonts w:hint="default" w:ascii="Times New Roman" w:hAnsi="Times New Roman" w:eastAsia="宋体" w:cs="Times New Roman"/>
                <w:b w:val="0"/>
                <w:bCs/>
                <w:sz w:val="24"/>
                <w:szCs w:val="20"/>
                <w:highlight w:val="none"/>
              </w:rPr>
              <w:t>分。其中：</w:t>
            </w:r>
          </w:p>
          <w:p w14:paraId="03B1F0C1">
            <w:pPr>
              <w:spacing w:after="60" w:line="360" w:lineRule="auto"/>
              <w:rPr>
                <w:rFonts w:hint="default" w:ascii="Times New Roman" w:hAnsi="Times New Roman" w:eastAsia="宋体" w:cs="Times New Roman"/>
                <w:b w:val="0"/>
                <w:bCs/>
                <w:sz w:val="24"/>
                <w:szCs w:val="24"/>
                <w:highlight w:val="none"/>
              </w:rPr>
            </w:pPr>
            <w:r>
              <w:rPr>
                <w:rFonts w:hint="default" w:ascii="Times New Roman" w:hAnsi="Times New Roman" w:eastAsia="宋体" w:cs="Times New Roman"/>
                <w:b w:val="0"/>
                <w:bCs/>
                <w:sz w:val="24"/>
                <w:szCs w:val="20"/>
                <w:highlight w:val="none"/>
              </w:rPr>
              <w:t>优</w:t>
            </w:r>
            <w:r>
              <w:rPr>
                <w:rFonts w:hint="default" w:ascii="Times New Roman" w:hAnsi="Times New Roman" w:eastAsia="宋体" w:cs="Times New Roman"/>
                <w:b w:val="0"/>
                <w:bCs/>
                <w:sz w:val="24"/>
                <w:szCs w:val="20"/>
                <w:highlight w:val="none"/>
                <w:lang w:eastAsia="zh-CN"/>
              </w:rPr>
              <w:t>：</w:t>
            </w:r>
            <w:r>
              <w:rPr>
                <w:rFonts w:hint="default" w:ascii="Times New Roman" w:hAnsi="Times New Roman" w:eastAsia="宋体" w:cs="Times New Roman"/>
                <w:b w:val="0"/>
                <w:bCs/>
                <w:sz w:val="24"/>
                <w:szCs w:val="24"/>
                <w:highlight w:val="none"/>
              </w:rPr>
              <w:t>售后服务内容全面，具体，表达清晰、完整、严谨，针对性强，科学合理，可操作性强；</w:t>
            </w:r>
          </w:p>
          <w:p w14:paraId="35F540C8">
            <w:pPr>
              <w:spacing w:after="60" w:line="360" w:lineRule="auto"/>
              <w:rPr>
                <w:rFonts w:hint="default" w:ascii="Times New Roman" w:hAnsi="Times New Roman" w:eastAsia="宋体" w:cs="Times New Roman"/>
                <w:b w:val="0"/>
                <w:bCs/>
                <w:sz w:val="24"/>
                <w:szCs w:val="24"/>
                <w:highlight w:val="none"/>
              </w:rPr>
            </w:pPr>
            <w:r>
              <w:rPr>
                <w:rFonts w:hint="default" w:ascii="Times New Roman" w:hAnsi="Times New Roman" w:eastAsia="宋体" w:cs="Times New Roman"/>
                <w:b w:val="0"/>
                <w:bCs/>
                <w:sz w:val="24"/>
                <w:szCs w:val="24"/>
                <w:highlight w:val="none"/>
                <w:lang w:val="en-US" w:eastAsia="zh-CN"/>
              </w:rPr>
              <w:t>良：</w:t>
            </w:r>
            <w:r>
              <w:rPr>
                <w:rFonts w:hint="default" w:ascii="Times New Roman" w:hAnsi="Times New Roman" w:eastAsia="宋体" w:cs="Times New Roman"/>
                <w:b w:val="0"/>
                <w:bCs/>
                <w:sz w:val="24"/>
                <w:szCs w:val="24"/>
                <w:highlight w:val="none"/>
              </w:rPr>
              <w:t>售后服务方案内容比较全面，比较具体，表达比较清晰、完整、严谨，针对性比较强，比较科学合理，可操作性比较强；</w:t>
            </w:r>
          </w:p>
          <w:p w14:paraId="0812DEF3">
            <w:pPr>
              <w:spacing w:after="60" w:line="360" w:lineRule="auto"/>
              <w:rPr>
                <w:rFonts w:hint="default" w:ascii="Times New Roman" w:hAnsi="Times New Roman" w:eastAsia="宋体" w:cs="Times New Roman"/>
                <w:b w:val="0"/>
                <w:bCs/>
                <w:sz w:val="24"/>
                <w:szCs w:val="24"/>
                <w:highlight w:val="none"/>
              </w:rPr>
            </w:pPr>
            <w:r>
              <w:rPr>
                <w:rFonts w:hint="default" w:ascii="Times New Roman" w:hAnsi="Times New Roman" w:eastAsia="宋体" w:cs="Times New Roman"/>
                <w:b w:val="0"/>
                <w:bCs/>
                <w:sz w:val="24"/>
                <w:szCs w:val="24"/>
                <w:highlight w:val="none"/>
                <w:lang w:val="en-US" w:eastAsia="zh-CN"/>
              </w:rPr>
              <w:t>中：</w:t>
            </w:r>
            <w:r>
              <w:rPr>
                <w:rFonts w:hint="default" w:ascii="Times New Roman" w:hAnsi="Times New Roman" w:eastAsia="宋体" w:cs="Times New Roman"/>
                <w:b w:val="0"/>
                <w:bCs/>
                <w:sz w:val="24"/>
                <w:szCs w:val="24"/>
                <w:highlight w:val="none"/>
              </w:rPr>
              <w:t>售后服务方案内容不够全面，不够具体，表达不够清晰、完整、严谨，针对性不够强，不够科学合理，可操作性不够强；</w:t>
            </w:r>
          </w:p>
          <w:p w14:paraId="0350C209">
            <w:pPr>
              <w:keepNext w:val="0"/>
              <w:keepLines w:val="0"/>
              <w:suppressLineNumbers w:val="0"/>
              <w:spacing w:before="0" w:beforeAutospacing="0" w:after="60" w:afterAutospacing="0" w:line="360" w:lineRule="auto"/>
              <w:ind w:left="0" w:leftChars="0" w:right="0" w:rightChars="0"/>
              <w:rPr>
                <w:rFonts w:hint="default" w:ascii="Times New Roman" w:hAnsi="Times New Roman" w:eastAsia="宋体" w:cs="Times New Roman"/>
                <w:bCs/>
                <w:sz w:val="24"/>
                <w:szCs w:val="24"/>
                <w:highlight w:val="none"/>
              </w:rPr>
            </w:pPr>
            <w:r>
              <w:rPr>
                <w:rFonts w:hint="default" w:ascii="Times New Roman" w:hAnsi="Times New Roman" w:eastAsia="宋体" w:cs="Times New Roman"/>
                <w:b w:val="0"/>
                <w:bCs/>
                <w:sz w:val="24"/>
                <w:highlight w:val="none"/>
                <w:lang w:val="en-US" w:eastAsia="zh-CN"/>
              </w:rPr>
              <w:t>差：</w:t>
            </w:r>
            <w:r>
              <w:rPr>
                <w:rFonts w:hint="default" w:ascii="Times New Roman" w:hAnsi="Times New Roman" w:eastAsia="宋体" w:cs="Times New Roman"/>
                <w:b w:val="0"/>
                <w:bCs/>
                <w:sz w:val="24"/>
                <w:highlight w:val="none"/>
              </w:rPr>
              <w:t>投标人未提供方案或提供了但是完全脱离实际不得分。</w:t>
            </w:r>
          </w:p>
        </w:tc>
        <w:tc>
          <w:tcPr>
            <w:tcW w:w="976" w:type="dxa"/>
            <w:tcBorders>
              <w:top w:val="single" w:color="auto" w:sz="4" w:space="0"/>
              <w:left w:val="single" w:color="auto" w:sz="4" w:space="0"/>
              <w:bottom w:val="single" w:color="auto" w:sz="4" w:space="0"/>
              <w:right w:val="single" w:color="auto" w:sz="4" w:space="0"/>
            </w:tcBorders>
            <w:vAlign w:val="center"/>
          </w:tcPr>
          <w:p w14:paraId="721119A5">
            <w:pPr>
              <w:keepNext w:val="0"/>
              <w:keepLines w:val="0"/>
              <w:suppressLineNumbers w:val="0"/>
              <w:spacing w:before="0" w:beforeAutospacing="0" w:after="0" w:afterAutospacing="0" w:line="360" w:lineRule="auto"/>
              <w:ind w:left="0" w:leftChars="0" w:right="0" w:rightChars="0"/>
              <w:jc w:val="center"/>
              <w:rPr>
                <w:rFonts w:hint="default" w:ascii="Times New Roman" w:hAnsi="Times New Roman" w:eastAsia="宋体" w:cs="Times New Roman"/>
                <w:bCs/>
                <w:sz w:val="24"/>
                <w:szCs w:val="24"/>
                <w:highlight w:val="none"/>
                <w:lang w:val="en-US" w:eastAsia="zh-CN"/>
              </w:rPr>
            </w:pPr>
            <w:r>
              <w:rPr>
                <w:rFonts w:hint="default" w:ascii="Times New Roman" w:hAnsi="Times New Roman" w:eastAsia="宋体" w:cs="Times New Roman"/>
                <w:color w:val="000000"/>
                <w:sz w:val="24"/>
                <w:szCs w:val="22"/>
                <w:highlight w:val="none"/>
                <w:lang w:val="en-US" w:eastAsia="zh-CN"/>
              </w:rPr>
              <w:t>3</w:t>
            </w:r>
          </w:p>
        </w:tc>
      </w:tr>
      <w:tr w14:paraId="11B90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trPr>
        <w:tc>
          <w:tcPr>
            <w:tcW w:w="1266" w:type="dxa"/>
            <w:vMerge w:val="continue"/>
            <w:tcBorders>
              <w:left w:val="single" w:color="auto" w:sz="4" w:space="0"/>
              <w:right w:val="single" w:color="auto" w:sz="4" w:space="0"/>
            </w:tcBorders>
            <w:vAlign w:val="center"/>
          </w:tcPr>
          <w:p w14:paraId="28122655">
            <w:pPr>
              <w:snapToGrid w:val="0"/>
              <w:spacing w:line="360" w:lineRule="auto"/>
              <w:rPr>
                <w:rFonts w:hint="default" w:ascii="Times New Roman" w:hAnsi="Times New Roman" w:eastAsia="宋体" w:cs="Times New Roman"/>
                <w:bCs/>
                <w:sz w:val="24"/>
                <w:szCs w:val="24"/>
                <w:highlight w:val="none"/>
              </w:rPr>
            </w:pPr>
          </w:p>
        </w:tc>
        <w:tc>
          <w:tcPr>
            <w:tcW w:w="7222" w:type="dxa"/>
            <w:tcBorders>
              <w:top w:val="single" w:color="auto" w:sz="4" w:space="0"/>
              <w:left w:val="single" w:color="auto" w:sz="4" w:space="0"/>
              <w:bottom w:val="single" w:color="auto" w:sz="4" w:space="0"/>
              <w:right w:val="single" w:color="auto" w:sz="4" w:space="0"/>
            </w:tcBorders>
            <w:vAlign w:val="center"/>
          </w:tcPr>
          <w:p w14:paraId="1A24E451">
            <w:pPr>
              <w:snapToGrid w:val="0"/>
              <w:spacing w:line="360" w:lineRule="auto"/>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lang w:val="en-US" w:eastAsia="zh-CN"/>
              </w:rPr>
              <w:t>8</w:t>
            </w:r>
            <w:r>
              <w:rPr>
                <w:rFonts w:hint="default" w:ascii="Times New Roman" w:hAnsi="Times New Roman" w:eastAsia="宋体" w:cs="Times New Roman"/>
                <w:sz w:val="24"/>
                <w:szCs w:val="20"/>
                <w:highlight w:val="none"/>
              </w:rPr>
              <w:t>、培训方案：包括具体</w:t>
            </w:r>
            <w:r>
              <w:rPr>
                <w:rFonts w:hint="default" w:ascii="Times New Roman" w:hAnsi="Times New Roman" w:eastAsia="宋体" w:cs="Times New Roman"/>
                <w:sz w:val="24"/>
                <w:szCs w:val="20"/>
                <w:highlight w:val="none"/>
                <w:lang w:eastAsia="zh-CN"/>
              </w:rPr>
              <w:t>“</w:t>
            </w:r>
            <w:r>
              <w:rPr>
                <w:rFonts w:hint="default" w:ascii="Times New Roman" w:hAnsi="Times New Roman" w:eastAsia="宋体" w:cs="Times New Roman"/>
                <w:sz w:val="24"/>
                <w:szCs w:val="20"/>
                <w:highlight w:val="none"/>
              </w:rPr>
              <w:t>培训计划</w:t>
            </w:r>
            <w:r>
              <w:rPr>
                <w:rFonts w:hint="default" w:ascii="Times New Roman" w:hAnsi="Times New Roman" w:eastAsia="宋体" w:cs="Times New Roman"/>
                <w:sz w:val="24"/>
                <w:szCs w:val="20"/>
                <w:highlight w:val="none"/>
                <w:lang w:val="en-US" w:eastAsia="zh-CN"/>
              </w:rPr>
              <w:t>和</w:t>
            </w:r>
            <w:r>
              <w:rPr>
                <w:rFonts w:hint="default" w:ascii="Times New Roman" w:hAnsi="Times New Roman" w:eastAsia="宋体" w:cs="Times New Roman"/>
                <w:sz w:val="24"/>
                <w:szCs w:val="20"/>
                <w:highlight w:val="none"/>
              </w:rPr>
              <w:t>内容</w:t>
            </w:r>
            <w:r>
              <w:rPr>
                <w:rFonts w:hint="default" w:ascii="Times New Roman" w:hAnsi="Times New Roman" w:eastAsia="宋体" w:cs="Times New Roman"/>
                <w:sz w:val="24"/>
                <w:szCs w:val="20"/>
                <w:highlight w:val="none"/>
                <w:lang w:eastAsia="zh-CN"/>
              </w:rPr>
              <w:t>”、“</w:t>
            </w:r>
            <w:r>
              <w:rPr>
                <w:rFonts w:hint="default" w:ascii="Times New Roman" w:hAnsi="Times New Roman" w:eastAsia="宋体" w:cs="Times New Roman"/>
                <w:sz w:val="24"/>
                <w:szCs w:val="20"/>
                <w:highlight w:val="none"/>
              </w:rPr>
              <w:t>培训效果评价</w:t>
            </w:r>
            <w:r>
              <w:rPr>
                <w:rFonts w:hint="default" w:ascii="Times New Roman" w:hAnsi="Times New Roman" w:eastAsia="宋体" w:cs="Times New Roman"/>
                <w:sz w:val="24"/>
                <w:szCs w:val="20"/>
                <w:highlight w:val="none"/>
                <w:lang w:val="en-US" w:eastAsia="zh-CN"/>
              </w:rPr>
              <w:t>和</w:t>
            </w:r>
            <w:r>
              <w:rPr>
                <w:rFonts w:hint="default" w:ascii="Times New Roman" w:hAnsi="Times New Roman" w:eastAsia="宋体" w:cs="Times New Roman"/>
                <w:sz w:val="24"/>
                <w:szCs w:val="20"/>
                <w:highlight w:val="none"/>
              </w:rPr>
              <w:t>质量保证</w:t>
            </w:r>
            <w:r>
              <w:rPr>
                <w:rFonts w:hint="default" w:ascii="Times New Roman" w:hAnsi="Times New Roman" w:eastAsia="宋体" w:cs="Times New Roman"/>
                <w:sz w:val="24"/>
                <w:szCs w:val="20"/>
                <w:highlight w:val="none"/>
                <w:lang w:eastAsia="zh-CN"/>
              </w:rPr>
              <w:t>”</w:t>
            </w:r>
            <w:r>
              <w:rPr>
                <w:rFonts w:hint="default" w:ascii="Times New Roman" w:hAnsi="Times New Roman" w:eastAsia="宋体" w:cs="Times New Roman"/>
                <w:sz w:val="24"/>
                <w:szCs w:val="20"/>
                <w:highlight w:val="none"/>
              </w:rPr>
              <w:t>：</w:t>
            </w:r>
          </w:p>
          <w:p w14:paraId="7A5119A8">
            <w:pPr>
              <w:spacing w:line="360" w:lineRule="auto"/>
              <w:rPr>
                <w:rFonts w:hint="default" w:ascii="Times New Roman" w:hAnsi="Times New Roman" w:eastAsia="宋体" w:cs="Times New Roman"/>
                <w:sz w:val="24"/>
                <w:szCs w:val="20"/>
                <w:highlight w:val="none"/>
              </w:rPr>
            </w:pPr>
            <w:r>
              <w:rPr>
                <w:rFonts w:hint="default" w:ascii="Times New Roman" w:hAnsi="Times New Roman" w:eastAsia="宋体" w:cs="Times New Roman"/>
                <w:b w:val="0"/>
                <w:bCs/>
                <w:sz w:val="24"/>
                <w:szCs w:val="24"/>
                <w:highlight w:val="none"/>
              </w:rPr>
              <w:t>评审标准：</w:t>
            </w:r>
            <w:r>
              <w:rPr>
                <w:rFonts w:hint="default" w:ascii="Times New Roman" w:hAnsi="Times New Roman" w:eastAsia="宋体" w:cs="Times New Roman"/>
                <w:b w:val="0"/>
                <w:bCs/>
                <w:sz w:val="24"/>
                <w:szCs w:val="20"/>
                <w:highlight w:val="none"/>
                <w:lang w:val="en-US" w:eastAsia="zh-CN"/>
              </w:rPr>
              <w:t>方案</w:t>
            </w:r>
            <w:r>
              <w:rPr>
                <w:rFonts w:hint="default" w:ascii="Times New Roman" w:hAnsi="Times New Roman" w:eastAsia="宋体" w:cs="Times New Roman"/>
                <w:b w:val="0"/>
                <w:bCs/>
                <w:sz w:val="24"/>
                <w:szCs w:val="20"/>
                <w:highlight w:val="none"/>
              </w:rPr>
              <w:t>内容涵盖上述每一点得</w:t>
            </w:r>
            <w:r>
              <w:rPr>
                <w:rFonts w:hint="default" w:ascii="Times New Roman" w:hAnsi="Times New Roman" w:eastAsia="宋体" w:cs="Times New Roman"/>
                <w:b w:val="0"/>
                <w:bCs/>
                <w:sz w:val="24"/>
                <w:szCs w:val="20"/>
                <w:highlight w:val="none"/>
                <w:lang w:val="en-US" w:eastAsia="zh-CN"/>
              </w:rPr>
              <w:t>0.5</w:t>
            </w:r>
            <w:r>
              <w:rPr>
                <w:rFonts w:hint="default" w:ascii="Times New Roman" w:hAnsi="Times New Roman" w:eastAsia="宋体" w:cs="Times New Roman"/>
                <w:b w:val="0"/>
                <w:bCs/>
                <w:sz w:val="24"/>
                <w:szCs w:val="20"/>
                <w:highlight w:val="none"/>
              </w:rPr>
              <w:t>分，最高得</w:t>
            </w:r>
            <w:r>
              <w:rPr>
                <w:rFonts w:hint="default" w:ascii="Times New Roman" w:hAnsi="Times New Roman" w:eastAsia="宋体" w:cs="Times New Roman"/>
                <w:b w:val="0"/>
                <w:bCs/>
                <w:sz w:val="24"/>
                <w:szCs w:val="20"/>
                <w:highlight w:val="none"/>
                <w:lang w:val="en-US" w:eastAsia="zh-CN"/>
              </w:rPr>
              <w:t>1</w:t>
            </w:r>
            <w:r>
              <w:rPr>
                <w:rFonts w:hint="default" w:ascii="Times New Roman" w:hAnsi="Times New Roman" w:eastAsia="宋体" w:cs="Times New Roman"/>
                <w:b w:val="0"/>
                <w:bCs/>
                <w:sz w:val="24"/>
                <w:szCs w:val="20"/>
                <w:highlight w:val="none"/>
              </w:rPr>
              <w:t>分。</w:t>
            </w:r>
          </w:p>
        </w:tc>
        <w:tc>
          <w:tcPr>
            <w:tcW w:w="976" w:type="dxa"/>
            <w:tcBorders>
              <w:top w:val="single" w:color="auto" w:sz="4" w:space="0"/>
              <w:left w:val="single" w:color="auto" w:sz="4" w:space="0"/>
              <w:bottom w:val="single" w:color="auto" w:sz="4" w:space="0"/>
              <w:right w:val="single" w:color="auto" w:sz="4" w:space="0"/>
            </w:tcBorders>
            <w:vAlign w:val="center"/>
          </w:tcPr>
          <w:p w14:paraId="59E54E55">
            <w:pPr>
              <w:spacing w:line="360" w:lineRule="auto"/>
              <w:jc w:val="center"/>
              <w:rPr>
                <w:rFonts w:hint="default" w:ascii="Times New Roman" w:hAnsi="Times New Roman" w:eastAsia="宋体" w:cs="Times New Roman"/>
                <w:color w:val="000000"/>
                <w:sz w:val="24"/>
                <w:szCs w:val="22"/>
                <w:highlight w:val="none"/>
                <w:lang w:val="en-US" w:eastAsia="zh-CN"/>
              </w:rPr>
            </w:pPr>
            <w:r>
              <w:rPr>
                <w:rFonts w:hint="default" w:ascii="Times New Roman" w:hAnsi="Times New Roman" w:eastAsia="宋体" w:cs="Times New Roman"/>
                <w:color w:val="000000"/>
                <w:sz w:val="24"/>
                <w:szCs w:val="22"/>
                <w:highlight w:val="none"/>
                <w:lang w:val="en-US" w:eastAsia="zh-CN"/>
              </w:rPr>
              <w:t>1</w:t>
            </w:r>
          </w:p>
        </w:tc>
      </w:tr>
      <w:tr w14:paraId="68F49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trPr>
        <w:tc>
          <w:tcPr>
            <w:tcW w:w="1266" w:type="dxa"/>
            <w:vMerge w:val="continue"/>
            <w:tcBorders>
              <w:left w:val="single" w:color="auto" w:sz="4" w:space="0"/>
              <w:right w:val="single" w:color="auto" w:sz="4" w:space="0"/>
            </w:tcBorders>
            <w:vAlign w:val="center"/>
          </w:tcPr>
          <w:p w14:paraId="703FD310">
            <w:pPr>
              <w:snapToGrid w:val="0"/>
              <w:spacing w:line="360" w:lineRule="auto"/>
              <w:rPr>
                <w:rFonts w:hint="default" w:ascii="Times New Roman" w:hAnsi="Times New Roman" w:eastAsia="宋体" w:cs="Times New Roman"/>
                <w:bCs/>
                <w:sz w:val="24"/>
                <w:szCs w:val="24"/>
                <w:highlight w:val="none"/>
              </w:rPr>
            </w:pPr>
          </w:p>
        </w:tc>
        <w:tc>
          <w:tcPr>
            <w:tcW w:w="7222" w:type="dxa"/>
            <w:tcBorders>
              <w:top w:val="single" w:color="auto" w:sz="4" w:space="0"/>
              <w:left w:val="single" w:color="auto" w:sz="4" w:space="0"/>
              <w:bottom w:val="single" w:color="auto" w:sz="4" w:space="0"/>
              <w:right w:val="single" w:color="auto" w:sz="4" w:space="0"/>
            </w:tcBorders>
            <w:vAlign w:val="center"/>
          </w:tcPr>
          <w:p w14:paraId="7D71721B">
            <w:pPr>
              <w:snapToGrid w:val="0"/>
              <w:spacing w:line="360" w:lineRule="auto"/>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lang w:val="en-US" w:eastAsia="zh-CN"/>
              </w:rPr>
              <w:t>9</w:t>
            </w:r>
            <w:r>
              <w:rPr>
                <w:rFonts w:hint="default" w:ascii="Times New Roman" w:hAnsi="Times New Roman" w:eastAsia="宋体" w:cs="Times New Roman"/>
                <w:sz w:val="24"/>
                <w:szCs w:val="20"/>
                <w:highlight w:val="none"/>
              </w:rPr>
              <w:t>、培训方案：</w:t>
            </w:r>
          </w:p>
          <w:p w14:paraId="0E65EA96">
            <w:pPr>
              <w:spacing w:after="60" w:line="360" w:lineRule="auto"/>
              <w:rPr>
                <w:rFonts w:hint="default" w:ascii="Times New Roman" w:hAnsi="Times New Roman" w:eastAsia="宋体" w:cs="Times New Roman"/>
                <w:b w:val="0"/>
                <w:bCs/>
                <w:sz w:val="24"/>
                <w:szCs w:val="24"/>
                <w:highlight w:val="none"/>
              </w:rPr>
            </w:pPr>
            <w:r>
              <w:rPr>
                <w:rFonts w:hint="default" w:ascii="Times New Roman" w:hAnsi="Times New Roman" w:eastAsia="宋体" w:cs="Times New Roman"/>
                <w:b w:val="0"/>
                <w:bCs/>
                <w:sz w:val="24"/>
                <w:szCs w:val="20"/>
                <w:highlight w:val="none"/>
              </w:rPr>
              <w:t>在此基础上，专家根据各投标人的具体响应内容按照量化的评审因素指标进一步评审，评审为优的</w:t>
            </w:r>
            <w:r>
              <w:rPr>
                <w:rFonts w:hint="default" w:ascii="Times New Roman" w:hAnsi="Times New Roman" w:eastAsia="宋体" w:cs="Times New Roman"/>
                <w:b w:val="0"/>
                <w:bCs/>
                <w:sz w:val="24"/>
                <w:szCs w:val="20"/>
                <w:highlight w:val="none"/>
                <w:lang w:val="en-US" w:eastAsia="zh-CN"/>
              </w:rPr>
              <w:t>得3</w:t>
            </w:r>
            <w:r>
              <w:rPr>
                <w:rFonts w:hint="default" w:ascii="Times New Roman" w:hAnsi="Times New Roman" w:eastAsia="宋体" w:cs="Times New Roman"/>
                <w:b w:val="0"/>
                <w:bCs/>
                <w:sz w:val="24"/>
                <w:szCs w:val="20"/>
                <w:highlight w:val="none"/>
              </w:rPr>
              <w:t>分，评审为良的</w:t>
            </w:r>
            <w:r>
              <w:rPr>
                <w:rFonts w:hint="default" w:ascii="Times New Roman" w:hAnsi="Times New Roman" w:eastAsia="宋体" w:cs="Times New Roman"/>
                <w:b w:val="0"/>
                <w:bCs/>
                <w:sz w:val="24"/>
                <w:szCs w:val="20"/>
                <w:highlight w:val="none"/>
                <w:lang w:val="en-US" w:eastAsia="zh-CN"/>
              </w:rPr>
              <w:t>得2</w:t>
            </w:r>
            <w:r>
              <w:rPr>
                <w:rFonts w:hint="default" w:ascii="Times New Roman" w:hAnsi="Times New Roman" w:eastAsia="宋体" w:cs="Times New Roman"/>
                <w:b w:val="0"/>
                <w:bCs/>
                <w:sz w:val="24"/>
                <w:szCs w:val="20"/>
                <w:highlight w:val="none"/>
              </w:rPr>
              <w:t>分，评审为</w:t>
            </w:r>
            <w:r>
              <w:rPr>
                <w:rFonts w:hint="default" w:ascii="Times New Roman" w:hAnsi="Times New Roman" w:eastAsia="宋体" w:cs="Times New Roman"/>
                <w:b w:val="0"/>
                <w:bCs/>
                <w:sz w:val="24"/>
                <w:szCs w:val="20"/>
                <w:highlight w:val="none"/>
                <w:lang w:val="en-US" w:eastAsia="zh-CN"/>
              </w:rPr>
              <w:t>中的得1分，</w:t>
            </w:r>
            <w:r>
              <w:rPr>
                <w:rFonts w:hint="default" w:ascii="Times New Roman" w:hAnsi="Times New Roman" w:eastAsia="宋体" w:cs="Times New Roman"/>
                <w:b w:val="0"/>
                <w:bCs/>
                <w:sz w:val="24"/>
                <w:szCs w:val="20"/>
                <w:highlight w:val="none"/>
              </w:rPr>
              <w:t>评审为</w:t>
            </w:r>
            <w:r>
              <w:rPr>
                <w:rFonts w:hint="default" w:ascii="Times New Roman" w:hAnsi="Times New Roman" w:eastAsia="宋体" w:cs="Times New Roman"/>
                <w:b w:val="0"/>
                <w:bCs/>
                <w:sz w:val="24"/>
                <w:szCs w:val="20"/>
                <w:highlight w:val="none"/>
                <w:lang w:val="en-US" w:eastAsia="zh-CN"/>
              </w:rPr>
              <w:t>差</w:t>
            </w:r>
            <w:r>
              <w:rPr>
                <w:rFonts w:hint="default" w:ascii="Times New Roman" w:hAnsi="Times New Roman" w:eastAsia="宋体" w:cs="Times New Roman"/>
                <w:b w:val="0"/>
                <w:bCs/>
                <w:sz w:val="24"/>
                <w:szCs w:val="20"/>
                <w:highlight w:val="none"/>
              </w:rPr>
              <w:t>的</w:t>
            </w:r>
            <w:r>
              <w:rPr>
                <w:rFonts w:hint="default" w:ascii="Times New Roman" w:hAnsi="Times New Roman" w:eastAsia="宋体" w:cs="Times New Roman"/>
                <w:b w:val="0"/>
                <w:bCs/>
                <w:sz w:val="24"/>
                <w:szCs w:val="20"/>
                <w:highlight w:val="none"/>
                <w:lang w:val="en-US" w:eastAsia="zh-CN"/>
              </w:rPr>
              <w:t>得0</w:t>
            </w:r>
            <w:r>
              <w:rPr>
                <w:rFonts w:hint="default" w:ascii="Times New Roman" w:hAnsi="Times New Roman" w:eastAsia="宋体" w:cs="Times New Roman"/>
                <w:b w:val="0"/>
                <w:bCs/>
                <w:sz w:val="24"/>
                <w:szCs w:val="20"/>
                <w:highlight w:val="none"/>
              </w:rPr>
              <w:t>分。其中：</w:t>
            </w:r>
          </w:p>
          <w:p w14:paraId="33EC414C">
            <w:pPr>
              <w:spacing w:after="60" w:line="360" w:lineRule="auto"/>
              <w:rPr>
                <w:rFonts w:hint="default" w:ascii="Times New Roman" w:hAnsi="Times New Roman" w:eastAsia="宋体" w:cs="Times New Roman"/>
                <w:b w:val="0"/>
                <w:bCs/>
                <w:sz w:val="24"/>
                <w:szCs w:val="24"/>
                <w:highlight w:val="none"/>
              </w:rPr>
            </w:pPr>
            <w:r>
              <w:rPr>
                <w:rFonts w:hint="default" w:ascii="Times New Roman" w:hAnsi="Times New Roman" w:eastAsia="宋体" w:cs="Times New Roman"/>
                <w:b w:val="0"/>
                <w:bCs/>
                <w:sz w:val="24"/>
                <w:szCs w:val="20"/>
                <w:highlight w:val="none"/>
              </w:rPr>
              <w:t>优</w:t>
            </w:r>
            <w:r>
              <w:rPr>
                <w:rFonts w:hint="default" w:ascii="Times New Roman" w:hAnsi="Times New Roman" w:eastAsia="宋体" w:cs="Times New Roman"/>
                <w:b w:val="0"/>
                <w:bCs/>
                <w:sz w:val="24"/>
                <w:szCs w:val="20"/>
                <w:highlight w:val="none"/>
                <w:lang w:eastAsia="zh-CN"/>
              </w:rPr>
              <w:t>：</w:t>
            </w:r>
            <w:r>
              <w:rPr>
                <w:rFonts w:hint="default" w:ascii="Times New Roman" w:hAnsi="Times New Roman" w:eastAsia="宋体" w:cs="Times New Roman"/>
                <w:b w:val="0"/>
                <w:bCs/>
                <w:sz w:val="24"/>
                <w:szCs w:val="20"/>
                <w:highlight w:val="none"/>
              </w:rPr>
              <w:t>培训</w:t>
            </w:r>
            <w:r>
              <w:rPr>
                <w:rFonts w:hint="default" w:ascii="Times New Roman" w:hAnsi="Times New Roman" w:eastAsia="宋体" w:cs="Times New Roman"/>
                <w:b w:val="0"/>
                <w:bCs/>
                <w:sz w:val="24"/>
                <w:szCs w:val="24"/>
                <w:highlight w:val="none"/>
              </w:rPr>
              <w:t>方案内容全面，具体，表达清晰、完整、严谨，针对性强，科学合理，可操作性强；</w:t>
            </w:r>
          </w:p>
          <w:p w14:paraId="4A9F1418">
            <w:pPr>
              <w:spacing w:after="60" w:line="360" w:lineRule="auto"/>
              <w:rPr>
                <w:rFonts w:hint="default" w:ascii="Times New Roman" w:hAnsi="Times New Roman" w:eastAsia="宋体" w:cs="Times New Roman"/>
                <w:b w:val="0"/>
                <w:bCs/>
                <w:sz w:val="24"/>
                <w:szCs w:val="24"/>
                <w:highlight w:val="none"/>
              </w:rPr>
            </w:pPr>
            <w:r>
              <w:rPr>
                <w:rFonts w:hint="default" w:ascii="Times New Roman" w:hAnsi="Times New Roman" w:eastAsia="宋体" w:cs="Times New Roman"/>
                <w:b w:val="0"/>
                <w:bCs/>
                <w:sz w:val="24"/>
                <w:szCs w:val="24"/>
                <w:highlight w:val="none"/>
                <w:lang w:val="en-US" w:eastAsia="zh-CN"/>
              </w:rPr>
              <w:t>良：</w:t>
            </w:r>
            <w:r>
              <w:rPr>
                <w:rFonts w:hint="default" w:ascii="Times New Roman" w:hAnsi="Times New Roman" w:eastAsia="宋体" w:cs="Times New Roman"/>
                <w:b w:val="0"/>
                <w:bCs/>
                <w:sz w:val="24"/>
                <w:szCs w:val="20"/>
                <w:highlight w:val="none"/>
              </w:rPr>
              <w:t>培训方案</w:t>
            </w:r>
            <w:r>
              <w:rPr>
                <w:rFonts w:hint="default" w:ascii="Times New Roman" w:hAnsi="Times New Roman" w:eastAsia="宋体" w:cs="Times New Roman"/>
                <w:b w:val="0"/>
                <w:bCs/>
                <w:sz w:val="24"/>
                <w:szCs w:val="24"/>
                <w:highlight w:val="none"/>
              </w:rPr>
              <w:t>内容比较全面，比较具体，表达比较清晰、完整、严谨，针对性比较强，比较科学合理，可操作性比较强；</w:t>
            </w:r>
          </w:p>
          <w:p w14:paraId="1E49DE2E">
            <w:pPr>
              <w:spacing w:after="60" w:line="360" w:lineRule="auto"/>
              <w:rPr>
                <w:rFonts w:hint="default" w:ascii="Times New Roman" w:hAnsi="Times New Roman" w:eastAsia="宋体" w:cs="Times New Roman"/>
                <w:b w:val="0"/>
                <w:bCs/>
                <w:sz w:val="24"/>
                <w:szCs w:val="24"/>
                <w:highlight w:val="none"/>
              </w:rPr>
            </w:pPr>
            <w:r>
              <w:rPr>
                <w:rFonts w:hint="default" w:ascii="Times New Roman" w:hAnsi="Times New Roman" w:eastAsia="宋体" w:cs="Times New Roman"/>
                <w:b w:val="0"/>
                <w:bCs/>
                <w:sz w:val="24"/>
                <w:szCs w:val="24"/>
                <w:highlight w:val="none"/>
                <w:lang w:val="en-US" w:eastAsia="zh-CN"/>
              </w:rPr>
              <w:t>中：</w:t>
            </w:r>
            <w:r>
              <w:rPr>
                <w:rFonts w:hint="default" w:ascii="Times New Roman" w:hAnsi="Times New Roman" w:eastAsia="宋体" w:cs="Times New Roman"/>
                <w:b w:val="0"/>
                <w:bCs/>
                <w:sz w:val="24"/>
                <w:szCs w:val="20"/>
                <w:highlight w:val="none"/>
              </w:rPr>
              <w:t>培训方案</w:t>
            </w:r>
            <w:r>
              <w:rPr>
                <w:rFonts w:hint="default" w:ascii="Times New Roman" w:hAnsi="Times New Roman" w:eastAsia="宋体" w:cs="Times New Roman"/>
                <w:b w:val="0"/>
                <w:bCs/>
                <w:sz w:val="24"/>
                <w:szCs w:val="24"/>
                <w:highlight w:val="none"/>
              </w:rPr>
              <w:t>内容不够全面，不够具体，表达不够清晰、完整、严谨，针对性不够强，不够科学合理，可操作性不够强；</w:t>
            </w:r>
          </w:p>
          <w:p w14:paraId="70D3217D">
            <w:pPr>
              <w:spacing w:line="360" w:lineRule="auto"/>
              <w:rPr>
                <w:rFonts w:hint="default" w:ascii="Times New Roman" w:hAnsi="Times New Roman" w:eastAsia="宋体" w:cs="Times New Roman"/>
                <w:sz w:val="24"/>
                <w:szCs w:val="20"/>
                <w:highlight w:val="none"/>
              </w:rPr>
            </w:pPr>
            <w:r>
              <w:rPr>
                <w:rFonts w:hint="default" w:ascii="Times New Roman" w:hAnsi="Times New Roman" w:eastAsia="宋体" w:cs="Times New Roman"/>
                <w:b w:val="0"/>
                <w:bCs/>
                <w:sz w:val="24"/>
                <w:highlight w:val="none"/>
                <w:lang w:val="en-US" w:eastAsia="zh-CN"/>
              </w:rPr>
              <w:t>差：</w:t>
            </w:r>
            <w:r>
              <w:rPr>
                <w:rFonts w:hint="default" w:ascii="Times New Roman" w:hAnsi="Times New Roman" w:eastAsia="宋体" w:cs="Times New Roman"/>
                <w:b w:val="0"/>
                <w:bCs/>
                <w:sz w:val="24"/>
                <w:highlight w:val="none"/>
              </w:rPr>
              <w:t>投标人未提供方案或提供了但是完全脱离实际不得分。</w:t>
            </w:r>
          </w:p>
        </w:tc>
        <w:tc>
          <w:tcPr>
            <w:tcW w:w="976" w:type="dxa"/>
            <w:tcBorders>
              <w:top w:val="single" w:color="auto" w:sz="4" w:space="0"/>
              <w:left w:val="single" w:color="auto" w:sz="4" w:space="0"/>
              <w:bottom w:val="single" w:color="auto" w:sz="4" w:space="0"/>
              <w:right w:val="single" w:color="auto" w:sz="4" w:space="0"/>
            </w:tcBorders>
            <w:vAlign w:val="center"/>
          </w:tcPr>
          <w:p w14:paraId="79F5A664">
            <w:pPr>
              <w:spacing w:line="360" w:lineRule="auto"/>
              <w:jc w:val="center"/>
              <w:rPr>
                <w:rFonts w:hint="default" w:ascii="Times New Roman" w:hAnsi="Times New Roman" w:eastAsia="宋体" w:cs="Times New Roman"/>
                <w:color w:val="000000"/>
                <w:sz w:val="24"/>
                <w:szCs w:val="22"/>
                <w:highlight w:val="none"/>
                <w:lang w:val="en-US" w:eastAsia="zh-CN"/>
              </w:rPr>
            </w:pPr>
            <w:r>
              <w:rPr>
                <w:rFonts w:hint="default" w:ascii="Times New Roman" w:hAnsi="Times New Roman" w:eastAsia="宋体" w:cs="Times New Roman"/>
                <w:color w:val="000000"/>
                <w:sz w:val="24"/>
                <w:szCs w:val="22"/>
                <w:highlight w:val="none"/>
                <w:lang w:val="en-US" w:eastAsia="zh-CN"/>
              </w:rPr>
              <w:t>3</w:t>
            </w:r>
          </w:p>
        </w:tc>
      </w:tr>
      <w:tr w14:paraId="27125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trPr>
        <w:tc>
          <w:tcPr>
            <w:tcW w:w="1266" w:type="dxa"/>
            <w:vMerge w:val="continue"/>
            <w:tcBorders>
              <w:left w:val="single" w:color="auto" w:sz="4" w:space="0"/>
              <w:right w:val="single" w:color="auto" w:sz="4" w:space="0"/>
            </w:tcBorders>
            <w:vAlign w:val="center"/>
          </w:tcPr>
          <w:p w14:paraId="295733B9">
            <w:pPr>
              <w:snapToGrid w:val="0"/>
              <w:spacing w:line="360" w:lineRule="auto"/>
              <w:rPr>
                <w:rFonts w:hint="default" w:ascii="Times New Roman" w:hAnsi="Times New Roman" w:eastAsia="宋体" w:cs="Times New Roman"/>
                <w:bCs/>
                <w:sz w:val="24"/>
                <w:szCs w:val="24"/>
                <w:highlight w:val="none"/>
              </w:rPr>
            </w:pPr>
          </w:p>
        </w:tc>
        <w:tc>
          <w:tcPr>
            <w:tcW w:w="7222" w:type="dxa"/>
            <w:tcBorders>
              <w:top w:val="single" w:color="auto" w:sz="4" w:space="0"/>
              <w:left w:val="single" w:color="auto" w:sz="4" w:space="0"/>
              <w:bottom w:val="single" w:color="auto" w:sz="4" w:space="0"/>
              <w:right w:val="single" w:color="auto" w:sz="4" w:space="0"/>
            </w:tcBorders>
            <w:vAlign w:val="center"/>
          </w:tcPr>
          <w:p w14:paraId="43A52513">
            <w:pPr>
              <w:keepNext w:val="0"/>
              <w:keepLines w:val="0"/>
              <w:suppressLineNumbers w:val="0"/>
              <w:spacing w:before="0" w:beforeAutospacing="0" w:after="0" w:afterAutospacing="0" w:line="360" w:lineRule="auto"/>
              <w:ind w:left="0" w:right="0"/>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lang w:val="en-US" w:eastAsia="zh-CN"/>
              </w:rPr>
              <w:t>10</w:t>
            </w:r>
            <w:r>
              <w:rPr>
                <w:rFonts w:hint="default" w:ascii="Times New Roman" w:hAnsi="Times New Roman" w:eastAsia="宋体" w:cs="Times New Roman"/>
                <w:sz w:val="24"/>
                <w:szCs w:val="20"/>
                <w:highlight w:val="none"/>
              </w:rPr>
              <w:t>、项目服务团队：</w:t>
            </w:r>
          </w:p>
          <w:p w14:paraId="517D66A7">
            <w:pPr>
              <w:keepNext w:val="0"/>
              <w:keepLines w:val="0"/>
              <w:suppressLineNumbers w:val="0"/>
              <w:spacing w:before="0" w:beforeAutospacing="0" w:after="0" w:afterAutospacing="0" w:line="360" w:lineRule="auto"/>
              <w:ind w:left="0" w:right="0"/>
              <w:rPr>
                <w:rFonts w:hint="default" w:ascii="Times New Roman" w:hAnsi="Times New Roman" w:eastAsia="宋体" w:cs="Times New Roman"/>
                <w:sz w:val="24"/>
                <w:szCs w:val="20"/>
                <w:highlight w:val="none"/>
                <w:lang w:val="en-US" w:eastAsia="zh-CN"/>
              </w:rPr>
            </w:pPr>
            <w:r>
              <w:rPr>
                <w:rFonts w:hint="default" w:ascii="Times New Roman" w:hAnsi="Times New Roman" w:eastAsia="宋体" w:cs="Times New Roman"/>
                <w:sz w:val="24"/>
                <w:szCs w:val="20"/>
                <w:highlight w:val="none"/>
              </w:rPr>
              <w:t>投标人应为本项目提供项目团队配置方案并提供项目团队成员清单。</w:t>
            </w:r>
            <w:r>
              <w:rPr>
                <w:rFonts w:hint="default" w:ascii="Times New Roman" w:hAnsi="Times New Roman" w:eastAsia="宋体" w:cs="Times New Roman"/>
                <w:sz w:val="24"/>
                <w:szCs w:val="20"/>
                <w:highlight w:val="none"/>
                <w:lang w:val="en-US" w:eastAsia="zh-CN"/>
              </w:rPr>
              <w:t>根据方案和人员清单情况进行综合评审：</w:t>
            </w:r>
          </w:p>
          <w:p w14:paraId="136FAC1C">
            <w:pPr>
              <w:keepNext w:val="0"/>
              <w:keepLines w:val="0"/>
              <w:suppressLineNumbers w:val="0"/>
              <w:spacing w:before="0" w:beforeAutospacing="0" w:after="0" w:afterAutospacing="0" w:line="360" w:lineRule="auto"/>
              <w:ind w:left="0" w:right="0"/>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①团队配置方案进行了详细的阐述，团队人员经验充足、配备合理的，得</w:t>
            </w:r>
            <w:r>
              <w:rPr>
                <w:rFonts w:hint="default" w:ascii="Times New Roman" w:hAnsi="Times New Roman" w:eastAsia="宋体" w:cs="Times New Roman"/>
                <w:sz w:val="24"/>
                <w:szCs w:val="20"/>
                <w:highlight w:val="none"/>
                <w:lang w:val="en-US" w:eastAsia="zh-CN"/>
              </w:rPr>
              <w:t>1</w:t>
            </w:r>
            <w:r>
              <w:rPr>
                <w:rFonts w:hint="default" w:ascii="Times New Roman" w:hAnsi="Times New Roman" w:eastAsia="宋体" w:cs="Times New Roman"/>
                <w:sz w:val="24"/>
                <w:szCs w:val="20"/>
                <w:highlight w:val="none"/>
              </w:rPr>
              <w:t>分；</w:t>
            </w:r>
          </w:p>
          <w:p w14:paraId="3E383625">
            <w:pPr>
              <w:keepNext w:val="0"/>
              <w:keepLines w:val="0"/>
              <w:suppressLineNumbers w:val="0"/>
              <w:spacing w:before="0" w:beforeAutospacing="0" w:after="0" w:afterAutospacing="0" w:line="360" w:lineRule="auto"/>
              <w:ind w:left="0" w:right="0"/>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②团队配置方案进行了基础阐述，团队人员经验较充足、配备相对合理的，得</w:t>
            </w:r>
            <w:r>
              <w:rPr>
                <w:rFonts w:hint="default" w:ascii="Times New Roman" w:hAnsi="Times New Roman" w:eastAsia="宋体" w:cs="Times New Roman"/>
                <w:sz w:val="24"/>
                <w:szCs w:val="20"/>
                <w:highlight w:val="none"/>
                <w:lang w:val="en-US" w:eastAsia="zh-CN"/>
              </w:rPr>
              <w:t>0.5</w:t>
            </w:r>
            <w:r>
              <w:rPr>
                <w:rFonts w:hint="default" w:ascii="Times New Roman" w:hAnsi="Times New Roman" w:eastAsia="宋体" w:cs="Times New Roman"/>
                <w:sz w:val="24"/>
                <w:szCs w:val="20"/>
                <w:highlight w:val="none"/>
              </w:rPr>
              <w:t>分；</w:t>
            </w:r>
          </w:p>
          <w:p w14:paraId="45B647FE">
            <w:pPr>
              <w:keepNext w:val="0"/>
              <w:keepLines w:val="0"/>
              <w:suppressLineNumbers w:val="0"/>
              <w:spacing w:before="0" w:beforeAutospacing="0" w:after="0" w:afterAutospacing="0" w:line="360" w:lineRule="auto"/>
              <w:ind w:left="0" w:right="0"/>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t>③团队配置方案进行了阐述，团队人员经验不够充足、配备不够合理的，得0分；</w:t>
            </w:r>
          </w:p>
          <w:p w14:paraId="29B3E242">
            <w:pPr>
              <w:spacing w:line="360" w:lineRule="auto"/>
              <w:rPr>
                <w:rFonts w:hint="default" w:ascii="Times New Roman" w:hAnsi="Times New Roman" w:eastAsia="宋体" w:cs="Times New Roman"/>
                <w:b w:val="0"/>
                <w:bCs/>
                <w:sz w:val="24"/>
                <w:highlight w:val="none"/>
                <w:lang w:val="en-US" w:eastAsia="zh-CN"/>
              </w:rPr>
            </w:pPr>
            <w:r>
              <w:rPr>
                <w:rFonts w:hint="default" w:ascii="Times New Roman" w:hAnsi="Times New Roman" w:eastAsia="宋体" w:cs="Times New Roman"/>
                <w:sz w:val="24"/>
                <w:szCs w:val="20"/>
                <w:highlight w:val="none"/>
              </w:rPr>
              <w:t>④未提供相关内容不得分。</w:t>
            </w:r>
          </w:p>
        </w:tc>
        <w:tc>
          <w:tcPr>
            <w:tcW w:w="976" w:type="dxa"/>
            <w:tcBorders>
              <w:top w:val="single" w:color="auto" w:sz="4" w:space="0"/>
              <w:left w:val="single" w:color="auto" w:sz="4" w:space="0"/>
              <w:bottom w:val="single" w:color="auto" w:sz="4" w:space="0"/>
              <w:right w:val="single" w:color="auto" w:sz="4" w:space="0"/>
            </w:tcBorders>
            <w:vAlign w:val="center"/>
          </w:tcPr>
          <w:p w14:paraId="4CD3E9BA">
            <w:pPr>
              <w:spacing w:line="360" w:lineRule="auto"/>
              <w:jc w:val="center"/>
              <w:rPr>
                <w:rFonts w:hint="default" w:ascii="Times New Roman" w:hAnsi="Times New Roman" w:eastAsia="宋体" w:cs="Times New Roman"/>
                <w:color w:val="000000"/>
                <w:sz w:val="24"/>
                <w:szCs w:val="22"/>
                <w:highlight w:val="none"/>
                <w:lang w:val="en-US" w:eastAsia="zh-CN"/>
              </w:rPr>
            </w:pPr>
            <w:r>
              <w:rPr>
                <w:rFonts w:hint="default" w:ascii="Times New Roman" w:hAnsi="Times New Roman" w:eastAsia="宋体" w:cs="Times New Roman"/>
                <w:color w:val="000000"/>
                <w:sz w:val="24"/>
                <w:szCs w:val="22"/>
                <w:highlight w:val="none"/>
                <w:lang w:val="en-US" w:eastAsia="zh-CN"/>
              </w:rPr>
              <w:t>1</w:t>
            </w:r>
          </w:p>
        </w:tc>
      </w:tr>
      <w:tr w14:paraId="1B530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66" w:type="dxa"/>
            <w:vMerge w:val="continue"/>
            <w:tcBorders>
              <w:left w:val="single" w:color="auto" w:sz="4" w:space="0"/>
              <w:right w:val="single" w:color="auto" w:sz="4" w:space="0"/>
            </w:tcBorders>
            <w:vAlign w:val="center"/>
          </w:tcPr>
          <w:p w14:paraId="19BF19D5">
            <w:pPr>
              <w:snapToGrid w:val="0"/>
              <w:spacing w:line="360" w:lineRule="auto"/>
              <w:rPr>
                <w:rFonts w:hint="default" w:ascii="Times New Roman" w:hAnsi="Times New Roman" w:eastAsia="宋体" w:cs="Times New Roman"/>
                <w:bCs/>
                <w:sz w:val="24"/>
                <w:szCs w:val="24"/>
                <w:highlight w:val="none"/>
              </w:rPr>
            </w:pPr>
          </w:p>
        </w:tc>
        <w:tc>
          <w:tcPr>
            <w:tcW w:w="7222" w:type="dxa"/>
            <w:tcBorders>
              <w:top w:val="single" w:color="auto" w:sz="4" w:space="0"/>
              <w:left w:val="single" w:color="auto" w:sz="4" w:space="0"/>
              <w:bottom w:val="single" w:color="auto" w:sz="4" w:space="0"/>
              <w:right w:val="single" w:color="auto" w:sz="4" w:space="0"/>
            </w:tcBorders>
            <w:vAlign w:val="center"/>
          </w:tcPr>
          <w:p w14:paraId="3E8F60D0">
            <w:pPr>
              <w:keepNext w:val="0"/>
              <w:keepLines w:val="0"/>
              <w:suppressLineNumbers w:val="0"/>
              <w:spacing w:before="0" w:beforeAutospacing="0" w:after="0" w:afterAutospacing="0" w:line="360" w:lineRule="auto"/>
              <w:ind w:left="0" w:right="0"/>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lang w:val="en-US" w:eastAsia="zh-CN"/>
              </w:rPr>
              <w:t>11</w:t>
            </w:r>
            <w:r>
              <w:rPr>
                <w:rFonts w:hint="default" w:ascii="Times New Roman" w:hAnsi="Times New Roman" w:eastAsia="宋体" w:cs="Times New Roman"/>
                <w:sz w:val="24"/>
                <w:szCs w:val="20"/>
                <w:highlight w:val="none"/>
              </w:rPr>
              <w:t>、项目服务团队：</w:t>
            </w:r>
          </w:p>
          <w:p w14:paraId="1161D108">
            <w:pPr>
              <w:keepNext w:val="0"/>
              <w:keepLines w:val="0"/>
              <w:suppressLineNumbers w:val="0"/>
              <w:spacing w:before="0" w:beforeAutospacing="0" w:after="0" w:afterAutospacing="0" w:line="360" w:lineRule="auto"/>
              <w:ind w:left="0" w:right="0"/>
              <w:rPr>
                <w:rFonts w:hint="default" w:ascii="Times New Roman" w:hAnsi="Times New Roman" w:eastAsia="宋体" w:cs="Times New Roman"/>
                <w:sz w:val="24"/>
                <w:szCs w:val="20"/>
                <w:highlight w:val="none"/>
                <w:lang w:val="en-US" w:eastAsia="zh-CN"/>
              </w:rPr>
            </w:pPr>
            <w:r>
              <w:rPr>
                <w:rFonts w:hint="default" w:ascii="Times New Roman" w:hAnsi="Times New Roman" w:eastAsia="宋体" w:cs="Times New Roman"/>
                <w:sz w:val="24"/>
                <w:szCs w:val="24"/>
                <w:highlight w:val="none"/>
              </w:rPr>
              <w:t>(1)拟派项目负责人</w:t>
            </w:r>
            <w:r>
              <w:rPr>
                <w:rFonts w:hint="default" w:ascii="Times New Roman" w:hAnsi="Times New Roman" w:eastAsia="宋体" w:cs="Times New Roman"/>
                <w:sz w:val="24"/>
                <w:szCs w:val="24"/>
                <w:highlight w:val="none"/>
                <w:lang w:val="en-US" w:eastAsia="zh-CN"/>
              </w:rPr>
              <w:t>1名，</w:t>
            </w:r>
            <w:r>
              <w:rPr>
                <w:rFonts w:hint="default" w:ascii="Times New Roman" w:hAnsi="Times New Roman" w:eastAsia="宋体" w:cs="Times New Roman"/>
                <w:sz w:val="24"/>
                <w:szCs w:val="24"/>
                <w:highlight w:val="none"/>
              </w:rPr>
              <w:t>具备自然科学领域高级职称，得0.5分;技术负责人1名，拟派技术负责人具备工程技术领域高级职称，得0.5</w:t>
            </w:r>
            <w:r>
              <w:rPr>
                <w:rFonts w:hint="default" w:ascii="Times New Roman" w:hAnsi="Times New Roman" w:eastAsia="宋体" w:cs="Times New Roman"/>
                <w:sz w:val="24"/>
                <w:szCs w:val="24"/>
                <w:highlight w:val="none"/>
                <w:lang w:val="en-US" w:eastAsia="zh-CN"/>
              </w:rPr>
              <w:t>分。</w:t>
            </w:r>
          </w:p>
          <w:p w14:paraId="48AAC942">
            <w:pPr>
              <w:pStyle w:val="4"/>
              <w:spacing w:line="360" w:lineRule="auto"/>
              <w:ind w:firstLine="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须提供有效的职称证书、简历等相关证明文件以及投标人为其在近三个月内任意一个月的社保缴纳记录，否则不得分</w:t>
            </w:r>
          </w:p>
          <w:p w14:paraId="061ADFBE">
            <w:pPr>
              <w:pStyle w:val="4"/>
              <w:numPr>
                <w:ilvl w:val="0"/>
                <w:numId w:val="0"/>
              </w:numPr>
              <w:spacing w:line="360" w:lineRule="auto"/>
              <w:ind w:firstLine="0"/>
              <w:rPr>
                <w:rFonts w:hint="default" w:ascii="Times New Roman" w:hAnsi="Times New Roman" w:eastAsia="宋体" w:cs="Times New Roman"/>
                <w:color w:val="0F1115"/>
                <w:highlight w:val="none"/>
                <w:shd w:val="clear" w:color="auto" w:fill="FFFFFF"/>
                <w:lang w:val="en-US" w:eastAsia="zh-CN"/>
              </w:rPr>
            </w:pPr>
            <w:r>
              <w:rPr>
                <w:rFonts w:hint="default" w:ascii="Times New Roman" w:hAnsi="Times New Roman" w:eastAsia="宋体" w:cs="Times New Roman"/>
                <w:color w:val="0F1115"/>
                <w:kern w:val="0"/>
                <w:sz w:val="24"/>
                <w:szCs w:val="20"/>
                <w:highlight w:val="none"/>
                <w:shd w:val="clear" w:fill="FFFFFF"/>
                <w:lang w:val="en-US" w:eastAsia="zh-CN" w:bidi="ar-SA"/>
              </w:rPr>
              <w:t>(2)</w:t>
            </w:r>
            <w:r>
              <w:rPr>
                <w:rFonts w:hint="default" w:ascii="Times New Roman" w:hAnsi="Times New Roman" w:eastAsia="宋体" w:cs="Times New Roman"/>
                <w:sz w:val="24"/>
                <w:szCs w:val="24"/>
                <w:highlight w:val="none"/>
              </w:rPr>
              <w:t>其他团队人员(不含项目负责人、技术负责人)</w:t>
            </w:r>
            <w:r>
              <w:rPr>
                <w:rFonts w:hint="default" w:ascii="Times New Roman" w:hAnsi="Times New Roman" w:eastAsia="宋体" w:cs="Times New Roman"/>
                <w:sz w:val="24"/>
                <w:szCs w:val="24"/>
                <w:highlight w:val="none"/>
              </w:rPr>
              <w:br w:type="textWrapping"/>
            </w:r>
            <w:r>
              <w:rPr>
                <w:rFonts w:hint="default" w:ascii="Times New Roman" w:hAnsi="Times New Roman" w:eastAsia="宋体" w:cs="Times New Roman"/>
                <w:sz w:val="24"/>
                <w:szCs w:val="24"/>
                <w:highlight w:val="none"/>
              </w:rPr>
              <w:t>其他团队成员不少于5人，需至少包括1名机械工程师</w:t>
            </w:r>
            <w:r>
              <w:rPr>
                <w:rFonts w:hint="default" w:ascii="Times New Roman" w:hAnsi="Times New Roman" w:eastAsia="宋体" w:cs="Times New Roman"/>
                <w:color w:val="0F1115"/>
                <w:highlight w:val="none"/>
                <w:shd w:val="clear" w:color="auto" w:fill="FFFFFF"/>
              </w:rPr>
              <w:t>具有3年以上机器人或自动化设备设计经验</w:t>
            </w:r>
            <w:r>
              <w:rPr>
                <w:rFonts w:hint="default" w:ascii="Times New Roman" w:hAnsi="Times New Roman" w:eastAsia="宋体" w:cs="Times New Roman"/>
                <w:sz w:val="24"/>
                <w:szCs w:val="24"/>
                <w:highlight w:val="none"/>
              </w:rPr>
              <w:t>、1名软件工程师</w:t>
            </w:r>
            <w:r>
              <w:rPr>
                <w:rFonts w:hint="default" w:ascii="Times New Roman" w:hAnsi="Times New Roman" w:eastAsia="宋体" w:cs="Times New Roman"/>
                <w:color w:val="0F1115"/>
                <w:highlight w:val="none"/>
                <w:shd w:val="clear" w:color="auto" w:fill="FFFFFF"/>
              </w:rPr>
              <w:t>具有3年以上工业控制软件开发经验</w:t>
            </w:r>
            <w:r>
              <w:rPr>
                <w:rFonts w:hint="default" w:ascii="Times New Roman" w:hAnsi="Times New Roman" w:eastAsia="宋体" w:cs="Times New Roman"/>
                <w:sz w:val="24"/>
                <w:szCs w:val="24"/>
                <w:highlight w:val="none"/>
              </w:rPr>
              <w:t>、1名电气工程师</w:t>
            </w:r>
            <w:r>
              <w:rPr>
                <w:rFonts w:hint="default" w:ascii="Times New Roman" w:hAnsi="Times New Roman" w:eastAsia="宋体" w:cs="Times New Roman"/>
                <w:color w:val="0F1115"/>
                <w:highlight w:val="none"/>
                <w:shd w:val="clear" w:color="auto" w:fill="FFFFFF"/>
              </w:rPr>
              <w:t>具有3年以上自动化控制系统设计经验</w:t>
            </w:r>
            <w:r>
              <w:rPr>
                <w:rFonts w:hint="default" w:ascii="Times New Roman" w:hAnsi="Times New Roman" w:eastAsia="宋体" w:cs="Times New Roman"/>
                <w:color w:val="0F1115"/>
                <w:highlight w:val="none"/>
                <w:shd w:val="clear" w:color="auto" w:fill="FFFFFF"/>
                <w:lang w:eastAsia="zh-CN"/>
              </w:rPr>
              <w:t>。</w:t>
            </w:r>
            <w:r>
              <w:rPr>
                <w:rFonts w:hint="default" w:ascii="Times New Roman" w:hAnsi="Times New Roman" w:eastAsia="宋体" w:cs="Times New Roman"/>
                <w:color w:val="0F1115"/>
                <w:highlight w:val="none"/>
                <w:shd w:val="clear" w:color="auto" w:fill="FFFFFF"/>
                <w:lang w:val="en-US" w:eastAsia="zh-CN"/>
              </w:rPr>
              <w:t>同时满足以上要求得1分。</w:t>
            </w:r>
          </w:p>
          <w:p w14:paraId="79E1AEC0">
            <w:pPr>
              <w:spacing w:after="0"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sz w:val="24"/>
                <w:szCs w:val="24"/>
                <w:highlight w:val="none"/>
              </w:rPr>
              <w:t>须提供团队成员列表，</w:t>
            </w:r>
            <w:r>
              <w:rPr>
                <w:rFonts w:hint="default" w:ascii="Times New Roman" w:hAnsi="Times New Roman" w:eastAsia="宋体" w:cs="Times New Roman"/>
                <w:sz w:val="24"/>
                <w:szCs w:val="24"/>
                <w:highlight w:val="none"/>
                <w:lang w:val="en-US" w:eastAsia="zh-CN"/>
              </w:rPr>
              <w:t>工作经验年限</w:t>
            </w:r>
            <w:r>
              <w:rPr>
                <w:rFonts w:hint="default" w:ascii="Times New Roman" w:hAnsi="Times New Roman" w:eastAsia="宋体" w:cs="Times New Roman"/>
                <w:sz w:val="24"/>
                <w:szCs w:val="24"/>
                <w:highlight w:val="none"/>
              </w:rPr>
              <w:t>等相关证明文件以及投标人为其在近三个月内任意一个月的社保缴纳记录，提供完整得1分，否则不得分。</w:t>
            </w:r>
          </w:p>
        </w:tc>
        <w:tc>
          <w:tcPr>
            <w:tcW w:w="976" w:type="dxa"/>
            <w:tcBorders>
              <w:top w:val="single" w:color="auto" w:sz="4" w:space="0"/>
              <w:left w:val="single" w:color="auto" w:sz="4" w:space="0"/>
              <w:bottom w:val="single" w:color="auto" w:sz="4" w:space="0"/>
              <w:right w:val="single" w:color="auto" w:sz="4" w:space="0"/>
            </w:tcBorders>
            <w:vAlign w:val="center"/>
          </w:tcPr>
          <w:p w14:paraId="50D4678A">
            <w:pPr>
              <w:spacing w:line="360" w:lineRule="auto"/>
              <w:rPr>
                <w:rFonts w:hint="default" w:ascii="Times New Roman" w:hAnsi="Times New Roman" w:eastAsia="宋体" w:cs="Times New Roman"/>
                <w:bCs/>
                <w:sz w:val="24"/>
                <w:szCs w:val="24"/>
                <w:highlight w:val="none"/>
                <w:lang w:val="en-US" w:eastAsia="zh-CN"/>
              </w:rPr>
            </w:pPr>
            <w:r>
              <w:rPr>
                <w:rFonts w:hint="default" w:ascii="Times New Roman" w:hAnsi="Times New Roman" w:eastAsia="宋体" w:cs="Times New Roman"/>
                <w:bCs/>
                <w:sz w:val="24"/>
                <w:szCs w:val="24"/>
                <w:highlight w:val="none"/>
                <w:lang w:val="en-US" w:eastAsia="zh-CN"/>
              </w:rPr>
              <w:t>2</w:t>
            </w:r>
          </w:p>
        </w:tc>
      </w:tr>
      <w:tr w14:paraId="35C71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1266" w:type="dxa"/>
            <w:vMerge w:val="restart"/>
            <w:tcBorders>
              <w:top w:val="single" w:color="auto" w:sz="4" w:space="0"/>
              <w:left w:val="single" w:color="auto" w:sz="4" w:space="0"/>
              <w:right w:val="single" w:color="auto" w:sz="4" w:space="0"/>
            </w:tcBorders>
            <w:vAlign w:val="center"/>
          </w:tcPr>
          <w:p w14:paraId="79997DFD">
            <w:pPr>
              <w:snapToGrid w:val="0"/>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技术部分</w:t>
            </w:r>
          </w:p>
          <w:p w14:paraId="01A7BFA2">
            <w:pPr>
              <w:snapToGrid w:val="0"/>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w:t>
            </w:r>
            <w:r>
              <w:rPr>
                <w:rFonts w:hint="default" w:ascii="Times New Roman" w:hAnsi="Times New Roman" w:eastAsia="宋体" w:cs="Times New Roman"/>
                <w:bCs/>
                <w:sz w:val="24"/>
                <w:szCs w:val="24"/>
                <w:highlight w:val="none"/>
                <w:lang w:val="en-US" w:eastAsia="zh-CN"/>
              </w:rPr>
              <w:t>42</w:t>
            </w:r>
            <w:r>
              <w:rPr>
                <w:rFonts w:hint="default" w:ascii="Times New Roman" w:hAnsi="Times New Roman" w:eastAsia="宋体" w:cs="Times New Roman"/>
                <w:bCs/>
                <w:sz w:val="24"/>
                <w:szCs w:val="24"/>
                <w:highlight w:val="none"/>
              </w:rPr>
              <w:t>分)</w:t>
            </w:r>
          </w:p>
        </w:tc>
        <w:tc>
          <w:tcPr>
            <w:tcW w:w="7222" w:type="dxa"/>
            <w:tcBorders>
              <w:top w:val="single" w:color="auto" w:sz="4" w:space="0"/>
              <w:left w:val="single" w:color="auto" w:sz="4" w:space="0"/>
              <w:right w:val="single" w:color="auto" w:sz="4" w:space="0"/>
            </w:tcBorders>
            <w:vAlign w:val="center"/>
          </w:tcPr>
          <w:p w14:paraId="77D6CAD3">
            <w:pPr>
              <w:tabs>
                <w:tab w:val="left" w:pos="567"/>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1、技术指标条款应答响应情况</w:t>
            </w:r>
          </w:p>
          <w:p w14:paraId="64636146">
            <w:pPr>
              <w:widowControl/>
              <w:tabs>
                <w:tab w:val="left" w:pos="567"/>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（1）技术要求逐条应答表须依据招标文件《第四章 项目需求 三、具体要求 《一》技术要求》》逐条响应；</w:t>
            </w:r>
          </w:p>
          <w:p w14:paraId="5F645795">
            <w:pPr>
              <w:widowControl/>
              <w:tabs>
                <w:tab w:val="left" w:pos="567"/>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（2）技术指标评审基准分为</w:t>
            </w:r>
            <w:r>
              <w:rPr>
                <w:rFonts w:hint="default" w:ascii="Times New Roman" w:hAnsi="Times New Roman" w:eastAsia="宋体" w:cs="Times New Roman"/>
                <w:bCs/>
                <w:sz w:val="24"/>
                <w:szCs w:val="24"/>
                <w:highlight w:val="none"/>
                <w:lang w:val="en-US" w:eastAsia="zh-CN"/>
              </w:rPr>
              <w:t>34</w:t>
            </w:r>
            <w:r>
              <w:rPr>
                <w:rFonts w:hint="default" w:ascii="Times New Roman" w:hAnsi="Times New Roman" w:eastAsia="宋体" w:cs="Times New Roman"/>
                <w:bCs/>
                <w:sz w:val="24"/>
                <w:szCs w:val="24"/>
                <w:highlight w:val="none"/>
              </w:rPr>
              <w:t>分，评委可根据技术指标的偏离情况进行评分。</w:t>
            </w:r>
          </w:p>
          <w:p w14:paraId="15C1AAE2">
            <w:pPr>
              <w:tabs>
                <w:tab w:val="left" w:pos="567"/>
              </w:tabs>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（3）标记为“★”的指标是关键技术条款，正偏离或无偏离不加分，如不满足其投标予以拒绝。</w:t>
            </w:r>
          </w:p>
          <w:p w14:paraId="38378400">
            <w:pPr>
              <w:spacing w:line="360" w:lineRule="auto"/>
              <w:rPr>
                <w:rFonts w:hint="default" w:ascii="Times New Roman" w:hAnsi="Times New Roman" w:eastAsia="宋体" w:cs="Times New Roman"/>
                <w:highlight w:val="none"/>
              </w:rPr>
            </w:pPr>
            <w:r>
              <w:rPr>
                <w:rFonts w:hint="default" w:ascii="Times New Roman" w:hAnsi="Times New Roman" w:eastAsia="宋体" w:cs="Times New Roman"/>
                <w:bCs/>
                <w:sz w:val="24"/>
                <w:szCs w:val="24"/>
                <w:highlight w:val="none"/>
              </w:rPr>
              <w:t>（4）标记“▲”的指标是重要技术条款，</w:t>
            </w:r>
            <w:r>
              <w:rPr>
                <w:rFonts w:hint="default" w:ascii="Times New Roman" w:hAnsi="Times New Roman" w:eastAsia="宋体" w:cs="Times New Roman"/>
                <w:bCs/>
                <w:sz w:val="24"/>
                <w:szCs w:val="20"/>
                <w:highlight w:val="none"/>
              </w:rPr>
              <w:t>总分为</w:t>
            </w:r>
            <w:r>
              <w:rPr>
                <w:rFonts w:hint="default" w:ascii="Times New Roman" w:hAnsi="Times New Roman" w:eastAsia="宋体" w:cs="Times New Roman"/>
                <w:bCs/>
                <w:sz w:val="24"/>
                <w:szCs w:val="20"/>
                <w:highlight w:val="none"/>
                <w:lang w:eastAsia="zh-CN"/>
              </w:rPr>
              <w:t>30.8</w:t>
            </w:r>
            <w:r>
              <w:rPr>
                <w:rFonts w:hint="default" w:ascii="Times New Roman" w:hAnsi="Times New Roman" w:eastAsia="宋体" w:cs="Times New Roman"/>
                <w:bCs/>
                <w:sz w:val="24"/>
                <w:szCs w:val="20"/>
                <w:highlight w:val="none"/>
              </w:rPr>
              <w:t>分</w:t>
            </w:r>
            <w:r>
              <w:rPr>
                <w:rFonts w:hint="default" w:ascii="Times New Roman" w:hAnsi="Times New Roman" w:eastAsia="宋体" w:cs="Times New Roman"/>
                <w:bCs/>
                <w:sz w:val="24"/>
                <w:szCs w:val="20"/>
                <w:highlight w:val="none"/>
                <w:lang w:eastAsia="zh"/>
              </w:rPr>
              <w:t>，共</w:t>
            </w:r>
            <w:r>
              <w:rPr>
                <w:rFonts w:hint="default" w:ascii="Times New Roman" w:hAnsi="Times New Roman" w:eastAsia="宋体" w:cs="Times New Roman"/>
                <w:bCs/>
                <w:sz w:val="24"/>
                <w:szCs w:val="20"/>
                <w:highlight w:val="none"/>
                <w:lang w:val="en-US" w:eastAsia="zh-CN"/>
              </w:rPr>
              <w:t>22</w:t>
            </w:r>
            <w:r>
              <w:rPr>
                <w:rFonts w:hint="default" w:ascii="Times New Roman" w:hAnsi="Times New Roman" w:eastAsia="宋体" w:cs="Times New Roman"/>
                <w:bCs/>
                <w:sz w:val="24"/>
                <w:szCs w:val="20"/>
                <w:highlight w:val="none"/>
                <w:lang w:eastAsia="zh"/>
              </w:rPr>
              <w:t>项</w:t>
            </w:r>
            <w:r>
              <w:rPr>
                <w:rFonts w:hint="default" w:ascii="Times New Roman" w:hAnsi="Times New Roman" w:eastAsia="宋体" w:cs="Times New Roman"/>
                <w:bCs/>
                <w:sz w:val="24"/>
                <w:szCs w:val="20"/>
                <w:highlight w:val="none"/>
              </w:rPr>
              <w:t>。正偏离不加分，负偏离每项减</w:t>
            </w:r>
            <w:r>
              <w:rPr>
                <w:rFonts w:hint="default" w:ascii="Times New Roman" w:hAnsi="Times New Roman" w:eastAsia="宋体" w:cs="Times New Roman"/>
                <w:bCs/>
                <w:sz w:val="24"/>
                <w:szCs w:val="20"/>
                <w:highlight w:val="none"/>
                <w:lang w:val="en-US" w:eastAsia="zh-CN"/>
              </w:rPr>
              <w:t>1.</w:t>
            </w:r>
            <w:r>
              <w:rPr>
                <w:rFonts w:hint="default" w:ascii="Times New Roman" w:hAnsi="Times New Roman" w:eastAsia="宋体" w:cs="Times New Roman"/>
                <w:bCs/>
                <w:sz w:val="24"/>
                <w:szCs w:val="20"/>
                <w:highlight w:val="none"/>
                <w:lang w:eastAsia="zh-CN"/>
              </w:rPr>
              <w:t>4</w:t>
            </w:r>
            <w:r>
              <w:rPr>
                <w:rFonts w:hint="default" w:ascii="Times New Roman" w:hAnsi="Times New Roman" w:eastAsia="宋体" w:cs="Times New Roman"/>
                <w:bCs/>
                <w:sz w:val="24"/>
                <w:szCs w:val="20"/>
                <w:highlight w:val="none"/>
              </w:rPr>
              <w:t>分</w:t>
            </w:r>
            <w:r>
              <w:rPr>
                <w:rFonts w:hint="default" w:ascii="Times New Roman" w:hAnsi="Times New Roman" w:eastAsia="宋体" w:cs="Times New Roman"/>
                <w:bCs/>
                <w:sz w:val="24"/>
                <w:szCs w:val="20"/>
                <w:highlight w:val="none"/>
                <w:lang w:eastAsia="zh-CN"/>
              </w:rPr>
              <w:t>；</w:t>
            </w:r>
          </w:p>
          <w:p w14:paraId="35FF173C">
            <w:pPr>
              <w:tabs>
                <w:tab w:val="left" w:pos="567"/>
              </w:tabs>
              <w:spacing w:line="360" w:lineRule="auto"/>
              <w:rPr>
                <w:rFonts w:hint="default" w:ascii="Times New Roman" w:hAnsi="Times New Roman" w:eastAsia="宋体" w:cs="Times New Roman"/>
                <w:bCs/>
                <w:sz w:val="24"/>
                <w:szCs w:val="24"/>
                <w:highlight w:val="none"/>
                <w:lang w:val="en-US" w:eastAsia="zh-CN"/>
              </w:rPr>
            </w:pPr>
            <w:r>
              <w:rPr>
                <w:rFonts w:hint="default" w:ascii="Times New Roman" w:hAnsi="Times New Roman" w:eastAsia="宋体" w:cs="Times New Roman"/>
                <w:bCs/>
                <w:sz w:val="24"/>
                <w:szCs w:val="24"/>
                <w:highlight w:val="none"/>
              </w:rPr>
              <w:t>（5）</w:t>
            </w:r>
            <w:r>
              <w:rPr>
                <w:rFonts w:hint="default" w:ascii="Times New Roman" w:hAnsi="Times New Roman" w:eastAsia="宋体" w:cs="Times New Roman"/>
                <w:sz w:val="24"/>
                <w:szCs w:val="24"/>
                <w:highlight w:val="none"/>
              </w:rPr>
              <w:t>无标记的指标为一般技术条款，总分为3.2分。正偏离不加分，</w:t>
            </w:r>
            <w:r>
              <w:rPr>
                <w:rFonts w:hint="default" w:ascii="Times New Roman" w:hAnsi="Times New Roman" w:eastAsia="宋体" w:cs="Times New Roman"/>
                <w:bCs/>
                <w:color w:val="000000"/>
                <w:sz w:val="24"/>
                <w:szCs w:val="24"/>
                <w:highlight w:val="none"/>
              </w:rPr>
              <w:t>应答有负偏离得0分，应答全部无偏离得</w:t>
            </w:r>
            <w:r>
              <w:rPr>
                <w:rFonts w:hint="default" w:ascii="Times New Roman" w:hAnsi="Times New Roman" w:eastAsia="宋体" w:cs="Times New Roman"/>
                <w:bCs/>
                <w:color w:val="000000"/>
                <w:sz w:val="24"/>
                <w:szCs w:val="24"/>
                <w:highlight w:val="none"/>
                <w:lang w:eastAsia="zh-CN"/>
              </w:rPr>
              <w:t>3.2</w:t>
            </w:r>
            <w:r>
              <w:rPr>
                <w:rFonts w:hint="default" w:ascii="Times New Roman" w:hAnsi="Times New Roman" w:eastAsia="宋体" w:cs="Times New Roman"/>
                <w:bCs/>
                <w:color w:val="000000"/>
                <w:sz w:val="24"/>
                <w:szCs w:val="24"/>
                <w:highlight w:val="none"/>
              </w:rPr>
              <w:t>分</w:t>
            </w:r>
            <w:r>
              <w:rPr>
                <w:rFonts w:hint="default" w:ascii="Times New Roman" w:hAnsi="Times New Roman" w:eastAsia="宋体" w:cs="Times New Roman"/>
                <w:bCs/>
                <w:sz w:val="24"/>
                <w:szCs w:val="24"/>
                <w:highlight w:val="none"/>
                <w:lang w:val="en-US" w:eastAsia="zh-CN"/>
              </w:rPr>
              <w:t>。</w:t>
            </w:r>
          </w:p>
          <w:p w14:paraId="47D056F1">
            <w:pPr>
              <w:snapToGrid w:val="0"/>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（6）凡标有最低一级序号的指标项即为一项技术条款，无论是否隶属于上一级编号。标题内容不计算为一项技术条款。</w:t>
            </w:r>
          </w:p>
          <w:p w14:paraId="2A6B8032">
            <w:pPr>
              <w:pStyle w:val="2"/>
              <w:spacing w:line="360" w:lineRule="auto"/>
              <w:rPr>
                <w:rFonts w:hint="default" w:ascii="Times New Roman" w:hAnsi="Times New Roman" w:eastAsia="宋体" w:cs="Times New Roman"/>
                <w:highlight w:val="none"/>
                <w:lang w:eastAsia="zh-CN"/>
              </w:rPr>
            </w:pPr>
            <w:r>
              <w:rPr>
                <w:rFonts w:hint="default" w:ascii="Times New Roman" w:hAnsi="Times New Roman" w:eastAsia="宋体" w:cs="Times New Roman"/>
                <w:bCs/>
                <w:sz w:val="24"/>
                <w:szCs w:val="24"/>
                <w:highlight w:val="none"/>
                <w:lang w:eastAsia="zh-CN"/>
              </w:rPr>
              <w:t>（</w:t>
            </w:r>
            <w:r>
              <w:rPr>
                <w:rFonts w:hint="default" w:ascii="Times New Roman" w:hAnsi="Times New Roman" w:eastAsia="宋体" w:cs="Times New Roman"/>
                <w:bCs/>
                <w:sz w:val="24"/>
                <w:szCs w:val="24"/>
                <w:highlight w:val="none"/>
                <w:lang w:val="en-US" w:eastAsia="zh-CN"/>
              </w:rPr>
              <w:t>7</w:t>
            </w:r>
            <w:r>
              <w:rPr>
                <w:rFonts w:hint="default" w:ascii="Times New Roman" w:hAnsi="Times New Roman" w:eastAsia="宋体" w:cs="Times New Roman"/>
                <w:bCs/>
                <w:sz w:val="24"/>
                <w:szCs w:val="24"/>
                <w:highlight w:val="none"/>
                <w:lang w:eastAsia="zh-CN"/>
              </w:rPr>
              <w:t>）若标书参数中要求提供证明材料的，则投标人必须提供相应的证明材料，否则按负偏离处理。</w:t>
            </w:r>
          </w:p>
        </w:tc>
        <w:tc>
          <w:tcPr>
            <w:tcW w:w="976" w:type="dxa"/>
            <w:tcBorders>
              <w:top w:val="single" w:color="auto" w:sz="4" w:space="0"/>
              <w:left w:val="single" w:color="auto" w:sz="4" w:space="0"/>
              <w:bottom w:val="single" w:color="auto" w:sz="4" w:space="0"/>
              <w:right w:val="single" w:color="auto" w:sz="4" w:space="0"/>
            </w:tcBorders>
            <w:vAlign w:val="center"/>
          </w:tcPr>
          <w:p w14:paraId="45FA675F">
            <w:pPr>
              <w:spacing w:line="360" w:lineRule="auto"/>
              <w:rPr>
                <w:rFonts w:hint="default" w:ascii="Times New Roman" w:hAnsi="Times New Roman" w:eastAsia="宋体" w:cs="Times New Roman"/>
                <w:bCs/>
                <w:sz w:val="24"/>
                <w:szCs w:val="24"/>
                <w:highlight w:val="none"/>
                <w:lang w:val="en-US" w:eastAsia="zh-CN"/>
              </w:rPr>
            </w:pPr>
            <w:r>
              <w:rPr>
                <w:rFonts w:hint="default" w:ascii="Times New Roman" w:hAnsi="Times New Roman" w:eastAsia="宋体" w:cs="Times New Roman"/>
                <w:bCs/>
                <w:sz w:val="24"/>
                <w:szCs w:val="24"/>
                <w:highlight w:val="none"/>
                <w:lang w:val="en-US" w:eastAsia="zh-CN"/>
              </w:rPr>
              <w:t>34</w:t>
            </w:r>
          </w:p>
        </w:tc>
      </w:tr>
      <w:tr w14:paraId="3328F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66" w:type="dxa"/>
            <w:vMerge w:val="continue"/>
            <w:tcBorders>
              <w:left w:val="single" w:color="auto" w:sz="4" w:space="0"/>
              <w:right w:val="single" w:color="auto" w:sz="4" w:space="0"/>
            </w:tcBorders>
            <w:vAlign w:val="center"/>
          </w:tcPr>
          <w:p w14:paraId="10CC1914">
            <w:pPr>
              <w:snapToGrid w:val="0"/>
              <w:spacing w:line="360" w:lineRule="auto"/>
              <w:rPr>
                <w:rFonts w:hint="default" w:ascii="Times New Roman" w:hAnsi="Times New Roman" w:eastAsia="宋体" w:cs="Times New Roman"/>
                <w:bCs/>
                <w:sz w:val="24"/>
                <w:szCs w:val="24"/>
                <w:highlight w:val="none"/>
              </w:rPr>
            </w:pPr>
          </w:p>
        </w:tc>
        <w:tc>
          <w:tcPr>
            <w:tcW w:w="7222" w:type="dxa"/>
            <w:tcBorders>
              <w:top w:val="single" w:color="auto" w:sz="4" w:space="0"/>
              <w:left w:val="single" w:color="auto" w:sz="4" w:space="0"/>
              <w:bottom w:val="single" w:color="auto" w:sz="4" w:space="0"/>
              <w:right w:val="single" w:color="auto" w:sz="4" w:space="0"/>
            </w:tcBorders>
            <w:vAlign w:val="center"/>
          </w:tcPr>
          <w:p w14:paraId="67507B94">
            <w:pPr>
              <w:spacing w:line="360" w:lineRule="auto"/>
              <w:rPr>
                <w:rFonts w:hint="default" w:ascii="Times New Roman" w:hAnsi="Times New Roman" w:eastAsia="宋体" w:cs="Times New Roman"/>
                <w:highlight w:val="none"/>
              </w:rPr>
            </w:pPr>
            <w:r>
              <w:rPr>
                <w:rFonts w:hint="default" w:ascii="Times New Roman" w:hAnsi="Times New Roman" w:eastAsia="宋体" w:cs="Times New Roman"/>
                <w:bCs/>
                <w:sz w:val="24"/>
                <w:szCs w:val="24"/>
                <w:highlight w:val="none"/>
                <w:lang w:val="en-US" w:eastAsia="zh-CN"/>
              </w:rPr>
              <w:t>2、</w:t>
            </w:r>
            <w:r>
              <w:rPr>
                <w:rFonts w:hint="default" w:ascii="Times New Roman" w:hAnsi="Times New Roman" w:eastAsia="宋体" w:cs="Times New Roman"/>
                <w:bCs/>
                <w:sz w:val="24"/>
                <w:szCs w:val="24"/>
                <w:highlight w:val="none"/>
              </w:rPr>
              <w:t>投标人须结合本项目检测需求，提供完整的</w:t>
            </w:r>
            <w:bookmarkStart w:id="208" w:name="OLE_LINK6"/>
            <w:r>
              <w:rPr>
                <w:rFonts w:hint="default" w:ascii="Times New Roman" w:hAnsi="Times New Roman" w:eastAsia="宋体" w:cs="Times New Roman"/>
                <w:bCs/>
                <w:sz w:val="24"/>
                <w:szCs w:val="24"/>
                <w:highlight w:val="none"/>
              </w:rPr>
              <w:t>试剂开发</w:t>
            </w:r>
            <w:bookmarkEnd w:id="208"/>
            <w:r>
              <w:rPr>
                <w:rFonts w:hint="default" w:ascii="Times New Roman" w:hAnsi="Times New Roman" w:eastAsia="宋体" w:cs="Times New Roman"/>
                <w:bCs/>
                <w:sz w:val="24"/>
                <w:szCs w:val="24"/>
                <w:highlight w:val="none"/>
              </w:rPr>
              <w:t>及测试方案，方案应覆盖样本保存液、RNA提取、rRNA去除、RNA建库、混样试剂开发及全流程测试等核心环节。</w:t>
            </w:r>
          </w:p>
          <w:p w14:paraId="39DD85BC">
            <w:pPr>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评审标准：</w:t>
            </w:r>
          </w:p>
          <w:p w14:paraId="57FBC948">
            <w:pPr>
              <w:snapToGrid w:val="0"/>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说明内容方案内容涵盖上述每一点得0.</w:t>
            </w:r>
            <w:r>
              <w:rPr>
                <w:rFonts w:hint="default" w:ascii="Times New Roman" w:hAnsi="Times New Roman" w:eastAsia="宋体" w:cs="Times New Roman"/>
                <w:bCs/>
                <w:sz w:val="24"/>
                <w:szCs w:val="24"/>
                <w:highlight w:val="none"/>
                <w:lang w:val="en-US" w:eastAsia="zh-CN"/>
              </w:rPr>
              <w:t>25</w:t>
            </w:r>
            <w:r>
              <w:rPr>
                <w:rFonts w:hint="default" w:ascii="Times New Roman" w:hAnsi="Times New Roman" w:eastAsia="宋体" w:cs="Times New Roman"/>
                <w:bCs/>
                <w:sz w:val="24"/>
                <w:szCs w:val="24"/>
                <w:highlight w:val="none"/>
              </w:rPr>
              <w:t>分，最高得</w:t>
            </w:r>
            <w:r>
              <w:rPr>
                <w:rFonts w:hint="default" w:ascii="Times New Roman" w:hAnsi="Times New Roman" w:eastAsia="宋体" w:cs="Times New Roman"/>
                <w:bCs/>
                <w:sz w:val="24"/>
                <w:szCs w:val="24"/>
                <w:highlight w:val="none"/>
                <w:lang w:val="en-US" w:eastAsia="zh-CN"/>
              </w:rPr>
              <w:t>1.5</w:t>
            </w:r>
            <w:r>
              <w:rPr>
                <w:rFonts w:hint="default" w:ascii="Times New Roman" w:hAnsi="Times New Roman" w:eastAsia="宋体" w:cs="Times New Roman"/>
                <w:bCs/>
                <w:sz w:val="24"/>
                <w:szCs w:val="24"/>
                <w:highlight w:val="none"/>
              </w:rPr>
              <w:t>分。</w:t>
            </w:r>
          </w:p>
        </w:tc>
        <w:tc>
          <w:tcPr>
            <w:tcW w:w="976" w:type="dxa"/>
            <w:tcBorders>
              <w:top w:val="single" w:color="auto" w:sz="4" w:space="0"/>
              <w:left w:val="single" w:color="auto" w:sz="4" w:space="0"/>
              <w:bottom w:val="single" w:color="auto" w:sz="4" w:space="0"/>
              <w:right w:val="single" w:color="auto" w:sz="4" w:space="0"/>
            </w:tcBorders>
            <w:vAlign w:val="center"/>
          </w:tcPr>
          <w:p w14:paraId="5968B34D">
            <w:pPr>
              <w:spacing w:line="360" w:lineRule="auto"/>
              <w:rPr>
                <w:rFonts w:hint="default" w:ascii="Times New Roman" w:hAnsi="Times New Roman" w:eastAsia="宋体" w:cs="Times New Roman"/>
                <w:bCs/>
                <w:sz w:val="24"/>
                <w:szCs w:val="24"/>
                <w:highlight w:val="none"/>
                <w:lang w:val="en-US" w:eastAsia="zh-CN"/>
              </w:rPr>
            </w:pPr>
            <w:r>
              <w:rPr>
                <w:rFonts w:hint="default" w:ascii="Times New Roman" w:hAnsi="Times New Roman" w:eastAsia="宋体" w:cs="Times New Roman"/>
                <w:bCs/>
                <w:sz w:val="24"/>
                <w:szCs w:val="24"/>
                <w:highlight w:val="none"/>
                <w:lang w:val="en-US" w:eastAsia="zh-CN"/>
              </w:rPr>
              <w:t>1.5</w:t>
            </w:r>
          </w:p>
        </w:tc>
      </w:tr>
      <w:tr w14:paraId="5500F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66" w:type="dxa"/>
            <w:vMerge w:val="continue"/>
            <w:tcBorders>
              <w:left w:val="single" w:color="auto" w:sz="4" w:space="0"/>
              <w:right w:val="single" w:color="auto" w:sz="4" w:space="0"/>
            </w:tcBorders>
            <w:vAlign w:val="center"/>
          </w:tcPr>
          <w:p w14:paraId="7AB93DA0">
            <w:pPr>
              <w:snapToGrid w:val="0"/>
              <w:spacing w:line="360" w:lineRule="auto"/>
              <w:rPr>
                <w:rFonts w:hint="default" w:ascii="Times New Roman" w:hAnsi="Times New Roman" w:eastAsia="宋体" w:cs="Times New Roman"/>
                <w:bCs/>
                <w:sz w:val="24"/>
                <w:szCs w:val="24"/>
                <w:highlight w:val="none"/>
              </w:rPr>
            </w:pPr>
          </w:p>
        </w:tc>
        <w:tc>
          <w:tcPr>
            <w:tcW w:w="7222" w:type="dxa"/>
            <w:tcBorders>
              <w:top w:val="single" w:color="auto" w:sz="4" w:space="0"/>
              <w:left w:val="single" w:color="auto" w:sz="4" w:space="0"/>
              <w:bottom w:val="single" w:color="auto" w:sz="4" w:space="0"/>
              <w:right w:val="single" w:color="auto" w:sz="4" w:space="0"/>
            </w:tcBorders>
            <w:vAlign w:val="center"/>
          </w:tcPr>
          <w:p w14:paraId="0BDEBE55">
            <w:pPr>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lang w:val="en-US" w:eastAsia="zh-CN"/>
              </w:rPr>
              <w:t>3、</w:t>
            </w:r>
            <w:r>
              <w:rPr>
                <w:rFonts w:hint="default" w:ascii="Times New Roman" w:hAnsi="Times New Roman" w:eastAsia="宋体" w:cs="Times New Roman"/>
                <w:bCs/>
                <w:sz w:val="24"/>
                <w:szCs w:val="24"/>
                <w:highlight w:val="none"/>
              </w:rPr>
              <w:t>投标人须结合本项目检测需求，提供完整的试剂开发及测试方案</w:t>
            </w:r>
            <w:r>
              <w:rPr>
                <w:rFonts w:hint="default" w:ascii="Times New Roman" w:hAnsi="Times New Roman" w:eastAsia="宋体" w:cs="Times New Roman"/>
                <w:bCs/>
                <w:sz w:val="24"/>
                <w:szCs w:val="24"/>
                <w:highlight w:val="none"/>
                <w:lang w:eastAsia="zh-CN"/>
              </w:rPr>
              <w:t>。</w:t>
            </w:r>
            <w:r>
              <w:rPr>
                <w:rFonts w:hint="default" w:ascii="Times New Roman" w:hAnsi="Times New Roman" w:eastAsia="宋体" w:cs="Times New Roman"/>
                <w:bCs/>
                <w:sz w:val="24"/>
                <w:szCs w:val="24"/>
                <w:highlight w:val="none"/>
              </w:rPr>
              <w:t>评标委员会根据投标人提供的方案内容进行综合评审，评审为优的</w:t>
            </w:r>
            <w:r>
              <w:rPr>
                <w:rFonts w:hint="default" w:ascii="Times New Roman" w:hAnsi="Times New Roman" w:eastAsia="宋体" w:cs="Times New Roman"/>
                <w:bCs/>
                <w:sz w:val="24"/>
                <w:szCs w:val="24"/>
                <w:highlight w:val="none"/>
                <w:lang w:val="en-US" w:eastAsia="zh-CN"/>
              </w:rPr>
              <w:t>得5.5</w:t>
            </w:r>
            <w:r>
              <w:rPr>
                <w:rFonts w:hint="default" w:ascii="Times New Roman" w:hAnsi="Times New Roman" w:eastAsia="宋体" w:cs="Times New Roman"/>
                <w:bCs/>
                <w:sz w:val="24"/>
                <w:szCs w:val="24"/>
                <w:highlight w:val="none"/>
              </w:rPr>
              <w:t>分，评审为良的</w:t>
            </w:r>
            <w:r>
              <w:rPr>
                <w:rFonts w:hint="default" w:ascii="Times New Roman" w:hAnsi="Times New Roman" w:eastAsia="宋体" w:cs="Times New Roman"/>
                <w:bCs/>
                <w:sz w:val="24"/>
                <w:szCs w:val="24"/>
                <w:highlight w:val="none"/>
                <w:lang w:val="en-US" w:eastAsia="zh-CN"/>
              </w:rPr>
              <w:t>得3.5</w:t>
            </w:r>
            <w:r>
              <w:rPr>
                <w:rFonts w:hint="default" w:ascii="Times New Roman" w:hAnsi="Times New Roman" w:eastAsia="宋体" w:cs="Times New Roman"/>
                <w:bCs/>
                <w:sz w:val="24"/>
                <w:szCs w:val="24"/>
                <w:highlight w:val="none"/>
              </w:rPr>
              <w:t>分，评审为中的</w:t>
            </w:r>
            <w:r>
              <w:rPr>
                <w:rFonts w:hint="default" w:ascii="Times New Roman" w:hAnsi="Times New Roman" w:eastAsia="宋体" w:cs="Times New Roman"/>
                <w:bCs/>
                <w:sz w:val="24"/>
                <w:szCs w:val="24"/>
                <w:highlight w:val="none"/>
                <w:lang w:val="en-US" w:eastAsia="zh-CN"/>
              </w:rPr>
              <w:t>得</w:t>
            </w:r>
            <w:r>
              <w:rPr>
                <w:rFonts w:hint="default" w:ascii="Times New Roman" w:hAnsi="Times New Roman" w:eastAsia="宋体" w:cs="Times New Roman"/>
                <w:bCs/>
                <w:sz w:val="24"/>
                <w:szCs w:val="24"/>
                <w:highlight w:val="none"/>
              </w:rPr>
              <w:t>1</w:t>
            </w:r>
            <w:r>
              <w:rPr>
                <w:rFonts w:hint="default" w:ascii="Times New Roman" w:hAnsi="Times New Roman" w:eastAsia="宋体" w:cs="Times New Roman"/>
                <w:bCs/>
                <w:sz w:val="24"/>
                <w:szCs w:val="24"/>
                <w:highlight w:val="none"/>
                <w:lang w:val="en-US" w:eastAsia="zh-CN"/>
              </w:rPr>
              <w:t>.5</w:t>
            </w:r>
            <w:r>
              <w:rPr>
                <w:rFonts w:hint="default" w:ascii="Times New Roman" w:hAnsi="Times New Roman" w:eastAsia="宋体" w:cs="Times New Roman"/>
                <w:bCs/>
                <w:sz w:val="24"/>
                <w:szCs w:val="24"/>
                <w:highlight w:val="none"/>
              </w:rPr>
              <w:t>分，评审为差的得0分。其中：</w:t>
            </w:r>
          </w:p>
          <w:p w14:paraId="387DC4A3">
            <w:pPr>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优评分标准：投标人提供的试剂开发及测试方案内容全面、详细、合理、具体，完全覆盖项目检测全部环节。方案中对各环节的试验设计、量化交付质量标准、判定标准均有清晰明确的描述，功能内容介绍详细完整，技术路线科学合理、可操作性强，完全契合或优于采购需求。</w:t>
            </w:r>
          </w:p>
          <w:p w14:paraId="6B11A108">
            <w:pPr>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良评分标准：投标人提供的试剂开发及测试方案内容较为全面、详细、合理、具体，覆盖项目检测主要环节，方案中对各环节的试验设计、交付标准有较为清晰的描述，功能内容介绍较为详细，技术路线较为科学合理，整体契合采购需求，但部分细节尚需进一步明确。</w:t>
            </w:r>
          </w:p>
          <w:p w14:paraId="6D70AA93">
            <w:pPr>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中评分标准：投标人提供的试剂开发及测试方案内容不够全面、详细、合理、具体，仅覆盖部分试剂开发环节，方案中对试验设计、交付标准的描述不够详细，技术路线不够清晰明确，与采购需求的契合度有待提高。</w:t>
            </w:r>
          </w:p>
          <w:p w14:paraId="1159513F">
            <w:pPr>
              <w:snapToGrid w:val="0"/>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差评分标准：投标人提供的试剂开发及测试方案内容不可行、不全面、不合理、不具体，严重偏离采购需求，或功能内容介绍严重缺失，或未提供方案内容。</w:t>
            </w:r>
          </w:p>
        </w:tc>
        <w:tc>
          <w:tcPr>
            <w:tcW w:w="976" w:type="dxa"/>
            <w:tcBorders>
              <w:top w:val="single" w:color="auto" w:sz="4" w:space="0"/>
              <w:left w:val="single" w:color="auto" w:sz="4" w:space="0"/>
              <w:bottom w:val="single" w:color="auto" w:sz="4" w:space="0"/>
              <w:right w:val="single" w:color="auto" w:sz="4" w:space="0"/>
            </w:tcBorders>
            <w:vAlign w:val="center"/>
          </w:tcPr>
          <w:p w14:paraId="70FF227A">
            <w:pPr>
              <w:spacing w:line="360" w:lineRule="auto"/>
              <w:rPr>
                <w:rFonts w:hint="default" w:ascii="Times New Roman" w:hAnsi="Times New Roman" w:eastAsia="宋体" w:cs="Times New Roman"/>
                <w:bCs/>
                <w:sz w:val="24"/>
                <w:szCs w:val="24"/>
                <w:highlight w:val="none"/>
                <w:lang w:val="en-US" w:eastAsia="zh-CN"/>
              </w:rPr>
            </w:pPr>
            <w:r>
              <w:rPr>
                <w:rFonts w:hint="default" w:ascii="Times New Roman" w:hAnsi="Times New Roman" w:eastAsia="宋体" w:cs="Times New Roman"/>
                <w:bCs/>
                <w:sz w:val="24"/>
                <w:szCs w:val="24"/>
                <w:highlight w:val="none"/>
                <w:lang w:val="en-US" w:eastAsia="zh-CN"/>
              </w:rPr>
              <w:t>5.5</w:t>
            </w:r>
          </w:p>
        </w:tc>
      </w:tr>
      <w:tr w14:paraId="287EB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66" w:type="dxa"/>
            <w:vMerge w:val="continue"/>
            <w:tcBorders>
              <w:left w:val="single" w:color="auto" w:sz="4" w:space="0"/>
              <w:right w:val="single" w:color="auto" w:sz="4" w:space="0"/>
            </w:tcBorders>
            <w:vAlign w:val="center"/>
          </w:tcPr>
          <w:p w14:paraId="56DF9E5F">
            <w:pPr>
              <w:snapToGrid w:val="0"/>
              <w:spacing w:line="360" w:lineRule="auto"/>
              <w:rPr>
                <w:rFonts w:hint="default" w:ascii="Times New Roman" w:hAnsi="Times New Roman" w:eastAsia="宋体" w:cs="Times New Roman"/>
                <w:bCs/>
                <w:sz w:val="24"/>
                <w:szCs w:val="24"/>
                <w:highlight w:val="none"/>
              </w:rPr>
            </w:pPr>
          </w:p>
        </w:tc>
        <w:tc>
          <w:tcPr>
            <w:tcW w:w="7222" w:type="dxa"/>
            <w:tcBorders>
              <w:top w:val="single" w:color="auto" w:sz="4" w:space="0"/>
              <w:left w:val="single" w:color="auto" w:sz="4" w:space="0"/>
              <w:bottom w:val="single" w:color="auto" w:sz="4" w:space="0"/>
              <w:right w:val="single" w:color="auto" w:sz="4" w:space="0"/>
            </w:tcBorders>
            <w:vAlign w:val="center"/>
          </w:tcPr>
          <w:p w14:paraId="100F1A2D">
            <w:pPr>
              <w:snapToGrid w:val="0"/>
              <w:spacing w:line="360" w:lineRule="auto"/>
              <w:rPr>
                <w:rFonts w:hint="default" w:ascii="Times New Roman" w:hAnsi="Times New Roman" w:eastAsia="宋体" w:cs="Times New Roman"/>
                <w:sz w:val="24"/>
                <w:szCs w:val="22"/>
                <w:highlight w:val="none"/>
              </w:rPr>
            </w:pPr>
            <w:r>
              <w:rPr>
                <w:rFonts w:hint="default" w:ascii="Times New Roman" w:hAnsi="Times New Roman" w:eastAsia="宋体" w:cs="Times New Roman"/>
                <w:sz w:val="24"/>
                <w:szCs w:val="22"/>
                <w:highlight w:val="none"/>
                <w:lang w:val="en-US" w:eastAsia="zh-CN"/>
              </w:rPr>
              <w:t>4</w:t>
            </w:r>
            <w:r>
              <w:rPr>
                <w:rFonts w:hint="default" w:ascii="Times New Roman" w:hAnsi="Times New Roman" w:eastAsia="宋体" w:cs="Times New Roman"/>
                <w:sz w:val="24"/>
                <w:szCs w:val="22"/>
                <w:highlight w:val="none"/>
              </w:rPr>
              <w:t>、供应商所投产品获得相关节能、环保产品认证情况：</w:t>
            </w:r>
          </w:p>
          <w:p w14:paraId="2E485E33">
            <w:pPr>
              <w:snapToGrid w:val="0"/>
              <w:spacing w:line="360" w:lineRule="auto"/>
              <w:rPr>
                <w:rFonts w:hint="default" w:ascii="Times New Roman" w:hAnsi="Times New Roman" w:eastAsia="宋体" w:cs="Times New Roman"/>
                <w:sz w:val="24"/>
                <w:szCs w:val="22"/>
                <w:highlight w:val="none"/>
              </w:rPr>
            </w:pPr>
            <w:r>
              <w:rPr>
                <w:rFonts w:hint="default" w:ascii="Times New Roman" w:hAnsi="Times New Roman" w:eastAsia="宋体" w:cs="Times New Roman"/>
                <w:sz w:val="24"/>
                <w:szCs w:val="22"/>
                <w:highlight w:val="none"/>
              </w:rPr>
              <w:t>（1）节能产品：投标产品属于财政部和国家发改委最新公布的节能产品政府采购品目清单的，需提供市场监管总局发布参与实施政府采购节能产品、环境标志产品认证机构出具的认证证书复印件并加盖公章，且在有效截止日期内，得</w:t>
            </w:r>
            <w:r>
              <w:rPr>
                <w:rFonts w:hint="default" w:ascii="Times New Roman" w:hAnsi="Times New Roman" w:eastAsia="宋体" w:cs="Times New Roman"/>
                <w:sz w:val="24"/>
                <w:szCs w:val="22"/>
                <w:highlight w:val="none"/>
                <w:lang w:val="en-US" w:eastAsia="zh-CN"/>
              </w:rPr>
              <w:t>0.5</w:t>
            </w:r>
            <w:r>
              <w:rPr>
                <w:rFonts w:hint="default" w:ascii="Times New Roman" w:hAnsi="Times New Roman" w:eastAsia="宋体" w:cs="Times New Roman"/>
                <w:sz w:val="24"/>
                <w:szCs w:val="22"/>
                <w:highlight w:val="none"/>
              </w:rPr>
              <w:t>分；否则0分。</w:t>
            </w:r>
          </w:p>
          <w:p w14:paraId="7B8E1679">
            <w:pPr>
              <w:snapToGrid w:val="0"/>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sz w:val="24"/>
                <w:szCs w:val="22"/>
                <w:highlight w:val="none"/>
              </w:rPr>
              <w:t>（2）环境标志产品：投标产品属于财政部和生态环境部最新公布的环境标志产品政府采购品目清单的，供应商需提供市场监管总局发布参与实施政府采购节能产品、环境标志产品认证机构出具的认证证书复印件并加盖公章，且在有效截止日期内，得</w:t>
            </w:r>
            <w:r>
              <w:rPr>
                <w:rFonts w:hint="default" w:ascii="Times New Roman" w:hAnsi="Times New Roman" w:eastAsia="宋体" w:cs="Times New Roman"/>
                <w:sz w:val="24"/>
                <w:szCs w:val="22"/>
                <w:highlight w:val="none"/>
                <w:lang w:val="en-US" w:eastAsia="zh-CN"/>
              </w:rPr>
              <w:t>0.5</w:t>
            </w:r>
            <w:r>
              <w:rPr>
                <w:rFonts w:hint="default" w:ascii="Times New Roman" w:hAnsi="Times New Roman" w:eastAsia="宋体" w:cs="Times New Roman"/>
                <w:sz w:val="24"/>
                <w:szCs w:val="22"/>
                <w:highlight w:val="none"/>
              </w:rPr>
              <w:t>分；否则0分。</w:t>
            </w:r>
          </w:p>
        </w:tc>
        <w:tc>
          <w:tcPr>
            <w:tcW w:w="976" w:type="dxa"/>
            <w:tcBorders>
              <w:top w:val="single" w:color="auto" w:sz="4" w:space="0"/>
              <w:left w:val="single" w:color="auto" w:sz="4" w:space="0"/>
              <w:bottom w:val="single" w:color="auto" w:sz="4" w:space="0"/>
              <w:right w:val="single" w:color="auto" w:sz="4" w:space="0"/>
            </w:tcBorders>
            <w:vAlign w:val="center"/>
          </w:tcPr>
          <w:p w14:paraId="33283C6E">
            <w:pPr>
              <w:snapToGrid w:val="0"/>
              <w:spacing w:line="360" w:lineRule="auto"/>
              <w:jc w:val="center"/>
              <w:rPr>
                <w:rFonts w:hint="default" w:ascii="Times New Roman" w:hAnsi="Times New Roman" w:eastAsia="宋体" w:cs="Times New Roman"/>
                <w:bCs/>
                <w:sz w:val="24"/>
                <w:szCs w:val="24"/>
                <w:highlight w:val="none"/>
                <w:lang w:val="en-US" w:eastAsia="zh-CN"/>
              </w:rPr>
            </w:pPr>
            <w:r>
              <w:rPr>
                <w:rFonts w:hint="default" w:ascii="Times New Roman" w:hAnsi="Times New Roman" w:eastAsia="宋体" w:cs="Times New Roman"/>
                <w:sz w:val="24"/>
                <w:szCs w:val="22"/>
                <w:highlight w:val="none"/>
                <w:lang w:val="en-US" w:eastAsia="zh-CN"/>
              </w:rPr>
              <w:t>1</w:t>
            </w:r>
          </w:p>
        </w:tc>
      </w:tr>
    </w:tbl>
    <w:p w14:paraId="1196F11A">
      <w:pPr>
        <w:pStyle w:val="27"/>
        <w:ind w:firstLine="0" w:firstLineChars="0"/>
        <w:jc w:val="both"/>
        <w:rPr>
          <w:rFonts w:hint="default" w:ascii="Times New Roman" w:hAnsi="Times New Roman" w:eastAsia="宋体" w:cs="Times New Roman"/>
          <w:highlight w:val="none"/>
        </w:rPr>
      </w:pPr>
    </w:p>
    <w:p w14:paraId="43F2CF6B">
      <w:pPr>
        <w:autoSpaceDE w:val="0"/>
        <w:autoSpaceDN w:val="0"/>
        <w:adjustRightInd w:val="0"/>
        <w:spacing w:line="360" w:lineRule="auto"/>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lang w:val="zh-CN"/>
        </w:rPr>
        <w:t>注：</w:t>
      </w:r>
    </w:p>
    <w:p w14:paraId="6D732F80">
      <w:pPr>
        <w:pStyle w:val="27"/>
        <w:ind w:firstLine="0" w:firstLineChars="0"/>
        <w:jc w:val="both"/>
        <w:rPr>
          <w:rFonts w:hint="default" w:ascii="Times New Roman" w:hAnsi="Times New Roman" w:eastAsia="宋体" w:cs="Times New Roman"/>
          <w:sz w:val="24"/>
          <w:szCs w:val="21"/>
          <w:highlight w:val="none"/>
        </w:rPr>
      </w:pPr>
      <w:r>
        <w:rPr>
          <w:rFonts w:hint="default" w:ascii="Times New Roman" w:hAnsi="Times New Roman" w:eastAsia="宋体" w:cs="Times New Roman"/>
          <w:sz w:val="24"/>
          <w:szCs w:val="21"/>
          <w:highlight w:val="none"/>
        </w:rPr>
        <w:t>★1、对于所投货物的数量作为实质性要求，不满足配置清单和招标文件要求的将被视为无效投标。</w:t>
      </w:r>
    </w:p>
    <w:p w14:paraId="08F20F9D">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szCs w:val="21"/>
          <w:highlight w:val="none"/>
        </w:rPr>
        <w:t>2</w:t>
      </w:r>
      <w:r>
        <w:rPr>
          <w:rFonts w:hint="default" w:ascii="Times New Roman" w:hAnsi="Times New Roman" w:eastAsia="宋体" w:cs="Times New Roman"/>
          <w:sz w:val="24"/>
          <w:highlight w:val="none"/>
        </w:rPr>
        <w:t>、提供相同品牌产品且通过资格审查、符合性审查的不同投标人参加同一合同项下同一项目包投标的，按一家投标人计算，评审后得分最高的同品牌投标人获得中标人推荐资格；评审得分相同的，按投标报价排列，报价最低的投标人获得中标人推荐资格；得分与投标报价均相同的，按技术指标优劣排列，技术得分最高的投标人获得中标人推荐资格。（注：</w:t>
      </w:r>
      <w:r>
        <w:rPr>
          <w:rFonts w:hint="default" w:ascii="Times New Roman" w:hAnsi="Times New Roman" w:eastAsia="宋体" w:cs="Times New Roman"/>
          <w:color w:val="000000"/>
          <w:kern w:val="0"/>
          <w:sz w:val="24"/>
          <w:szCs w:val="24"/>
          <w:highlight w:val="none"/>
          <w:lang w:bidi="ar"/>
        </w:rPr>
        <w:t>为扶持不发达地区和少数民族地区，得分且投标报价相同的，评标委员会优先推荐企业注册地在不发达地区和少数民族地区的投标人。</w:t>
      </w:r>
      <w:r>
        <w:rPr>
          <w:rFonts w:hint="default" w:ascii="Times New Roman" w:hAnsi="Times New Roman" w:eastAsia="宋体" w:cs="Times New Roman"/>
          <w:sz w:val="24"/>
          <w:szCs w:val="24"/>
          <w:highlight w:val="none"/>
        </w:rPr>
        <w:t>不发达地区或少数民族地区的供应商需提供属于不发达地区或少数民族地区企业的相关证明材料，或供应商注册地为少数民族地区的相关证明材料）</w:t>
      </w:r>
    </w:p>
    <w:p w14:paraId="5392713C">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3、对非单一产品采购的项目包，在各包中确定核心产品，多家投标人提供的核心产品品牌相同的，按前款规定处理。</w:t>
      </w:r>
    </w:p>
    <w:p w14:paraId="007D33BB">
      <w:pPr>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4、评分分值计算保留小数点后两位，第三位四舍五入。</w:t>
      </w:r>
    </w:p>
    <w:p w14:paraId="6B4E2EA1">
      <w:pPr>
        <w:pStyle w:val="27"/>
        <w:ind w:firstLine="0" w:firstLineChars="0"/>
        <w:jc w:val="both"/>
        <w:rPr>
          <w:rFonts w:hint="default" w:ascii="Times New Roman" w:hAnsi="Times New Roman" w:eastAsia="宋体" w:cs="Times New Roman"/>
          <w:sz w:val="24"/>
          <w:szCs w:val="21"/>
          <w:highlight w:val="none"/>
        </w:rPr>
      </w:pPr>
      <w:r>
        <w:rPr>
          <w:rFonts w:hint="default" w:ascii="Times New Roman" w:hAnsi="Times New Roman" w:eastAsia="宋体" w:cs="Times New Roman"/>
          <w:sz w:val="24"/>
          <w:szCs w:val="21"/>
          <w:highlight w:val="none"/>
        </w:rPr>
        <w:t>5、举例说明：投标截止日若为2024年12月31日，则“自投标截止日起近3年内”、“近3年内”为2021年12月31日至2024年12月31日期间（含首尾），以此类推。</w:t>
      </w:r>
    </w:p>
    <w:p w14:paraId="7CB5CC78">
      <w:pPr>
        <w:spacing w:line="360" w:lineRule="auto"/>
        <w:rPr>
          <w:rFonts w:hint="default" w:ascii="Times New Roman" w:hAnsi="Times New Roman" w:eastAsia="宋体" w:cs="Times New Roman"/>
          <w:highlight w:val="none"/>
        </w:rPr>
      </w:pPr>
    </w:p>
    <w:p w14:paraId="1D8D884A">
      <w:pPr>
        <w:rPr>
          <w:rFonts w:hint="default" w:ascii="Times New Roman" w:hAnsi="Times New Roman" w:eastAsia="宋体" w:cs="Times New Roman"/>
          <w:highlight w:val="none"/>
        </w:rPr>
      </w:pPr>
    </w:p>
    <w:p w14:paraId="3812E6CB">
      <w:pPr>
        <w:rPr>
          <w:rFonts w:hint="default" w:ascii="Times New Roman" w:hAnsi="Times New Roman" w:eastAsia="宋体" w:cs="Times New Roman"/>
          <w:highlight w:val="none"/>
        </w:rPr>
      </w:pPr>
    </w:p>
    <w:p w14:paraId="1718F19C">
      <w:pPr>
        <w:rPr>
          <w:rFonts w:hint="default" w:ascii="Times New Roman" w:hAnsi="Times New Roman" w:eastAsia="宋体" w:cs="Times New Roman"/>
          <w:highlight w:val="none"/>
        </w:rPr>
      </w:pPr>
    </w:p>
    <w:p w14:paraId="44ED832E">
      <w:pPr>
        <w:rPr>
          <w:rFonts w:hint="default" w:ascii="Times New Roman" w:hAnsi="Times New Roman" w:eastAsia="宋体" w:cs="Times New Roman"/>
          <w:highlight w:val="none"/>
        </w:rPr>
      </w:pPr>
    </w:p>
    <w:p w14:paraId="790B938B">
      <w:pPr>
        <w:rPr>
          <w:rFonts w:hint="default" w:ascii="Times New Roman" w:hAnsi="Times New Roman" w:eastAsia="宋体" w:cs="Times New Roman"/>
          <w:highlight w:val="none"/>
        </w:rPr>
      </w:pPr>
    </w:p>
    <w:p w14:paraId="57A8B9AA">
      <w:pPr>
        <w:rPr>
          <w:rFonts w:hint="default" w:ascii="Times New Roman" w:hAnsi="Times New Roman" w:eastAsia="宋体" w:cs="Times New Roman"/>
          <w:highlight w:val="none"/>
        </w:rPr>
      </w:pPr>
    </w:p>
    <w:sectPr>
      <w:headerReference r:id="rId4" w:type="default"/>
      <w:footerReference r:id="rId5" w:type="default"/>
      <w:pgSz w:w="11906" w:h="16838"/>
      <w:pgMar w:top="1440" w:right="1474" w:bottom="1440" w:left="147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A9F6810F-90F1-41CF-8B7B-30F6293DB752}"/>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embedRegular r:id="rId2" w:fontKey="{50DF79B7-660F-440C-AD5B-505F115061AB}"/>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Arial Unicode MS">
    <w:altName w:val="宋体"/>
    <w:panose1 w:val="020B0604020202020204"/>
    <w:charset w:val="86"/>
    <w:family w:val="swiss"/>
    <w:pitch w:val="default"/>
    <w:sig w:usb0="00000000" w:usb1="00000000" w:usb2="0000003F" w:usb3="00000000" w:csb0="603F01FF" w:csb1="FFFF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Wingdings 2">
    <w:panose1 w:val="05020102010507070707"/>
    <w:charset w:val="02"/>
    <w:family w:val="roman"/>
    <w:pitch w:val="default"/>
    <w:sig w:usb0="00000000" w:usb1="00000000" w:usb2="00000000" w:usb3="00000000" w:csb0="80000000" w:csb1="00000000"/>
    <w:embedRegular r:id="rId3" w:fontKey="{6378BC25-0CC1-418C-BDC5-F2199B3B6F2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E9DC57">
    <w:pPr>
      <w:pStyle w:val="16"/>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14935" cy="131445"/>
              <wp:effectExtent l="0" t="0" r="0" b="0"/>
              <wp:wrapNone/>
              <wp:docPr id="13" name="文本框 13"/>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a:effectLst/>
                    </wps:spPr>
                    <wps:txbx>
                      <w:txbxContent>
                        <w:p w14:paraId="083A4FE2">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49</w:t>
                          </w:r>
                          <w:r>
                            <w:rPr>
                              <w:rFonts w:hint="eastAsia"/>
                              <w:sz w:val="18"/>
                            </w:rPr>
                            <w:fldChar w:fldCharType="end"/>
                          </w: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top:0pt;height:10.35pt;width:9.05pt;mso-position-horizontal:center;mso-position-horizontal-relative:margin;mso-wrap-style:none;z-index:251663360;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Q+V+SdAAAAADAQAADwAAAAAAAAABACAAAAAiAAAA&#10;ZHJzL2Rvd25yZXYueG1sUEsBAhQAFAAAAAgAh07iQGyLeakPAgAAEgQAAA4AAAAAAAAAAQAgAAAA&#10;HwEAAGRycy9lMm9Eb2MueG1sUEsFBgAAAAAGAAYAWQEAAKAFAAAAAA==&#10;">
              <v:fill on="f" focussize="0,0"/>
              <v:stroke on="f"/>
              <v:imagedata o:title=""/>
              <o:lock v:ext="edit" aspectratio="f"/>
              <v:textbox inset="0mm,0mm,0mm,0mm" style="mso-fit-shape-to-text:t;">
                <w:txbxContent>
                  <w:p w14:paraId="083A4FE2">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49</w:t>
                    </w:r>
                    <w:r>
                      <w:rPr>
                        <w:rFonts w:hint="eastAsia"/>
                        <w:sz w:val="1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15DE4B">
    <w:pPr>
      <w:pStyle w:val="16"/>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0AE816">
                          <w:pPr>
                            <w:pStyle w:val="16"/>
                          </w:pPr>
                          <w:r>
                            <w:fldChar w:fldCharType="begin"/>
                          </w:r>
                          <w:r>
                            <w:instrText xml:space="preserve"> PAGE  \* MERGEFORMAT </w:instrText>
                          </w:r>
                          <w:r>
                            <w:fldChar w:fldCharType="separate"/>
                          </w:r>
                          <w:r>
                            <w:t>121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14:paraId="630AE816">
                    <w:pPr>
                      <w:pStyle w:val="16"/>
                    </w:pPr>
                    <w:r>
                      <w:fldChar w:fldCharType="begin"/>
                    </w:r>
                    <w:r>
                      <w:instrText xml:space="preserve"> PAGE  \* MERGEFORMAT </w:instrText>
                    </w:r>
                    <w:r>
                      <w:fldChar w:fldCharType="separate"/>
                    </w:r>
                    <w:r>
                      <w:t>121</w:t>
                    </w:r>
                    <w:r>
                      <w:fldChar w:fldCharType="end"/>
                    </w:r>
                  </w:p>
                </w:txbxContent>
              </v:textbox>
            </v:shape>
          </w:pict>
        </mc:Fallback>
      </mc:AlternateContent>
    </w:r>
  </w:p>
  <w:p w14:paraId="225178E0">
    <w:pPr>
      <w:pStyle w:val="1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C30F70">
    <w:pPr>
      <w:pStyle w:val="17"/>
      <w:adjustRightInd w:val="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FF7F613"/>
    <w:multiLevelType w:val="singleLevel"/>
    <w:tmpl w:val="8FF7F613"/>
    <w:lvl w:ilvl="0" w:tentative="0">
      <w:start w:val="1"/>
      <w:numFmt w:val="decimal"/>
      <w:lvlText w:val="%1."/>
      <w:lvlJc w:val="left"/>
      <w:pPr>
        <w:ind w:left="425" w:hanging="425"/>
      </w:pPr>
      <w:rPr>
        <w:rFonts w:hint="default"/>
      </w:rPr>
    </w:lvl>
  </w:abstractNum>
  <w:abstractNum w:abstractNumId="1">
    <w:nsid w:val="96A1028C"/>
    <w:multiLevelType w:val="multilevel"/>
    <w:tmpl w:val="96A1028C"/>
    <w:lvl w:ilvl="0" w:tentative="0">
      <w:start w:val="1"/>
      <w:numFmt w:val="decimal"/>
      <w:suff w:val="nothing"/>
      <w:lvlText w:val="%1）"/>
      <w:lvlJc w:val="left"/>
    </w:lvl>
    <w:lvl w:ilvl="1" w:tentative="0">
      <w:start w:val="1"/>
      <w:numFmt w:val="lowerLetter"/>
      <w:lvlText w:val="%2."/>
      <w:lvlJc w:val="left"/>
      <w:pPr>
        <w:tabs>
          <w:tab w:val="left" w:pos="840"/>
        </w:tabs>
        <w:ind w:left="840" w:leftChars="0" w:hanging="420" w:firstLineChars="0"/>
      </w:pPr>
      <w:rPr>
        <w:rFonts w:hint="default"/>
      </w:rPr>
    </w:lvl>
    <w:lvl w:ilvl="2" w:tentative="0">
      <w:start w:val="1"/>
      <w:numFmt w:val="lowerLetter"/>
      <w:lvlText w:val="%3)"/>
      <w:lvlJc w:val="left"/>
      <w:pPr>
        <w:tabs>
          <w:tab w:val="left" w:pos="1260"/>
        </w:tabs>
        <w:ind w:left="1260" w:leftChars="0" w:hanging="420" w:firstLineChars="0"/>
      </w:pPr>
      <w:rPr>
        <w:rFonts w:hint="default"/>
      </w:rPr>
    </w:lvl>
    <w:lvl w:ilvl="3" w:tentative="0">
      <w:start w:val="1"/>
      <w:numFmt w:val="lowerRoman"/>
      <w:lvlText w:val="%4."/>
      <w:lvlJc w:val="left"/>
      <w:pPr>
        <w:tabs>
          <w:tab w:val="left" w:pos="1680"/>
        </w:tabs>
        <w:ind w:left="1680" w:leftChars="0" w:hanging="420" w:firstLineChars="0"/>
      </w:pPr>
      <w:rPr>
        <w:rFonts w:hint="default"/>
      </w:rPr>
    </w:lvl>
    <w:lvl w:ilvl="4" w:tentative="0">
      <w:start w:val="1"/>
      <w:numFmt w:val="lowerRoman"/>
      <w:lvlText w:val="%5)"/>
      <w:lvlJc w:val="left"/>
      <w:pPr>
        <w:tabs>
          <w:tab w:val="left" w:pos="2100"/>
        </w:tabs>
        <w:ind w:left="2100" w:leftChars="0" w:hanging="420" w:firstLineChars="0"/>
      </w:pPr>
      <w:rPr>
        <w:rFonts w:hint="default"/>
      </w:rPr>
    </w:lvl>
    <w:lvl w:ilvl="5" w:tentative="0">
      <w:start w:val="1"/>
      <w:numFmt w:val="lowerLetter"/>
      <w:lvlText w:val="%6."/>
      <w:lvlJc w:val="left"/>
      <w:pPr>
        <w:tabs>
          <w:tab w:val="left" w:pos="2520"/>
        </w:tabs>
        <w:ind w:left="2520" w:leftChars="0" w:hanging="420" w:firstLineChars="0"/>
      </w:pPr>
      <w:rPr>
        <w:rFonts w:hint="default"/>
      </w:rPr>
    </w:lvl>
    <w:lvl w:ilvl="6" w:tentative="0">
      <w:start w:val="1"/>
      <w:numFmt w:val="lowerLetter"/>
      <w:lvlText w:val="%7)"/>
      <w:lvlJc w:val="left"/>
      <w:pPr>
        <w:tabs>
          <w:tab w:val="left" w:pos="2940"/>
        </w:tabs>
        <w:ind w:left="2940" w:leftChars="0" w:hanging="420" w:firstLineChars="0"/>
      </w:pPr>
      <w:rPr>
        <w:rFonts w:hint="default"/>
      </w:rPr>
    </w:lvl>
    <w:lvl w:ilvl="7" w:tentative="0">
      <w:start w:val="1"/>
      <w:numFmt w:val="lowerRoman"/>
      <w:lvlText w:val="%8."/>
      <w:lvlJc w:val="left"/>
      <w:pPr>
        <w:tabs>
          <w:tab w:val="left" w:pos="3360"/>
        </w:tabs>
        <w:ind w:left="3360" w:leftChars="0" w:hanging="420" w:firstLineChars="0"/>
      </w:pPr>
      <w:rPr>
        <w:rFonts w:hint="default"/>
      </w:rPr>
    </w:lvl>
    <w:lvl w:ilvl="8" w:tentative="0">
      <w:start w:val="1"/>
      <w:numFmt w:val="lowerRoman"/>
      <w:lvlText w:val="%9)"/>
      <w:lvlJc w:val="left"/>
      <w:pPr>
        <w:tabs>
          <w:tab w:val="left" w:pos="3780"/>
        </w:tabs>
        <w:ind w:left="3780" w:leftChars="0" w:hanging="420" w:firstLineChars="0"/>
      </w:pPr>
      <w:rPr>
        <w:rFonts w:hint="default"/>
      </w:rPr>
    </w:lvl>
  </w:abstractNum>
  <w:abstractNum w:abstractNumId="2">
    <w:nsid w:val="9C213B6A"/>
    <w:multiLevelType w:val="singleLevel"/>
    <w:tmpl w:val="9C213B6A"/>
    <w:lvl w:ilvl="0" w:tentative="0">
      <w:start w:val="1"/>
      <w:numFmt w:val="decimalEnclosedCircleChinese"/>
      <w:suff w:val="nothing"/>
      <w:lvlText w:val="%1　"/>
      <w:lvlJc w:val="left"/>
      <w:pPr>
        <w:ind w:left="0" w:firstLine="400"/>
      </w:pPr>
      <w:rPr>
        <w:rFonts w:hint="eastAsia"/>
      </w:rPr>
    </w:lvl>
  </w:abstractNum>
  <w:abstractNum w:abstractNumId="3">
    <w:nsid w:val="A80E5B98"/>
    <w:multiLevelType w:val="singleLevel"/>
    <w:tmpl w:val="A80E5B98"/>
    <w:lvl w:ilvl="0" w:tentative="0">
      <w:start w:val="1"/>
      <w:numFmt w:val="decimal"/>
      <w:suff w:val="nothing"/>
      <w:lvlText w:val="（%1）"/>
      <w:lvlJc w:val="left"/>
    </w:lvl>
  </w:abstractNum>
  <w:abstractNum w:abstractNumId="4">
    <w:nsid w:val="AC4D74AB"/>
    <w:multiLevelType w:val="singleLevel"/>
    <w:tmpl w:val="AC4D74AB"/>
    <w:lvl w:ilvl="0" w:tentative="0">
      <w:start w:val="1"/>
      <w:numFmt w:val="decimalEnclosedCircleChinese"/>
      <w:suff w:val="nothing"/>
      <w:lvlText w:val="%1　"/>
      <w:lvlJc w:val="left"/>
      <w:pPr>
        <w:ind w:left="0" w:firstLine="403"/>
      </w:pPr>
      <w:rPr>
        <w:rFonts w:hint="eastAsia"/>
      </w:rPr>
    </w:lvl>
  </w:abstractNum>
  <w:abstractNum w:abstractNumId="5">
    <w:nsid w:val="B79149D2"/>
    <w:multiLevelType w:val="singleLevel"/>
    <w:tmpl w:val="B79149D2"/>
    <w:lvl w:ilvl="0" w:tentative="0">
      <w:start w:val="1"/>
      <w:numFmt w:val="decimalEnclosedCircleChinese"/>
      <w:suff w:val="nothing"/>
      <w:lvlText w:val="%1　"/>
      <w:lvlJc w:val="left"/>
      <w:pPr>
        <w:ind w:left="0" w:firstLine="403"/>
      </w:pPr>
      <w:rPr>
        <w:rFonts w:hint="eastAsia"/>
      </w:rPr>
    </w:lvl>
  </w:abstractNum>
  <w:abstractNum w:abstractNumId="6">
    <w:nsid w:val="BA256641"/>
    <w:multiLevelType w:val="singleLevel"/>
    <w:tmpl w:val="BA256641"/>
    <w:lvl w:ilvl="0" w:tentative="0">
      <w:start w:val="1"/>
      <w:numFmt w:val="decimal"/>
      <w:suff w:val="nothing"/>
      <w:lvlText w:val="%1）"/>
      <w:lvlJc w:val="left"/>
    </w:lvl>
  </w:abstractNum>
  <w:abstractNum w:abstractNumId="7">
    <w:nsid w:val="C2403757"/>
    <w:multiLevelType w:val="singleLevel"/>
    <w:tmpl w:val="C2403757"/>
    <w:lvl w:ilvl="0" w:tentative="0">
      <w:start w:val="3"/>
      <w:numFmt w:val="chineseCounting"/>
      <w:suff w:val="nothing"/>
      <w:lvlText w:val="%1、"/>
      <w:lvlJc w:val="left"/>
      <w:rPr>
        <w:rFonts w:hint="eastAsia"/>
      </w:rPr>
    </w:lvl>
  </w:abstractNum>
  <w:abstractNum w:abstractNumId="8">
    <w:nsid w:val="D7E96364"/>
    <w:multiLevelType w:val="singleLevel"/>
    <w:tmpl w:val="D7E96364"/>
    <w:lvl w:ilvl="0" w:tentative="0">
      <w:start w:val="1"/>
      <w:numFmt w:val="decimal"/>
      <w:suff w:val="nothing"/>
      <w:lvlText w:val="%1、"/>
      <w:lvlJc w:val="left"/>
    </w:lvl>
  </w:abstractNum>
  <w:abstractNum w:abstractNumId="9">
    <w:nsid w:val="DDC09A9E"/>
    <w:multiLevelType w:val="singleLevel"/>
    <w:tmpl w:val="DDC09A9E"/>
    <w:lvl w:ilvl="0" w:tentative="0">
      <w:start w:val="1"/>
      <w:numFmt w:val="decimalEnclosedCircleChinese"/>
      <w:suff w:val="nothing"/>
      <w:lvlText w:val="%1　"/>
      <w:lvlJc w:val="left"/>
      <w:pPr>
        <w:ind w:left="0" w:firstLine="403"/>
      </w:pPr>
      <w:rPr>
        <w:rFonts w:hint="eastAsia"/>
      </w:rPr>
    </w:lvl>
  </w:abstractNum>
  <w:abstractNum w:abstractNumId="10">
    <w:nsid w:val="0000000C"/>
    <w:multiLevelType w:val="multilevel"/>
    <w:tmpl w:val="0000000C"/>
    <w:lvl w:ilvl="0" w:tentative="0">
      <w:start w:val="1"/>
      <w:numFmt w:val="decimal"/>
      <w:lvlText w:val="%1."/>
      <w:lvlJc w:val="left"/>
      <w:pPr>
        <w:tabs>
          <w:tab w:val="left" w:pos="720"/>
        </w:tabs>
        <w:ind w:left="720" w:hanging="360"/>
      </w:pPr>
    </w:lvl>
    <w:lvl w:ilvl="1" w:tentative="0">
      <w:start w:val="1"/>
      <w:numFmt w:val="chineseCountingThousand"/>
      <w:lvlText w:val="(%2)"/>
      <w:lvlJc w:val="left"/>
      <w:pPr>
        <w:ind w:left="1417" w:firstLine="0"/>
      </w:pPr>
      <w:rPr>
        <w:rFonts w:hint="eastAsia"/>
        <w:sz w:val="24"/>
        <w:szCs w:val="24"/>
        <w:lang w:val="en-US"/>
      </w:rPr>
    </w:lvl>
    <w:lvl w:ilvl="2" w:tentative="0">
      <w:start w:val="1"/>
      <w:numFmt w:val="decimal"/>
      <w:pStyle w:val="7"/>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1">
    <w:nsid w:val="00727DD1"/>
    <w:multiLevelType w:val="singleLevel"/>
    <w:tmpl w:val="00727DD1"/>
    <w:lvl w:ilvl="0" w:tentative="0">
      <w:start w:val="4"/>
      <w:numFmt w:val="decimal"/>
      <w:suff w:val="nothing"/>
      <w:lvlText w:val="%1、"/>
      <w:lvlJc w:val="left"/>
    </w:lvl>
  </w:abstractNum>
  <w:abstractNum w:abstractNumId="12">
    <w:nsid w:val="0C7E6219"/>
    <w:multiLevelType w:val="multilevel"/>
    <w:tmpl w:val="0C7E6219"/>
    <w:lvl w:ilvl="0" w:tentative="0">
      <w:start w:val="1"/>
      <w:numFmt w:val="decimal"/>
      <w:lvlText w:val="（%1）"/>
      <w:lvlJc w:val="left"/>
      <w:pPr>
        <w:tabs>
          <w:tab w:val="left" w:pos="1140"/>
        </w:tabs>
        <w:ind w:left="1140" w:hanging="720"/>
      </w:pPr>
      <w:rPr>
        <w:rFonts w:cs="仿宋_GB2312"/>
        <w:strike w:val="0"/>
        <w:dstrike w:val="0"/>
        <w:u w:val="none"/>
      </w:r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13">
    <w:nsid w:val="196D2C15"/>
    <w:multiLevelType w:val="multilevel"/>
    <w:tmpl w:val="196D2C15"/>
    <w:lvl w:ilvl="0" w:tentative="0">
      <w:start w:val="1"/>
      <w:numFmt w:val="decimal"/>
      <w:lvlText w:val="%1．"/>
      <w:lvlJc w:val="left"/>
      <w:pPr>
        <w:tabs>
          <w:tab w:val="left" w:pos="768"/>
        </w:tabs>
        <w:ind w:left="768" w:hanging="360"/>
      </w:pPr>
    </w:lvl>
    <w:lvl w:ilvl="1" w:tentative="0">
      <w:start w:val="1"/>
      <w:numFmt w:val="decimal"/>
      <w:lvlText w:val="%2、"/>
      <w:lvlJc w:val="left"/>
      <w:pPr>
        <w:tabs>
          <w:tab w:val="left" w:pos="1410"/>
        </w:tabs>
        <w:ind w:left="1410" w:hanging="360"/>
      </w:pPr>
    </w:lvl>
    <w:lvl w:ilvl="2" w:tentative="0">
      <w:start w:val="1"/>
      <w:numFmt w:val="lowerRoman"/>
      <w:lvlText w:val="%3."/>
      <w:lvlJc w:val="right"/>
      <w:pPr>
        <w:tabs>
          <w:tab w:val="left" w:pos="1668"/>
        </w:tabs>
        <w:ind w:left="1668" w:hanging="420"/>
      </w:p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14">
    <w:nsid w:val="2FDD635D"/>
    <w:multiLevelType w:val="singleLevel"/>
    <w:tmpl w:val="2FDD635D"/>
    <w:lvl w:ilvl="0" w:tentative="0">
      <w:start w:val="1"/>
      <w:numFmt w:val="decimal"/>
      <w:lvlText w:val="%1、"/>
      <w:lvlJc w:val="left"/>
      <w:pPr>
        <w:tabs>
          <w:tab w:val="left" w:pos="360"/>
        </w:tabs>
        <w:ind w:left="360" w:hanging="360"/>
      </w:pPr>
      <w:rPr>
        <w:rFonts w:hint="default"/>
      </w:rPr>
    </w:lvl>
  </w:abstractNum>
  <w:abstractNum w:abstractNumId="15">
    <w:nsid w:val="4FCE597C"/>
    <w:multiLevelType w:val="multilevel"/>
    <w:tmpl w:val="4FCE597C"/>
    <w:lvl w:ilvl="0" w:tentative="0">
      <w:start w:val="2"/>
      <w:numFmt w:val="decimal"/>
      <w:lvlText w:val="%1"/>
      <w:lvlJc w:val="left"/>
      <w:pPr>
        <w:tabs>
          <w:tab w:val="left" w:pos="0"/>
        </w:tabs>
        <w:ind w:left="0" w:firstLine="0"/>
      </w:pPr>
      <w:rPr>
        <w:rFonts w:hint="eastAsia"/>
      </w:rPr>
    </w:lvl>
    <w:lvl w:ilvl="1" w:tentative="0">
      <w:start w:val="1"/>
      <w:numFmt w:val="decimal"/>
      <w:pStyle w:val="80"/>
      <w:lvlText w:val="%1.%2"/>
      <w:lvlJc w:val="left"/>
      <w:pPr>
        <w:tabs>
          <w:tab w:val="left" w:pos="0"/>
        </w:tabs>
        <w:ind w:left="0" w:firstLine="0"/>
      </w:pPr>
      <w:rPr>
        <w:rFonts w:hint="eastAsia"/>
      </w:rPr>
    </w:lvl>
    <w:lvl w:ilvl="2" w:tentative="0">
      <w:start w:val="1"/>
      <w:numFmt w:val="decimal"/>
      <w:pStyle w:val="81"/>
      <w:lvlText w:val="%1.%2.%3"/>
      <w:lvlJc w:val="left"/>
      <w:pPr>
        <w:ind w:left="0" w:firstLine="0"/>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6">
    <w:nsid w:val="53D24C73"/>
    <w:multiLevelType w:val="singleLevel"/>
    <w:tmpl w:val="53D24C73"/>
    <w:lvl w:ilvl="0" w:tentative="0">
      <w:start w:val="2"/>
      <w:numFmt w:val="decimal"/>
      <w:lvlText w:val="%1."/>
      <w:lvlJc w:val="left"/>
      <w:pPr>
        <w:tabs>
          <w:tab w:val="left" w:pos="312"/>
        </w:tabs>
      </w:pPr>
    </w:lvl>
  </w:abstractNum>
  <w:abstractNum w:abstractNumId="17">
    <w:nsid w:val="629E52A9"/>
    <w:multiLevelType w:val="singleLevel"/>
    <w:tmpl w:val="629E52A9"/>
    <w:lvl w:ilvl="0" w:tentative="0">
      <w:start w:val="1"/>
      <w:numFmt w:val="decimal"/>
      <w:suff w:val="nothing"/>
      <w:lvlText w:val="（%1）"/>
      <w:lvlJc w:val="left"/>
    </w:lvl>
  </w:abstractNum>
  <w:abstractNum w:abstractNumId="18">
    <w:nsid w:val="671A2298"/>
    <w:multiLevelType w:val="multilevel"/>
    <w:tmpl w:val="671A2298"/>
    <w:lvl w:ilvl="0" w:tentative="0">
      <w:start w:val="1"/>
      <w:numFmt w:val="decimal"/>
      <w:lvlText w:val="（%1）"/>
      <w:lvlJc w:val="left"/>
      <w:pPr>
        <w:tabs>
          <w:tab w:val="left" w:pos="1200"/>
        </w:tabs>
        <w:ind w:left="1200" w:hanging="720"/>
      </w:pPr>
      <w:rPr>
        <w:rFonts w:hint="eastAsia"/>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19">
    <w:nsid w:val="6A563160"/>
    <w:multiLevelType w:val="multilevel"/>
    <w:tmpl w:val="6A563160"/>
    <w:lvl w:ilvl="0" w:tentative="0">
      <w:start w:val="1"/>
      <w:numFmt w:val="decimal"/>
      <w:pStyle w:val="47"/>
      <w:lvlText w:val="%1."/>
      <w:lvlJc w:val="left"/>
      <w:pPr>
        <w:ind w:left="360" w:hanging="360"/>
      </w:pPr>
      <w:rPr>
        <w:rFonts w:hint="default"/>
        <w:sz w:val="21"/>
        <w:szCs w:val="21"/>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0">
    <w:nsid w:val="74A109BB"/>
    <w:multiLevelType w:val="singleLevel"/>
    <w:tmpl w:val="74A109BB"/>
    <w:lvl w:ilvl="0" w:tentative="0">
      <w:start w:val="1"/>
      <w:numFmt w:val="decimal"/>
      <w:suff w:val="nothing"/>
      <w:lvlText w:val="（%1）"/>
      <w:lvlJc w:val="left"/>
    </w:lvl>
  </w:abstractNum>
  <w:abstractNum w:abstractNumId="21">
    <w:nsid w:val="7672AA5B"/>
    <w:multiLevelType w:val="singleLevel"/>
    <w:tmpl w:val="7672AA5B"/>
    <w:lvl w:ilvl="0" w:tentative="0">
      <w:start w:val="1"/>
      <w:numFmt w:val="decimal"/>
      <w:suff w:val="nothing"/>
      <w:lvlText w:val="%1）"/>
      <w:lvlJc w:val="left"/>
    </w:lvl>
  </w:abstractNum>
  <w:num w:numId="1">
    <w:abstractNumId w:val="10"/>
  </w:num>
  <w:num w:numId="2">
    <w:abstractNumId w:val="19"/>
  </w:num>
  <w:num w:numId="3">
    <w:abstractNumId w:val="15"/>
  </w:num>
  <w:num w:numId="4">
    <w:abstractNumId w:val="7"/>
  </w:num>
  <w:num w:numId="5">
    <w:abstractNumId w:val="3"/>
  </w:num>
  <w:num w:numId="6">
    <w:abstractNumId w:val="6"/>
  </w:num>
  <w:num w:numId="7">
    <w:abstractNumId w:val="20"/>
  </w:num>
  <w:num w:numId="8">
    <w:abstractNumId w:val="1"/>
  </w:num>
  <w:num w:numId="9">
    <w:abstractNumId w:val="5"/>
  </w:num>
  <w:num w:numId="10">
    <w:abstractNumId w:val="4"/>
  </w:num>
  <w:num w:numId="11">
    <w:abstractNumId w:val="21"/>
  </w:num>
  <w:num w:numId="12">
    <w:abstractNumId w:val="17"/>
  </w:num>
  <w:num w:numId="13">
    <w:abstractNumId w:val="11"/>
  </w:num>
  <w:num w:numId="14">
    <w:abstractNumId w:val="2"/>
  </w:num>
  <w:num w:numId="15">
    <w:abstractNumId w:val="16"/>
  </w:num>
  <w:num w:numId="16">
    <w:abstractNumId w:val="9"/>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2"/>
  </w:num>
  <w:num w:numId="20">
    <w:abstractNumId w:val="0"/>
  </w:num>
  <w:num w:numId="21">
    <w:abstractNumId w:val="8"/>
  </w:num>
  <w:num w:numId="22">
    <w:abstractNumId w:val="14"/>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hideSpellingErrors/>
  <w:trackRevisions w:val="1"/>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QwMTg1NTI0YTU5MjlhNDYwNTFiZGU3NTdkNzJiY2IifQ=="/>
  </w:docVars>
  <w:rsids>
    <w:rsidRoot w:val="007C5C84"/>
    <w:rsid w:val="00001447"/>
    <w:rsid w:val="00001D87"/>
    <w:rsid w:val="0000627C"/>
    <w:rsid w:val="00007776"/>
    <w:rsid w:val="00014469"/>
    <w:rsid w:val="00014ADE"/>
    <w:rsid w:val="0001539A"/>
    <w:rsid w:val="00015F42"/>
    <w:rsid w:val="000161D3"/>
    <w:rsid w:val="00016DDD"/>
    <w:rsid w:val="00021011"/>
    <w:rsid w:val="0002114B"/>
    <w:rsid w:val="000223A2"/>
    <w:rsid w:val="00022A9F"/>
    <w:rsid w:val="00022C0C"/>
    <w:rsid w:val="00023564"/>
    <w:rsid w:val="00023B75"/>
    <w:rsid w:val="0002728C"/>
    <w:rsid w:val="00030788"/>
    <w:rsid w:val="00032870"/>
    <w:rsid w:val="000338C5"/>
    <w:rsid w:val="00034D2F"/>
    <w:rsid w:val="00036500"/>
    <w:rsid w:val="00036929"/>
    <w:rsid w:val="00037F30"/>
    <w:rsid w:val="00044D2F"/>
    <w:rsid w:val="000476EB"/>
    <w:rsid w:val="00051BC8"/>
    <w:rsid w:val="00052A77"/>
    <w:rsid w:val="00052D7C"/>
    <w:rsid w:val="000535BC"/>
    <w:rsid w:val="00053A86"/>
    <w:rsid w:val="00054146"/>
    <w:rsid w:val="00060B36"/>
    <w:rsid w:val="000621C2"/>
    <w:rsid w:val="0006391A"/>
    <w:rsid w:val="00063A50"/>
    <w:rsid w:val="00064137"/>
    <w:rsid w:val="00064A53"/>
    <w:rsid w:val="00064ED2"/>
    <w:rsid w:val="00072706"/>
    <w:rsid w:val="00072B8C"/>
    <w:rsid w:val="00075DFE"/>
    <w:rsid w:val="000769AC"/>
    <w:rsid w:val="00077DF4"/>
    <w:rsid w:val="00080F32"/>
    <w:rsid w:val="000829BA"/>
    <w:rsid w:val="000849CE"/>
    <w:rsid w:val="00085C6E"/>
    <w:rsid w:val="00085D64"/>
    <w:rsid w:val="00086F71"/>
    <w:rsid w:val="00087092"/>
    <w:rsid w:val="00090409"/>
    <w:rsid w:val="00095CB6"/>
    <w:rsid w:val="000A026A"/>
    <w:rsid w:val="000A043D"/>
    <w:rsid w:val="000A0E0B"/>
    <w:rsid w:val="000A0EB2"/>
    <w:rsid w:val="000A24CB"/>
    <w:rsid w:val="000A2957"/>
    <w:rsid w:val="000A4478"/>
    <w:rsid w:val="000A4E8C"/>
    <w:rsid w:val="000A51E1"/>
    <w:rsid w:val="000A6B95"/>
    <w:rsid w:val="000A6D2A"/>
    <w:rsid w:val="000B17C2"/>
    <w:rsid w:val="000B30A1"/>
    <w:rsid w:val="000B3C3F"/>
    <w:rsid w:val="000B4720"/>
    <w:rsid w:val="000B5F2F"/>
    <w:rsid w:val="000B66F7"/>
    <w:rsid w:val="000B73DD"/>
    <w:rsid w:val="000B78C0"/>
    <w:rsid w:val="000C1C8E"/>
    <w:rsid w:val="000C5190"/>
    <w:rsid w:val="000C5371"/>
    <w:rsid w:val="000C736A"/>
    <w:rsid w:val="000C7C28"/>
    <w:rsid w:val="000D0C52"/>
    <w:rsid w:val="000D0FAA"/>
    <w:rsid w:val="000D29AB"/>
    <w:rsid w:val="000D408E"/>
    <w:rsid w:val="000D4C45"/>
    <w:rsid w:val="000D5E21"/>
    <w:rsid w:val="000E2085"/>
    <w:rsid w:val="000E21D0"/>
    <w:rsid w:val="000E4F9D"/>
    <w:rsid w:val="000E7194"/>
    <w:rsid w:val="000E7F04"/>
    <w:rsid w:val="000F6348"/>
    <w:rsid w:val="00100337"/>
    <w:rsid w:val="001016FA"/>
    <w:rsid w:val="00101CE0"/>
    <w:rsid w:val="001055BE"/>
    <w:rsid w:val="00105FDF"/>
    <w:rsid w:val="0010671B"/>
    <w:rsid w:val="0010675D"/>
    <w:rsid w:val="001123F8"/>
    <w:rsid w:val="001130CE"/>
    <w:rsid w:val="001151A1"/>
    <w:rsid w:val="00116EB0"/>
    <w:rsid w:val="00117A84"/>
    <w:rsid w:val="00120D5D"/>
    <w:rsid w:val="0012254B"/>
    <w:rsid w:val="0012254E"/>
    <w:rsid w:val="00122A77"/>
    <w:rsid w:val="0012432B"/>
    <w:rsid w:val="00124412"/>
    <w:rsid w:val="001252AE"/>
    <w:rsid w:val="00125571"/>
    <w:rsid w:val="001306F1"/>
    <w:rsid w:val="00130E88"/>
    <w:rsid w:val="00131BE4"/>
    <w:rsid w:val="00131F16"/>
    <w:rsid w:val="00132B4D"/>
    <w:rsid w:val="00132B78"/>
    <w:rsid w:val="00132FDC"/>
    <w:rsid w:val="001333DA"/>
    <w:rsid w:val="00133BC8"/>
    <w:rsid w:val="00134C3B"/>
    <w:rsid w:val="00135E6A"/>
    <w:rsid w:val="00136C00"/>
    <w:rsid w:val="00137F6F"/>
    <w:rsid w:val="00141D75"/>
    <w:rsid w:val="001425A8"/>
    <w:rsid w:val="00143B02"/>
    <w:rsid w:val="0014560A"/>
    <w:rsid w:val="00146018"/>
    <w:rsid w:val="00150E4E"/>
    <w:rsid w:val="0015263F"/>
    <w:rsid w:val="0015352B"/>
    <w:rsid w:val="00154B68"/>
    <w:rsid w:val="0015579E"/>
    <w:rsid w:val="00155E21"/>
    <w:rsid w:val="00160A7C"/>
    <w:rsid w:val="001611B4"/>
    <w:rsid w:val="001618DA"/>
    <w:rsid w:val="00161BE4"/>
    <w:rsid w:val="0016248F"/>
    <w:rsid w:val="00163332"/>
    <w:rsid w:val="001641FD"/>
    <w:rsid w:val="0016700A"/>
    <w:rsid w:val="00167992"/>
    <w:rsid w:val="00170443"/>
    <w:rsid w:val="00170BE7"/>
    <w:rsid w:val="00170C71"/>
    <w:rsid w:val="001711C7"/>
    <w:rsid w:val="001716D8"/>
    <w:rsid w:val="001725FC"/>
    <w:rsid w:val="00175689"/>
    <w:rsid w:val="00175B26"/>
    <w:rsid w:val="001779C6"/>
    <w:rsid w:val="001801C5"/>
    <w:rsid w:val="00180E28"/>
    <w:rsid w:val="00180E68"/>
    <w:rsid w:val="0018239B"/>
    <w:rsid w:val="00183242"/>
    <w:rsid w:val="00183BB8"/>
    <w:rsid w:val="0018485B"/>
    <w:rsid w:val="00184B5B"/>
    <w:rsid w:val="00186591"/>
    <w:rsid w:val="00187E0F"/>
    <w:rsid w:val="00187F3D"/>
    <w:rsid w:val="001917DA"/>
    <w:rsid w:val="00191F9F"/>
    <w:rsid w:val="001931A5"/>
    <w:rsid w:val="00193FD4"/>
    <w:rsid w:val="001950C1"/>
    <w:rsid w:val="00195534"/>
    <w:rsid w:val="00195CD3"/>
    <w:rsid w:val="001A103B"/>
    <w:rsid w:val="001A11D1"/>
    <w:rsid w:val="001A2F42"/>
    <w:rsid w:val="001A3516"/>
    <w:rsid w:val="001A46BC"/>
    <w:rsid w:val="001A4716"/>
    <w:rsid w:val="001A7EE4"/>
    <w:rsid w:val="001B30F2"/>
    <w:rsid w:val="001B53D1"/>
    <w:rsid w:val="001B5F8C"/>
    <w:rsid w:val="001C138C"/>
    <w:rsid w:val="001C4FAE"/>
    <w:rsid w:val="001C51CD"/>
    <w:rsid w:val="001C6662"/>
    <w:rsid w:val="001D0007"/>
    <w:rsid w:val="001D1073"/>
    <w:rsid w:val="001D1266"/>
    <w:rsid w:val="001D1709"/>
    <w:rsid w:val="001D2077"/>
    <w:rsid w:val="001D2C03"/>
    <w:rsid w:val="001D2D06"/>
    <w:rsid w:val="001D346C"/>
    <w:rsid w:val="001D481F"/>
    <w:rsid w:val="001E0B5A"/>
    <w:rsid w:val="001E0D1F"/>
    <w:rsid w:val="001E3B55"/>
    <w:rsid w:val="001E568F"/>
    <w:rsid w:val="001E5730"/>
    <w:rsid w:val="001E61D7"/>
    <w:rsid w:val="001E6EC7"/>
    <w:rsid w:val="001E7A67"/>
    <w:rsid w:val="001E7BF6"/>
    <w:rsid w:val="001F0F37"/>
    <w:rsid w:val="001F19B2"/>
    <w:rsid w:val="001F2AB6"/>
    <w:rsid w:val="001F2C2A"/>
    <w:rsid w:val="001F44D4"/>
    <w:rsid w:val="001F6627"/>
    <w:rsid w:val="001F7EDC"/>
    <w:rsid w:val="00203141"/>
    <w:rsid w:val="0020395E"/>
    <w:rsid w:val="00203F29"/>
    <w:rsid w:val="00204EC5"/>
    <w:rsid w:val="002067EB"/>
    <w:rsid w:val="00207088"/>
    <w:rsid w:val="0021148C"/>
    <w:rsid w:val="00211A27"/>
    <w:rsid w:val="00211C49"/>
    <w:rsid w:val="00212904"/>
    <w:rsid w:val="00213F61"/>
    <w:rsid w:val="00214BFB"/>
    <w:rsid w:val="00216396"/>
    <w:rsid w:val="0021717F"/>
    <w:rsid w:val="00217FE8"/>
    <w:rsid w:val="00220500"/>
    <w:rsid w:val="0022240D"/>
    <w:rsid w:val="00225DE4"/>
    <w:rsid w:val="00226363"/>
    <w:rsid w:val="00226C7A"/>
    <w:rsid w:val="00231FF0"/>
    <w:rsid w:val="00232D37"/>
    <w:rsid w:val="00234BFF"/>
    <w:rsid w:val="002351C2"/>
    <w:rsid w:val="002358C8"/>
    <w:rsid w:val="00235F7C"/>
    <w:rsid w:val="00236497"/>
    <w:rsid w:val="00237EAE"/>
    <w:rsid w:val="002425F8"/>
    <w:rsid w:val="00242B32"/>
    <w:rsid w:val="00243103"/>
    <w:rsid w:val="00243492"/>
    <w:rsid w:val="002448A3"/>
    <w:rsid w:val="00250425"/>
    <w:rsid w:val="002508A5"/>
    <w:rsid w:val="002538A4"/>
    <w:rsid w:val="00253E5D"/>
    <w:rsid w:val="00254FA0"/>
    <w:rsid w:val="00255E72"/>
    <w:rsid w:val="00257EF5"/>
    <w:rsid w:val="002608B5"/>
    <w:rsid w:val="00261792"/>
    <w:rsid w:val="0026218A"/>
    <w:rsid w:val="00262299"/>
    <w:rsid w:val="00263297"/>
    <w:rsid w:val="0026379C"/>
    <w:rsid w:val="00264009"/>
    <w:rsid w:val="00265E0D"/>
    <w:rsid w:val="0026722E"/>
    <w:rsid w:val="00267279"/>
    <w:rsid w:val="00267644"/>
    <w:rsid w:val="00267ABA"/>
    <w:rsid w:val="00267D8B"/>
    <w:rsid w:val="00267F28"/>
    <w:rsid w:val="002702AC"/>
    <w:rsid w:val="00270A08"/>
    <w:rsid w:val="00273C50"/>
    <w:rsid w:val="00274B0C"/>
    <w:rsid w:val="00275333"/>
    <w:rsid w:val="002759EB"/>
    <w:rsid w:val="002772C7"/>
    <w:rsid w:val="00277394"/>
    <w:rsid w:val="00280C10"/>
    <w:rsid w:val="002823C6"/>
    <w:rsid w:val="0028380C"/>
    <w:rsid w:val="00283B3C"/>
    <w:rsid w:val="00283DFE"/>
    <w:rsid w:val="00285FDD"/>
    <w:rsid w:val="00286B14"/>
    <w:rsid w:val="00286D0D"/>
    <w:rsid w:val="00290515"/>
    <w:rsid w:val="00290DF4"/>
    <w:rsid w:val="00290F8E"/>
    <w:rsid w:val="0029210D"/>
    <w:rsid w:val="00292BAB"/>
    <w:rsid w:val="00292E11"/>
    <w:rsid w:val="00294255"/>
    <w:rsid w:val="00294901"/>
    <w:rsid w:val="00294FB3"/>
    <w:rsid w:val="0029689A"/>
    <w:rsid w:val="00297000"/>
    <w:rsid w:val="00297C49"/>
    <w:rsid w:val="002A2458"/>
    <w:rsid w:val="002A2942"/>
    <w:rsid w:val="002A6D57"/>
    <w:rsid w:val="002A7C62"/>
    <w:rsid w:val="002B104D"/>
    <w:rsid w:val="002B1CA7"/>
    <w:rsid w:val="002B67D8"/>
    <w:rsid w:val="002B687D"/>
    <w:rsid w:val="002B6ED6"/>
    <w:rsid w:val="002C0987"/>
    <w:rsid w:val="002C0B06"/>
    <w:rsid w:val="002C1558"/>
    <w:rsid w:val="002C2930"/>
    <w:rsid w:val="002C4252"/>
    <w:rsid w:val="002C4722"/>
    <w:rsid w:val="002C4A8D"/>
    <w:rsid w:val="002C5C38"/>
    <w:rsid w:val="002C5E5A"/>
    <w:rsid w:val="002C66C0"/>
    <w:rsid w:val="002D0352"/>
    <w:rsid w:val="002D1717"/>
    <w:rsid w:val="002D2E68"/>
    <w:rsid w:val="002D3DB2"/>
    <w:rsid w:val="002D4FC8"/>
    <w:rsid w:val="002D6C4D"/>
    <w:rsid w:val="002D70ED"/>
    <w:rsid w:val="002D76DE"/>
    <w:rsid w:val="002D7B4A"/>
    <w:rsid w:val="002E0218"/>
    <w:rsid w:val="002E125C"/>
    <w:rsid w:val="002E1C5A"/>
    <w:rsid w:val="002E1E86"/>
    <w:rsid w:val="002E2E87"/>
    <w:rsid w:val="002E485D"/>
    <w:rsid w:val="002E4F63"/>
    <w:rsid w:val="002E6413"/>
    <w:rsid w:val="002E7D1C"/>
    <w:rsid w:val="002F2697"/>
    <w:rsid w:val="002F28F2"/>
    <w:rsid w:val="002F2E01"/>
    <w:rsid w:val="002F3E07"/>
    <w:rsid w:val="002F47F3"/>
    <w:rsid w:val="00301795"/>
    <w:rsid w:val="00303D04"/>
    <w:rsid w:val="00304FB1"/>
    <w:rsid w:val="0030600E"/>
    <w:rsid w:val="003064C7"/>
    <w:rsid w:val="00306C0B"/>
    <w:rsid w:val="003072B6"/>
    <w:rsid w:val="0030756E"/>
    <w:rsid w:val="0031028E"/>
    <w:rsid w:val="00311568"/>
    <w:rsid w:val="003136E1"/>
    <w:rsid w:val="00313968"/>
    <w:rsid w:val="00314A3C"/>
    <w:rsid w:val="00314B96"/>
    <w:rsid w:val="00316475"/>
    <w:rsid w:val="00317093"/>
    <w:rsid w:val="00317646"/>
    <w:rsid w:val="003176F1"/>
    <w:rsid w:val="00320086"/>
    <w:rsid w:val="0032026F"/>
    <w:rsid w:val="00321122"/>
    <w:rsid w:val="0032276F"/>
    <w:rsid w:val="003274AF"/>
    <w:rsid w:val="00327CB1"/>
    <w:rsid w:val="003315A4"/>
    <w:rsid w:val="003321F0"/>
    <w:rsid w:val="00332D50"/>
    <w:rsid w:val="00333E42"/>
    <w:rsid w:val="0033515D"/>
    <w:rsid w:val="00337F87"/>
    <w:rsid w:val="003409F6"/>
    <w:rsid w:val="00341452"/>
    <w:rsid w:val="0034210C"/>
    <w:rsid w:val="00344061"/>
    <w:rsid w:val="00344344"/>
    <w:rsid w:val="003465F5"/>
    <w:rsid w:val="003474E4"/>
    <w:rsid w:val="00347C19"/>
    <w:rsid w:val="00350042"/>
    <w:rsid w:val="003539D8"/>
    <w:rsid w:val="00353B73"/>
    <w:rsid w:val="003547CB"/>
    <w:rsid w:val="00354C34"/>
    <w:rsid w:val="00356FDF"/>
    <w:rsid w:val="003578A7"/>
    <w:rsid w:val="0036096F"/>
    <w:rsid w:val="003615F5"/>
    <w:rsid w:val="00361853"/>
    <w:rsid w:val="0036218A"/>
    <w:rsid w:val="00363932"/>
    <w:rsid w:val="00364F8C"/>
    <w:rsid w:val="003665FF"/>
    <w:rsid w:val="003668B8"/>
    <w:rsid w:val="00366F96"/>
    <w:rsid w:val="003672F5"/>
    <w:rsid w:val="00367D59"/>
    <w:rsid w:val="003711A4"/>
    <w:rsid w:val="003715DC"/>
    <w:rsid w:val="00372D2B"/>
    <w:rsid w:val="00372EC7"/>
    <w:rsid w:val="003734B8"/>
    <w:rsid w:val="00373820"/>
    <w:rsid w:val="00380A45"/>
    <w:rsid w:val="00381A0D"/>
    <w:rsid w:val="00382329"/>
    <w:rsid w:val="00383A10"/>
    <w:rsid w:val="00384CDF"/>
    <w:rsid w:val="00385C4D"/>
    <w:rsid w:val="00385C80"/>
    <w:rsid w:val="0039125B"/>
    <w:rsid w:val="00391FD0"/>
    <w:rsid w:val="00396D7D"/>
    <w:rsid w:val="00397500"/>
    <w:rsid w:val="003A05E7"/>
    <w:rsid w:val="003A0B33"/>
    <w:rsid w:val="003A2EDC"/>
    <w:rsid w:val="003A315A"/>
    <w:rsid w:val="003A5AD5"/>
    <w:rsid w:val="003A6EF9"/>
    <w:rsid w:val="003A7249"/>
    <w:rsid w:val="003B07C9"/>
    <w:rsid w:val="003B087E"/>
    <w:rsid w:val="003B53F0"/>
    <w:rsid w:val="003B5A7F"/>
    <w:rsid w:val="003B5FC1"/>
    <w:rsid w:val="003C0268"/>
    <w:rsid w:val="003C0C91"/>
    <w:rsid w:val="003C22DA"/>
    <w:rsid w:val="003C2651"/>
    <w:rsid w:val="003C4D2F"/>
    <w:rsid w:val="003C56AE"/>
    <w:rsid w:val="003C6788"/>
    <w:rsid w:val="003C73A8"/>
    <w:rsid w:val="003C7643"/>
    <w:rsid w:val="003D0274"/>
    <w:rsid w:val="003D2169"/>
    <w:rsid w:val="003D25F8"/>
    <w:rsid w:val="003D2D95"/>
    <w:rsid w:val="003D3247"/>
    <w:rsid w:val="003D3526"/>
    <w:rsid w:val="003D6CB5"/>
    <w:rsid w:val="003D7CEA"/>
    <w:rsid w:val="003E0005"/>
    <w:rsid w:val="003E058A"/>
    <w:rsid w:val="003E1AE2"/>
    <w:rsid w:val="003E25B1"/>
    <w:rsid w:val="003E2ADD"/>
    <w:rsid w:val="003E2E35"/>
    <w:rsid w:val="003E2EFD"/>
    <w:rsid w:val="003E3A77"/>
    <w:rsid w:val="003E4422"/>
    <w:rsid w:val="003E5221"/>
    <w:rsid w:val="003E6D4F"/>
    <w:rsid w:val="003E7BA8"/>
    <w:rsid w:val="003F417C"/>
    <w:rsid w:val="003F4417"/>
    <w:rsid w:val="003F4901"/>
    <w:rsid w:val="003F7273"/>
    <w:rsid w:val="003F7B21"/>
    <w:rsid w:val="0040180A"/>
    <w:rsid w:val="00404193"/>
    <w:rsid w:val="00405816"/>
    <w:rsid w:val="0040646E"/>
    <w:rsid w:val="004064D4"/>
    <w:rsid w:val="004068C7"/>
    <w:rsid w:val="00407CAA"/>
    <w:rsid w:val="0041054C"/>
    <w:rsid w:val="00410606"/>
    <w:rsid w:val="004117B1"/>
    <w:rsid w:val="004121FD"/>
    <w:rsid w:val="00412D97"/>
    <w:rsid w:val="004148AF"/>
    <w:rsid w:val="00414946"/>
    <w:rsid w:val="0041513C"/>
    <w:rsid w:val="00415179"/>
    <w:rsid w:val="004153AE"/>
    <w:rsid w:val="004154F3"/>
    <w:rsid w:val="00416F48"/>
    <w:rsid w:val="00420EB7"/>
    <w:rsid w:val="004217D3"/>
    <w:rsid w:val="00422B5D"/>
    <w:rsid w:val="00422E95"/>
    <w:rsid w:val="004266B5"/>
    <w:rsid w:val="00430044"/>
    <w:rsid w:val="00431B46"/>
    <w:rsid w:val="00433E10"/>
    <w:rsid w:val="00434AEB"/>
    <w:rsid w:val="0043659A"/>
    <w:rsid w:val="0043685C"/>
    <w:rsid w:val="00436EF4"/>
    <w:rsid w:val="0043774E"/>
    <w:rsid w:val="004412B7"/>
    <w:rsid w:val="004425DD"/>
    <w:rsid w:val="004427CF"/>
    <w:rsid w:val="00442BC8"/>
    <w:rsid w:val="00443035"/>
    <w:rsid w:val="004473A0"/>
    <w:rsid w:val="004546A0"/>
    <w:rsid w:val="004546A9"/>
    <w:rsid w:val="00455522"/>
    <w:rsid w:val="0045561E"/>
    <w:rsid w:val="00455DFF"/>
    <w:rsid w:val="004568FD"/>
    <w:rsid w:val="00457573"/>
    <w:rsid w:val="00457F32"/>
    <w:rsid w:val="00460854"/>
    <w:rsid w:val="00460A7E"/>
    <w:rsid w:val="00460D6E"/>
    <w:rsid w:val="00461382"/>
    <w:rsid w:val="004626D6"/>
    <w:rsid w:val="00462895"/>
    <w:rsid w:val="00462FA5"/>
    <w:rsid w:val="0046608B"/>
    <w:rsid w:val="004662B2"/>
    <w:rsid w:val="00466B9A"/>
    <w:rsid w:val="00470114"/>
    <w:rsid w:val="004702F5"/>
    <w:rsid w:val="00471687"/>
    <w:rsid w:val="00471F91"/>
    <w:rsid w:val="0047289B"/>
    <w:rsid w:val="00472E10"/>
    <w:rsid w:val="00473F66"/>
    <w:rsid w:val="004740AB"/>
    <w:rsid w:val="00475430"/>
    <w:rsid w:val="00481274"/>
    <w:rsid w:val="00481529"/>
    <w:rsid w:val="00482A64"/>
    <w:rsid w:val="00484DD0"/>
    <w:rsid w:val="004868E9"/>
    <w:rsid w:val="00487179"/>
    <w:rsid w:val="004873AE"/>
    <w:rsid w:val="00487909"/>
    <w:rsid w:val="004900CC"/>
    <w:rsid w:val="00490282"/>
    <w:rsid w:val="004909DF"/>
    <w:rsid w:val="0049134F"/>
    <w:rsid w:val="00492124"/>
    <w:rsid w:val="0049341B"/>
    <w:rsid w:val="004940AD"/>
    <w:rsid w:val="00494683"/>
    <w:rsid w:val="0049487B"/>
    <w:rsid w:val="00494EB4"/>
    <w:rsid w:val="00495A9E"/>
    <w:rsid w:val="004974E9"/>
    <w:rsid w:val="004A0BF9"/>
    <w:rsid w:val="004A1640"/>
    <w:rsid w:val="004A3503"/>
    <w:rsid w:val="004A3949"/>
    <w:rsid w:val="004A3D74"/>
    <w:rsid w:val="004A56D7"/>
    <w:rsid w:val="004A6439"/>
    <w:rsid w:val="004A6446"/>
    <w:rsid w:val="004A6F54"/>
    <w:rsid w:val="004B09E8"/>
    <w:rsid w:val="004B2F28"/>
    <w:rsid w:val="004B34ED"/>
    <w:rsid w:val="004B5935"/>
    <w:rsid w:val="004B62B5"/>
    <w:rsid w:val="004B62C7"/>
    <w:rsid w:val="004B64C0"/>
    <w:rsid w:val="004B6ABF"/>
    <w:rsid w:val="004B74A7"/>
    <w:rsid w:val="004C02E4"/>
    <w:rsid w:val="004C15A9"/>
    <w:rsid w:val="004C16DD"/>
    <w:rsid w:val="004C23F6"/>
    <w:rsid w:val="004C4F0E"/>
    <w:rsid w:val="004C52E5"/>
    <w:rsid w:val="004C621A"/>
    <w:rsid w:val="004C69A2"/>
    <w:rsid w:val="004D0748"/>
    <w:rsid w:val="004D15DA"/>
    <w:rsid w:val="004D21CA"/>
    <w:rsid w:val="004D3012"/>
    <w:rsid w:val="004D30EE"/>
    <w:rsid w:val="004D3DAB"/>
    <w:rsid w:val="004D4D3E"/>
    <w:rsid w:val="004D5942"/>
    <w:rsid w:val="004D62E4"/>
    <w:rsid w:val="004D6A46"/>
    <w:rsid w:val="004E22D3"/>
    <w:rsid w:val="004E3AB3"/>
    <w:rsid w:val="004E421E"/>
    <w:rsid w:val="004E5489"/>
    <w:rsid w:val="004E5E59"/>
    <w:rsid w:val="004E5F63"/>
    <w:rsid w:val="004E5FDA"/>
    <w:rsid w:val="004E7945"/>
    <w:rsid w:val="004F0E00"/>
    <w:rsid w:val="004F2250"/>
    <w:rsid w:val="004F316B"/>
    <w:rsid w:val="004F3700"/>
    <w:rsid w:val="004F484D"/>
    <w:rsid w:val="004F5F04"/>
    <w:rsid w:val="004F78A8"/>
    <w:rsid w:val="005029D4"/>
    <w:rsid w:val="00502FC9"/>
    <w:rsid w:val="00503140"/>
    <w:rsid w:val="0050390F"/>
    <w:rsid w:val="0050520B"/>
    <w:rsid w:val="005053CB"/>
    <w:rsid w:val="005076D2"/>
    <w:rsid w:val="00510380"/>
    <w:rsid w:val="005124D3"/>
    <w:rsid w:val="00512A9E"/>
    <w:rsid w:val="00512B18"/>
    <w:rsid w:val="00514C6C"/>
    <w:rsid w:val="0052014E"/>
    <w:rsid w:val="00522A3B"/>
    <w:rsid w:val="005235D8"/>
    <w:rsid w:val="00523BB0"/>
    <w:rsid w:val="00526B30"/>
    <w:rsid w:val="00530383"/>
    <w:rsid w:val="00530BB5"/>
    <w:rsid w:val="005313FB"/>
    <w:rsid w:val="00531ECA"/>
    <w:rsid w:val="00533255"/>
    <w:rsid w:val="005350FE"/>
    <w:rsid w:val="00535E7A"/>
    <w:rsid w:val="005362DB"/>
    <w:rsid w:val="00537A0A"/>
    <w:rsid w:val="0054006E"/>
    <w:rsid w:val="00542075"/>
    <w:rsid w:val="005427CE"/>
    <w:rsid w:val="005433EA"/>
    <w:rsid w:val="00544184"/>
    <w:rsid w:val="005446AF"/>
    <w:rsid w:val="005446EA"/>
    <w:rsid w:val="00545D9A"/>
    <w:rsid w:val="00546CBD"/>
    <w:rsid w:val="005471F4"/>
    <w:rsid w:val="0055193D"/>
    <w:rsid w:val="00552FAF"/>
    <w:rsid w:val="00555A89"/>
    <w:rsid w:val="00555BB6"/>
    <w:rsid w:val="00560919"/>
    <w:rsid w:val="005618B2"/>
    <w:rsid w:val="00561E62"/>
    <w:rsid w:val="00564A20"/>
    <w:rsid w:val="005659EB"/>
    <w:rsid w:val="00567A47"/>
    <w:rsid w:val="0057257B"/>
    <w:rsid w:val="00572C0C"/>
    <w:rsid w:val="00572DE1"/>
    <w:rsid w:val="005755A5"/>
    <w:rsid w:val="00577224"/>
    <w:rsid w:val="005775D0"/>
    <w:rsid w:val="00577D3B"/>
    <w:rsid w:val="00577F52"/>
    <w:rsid w:val="0058239A"/>
    <w:rsid w:val="00583431"/>
    <w:rsid w:val="0058528C"/>
    <w:rsid w:val="005861F7"/>
    <w:rsid w:val="00586B18"/>
    <w:rsid w:val="00587CAB"/>
    <w:rsid w:val="0059146A"/>
    <w:rsid w:val="005918C7"/>
    <w:rsid w:val="00591C3A"/>
    <w:rsid w:val="005936C4"/>
    <w:rsid w:val="00593ECC"/>
    <w:rsid w:val="00594393"/>
    <w:rsid w:val="00595347"/>
    <w:rsid w:val="005976E4"/>
    <w:rsid w:val="00597DE5"/>
    <w:rsid w:val="005A07EF"/>
    <w:rsid w:val="005A1D6E"/>
    <w:rsid w:val="005A239E"/>
    <w:rsid w:val="005A2D64"/>
    <w:rsid w:val="005A33E5"/>
    <w:rsid w:val="005A34E6"/>
    <w:rsid w:val="005A3B97"/>
    <w:rsid w:val="005A53D0"/>
    <w:rsid w:val="005A63A2"/>
    <w:rsid w:val="005B26D4"/>
    <w:rsid w:val="005B2B71"/>
    <w:rsid w:val="005B472A"/>
    <w:rsid w:val="005B67B9"/>
    <w:rsid w:val="005B6965"/>
    <w:rsid w:val="005B7F71"/>
    <w:rsid w:val="005C0AB3"/>
    <w:rsid w:val="005C0D46"/>
    <w:rsid w:val="005C25CB"/>
    <w:rsid w:val="005C4AC3"/>
    <w:rsid w:val="005C4C0C"/>
    <w:rsid w:val="005C5CDC"/>
    <w:rsid w:val="005D6C83"/>
    <w:rsid w:val="005E1154"/>
    <w:rsid w:val="005E3212"/>
    <w:rsid w:val="005E40E3"/>
    <w:rsid w:val="005E4117"/>
    <w:rsid w:val="005E4540"/>
    <w:rsid w:val="005E5A56"/>
    <w:rsid w:val="005E5AC5"/>
    <w:rsid w:val="005E68E3"/>
    <w:rsid w:val="005E6CEB"/>
    <w:rsid w:val="005E6ECE"/>
    <w:rsid w:val="005E7CF5"/>
    <w:rsid w:val="005F2B68"/>
    <w:rsid w:val="005F3326"/>
    <w:rsid w:val="005F4486"/>
    <w:rsid w:val="005F47B3"/>
    <w:rsid w:val="005F61B3"/>
    <w:rsid w:val="00601D5B"/>
    <w:rsid w:val="006031A8"/>
    <w:rsid w:val="00603365"/>
    <w:rsid w:val="00605E1A"/>
    <w:rsid w:val="006066F0"/>
    <w:rsid w:val="00607A22"/>
    <w:rsid w:val="00607B0D"/>
    <w:rsid w:val="00616232"/>
    <w:rsid w:val="00617157"/>
    <w:rsid w:val="00617BE4"/>
    <w:rsid w:val="00620352"/>
    <w:rsid w:val="00620529"/>
    <w:rsid w:val="00620A38"/>
    <w:rsid w:val="00624C5B"/>
    <w:rsid w:val="006253C2"/>
    <w:rsid w:val="006259E3"/>
    <w:rsid w:val="00626297"/>
    <w:rsid w:val="00626E66"/>
    <w:rsid w:val="0062708D"/>
    <w:rsid w:val="00627868"/>
    <w:rsid w:val="00627A91"/>
    <w:rsid w:val="0063127D"/>
    <w:rsid w:val="00632DA3"/>
    <w:rsid w:val="00633785"/>
    <w:rsid w:val="00636AC3"/>
    <w:rsid w:val="00641D1F"/>
    <w:rsid w:val="00642FD2"/>
    <w:rsid w:val="006436B7"/>
    <w:rsid w:val="00645038"/>
    <w:rsid w:val="006475C9"/>
    <w:rsid w:val="0064798C"/>
    <w:rsid w:val="00647FD5"/>
    <w:rsid w:val="00651B60"/>
    <w:rsid w:val="006541ED"/>
    <w:rsid w:val="006546B1"/>
    <w:rsid w:val="00655389"/>
    <w:rsid w:val="00655426"/>
    <w:rsid w:val="00655A19"/>
    <w:rsid w:val="00657CB6"/>
    <w:rsid w:val="006600E5"/>
    <w:rsid w:val="0066291F"/>
    <w:rsid w:val="00663B6E"/>
    <w:rsid w:val="006657C4"/>
    <w:rsid w:val="00667E9D"/>
    <w:rsid w:val="006701B9"/>
    <w:rsid w:val="006702A7"/>
    <w:rsid w:val="00670467"/>
    <w:rsid w:val="00671DAC"/>
    <w:rsid w:val="006735A6"/>
    <w:rsid w:val="0067775E"/>
    <w:rsid w:val="006812C5"/>
    <w:rsid w:val="006812FD"/>
    <w:rsid w:val="00682BD0"/>
    <w:rsid w:val="00682F17"/>
    <w:rsid w:val="00683302"/>
    <w:rsid w:val="00685653"/>
    <w:rsid w:val="006857F8"/>
    <w:rsid w:val="00687FC2"/>
    <w:rsid w:val="006908D2"/>
    <w:rsid w:val="00690A90"/>
    <w:rsid w:val="00690B8D"/>
    <w:rsid w:val="006911AC"/>
    <w:rsid w:val="00691528"/>
    <w:rsid w:val="006944A7"/>
    <w:rsid w:val="006953A6"/>
    <w:rsid w:val="006955E5"/>
    <w:rsid w:val="00695B94"/>
    <w:rsid w:val="00696123"/>
    <w:rsid w:val="00696287"/>
    <w:rsid w:val="006978A2"/>
    <w:rsid w:val="006A2C76"/>
    <w:rsid w:val="006A2DEE"/>
    <w:rsid w:val="006A3FB6"/>
    <w:rsid w:val="006A3FBB"/>
    <w:rsid w:val="006A65E4"/>
    <w:rsid w:val="006A74CA"/>
    <w:rsid w:val="006A7C93"/>
    <w:rsid w:val="006B0805"/>
    <w:rsid w:val="006B2859"/>
    <w:rsid w:val="006B2FF3"/>
    <w:rsid w:val="006B3B57"/>
    <w:rsid w:val="006B51DF"/>
    <w:rsid w:val="006B76A0"/>
    <w:rsid w:val="006B7722"/>
    <w:rsid w:val="006C116D"/>
    <w:rsid w:val="006C13A2"/>
    <w:rsid w:val="006C178D"/>
    <w:rsid w:val="006C315B"/>
    <w:rsid w:val="006C38E7"/>
    <w:rsid w:val="006C3979"/>
    <w:rsid w:val="006C3A49"/>
    <w:rsid w:val="006C4E28"/>
    <w:rsid w:val="006C68D8"/>
    <w:rsid w:val="006C7038"/>
    <w:rsid w:val="006C7056"/>
    <w:rsid w:val="006D0100"/>
    <w:rsid w:val="006D0CF2"/>
    <w:rsid w:val="006D0FB1"/>
    <w:rsid w:val="006D23C9"/>
    <w:rsid w:val="006D4366"/>
    <w:rsid w:val="006D49E4"/>
    <w:rsid w:val="006D4CA7"/>
    <w:rsid w:val="006D5919"/>
    <w:rsid w:val="006D791D"/>
    <w:rsid w:val="006D7BD9"/>
    <w:rsid w:val="006D7D0A"/>
    <w:rsid w:val="006E0218"/>
    <w:rsid w:val="006E06BB"/>
    <w:rsid w:val="006E11D1"/>
    <w:rsid w:val="006E1B67"/>
    <w:rsid w:val="006E20D7"/>
    <w:rsid w:val="006E262E"/>
    <w:rsid w:val="006E318B"/>
    <w:rsid w:val="006E3848"/>
    <w:rsid w:val="006E3F33"/>
    <w:rsid w:val="006E57DF"/>
    <w:rsid w:val="006F0333"/>
    <w:rsid w:val="006F04AA"/>
    <w:rsid w:val="006F4348"/>
    <w:rsid w:val="006F6FC1"/>
    <w:rsid w:val="0070252E"/>
    <w:rsid w:val="007029FA"/>
    <w:rsid w:val="00703280"/>
    <w:rsid w:val="00703302"/>
    <w:rsid w:val="00705BA3"/>
    <w:rsid w:val="00705D54"/>
    <w:rsid w:val="00707F1B"/>
    <w:rsid w:val="00710227"/>
    <w:rsid w:val="0071026E"/>
    <w:rsid w:val="0071154E"/>
    <w:rsid w:val="0071261B"/>
    <w:rsid w:val="007127C0"/>
    <w:rsid w:val="0071340A"/>
    <w:rsid w:val="007136E1"/>
    <w:rsid w:val="007139B8"/>
    <w:rsid w:val="0071458E"/>
    <w:rsid w:val="00716FA3"/>
    <w:rsid w:val="0072012D"/>
    <w:rsid w:val="0072041A"/>
    <w:rsid w:val="00720B1B"/>
    <w:rsid w:val="00721443"/>
    <w:rsid w:val="0072263B"/>
    <w:rsid w:val="0072467C"/>
    <w:rsid w:val="00724CD8"/>
    <w:rsid w:val="00726300"/>
    <w:rsid w:val="007275DD"/>
    <w:rsid w:val="00730E04"/>
    <w:rsid w:val="007312EB"/>
    <w:rsid w:val="00731751"/>
    <w:rsid w:val="0073513E"/>
    <w:rsid w:val="00735446"/>
    <w:rsid w:val="00740AA2"/>
    <w:rsid w:val="0074435B"/>
    <w:rsid w:val="00744467"/>
    <w:rsid w:val="00744834"/>
    <w:rsid w:val="00744F7C"/>
    <w:rsid w:val="00745273"/>
    <w:rsid w:val="00750B0A"/>
    <w:rsid w:val="007522E3"/>
    <w:rsid w:val="007538C3"/>
    <w:rsid w:val="00753CDB"/>
    <w:rsid w:val="00753CE2"/>
    <w:rsid w:val="007554D2"/>
    <w:rsid w:val="0075701A"/>
    <w:rsid w:val="00757BEE"/>
    <w:rsid w:val="00762B8F"/>
    <w:rsid w:val="007630CD"/>
    <w:rsid w:val="00763559"/>
    <w:rsid w:val="00765DCD"/>
    <w:rsid w:val="00765DFF"/>
    <w:rsid w:val="007716CC"/>
    <w:rsid w:val="00772E68"/>
    <w:rsid w:val="00772E96"/>
    <w:rsid w:val="00773295"/>
    <w:rsid w:val="00774F74"/>
    <w:rsid w:val="00776921"/>
    <w:rsid w:val="00777214"/>
    <w:rsid w:val="0077781A"/>
    <w:rsid w:val="00777F31"/>
    <w:rsid w:val="00780BBB"/>
    <w:rsid w:val="00782119"/>
    <w:rsid w:val="00783E02"/>
    <w:rsid w:val="007850CF"/>
    <w:rsid w:val="00786536"/>
    <w:rsid w:val="007868DE"/>
    <w:rsid w:val="00787C70"/>
    <w:rsid w:val="00790A37"/>
    <w:rsid w:val="0079200A"/>
    <w:rsid w:val="00792335"/>
    <w:rsid w:val="007933D3"/>
    <w:rsid w:val="00794B29"/>
    <w:rsid w:val="00794C74"/>
    <w:rsid w:val="00795BCB"/>
    <w:rsid w:val="00795EA4"/>
    <w:rsid w:val="00795ECC"/>
    <w:rsid w:val="007973D7"/>
    <w:rsid w:val="007A010F"/>
    <w:rsid w:val="007A101D"/>
    <w:rsid w:val="007A1658"/>
    <w:rsid w:val="007A1DE5"/>
    <w:rsid w:val="007A27E0"/>
    <w:rsid w:val="007A2F5F"/>
    <w:rsid w:val="007A6A87"/>
    <w:rsid w:val="007A7AB3"/>
    <w:rsid w:val="007A7C18"/>
    <w:rsid w:val="007B038B"/>
    <w:rsid w:val="007B0BD1"/>
    <w:rsid w:val="007B0CC8"/>
    <w:rsid w:val="007B0E47"/>
    <w:rsid w:val="007B2290"/>
    <w:rsid w:val="007C198F"/>
    <w:rsid w:val="007C5C84"/>
    <w:rsid w:val="007D0C0D"/>
    <w:rsid w:val="007D3397"/>
    <w:rsid w:val="007E0489"/>
    <w:rsid w:val="007E1529"/>
    <w:rsid w:val="007E29A6"/>
    <w:rsid w:val="007E520B"/>
    <w:rsid w:val="007E5729"/>
    <w:rsid w:val="007E6721"/>
    <w:rsid w:val="007E73E7"/>
    <w:rsid w:val="007E7EA6"/>
    <w:rsid w:val="007F020A"/>
    <w:rsid w:val="007F22DB"/>
    <w:rsid w:val="007F2595"/>
    <w:rsid w:val="007F2B43"/>
    <w:rsid w:val="007F39FD"/>
    <w:rsid w:val="007F3DA9"/>
    <w:rsid w:val="007F56D2"/>
    <w:rsid w:val="007F6A05"/>
    <w:rsid w:val="007F71B3"/>
    <w:rsid w:val="00800746"/>
    <w:rsid w:val="00801A79"/>
    <w:rsid w:val="00804DED"/>
    <w:rsid w:val="00806F1A"/>
    <w:rsid w:val="00806F6F"/>
    <w:rsid w:val="00807146"/>
    <w:rsid w:val="00807F8D"/>
    <w:rsid w:val="00810669"/>
    <w:rsid w:val="00812CAE"/>
    <w:rsid w:val="00812E8B"/>
    <w:rsid w:val="0081458F"/>
    <w:rsid w:val="0081527B"/>
    <w:rsid w:val="00817C43"/>
    <w:rsid w:val="008206E3"/>
    <w:rsid w:val="008218A7"/>
    <w:rsid w:val="00822EAD"/>
    <w:rsid w:val="00823CB2"/>
    <w:rsid w:val="00825CAF"/>
    <w:rsid w:val="00825DC2"/>
    <w:rsid w:val="00826367"/>
    <w:rsid w:val="0082714D"/>
    <w:rsid w:val="008274E2"/>
    <w:rsid w:val="00830D34"/>
    <w:rsid w:val="00831516"/>
    <w:rsid w:val="00831D94"/>
    <w:rsid w:val="00832906"/>
    <w:rsid w:val="0083443F"/>
    <w:rsid w:val="00835469"/>
    <w:rsid w:val="008366C0"/>
    <w:rsid w:val="00837D5B"/>
    <w:rsid w:val="008417E3"/>
    <w:rsid w:val="008419BA"/>
    <w:rsid w:val="00842A21"/>
    <w:rsid w:val="0084307F"/>
    <w:rsid w:val="00843B67"/>
    <w:rsid w:val="0084675C"/>
    <w:rsid w:val="008468BB"/>
    <w:rsid w:val="00850E64"/>
    <w:rsid w:val="00851A26"/>
    <w:rsid w:val="0085325A"/>
    <w:rsid w:val="0085384B"/>
    <w:rsid w:val="0085543B"/>
    <w:rsid w:val="008564E7"/>
    <w:rsid w:val="00857893"/>
    <w:rsid w:val="00860756"/>
    <w:rsid w:val="00860F52"/>
    <w:rsid w:val="008611D4"/>
    <w:rsid w:val="0086167F"/>
    <w:rsid w:val="0086282F"/>
    <w:rsid w:val="00863B9C"/>
    <w:rsid w:val="0086422A"/>
    <w:rsid w:val="0086538D"/>
    <w:rsid w:val="00865D49"/>
    <w:rsid w:val="0086654D"/>
    <w:rsid w:val="00867471"/>
    <w:rsid w:val="008679DF"/>
    <w:rsid w:val="00867F91"/>
    <w:rsid w:val="008713F9"/>
    <w:rsid w:val="00871BD9"/>
    <w:rsid w:val="0087504B"/>
    <w:rsid w:val="00875AFF"/>
    <w:rsid w:val="00876557"/>
    <w:rsid w:val="00877048"/>
    <w:rsid w:val="00877911"/>
    <w:rsid w:val="00877F95"/>
    <w:rsid w:val="00880101"/>
    <w:rsid w:val="00881C41"/>
    <w:rsid w:val="008821E6"/>
    <w:rsid w:val="008826EC"/>
    <w:rsid w:val="00884078"/>
    <w:rsid w:val="0088472B"/>
    <w:rsid w:val="00884869"/>
    <w:rsid w:val="00884A8C"/>
    <w:rsid w:val="00886D0E"/>
    <w:rsid w:val="00886D17"/>
    <w:rsid w:val="0088709F"/>
    <w:rsid w:val="008907D3"/>
    <w:rsid w:val="00890866"/>
    <w:rsid w:val="008924DA"/>
    <w:rsid w:val="0089307C"/>
    <w:rsid w:val="00893CA9"/>
    <w:rsid w:val="00893ECC"/>
    <w:rsid w:val="00894E7C"/>
    <w:rsid w:val="00894F23"/>
    <w:rsid w:val="0089564C"/>
    <w:rsid w:val="00895D61"/>
    <w:rsid w:val="00895FD6"/>
    <w:rsid w:val="008969A3"/>
    <w:rsid w:val="00897925"/>
    <w:rsid w:val="008A25D3"/>
    <w:rsid w:val="008A3A41"/>
    <w:rsid w:val="008A3CB1"/>
    <w:rsid w:val="008A43B2"/>
    <w:rsid w:val="008A4712"/>
    <w:rsid w:val="008A4FBA"/>
    <w:rsid w:val="008A6DC8"/>
    <w:rsid w:val="008A6E27"/>
    <w:rsid w:val="008A71DF"/>
    <w:rsid w:val="008A739A"/>
    <w:rsid w:val="008B0394"/>
    <w:rsid w:val="008B111E"/>
    <w:rsid w:val="008B1D77"/>
    <w:rsid w:val="008B2066"/>
    <w:rsid w:val="008B40E7"/>
    <w:rsid w:val="008B4DF4"/>
    <w:rsid w:val="008B5A10"/>
    <w:rsid w:val="008B6F2E"/>
    <w:rsid w:val="008B73E0"/>
    <w:rsid w:val="008B7971"/>
    <w:rsid w:val="008C0D94"/>
    <w:rsid w:val="008C0EFA"/>
    <w:rsid w:val="008C1982"/>
    <w:rsid w:val="008C2CC2"/>
    <w:rsid w:val="008C3B9F"/>
    <w:rsid w:val="008C4D14"/>
    <w:rsid w:val="008C5365"/>
    <w:rsid w:val="008C555D"/>
    <w:rsid w:val="008C55E8"/>
    <w:rsid w:val="008C5707"/>
    <w:rsid w:val="008C71FB"/>
    <w:rsid w:val="008C73A6"/>
    <w:rsid w:val="008C79AE"/>
    <w:rsid w:val="008D0327"/>
    <w:rsid w:val="008D047A"/>
    <w:rsid w:val="008D1389"/>
    <w:rsid w:val="008D1D49"/>
    <w:rsid w:val="008D3E38"/>
    <w:rsid w:val="008D4635"/>
    <w:rsid w:val="008D52F9"/>
    <w:rsid w:val="008D5A07"/>
    <w:rsid w:val="008D6168"/>
    <w:rsid w:val="008D6C3B"/>
    <w:rsid w:val="008E07BD"/>
    <w:rsid w:val="008E0CEF"/>
    <w:rsid w:val="008E0D5B"/>
    <w:rsid w:val="008E164B"/>
    <w:rsid w:val="008E209D"/>
    <w:rsid w:val="008E20D9"/>
    <w:rsid w:val="008E23DF"/>
    <w:rsid w:val="008E42DD"/>
    <w:rsid w:val="008E558F"/>
    <w:rsid w:val="008E5F28"/>
    <w:rsid w:val="008E7C3D"/>
    <w:rsid w:val="008F0DA8"/>
    <w:rsid w:val="008F1879"/>
    <w:rsid w:val="008F1DF5"/>
    <w:rsid w:val="008F20B0"/>
    <w:rsid w:val="008F2B6B"/>
    <w:rsid w:val="008F341F"/>
    <w:rsid w:val="008F3493"/>
    <w:rsid w:val="008F3EA3"/>
    <w:rsid w:val="008F57A0"/>
    <w:rsid w:val="008F5D3D"/>
    <w:rsid w:val="008F606E"/>
    <w:rsid w:val="008F7559"/>
    <w:rsid w:val="00902830"/>
    <w:rsid w:val="00902E10"/>
    <w:rsid w:val="009043E0"/>
    <w:rsid w:val="0090515A"/>
    <w:rsid w:val="00905E6C"/>
    <w:rsid w:val="0090758B"/>
    <w:rsid w:val="009118C3"/>
    <w:rsid w:val="00911CAF"/>
    <w:rsid w:val="009122E0"/>
    <w:rsid w:val="009149C6"/>
    <w:rsid w:val="009173BB"/>
    <w:rsid w:val="00917EB9"/>
    <w:rsid w:val="009200EF"/>
    <w:rsid w:val="00920D57"/>
    <w:rsid w:val="009223B6"/>
    <w:rsid w:val="00923D92"/>
    <w:rsid w:val="00923D9F"/>
    <w:rsid w:val="00926F4D"/>
    <w:rsid w:val="00927344"/>
    <w:rsid w:val="009302D6"/>
    <w:rsid w:val="00930CE3"/>
    <w:rsid w:val="009331AA"/>
    <w:rsid w:val="0093430F"/>
    <w:rsid w:val="009344BD"/>
    <w:rsid w:val="00936044"/>
    <w:rsid w:val="00936321"/>
    <w:rsid w:val="00940113"/>
    <w:rsid w:val="0094059C"/>
    <w:rsid w:val="009411B3"/>
    <w:rsid w:val="0094217B"/>
    <w:rsid w:val="00942BDD"/>
    <w:rsid w:val="00943AAF"/>
    <w:rsid w:val="00943C85"/>
    <w:rsid w:val="00945443"/>
    <w:rsid w:val="00951445"/>
    <w:rsid w:val="009526D7"/>
    <w:rsid w:val="00954385"/>
    <w:rsid w:val="00961203"/>
    <w:rsid w:val="009617A7"/>
    <w:rsid w:val="0096243D"/>
    <w:rsid w:val="00963334"/>
    <w:rsid w:val="00963AE4"/>
    <w:rsid w:val="00963B14"/>
    <w:rsid w:val="00964198"/>
    <w:rsid w:val="00966991"/>
    <w:rsid w:val="00966DB3"/>
    <w:rsid w:val="00966E57"/>
    <w:rsid w:val="009700DA"/>
    <w:rsid w:val="009717FA"/>
    <w:rsid w:val="00971A5A"/>
    <w:rsid w:val="00971B43"/>
    <w:rsid w:val="009744BB"/>
    <w:rsid w:val="00975369"/>
    <w:rsid w:val="0097745C"/>
    <w:rsid w:val="009779B3"/>
    <w:rsid w:val="0098116F"/>
    <w:rsid w:val="00981404"/>
    <w:rsid w:val="009820BB"/>
    <w:rsid w:val="009840A9"/>
    <w:rsid w:val="00984300"/>
    <w:rsid w:val="00986225"/>
    <w:rsid w:val="00987C4A"/>
    <w:rsid w:val="00991ADF"/>
    <w:rsid w:val="00992697"/>
    <w:rsid w:val="009941E8"/>
    <w:rsid w:val="0099763F"/>
    <w:rsid w:val="009A05F5"/>
    <w:rsid w:val="009A1131"/>
    <w:rsid w:val="009A19BA"/>
    <w:rsid w:val="009A7141"/>
    <w:rsid w:val="009B24AC"/>
    <w:rsid w:val="009B51EC"/>
    <w:rsid w:val="009B594D"/>
    <w:rsid w:val="009B604A"/>
    <w:rsid w:val="009B7E5C"/>
    <w:rsid w:val="009C06A0"/>
    <w:rsid w:val="009C0CB9"/>
    <w:rsid w:val="009C3154"/>
    <w:rsid w:val="009C3948"/>
    <w:rsid w:val="009C3B58"/>
    <w:rsid w:val="009C50C5"/>
    <w:rsid w:val="009C6B3E"/>
    <w:rsid w:val="009C70C3"/>
    <w:rsid w:val="009C762C"/>
    <w:rsid w:val="009D01F9"/>
    <w:rsid w:val="009D04D5"/>
    <w:rsid w:val="009D15E2"/>
    <w:rsid w:val="009D1A80"/>
    <w:rsid w:val="009D1DAD"/>
    <w:rsid w:val="009D1DC2"/>
    <w:rsid w:val="009D3E45"/>
    <w:rsid w:val="009D51AB"/>
    <w:rsid w:val="009D5412"/>
    <w:rsid w:val="009D5A01"/>
    <w:rsid w:val="009D654E"/>
    <w:rsid w:val="009D6C04"/>
    <w:rsid w:val="009D75EF"/>
    <w:rsid w:val="009E0381"/>
    <w:rsid w:val="009E21CD"/>
    <w:rsid w:val="009E33B7"/>
    <w:rsid w:val="009E3B5F"/>
    <w:rsid w:val="009E51E1"/>
    <w:rsid w:val="009E521E"/>
    <w:rsid w:val="009F11F6"/>
    <w:rsid w:val="009F1A59"/>
    <w:rsid w:val="009F2D90"/>
    <w:rsid w:val="009F35E9"/>
    <w:rsid w:val="009F3F37"/>
    <w:rsid w:val="009F49DF"/>
    <w:rsid w:val="009F50C8"/>
    <w:rsid w:val="009F54EB"/>
    <w:rsid w:val="009F5C01"/>
    <w:rsid w:val="009F62FA"/>
    <w:rsid w:val="009F739E"/>
    <w:rsid w:val="00A00A4A"/>
    <w:rsid w:val="00A00BEA"/>
    <w:rsid w:val="00A010BF"/>
    <w:rsid w:val="00A0391A"/>
    <w:rsid w:val="00A03DDF"/>
    <w:rsid w:val="00A0524F"/>
    <w:rsid w:val="00A05335"/>
    <w:rsid w:val="00A10772"/>
    <w:rsid w:val="00A10F40"/>
    <w:rsid w:val="00A11E10"/>
    <w:rsid w:val="00A15767"/>
    <w:rsid w:val="00A17546"/>
    <w:rsid w:val="00A20288"/>
    <w:rsid w:val="00A20C6E"/>
    <w:rsid w:val="00A22004"/>
    <w:rsid w:val="00A22D82"/>
    <w:rsid w:val="00A23BCD"/>
    <w:rsid w:val="00A25ADA"/>
    <w:rsid w:val="00A26086"/>
    <w:rsid w:val="00A26F23"/>
    <w:rsid w:val="00A278C8"/>
    <w:rsid w:val="00A30A46"/>
    <w:rsid w:val="00A30EA8"/>
    <w:rsid w:val="00A31E8B"/>
    <w:rsid w:val="00A3258E"/>
    <w:rsid w:val="00A352F3"/>
    <w:rsid w:val="00A359FE"/>
    <w:rsid w:val="00A35C18"/>
    <w:rsid w:val="00A37577"/>
    <w:rsid w:val="00A40662"/>
    <w:rsid w:val="00A41340"/>
    <w:rsid w:val="00A42B9E"/>
    <w:rsid w:val="00A43B58"/>
    <w:rsid w:val="00A46333"/>
    <w:rsid w:val="00A46351"/>
    <w:rsid w:val="00A469FE"/>
    <w:rsid w:val="00A46DE8"/>
    <w:rsid w:val="00A520A4"/>
    <w:rsid w:val="00A5314D"/>
    <w:rsid w:val="00A542AC"/>
    <w:rsid w:val="00A54518"/>
    <w:rsid w:val="00A54562"/>
    <w:rsid w:val="00A60382"/>
    <w:rsid w:val="00A63ABF"/>
    <w:rsid w:val="00A64FEE"/>
    <w:rsid w:val="00A657A0"/>
    <w:rsid w:val="00A661EC"/>
    <w:rsid w:val="00A716C0"/>
    <w:rsid w:val="00A71831"/>
    <w:rsid w:val="00A74B8A"/>
    <w:rsid w:val="00A74FFD"/>
    <w:rsid w:val="00A75EC2"/>
    <w:rsid w:val="00A85726"/>
    <w:rsid w:val="00A90A61"/>
    <w:rsid w:val="00A90A69"/>
    <w:rsid w:val="00A92CDD"/>
    <w:rsid w:val="00A93364"/>
    <w:rsid w:val="00A93C92"/>
    <w:rsid w:val="00A9633B"/>
    <w:rsid w:val="00A974CC"/>
    <w:rsid w:val="00AA18F9"/>
    <w:rsid w:val="00AA3669"/>
    <w:rsid w:val="00AA7A26"/>
    <w:rsid w:val="00AA7CB1"/>
    <w:rsid w:val="00AB1C9D"/>
    <w:rsid w:val="00AB2763"/>
    <w:rsid w:val="00AB5F91"/>
    <w:rsid w:val="00AB66FB"/>
    <w:rsid w:val="00AB674F"/>
    <w:rsid w:val="00AC10A7"/>
    <w:rsid w:val="00AC117C"/>
    <w:rsid w:val="00AC2662"/>
    <w:rsid w:val="00AC2E43"/>
    <w:rsid w:val="00AC3DAF"/>
    <w:rsid w:val="00AC76CB"/>
    <w:rsid w:val="00AD0707"/>
    <w:rsid w:val="00AD094B"/>
    <w:rsid w:val="00AD30A4"/>
    <w:rsid w:val="00AD49CF"/>
    <w:rsid w:val="00AD5519"/>
    <w:rsid w:val="00AD78B3"/>
    <w:rsid w:val="00AE1B27"/>
    <w:rsid w:val="00AE32A0"/>
    <w:rsid w:val="00AE67B5"/>
    <w:rsid w:val="00AE6A6E"/>
    <w:rsid w:val="00AF3C13"/>
    <w:rsid w:val="00AF40C1"/>
    <w:rsid w:val="00AF5696"/>
    <w:rsid w:val="00AF7D91"/>
    <w:rsid w:val="00B03BB0"/>
    <w:rsid w:val="00B06EB0"/>
    <w:rsid w:val="00B07B4A"/>
    <w:rsid w:val="00B1264A"/>
    <w:rsid w:val="00B13235"/>
    <w:rsid w:val="00B13276"/>
    <w:rsid w:val="00B13343"/>
    <w:rsid w:val="00B13A2E"/>
    <w:rsid w:val="00B13B26"/>
    <w:rsid w:val="00B1511A"/>
    <w:rsid w:val="00B1550C"/>
    <w:rsid w:val="00B158CE"/>
    <w:rsid w:val="00B1682D"/>
    <w:rsid w:val="00B22F4A"/>
    <w:rsid w:val="00B231F1"/>
    <w:rsid w:val="00B24AE2"/>
    <w:rsid w:val="00B25D97"/>
    <w:rsid w:val="00B25E4E"/>
    <w:rsid w:val="00B26E7E"/>
    <w:rsid w:val="00B275F1"/>
    <w:rsid w:val="00B30B44"/>
    <w:rsid w:val="00B3198B"/>
    <w:rsid w:val="00B31DFD"/>
    <w:rsid w:val="00B33836"/>
    <w:rsid w:val="00B353FA"/>
    <w:rsid w:val="00B372A5"/>
    <w:rsid w:val="00B375FE"/>
    <w:rsid w:val="00B417F8"/>
    <w:rsid w:val="00B41D6C"/>
    <w:rsid w:val="00B45168"/>
    <w:rsid w:val="00B4594E"/>
    <w:rsid w:val="00B47B63"/>
    <w:rsid w:val="00B507A2"/>
    <w:rsid w:val="00B50F04"/>
    <w:rsid w:val="00B517A0"/>
    <w:rsid w:val="00B52193"/>
    <w:rsid w:val="00B523B0"/>
    <w:rsid w:val="00B56E32"/>
    <w:rsid w:val="00B62C11"/>
    <w:rsid w:val="00B65BA7"/>
    <w:rsid w:val="00B6629E"/>
    <w:rsid w:val="00B66D66"/>
    <w:rsid w:val="00B67603"/>
    <w:rsid w:val="00B71998"/>
    <w:rsid w:val="00B7264F"/>
    <w:rsid w:val="00B743A2"/>
    <w:rsid w:val="00B758DF"/>
    <w:rsid w:val="00B76520"/>
    <w:rsid w:val="00B77B40"/>
    <w:rsid w:val="00B801E7"/>
    <w:rsid w:val="00B834C9"/>
    <w:rsid w:val="00B90164"/>
    <w:rsid w:val="00B90823"/>
    <w:rsid w:val="00B91FCC"/>
    <w:rsid w:val="00B92311"/>
    <w:rsid w:val="00B92821"/>
    <w:rsid w:val="00B92939"/>
    <w:rsid w:val="00B93EFC"/>
    <w:rsid w:val="00B9596F"/>
    <w:rsid w:val="00B96EEF"/>
    <w:rsid w:val="00B9717E"/>
    <w:rsid w:val="00BA29FA"/>
    <w:rsid w:val="00BA3A6F"/>
    <w:rsid w:val="00BA4C0D"/>
    <w:rsid w:val="00BA68AD"/>
    <w:rsid w:val="00BA6F11"/>
    <w:rsid w:val="00BA6F43"/>
    <w:rsid w:val="00BA765D"/>
    <w:rsid w:val="00BA78EA"/>
    <w:rsid w:val="00BB1DDB"/>
    <w:rsid w:val="00BB2936"/>
    <w:rsid w:val="00BB4988"/>
    <w:rsid w:val="00BB5551"/>
    <w:rsid w:val="00BB5C0E"/>
    <w:rsid w:val="00BB5F6A"/>
    <w:rsid w:val="00BB66F2"/>
    <w:rsid w:val="00BB6739"/>
    <w:rsid w:val="00BB6957"/>
    <w:rsid w:val="00BB6DC5"/>
    <w:rsid w:val="00BC210A"/>
    <w:rsid w:val="00BC46D4"/>
    <w:rsid w:val="00BC4AD6"/>
    <w:rsid w:val="00BC756B"/>
    <w:rsid w:val="00BD0285"/>
    <w:rsid w:val="00BD1C3C"/>
    <w:rsid w:val="00BD4551"/>
    <w:rsid w:val="00BD49C3"/>
    <w:rsid w:val="00BE05B9"/>
    <w:rsid w:val="00BE1BF4"/>
    <w:rsid w:val="00BE275F"/>
    <w:rsid w:val="00BE4184"/>
    <w:rsid w:val="00BE589D"/>
    <w:rsid w:val="00BE5E40"/>
    <w:rsid w:val="00BE7148"/>
    <w:rsid w:val="00BF2C2B"/>
    <w:rsid w:val="00BF37B4"/>
    <w:rsid w:val="00BF3863"/>
    <w:rsid w:val="00BF52BD"/>
    <w:rsid w:val="00BF66D9"/>
    <w:rsid w:val="00BF6872"/>
    <w:rsid w:val="00BF735D"/>
    <w:rsid w:val="00BF7F59"/>
    <w:rsid w:val="00C0369A"/>
    <w:rsid w:val="00C0424D"/>
    <w:rsid w:val="00C05342"/>
    <w:rsid w:val="00C05E3F"/>
    <w:rsid w:val="00C060AB"/>
    <w:rsid w:val="00C070E2"/>
    <w:rsid w:val="00C071DE"/>
    <w:rsid w:val="00C112B6"/>
    <w:rsid w:val="00C11B1E"/>
    <w:rsid w:val="00C11D6F"/>
    <w:rsid w:val="00C1346A"/>
    <w:rsid w:val="00C14DE2"/>
    <w:rsid w:val="00C15B28"/>
    <w:rsid w:val="00C203B6"/>
    <w:rsid w:val="00C20572"/>
    <w:rsid w:val="00C20D66"/>
    <w:rsid w:val="00C20F1C"/>
    <w:rsid w:val="00C2305C"/>
    <w:rsid w:val="00C23424"/>
    <w:rsid w:val="00C234B8"/>
    <w:rsid w:val="00C2439D"/>
    <w:rsid w:val="00C25617"/>
    <w:rsid w:val="00C25BD0"/>
    <w:rsid w:val="00C27C92"/>
    <w:rsid w:val="00C33044"/>
    <w:rsid w:val="00C3380A"/>
    <w:rsid w:val="00C36A38"/>
    <w:rsid w:val="00C373F2"/>
    <w:rsid w:val="00C3746C"/>
    <w:rsid w:val="00C403D2"/>
    <w:rsid w:val="00C40DF0"/>
    <w:rsid w:val="00C413B5"/>
    <w:rsid w:val="00C42E28"/>
    <w:rsid w:val="00C43398"/>
    <w:rsid w:val="00C434EA"/>
    <w:rsid w:val="00C437D5"/>
    <w:rsid w:val="00C43852"/>
    <w:rsid w:val="00C43D02"/>
    <w:rsid w:val="00C46C7D"/>
    <w:rsid w:val="00C5045F"/>
    <w:rsid w:val="00C50B37"/>
    <w:rsid w:val="00C51452"/>
    <w:rsid w:val="00C533D5"/>
    <w:rsid w:val="00C53C0C"/>
    <w:rsid w:val="00C53F12"/>
    <w:rsid w:val="00C5540F"/>
    <w:rsid w:val="00C56443"/>
    <w:rsid w:val="00C56708"/>
    <w:rsid w:val="00C5692D"/>
    <w:rsid w:val="00C60883"/>
    <w:rsid w:val="00C61D57"/>
    <w:rsid w:val="00C625F4"/>
    <w:rsid w:val="00C641AF"/>
    <w:rsid w:val="00C65806"/>
    <w:rsid w:val="00C65894"/>
    <w:rsid w:val="00C67740"/>
    <w:rsid w:val="00C70760"/>
    <w:rsid w:val="00C708F5"/>
    <w:rsid w:val="00C726B3"/>
    <w:rsid w:val="00C73266"/>
    <w:rsid w:val="00C73649"/>
    <w:rsid w:val="00C752E5"/>
    <w:rsid w:val="00C75992"/>
    <w:rsid w:val="00C763BF"/>
    <w:rsid w:val="00C76D6A"/>
    <w:rsid w:val="00C77E5A"/>
    <w:rsid w:val="00C77E8F"/>
    <w:rsid w:val="00C81157"/>
    <w:rsid w:val="00C8290B"/>
    <w:rsid w:val="00C83207"/>
    <w:rsid w:val="00C8445F"/>
    <w:rsid w:val="00C8683C"/>
    <w:rsid w:val="00C90545"/>
    <w:rsid w:val="00C9107F"/>
    <w:rsid w:val="00C91FEE"/>
    <w:rsid w:val="00C9268C"/>
    <w:rsid w:val="00C92713"/>
    <w:rsid w:val="00C948F4"/>
    <w:rsid w:val="00C94DA9"/>
    <w:rsid w:val="00C956CF"/>
    <w:rsid w:val="00C96534"/>
    <w:rsid w:val="00C96DEB"/>
    <w:rsid w:val="00C97917"/>
    <w:rsid w:val="00C97AA6"/>
    <w:rsid w:val="00C97F17"/>
    <w:rsid w:val="00C97FA3"/>
    <w:rsid w:val="00CA183C"/>
    <w:rsid w:val="00CA369E"/>
    <w:rsid w:val="00CA4BF5"/>
    <w:rsid w:val="00CA51DC"/>
    <w:rsid w:val="00CA53E5"/>
    <w:rsid w:val="00CA5DF3"/>
    <w:rsid w:val="00CB0DD2"/>
    <w:rsid w:val="00CB1BD4"/>
    <w:rsid w:val="00CB20AA"/>
    <w:rsid w:val="00CB2D90"/>
    <w:rsid w:val="00CB706B"/>
    <w:rsid w:val="00CC0B9C"/>
    <w:rsid w:val="00CC353D"/>
    <w:rsid w:val="00CC424F"/>
    <w:rsid w:val="00CC4419"/>
    <w:rsid w:val="00CC451E"/>
    <w:rsid w:val="00CC4A5E"/>
    <w:rsid w:val="00CC63AF"/>
    <w:rsid w:val="00CC6508"/>
    <w:rsid w:val="00CC6991"/>
    <w:rsid w:val="00CD06E8"/>
    <w:rsid w:val="00CD1714"/>
    <w:rsid w:val="00CD19F8"/>
    <w:rsid w:val="00CD1C7A"/>
    <w:rsid w:val="00CD34C1"/>
    <w:rsid w:val="00CD602D"/>
    <w:rsid w:val="00CE05A7"/>
    <w:rsid w:val="00CE0C21"/>
    <w:rsid w:val="00CE0F97"/>
    <w:rsid w:val="00CE4EA4"/>
    <w:rsid w:val="00CE4F6C"/>
    <w:rsid w:val="00CE5297"/>
    <w:rsid w:val="00CE585E"/>
    <w:rsid w:val="00CE7702"/>
    <w:rsid w:val="00CF3444"/>
    <w:rsid w:val="00CF478C"/>
    <w:rsid w:val="00CF4E29"/>
    <w:rsid w:val="00CF4FCC"/>
    <w:rsid w:val="00CF51F4"/>
    <w:rsid w:val="00CF754F"/>
    <w:rsid w:val="00D03026"/>
    <w:rsid w:val="00D03FD1"/>
    <w:rsid w:val="00D06917"/>
    <w:rsid w:val="00D0785D"/>
    <w:rsid w:val="00D07D13"/>
    <w:rsid w:val="00D10223"/>
    <w:rsid w:val="00D11169"/>
    <w:rsid w:val="00D112C2"/>
    <w:rsid w:val="00D12B77"/>
    <w:rsid w:val="00D141AA"/>
    <w:rsid w:val="00D16112"/>
    <w:rsid w:val="00D165F9"/>
    <w:rsid w:val="00D175F6"/>
    <w:rsid w:val="00D17C12"/>
    <w:rsid w:val="00D216A7"/>
    <w:rsid w:val="00D22F11"/>
    <w:rsid w:val="00D2386D"/>
    <w:rsid w:val="00D243C5"/>
    <w:rsid w:val="00D30475"/>
    <w:rsid w:val="00D30D3D"/>
    <w:rsid w:val="00D30EEE"/>
    <w:rsid w:val="00D31FA1"/>
    <w:rsid w:val="00D3272F"/>
    <w:rsid w:val="00D3339A"/>
    <w:rsid w:val="00D36281"/>
    <w:rsid w:val="00D3681E"/>
    <w:rsid w:val="00D37273"/>
    <w:rsid w:val="00D3796D"/>
    <w:rsid w:val="00D40BA2"/>
    <w:rsid w:val="00D420B5"/>
    <w:rsid w:val="00D422EF"/>
    <w:rsid w:val="00D4312C"/>
    <w:rsid w:val="00D43F9C"/>
    <w:rsid w:val="00D454DE"/>
    <w:rsid w:val="00D45DF6"/>
    <w:rsid w:val="00D46996"/>
    <w:rsid w:val="00D46D72"/>
    <w:rsid w:val="00D50829"/>
    <w:rsid w:val="00D50849"/>
    <w:rsid w:val="00D50B01"/>
    <w:rsid w:val="00D524CB"/>
    <w:rsid w:val="00D553F5"/>
    <w:rsid w:val="00D56359"/>
    <w:rsid w:val="00D570DC"/>
    <w:rsid w:val="00D620B7"/>
    <w:rsid w:val="00D62873"/>
    <w:rsid w:val="00D63281"/>
    <w:rsid w:val="00D6377C"/>
    <w:rsid w:val="00D63E0E"/>
    <w:rsid w:val="00D64252"/>
    <w:rsid w:val="00D74328"/>
    <w:rsid w:val="00D81B5D"/>
    <w:rsid w:val="00D823A1"/>
    <w:rsid w:val="00D844C1"/>
    <w:rsid w:val="00D84893"/>
    <w:rsid w:val="00D84C1E"/>
    <w:rsid w:val="00D870A6"/>
    <w:rsid w:val="00D90A09"/>
    <w:rsid w:val="00D91395"/>
    <w:rsid w:val="00D9273E"/>
    <w:rsid w:val="00D94081"/>
    <w:rsid w:val="00D94730"/>
    <w:rsid w:val="00D95131"/>
    <w:rsid w:val="00D95674"/>
    <w:rsid w:val="00D95DE4"/>
    <w:rsid w:val="00D960BA"/>
    <w:rsid w:val="00D96318"/>
    <w:rsid w:val="00D9791A"/>
    <w:rsid w:val="00D97BAB"/>
    <w:rsid w:val="00DA079E"/>
    <w:rsid w:val="00DA43A8"/>
    <w:rsid w:val="00DA4B1A"/>
    <w:rsid w:val="00DA521E"/>
    <w:rsid w:val="00DA53E0"/>
    <w:rsid w:val="00DA6C19"/>
    <w:rsid w:val="00DA77F4"/>
    <w:rsid w:val="00DB2100"/>
    <w:rsid w:val="00DB30F5"/>
    <w:rsid w:val="00DB36F0"/>
    <w:rsid w:val="00DB4AD3"/>
    <w:rsid w:val="00DB691D"/>
    <w:rsid w:val="00DB70A6"/>
    <w:rsid w:val="00DB769F"/>
    <w:rsid w:val="00DC0975"/>
    <w:rsid w:val="00DC0EEE"/>
    <w:rsid w:val="00DC116F"/>
    <w:rsid w:val="00DC1F7F"/>
    <w:rsid w:val="00DC2715"/>
    <w:rsid w:val="00DC282D"/>
    <w:rsid w:val="00DC3F73"/>
    <w:rsid w:val="00DC3F82"/>
    <w:rsid w:val="00DC4B8B"/>
    <w:rsid w:val="00DC4DA9"/>
    <w:rsid w:val="00DD1A29"/>
    <w:rsid w:val="00DD2AB2"/>
    <w:rsid w:val="00DD36D6"/>
    <w:rsid w:val="00DD4B38"/>
    <w:rsid w:val="00DE268C"/>
    <w:rsid w:val="00DE5307"/>
    <w:rsid w:val="00DE5786"/>
    <w:rsid w:val="00DE6438"/>
    <w:rsid w:val="00DE6544"/>
    <w:rsid w:val="00DE6E5C"/>
    <w:rsid w:val="00DE7157"/>
    <w:rsid w:val="00DE7C8A"/>
    <w:rsid w:val="00DF4789"/>
    <w:rsid w:val="00DF4C93"/>
    <w:rsid w:val="00DF5A82"/>
    <w:rsid w:val="00DF63D5"/>
    <w:rsid w:val="00DF65C7"/>
    <w:rsid w:val="00DF7906"/>
    <w:rsid w:val="00E00317"/>
    <w:rsid w:val="00E04B3D"/>
    <w:rsid w:val="00E06399"/>
    <w:rsid w:val="00E07E4A"/>
    <w:rsid w:val="00E11DDA"/>
    <w:rsid w:val="00E11EF3"/>
    <w:rsid w:val="00E13DE6"/>
    <w:rsid w:val="00E14F53"/>
    <w:rsid w:val="00E1564D"/>
    <w:rsid w:val="00E15B89"/>
    <w:rsid w:val="00E17A5A"/>
    <w:rsid w:val="00E17E31"/>
    <w:rsid w:val="00E21F7C"/>
    <w:rsid w:val="00E22544"/>
    <w:rsid w:val="00E22D9E"/>
    <w:rsid w:val="00E23C43"/>
    <w:rsid w:val="00E24F9B"/>
    <w:rsid w:val="00E257A3"/>
    <w:rsid w:val="00E25F46"/>
    <w:rsid w:val="00E265CF"/>
    <w:rsid w:val="00E278FF"/>
    <w:rsid w:val="00E27DA0"/>
    <w:rsid w:val="00E27FE7"/>
    <w:rsid w:val="00E3023F"/>
    <w:rsid w:val="00E3119E"/>
    <w:rsid w:val="00E32567"/>
    <w:rsid w:val="00E32B3C"/>
    <w:rsid w:val="00E35FE8"/>
    <w:rsid w:val="00E3705A"/>
    <w:rsid w:val="00E37BCB"/>
    <w:rsid w:val="00E410C6"/>
    <w:rsid w:val="00E4166A"/>
    <w:rsid w:val="00E41754"/>
    <w:rsid w:val="00E42584"/>
    <w:rsid w:val="00E42E03"/>
    <w:rsid w:val="00E44E83"/>
    <w:rsid w:val="00E47E6E"/>
    <w:rsid w:val="00E51577"/>
    <w:rsid w:val="00E54971"/>
    <w:rsid w:val="00E54E25"/>
    <w:rsid w:val="00E54F59"/>
    <w:rsid w:val="00E57FD5"/>
    <w:rsid w:val="00E624D0"/>
    <w:rsid w:val="00E63499"/>
    <w:rsid w:val="00E63511"/>
    <w:rsid w:val="00E638D9"/>
    <w:rsid w:val="00E6433E"/>
    <w:rsid w:val="00E65720"/>
    <w:rsid w:val="00E6659F"/>
    <w:rsid w:val="00E67051"/>
    <w:rsid w:val="00E67461"/>
    <w:rsid w:val="00E70567"/>
    <w:rsid w:val="00E71E64"/>
    <w:rsid w:val="00E72D96"/>
    <w:rsid w:val="00E72DF5"/>
    <w:rsid w:val="00E72E01"/>
    <w:rsid w:val="00E7301C"/>
    <w:rsid w:val="00E7557F"/>
    <w:rsid w:val="00E75C67"/>
    <w:rsid w:val="00E76438"/>
    <w:rsid w:val="00E7761F"/>
    <w:rsid w:val="00E80C64"/>
    <w:rsid w:val="00E820BD"/>
    <w:rsid w:val="00E83D9D"/>
    <w:rsid w:val="00E85D37"/>
    <w:rsid w:val="00E86365"/>
    <w:rsid w:val="00E900CF"/>
    <w:rsid w:val="00E90B03"/>
    <w:rsid w:val="00E95355"/>
    <w:rsid w:val="00E95D11"/>
    <w:rsid w:val="00E96392"/>
    <w:rsid w:val="00E964A4"/>
    <w:rsid w:val="00E97DDF"/>
    <w:rsid w:val="00EA07E3"/>
    <w:rsid w:val="00EA0EBD"/>
    <w:rsid w:val="00EA24CF"/>
    <w:rsid w:val="00EA4090"/>
    <w:rsid w:val="00EA685D"/>
    <w:rsid w:val="00EA6D6C"/>
    <w:rsid w:val="00EB08D0"/>
    <w:rsid w:val="00EB1E44"/>
    <w:rsid w:val="00EB2820"/>
    <w:rsid w:val="00EB3A99"/>
    <w:rsid w:val="00EB3D2F"/>
    <w:rsid w:val="00EB3F67"/>
    <w:rsid w:val="00EB47D9"/>
    <w:rsid w:val="00EB7124"/>
    <w:rsid w:val="00EB78B6"/>
    <w:rsid w:val="00EC099E"/>
    <w:rsid w:val="00EC1373"/>
    <w:rsid w:val="00EC17BD"/>
    <w:rsid w:val="00EC1A73"/>
    <w:rsid w:val="00EC5782"/>
    <w:rsid w:val="00EC6765"/>
    <w:rsid w:val="00EC74C3"/>
    <w:rsid w:val="00ED0325"/>
    <w:rsid w:val="00ED059A"/>
    <w:rsid w:val="00ED1298"/>
    <w:rsid w:val="00ED1739"/>
    <w:rsid w:val="00ED17E4"/>
    <w:rsid w:val="00ED2115"/>
    <w:rsid w:val="00ED2C40"/>
    <w:rsid w:val="00ED2DD5"/>
    <w:rsid w:val="00ED3A8A"/>
    <w:rsid w:val="00ED3D1E"/>
    <w:rsid w:val="00ED3DE0"/>
    <w:rsid w:val="00ED657C"/>
    <w:rsid w:val="00ED67BA"/>
    <w:rsid w:val="00EE29C2"/>
    <w:rsid w:val="00EE2CCA"/>
    <w:rsid w:val="00EE3BBB"/>
    <w:rsid w:val="00EE452F"/>
    <w:rsid w:val="00EE4C4B"/>
    <w:rsid w:val="00EE5A84"/>
    <w:rsid w:val="00EE7B4E"/>
    <w:rsid w:val="00EF0486"/>
    <w:rsid w:val="00EF4810"/>
    <w:rsid w:val="00EF4D1F"/>
    <w:rsid w:val="00EF6A51"/>
    <w:rsid w:val="00F028F2"/>
    <w:rsid w:val="00F02D69"/>
    <w:rsid w:val="00F040BC"/>
    <w:rsid w:val="00F06BE4"/>
    <w:rsid w:val="00F07822"/>
    <w:rsid w:val="00F109E9"/>
    <w:rsid w:val="00F112BA"/>
    <w:rsid w:val="00F1187A"/>
    <w:rsid w:val="00F12759"/>
    <w:rsid w:val="00F13389"/>
    <w:rsid w:val="00F14196"/>
    <w:rsid w:val="00F1658B"/>
    <w:rsid w:val="00F17A88"/>
    <w:rsid w:val="00F2492C"/>
    <w:rsid w:val="00F2730D"/>
    <w:rsid w:val="00F27385"/>
    <w:rsid w:val="00F27A23"/>
    <w:rsid w:val="00F30119"/>
    <w:rsid w:val="00F3157E"/>
    <w:rsid w:val="00F32F41"/>
    <w:rsid w:val="00F36A7A"/>
    <w:rsid w:val="00F3797F"/>
    <w:rsid w:val="00F37FCB"/>
    <w:rsid w:val="00F41744"/>
    <w:rsid w:val="00F42C68"/>
    <w:rsid w:val="00F42F9A"/>
    <w:rsid w:val="00F43524"/>
    <w:rsid w:val="00F43B7C"/>
    <w:rsid w:val="00F4483E"/>
    <w:rsid w:val="00F448B5"/>
    <w:rsid w:val="00F464B3"/>
    <w:rsid w:val="00F46E7A"/>
    <w:rsid w:val="00F5016A"/>
    <w:rsid w:val="00F50D47"/>
    <w:rsid w:val="00F52934"/>
    <w:rsid w:val="00F5316D"/>
    <w:rsid w:val="00F5353E"/>
    <w:rsid w:val="00F54CFC"/>
    <w:rsid w:val="00F54E70"/>
    <w:rsid w:val="00F54F41"/>
    <w:rsid w:val="00F55F5B"/>
    <w:rsid w:val="00F56A66"/>
    <w:rsid w:val="00F57B9A"/>
    <w:rsid w:val="00F637C2"/>
    <w:rsid w:val="00F63BC4"/>
    <w:rsid w:val="00F6443A"/>
    <w:rsid w:val="00F7108B"/>
    <w:rsid w:val="00F72CD2"/>
    <w:rsid w:val="00F73F94"/>
    <w:rsid w:val="00F74E8F"/>
    <w:rsid w:val="00F7630A"/>
    <w:rsid w:val="00F765D5"/>
    <w:rsid w:val="00F765E6"/>
    <w:rsid w:val="00F7797B"/>
    <w:rsid w:val="00F81B3F"/>
    <w:rsid w:val="00F83F02"/>
    <w:rsid w:val="00F8403B"/>
    <w:rsid w:val="00F84A46"/>
    <w:rsid w:val="00F85B26"/>
    <w:rsid w:val="00F92277"/>
    <w:rsid w:val="00F93295"/>
    <w:rsid w:val="00F932EB"/>
    <w:rsid w:val="00F96419"/>
    <w:rsid w:val="00F96989"/>
    <w:rsid w:val="00F97DCB"/>
    <w:rsid w:val="00F97DFE"/>
    <w:rsid w:val="00FA239C"/>
    <w:rsid w:val="00FA5CAD"/>
    <w:rsid w:val="00FA5EC6"/>
    <w:rsid w:val="00FA72E3"/>
    <w:rsid w:val="00FA7ABA"/>
    <w:rsid w:val="00FB0969"/>
    <w:rsid w:val="00FB0B51"/>
    <w:rsid w:val="00FB4B9E"/>
    <w:rsid w:val="00FB54FE"/>
    <w:rsid w:val="00FB5F14"/>
    <w:rsid w:val="00FB6D25"/>
    <w:rsid w:val="00FB7FC9"/>
    <w:rsid w:val="00FC0473"/>
    <w:rsid w:val="00FC06F0"/>
    <w:rsid w:val="00FC0883"/>
    <w:rsid w:val="00FC2882"/>
    <w:rsid w:val="00FC2E37"/>
    <w:rsid w:val="00FC3E75"/>
    <w:rsid w:val="00FC3E88"/>
    <w:rsid w:val="00FC44F6"/>
    <w:rsid w:val="00FC73B2"/>
    <w:rsid w:val="00FC7489"/>
    <w:rsid w:val="00FC74FE"/>
    <w:rsid w:val="00FD165C"/>
    <w:rsid w:val="00FD2498"/>
    <w:rsid w:val="00FD2A90"/>
    <w:rsid w:val="00FD33C9"/>
    <w:rsid w:val="00FD5042"/>
    <w:rsid w:val="00FD6FC4"/>
    <w:rsid w:val="00FE051C"/>
    <w:rsid w:val="00FE06E5"/>
    <w:rsid w:val="00FE0E0B"/>
    <w:rsid w:val="00FE1512"/>
    <w:rsid w:val="00FE18AA"/>
    <w:rsid w:val="00FE2240"/>
    <w:rsid w:val="00FE369B"/>
    <w:rsid w:val="00FE3893"/>
    <w:rsid w:val="00FE3F30"/>
    <w:rsid w:val="00FE480B"/>
    <w:rsid w:val="00FE5A38"/>
    <w:rsid w:val="00FE6807"/>
    <w:rsid w:val="00FE78E4"/>
    <w:rsid w:val="00FF0649"/>
    <w:rsid w:val="00FF170C"/>
    <w:rsid w:val="00FF1D00"/>
    <w:rsid w:val="00FF2071"/>
    <w:rsid w:val="00FF29D2"/>
    <w:rsid w:val="00FF2D38"/>
    <w:rsid w:val="00FF3E31"/>
    <w:rsid w:val="00FF64BC"/>
    <w:rsid w:val="00FF6689"/>
    <w:rsid w:val="01064C9A"/>
    <w:rsid w:val="011B0745"/>
    <w:rsid w:val="012E34F5"/>
    <w:rsid w:val="01361389"/>
    <w:rsid w:val="013B2B96"/>
    <w:rsid w:val="013D13DF"/>
    <w:rsid w:val="013E61E2"/>
    <w:rsid w:val="014632E9"/>
    <w:rsid w:val="014B51EF"/>
    <w:rsid w:val="014C6FBA"/>
    <w:rsid w:val="0160084E"/>
    <w:rsid w:val="016025FC"/>
    <w:rsid w:val="01620E31"/>
    <w:rsid w:val="016C0FA1"/>
    <w:rsid w:val="016D6AC7"/>
    <w:rsid w:val="0179546C"/>
    <w:rsid w:val="017B7C2D"/>
    <w:rsid w:val="018320ED"/>
    <w:rsid w:val="019D55FE"/>
    <w:rsid w:val="01A050EF"/>
    <w:rsid w:val="01A6791D"/>
    <w:rsid w:val="01AD5116"/>
    <w:rsid w:val="01B25895"/>
    <w:rsid w:val="01B42948"/>
    <w:rsid w:val="01B77A88"/>
    <w:rsid w:val="01E07299"/>
    <w:rsid w:val="01E70628"/>
    <w:rsid w:val="01EC20E2"/>
    <w:rsid w:val="01FB43BA"/>
    <w:rsid w:val="01FD42EF"/>
    <w:rsid w:val="021E589D"/>
    <w:rsid w:val="02203B3A"/>
    <w:rsid w:val="023A11D8"/>
    <w:rsid w:val="023A4BFB"/>
    <w:rsid w:val="023C11D0"/>
    <w:rsid w:val="0250674E"/>
    <w:rsid w:val="02533F0F"/>
    <w:rsid w:val="025D08EA"/>
    <w:rsid w:val="026077D1"/>
    <w:rsid w:val="02614FC7"/>
    <w:rsid w:val="02647AB9"/>
    <w:rsid w:val="02691984"/>
    <w:rsid w:val="026B1259"/>
    <w:rsid w:val="028642E4"/>
    <w:rsid w:val="02902A6D"/>
    <w:rsid w:val="029417FA"/>
    <w:rsid w:val="0297204E"/>
    <w:rsid w:val="02A602E0"/>
    <w:rsid w:val="02AB3D4B"/>
    <w:rsid w:val="02B01361"/>
    <w:rsid w:val="02B04EBD"/>
    <w:rsid w:val="02C87C96"/>
    <w:rsid w:val="02CE3596"/>
    <w:rsid w:val="02D0416C"/>
    <w:rsid w:val="02E5725D"/>
    <w:rsid w:val="0301396B"/>
    <w:rsid w:val="031A4A2D"/>
    <w:rsid w:val="0321400D"/>
    <w:rsid w:val="03443858"/>
    <w:rsid w:val="03461BE6"/>
    <w:rsid w:val="03575C81"/>
    <w:rsid w:val="03577A2F"/>
    <w:rsid w:val="035D3297"/>
    <w:rsid w:val="03667C72"/>
    <w:rsid w:val="036A59B4"/>
    <w:rsid w:val="03724869"/>
    <w:rsid w:val="03874428"/>
    <w:rsid w:val="03A32C74"/>
    <w:rsid w:val="03A75EC1"/>
    <w:rsid w:val="03AD58A1"/>
    <w:rsid w:val="03AD764F"/>
    <w:rsid w:val="03B64756"/>
    <w:rsid w:val="03E20D73"/>
    <w:rsid w:val="03E365A7"/>
    <w:rsid w:val="040912B9"/>
    <w:rsid w:val="040F70F6"/>
    <w:rsid w:val="04133956"/>
    <w:rsid w:val="04275653"/>
    <w:rsid w:val="042C2C6A"/>
    <w:rsid w:val="04471852"/>
    <w:rsid w:val="044C6E68"/>
    <w:rsid w:val="04605CA3"/>
    <w:rsid w:val="0463554B"/>
    <w:rsid w:val="046B19E4"/>
    <w:rsid w:val="046B3792"/>
    <w:rsid w:val="046E3282"/>
    <w:rsid w:val="04812FB5"/>
    <w:rsid w:val="04842AA6"/>
    <w:rsid w:val="04874344"/>
    <w:rsid w:val="048C0A29"/>
    <w:rsid w:val="048D17D5"/>
    <w:rsid w:val="048E122E"/>
    <w:rsid w:val="048F1A9B"/>
    <w:rsid w:val="04A76FFD"/>
    <w:rsid w:val="04B1068B"/>
    <w:rsid w:val="04B54A0D"/>
    <w:rsid w:val="04C63B63"/>
    <w:rsid w:val="04CB5FDF"/>
    <w:rsid w:val="04D330E5"/>
    <w:rsid w:val="04DD3F64"/>
    <w:rsid w:val="04DD5C70"/>
    <w:rsid w:val="04E25D2E"/>
    <w:rsid w:val="04F12429"/>
    <w:rsid w:val="04F80D9E"/>
    <w:rsid w:val="04FA4B16"/>
    <w:rsid w:val="050B287F"/>
    <w:rsid w:val="05107E95"/>
    <w:rsid w:val="051A14F8"/>
    <w:rsid w:val="05290F57"/>
    <w:rsid w:val="05412745"/>
    <w:rsid w:val="05412CA3"/>
    <w:rsid w:val="0546370B"/>
    <w:rsid w:val="05557F9E"/>
    <w:rsid w:val="05665D07"/>
    <w:rsid w:val="056703FD"/>
    <w:rsid w:val="056A3A4A"/>
    <w:rsid w:val="05776166"/>
    <w:rsid w:val="058A5E9A"/>
    <w:rsid w:val="05900FD6"/>
    <w:rsid w:val="05A607FA"/>
    <w:rsid w:val="05AB3269"/>
    <w:rsid w:val="05AD1B88"/>
    <w:rsid w:val="05CC64B2"/>
    <w:rsid w:val="05D125F4"/>
    <w:rsid w:val="05D254AF"/>
    <w:rsid w:val="05D9217C"/>
    <w:rsid w:val="05EF21A1"/>
    <w:rsid w:val="06085010"/>
    <w:rsid w:val="062067FE"/>
    <w:rsid w:val="06257970"/>
    <w:rsid w:val="062D05D7"/>
    <w:rsid w:val="062F6A41"/>
    <w:rsid w:val="063B53E6"/>
    <w:rsid w:val="063E763C"/>
    <w:rsid w:val="064A1416"/>
    <w:rsid w:val="064F2C3F"/>
    <w:rsid w:val="065B3392"/>
    <w:rsid w:val="06782196"/>
    <w:rsid w:val="06962360"/>
    <w:rsid w:val="069A2616"/>
    <w:rsid w:val="069F5975"/>
    <w:rsid w:val="06A27534"/>
    <w:rsid w:val="06A328BA"/>
    <w:rsid w:val="06B64A6C"/>
    <w:rsid w:val="06CE1801"/>
    <w:rsid w:val="06D66EBD"/>
    <w:rsid w:val="06D952E7"/>
    <w:rsid w:val="06F2699D"/>
    <w:rsid w:val="06FA0DFD"/>
    <w:rsid w:val="07005A0C"/>
    <w:rsid w:val="071E0F8F"/>
    <w:rsid w:val="072365A6"/>
    <w:rsid w:val="07245E7A"/>
    <w:rsid w:val="072E6CF9"/>
    <w:rsid w:val="072F7143"/>
    <w:rsid w:val="07354BF8"/>
    <w:rsid w:val="074B3407"/>
    <w:rsid w:val="0768220B"/>
    <w:rsid w:val="07921036"/>
    <w:rsid w:val="0792741E"/>
    <w:rsid w:val="07930A17"/>
    <w:rsid w:val="079433A3"/>
    <w:rsid w:val="07AA45D1"/>
    <w:rsid w:val="07AC659B"/>
    <w:rsid w:val="07CE0415"/>
    <w:rsid w:val="07EF0236"/>
    <w:rsid w:val="07FF55D5"/>
    <w:rsid w:val="080E209C"/>
    <w:rsid w:val="08115849"/>
    <w:rsid w:val="081303C8"/>
    <w:rsid w:val="082B576F"/>
    <w:rsid w:val="08343985"/>
    <w:rsid w:val="083A0B0E"/>
    <w:rsid w:val="08471E20"/>
    <w:rsid w:val="08485B98"/>
    <w:rsid w:val="085B6E61"/>
    <w:rsid w:val="08626C5A"/>
    <w:rsid w:val="086504F8"/>
    <w:rsid w:val="086C7AD9"/>
    <w:rsid w:val="0883509C"/>
    <w:rsid w:val="089B03BE"/>
    <w:rsid w:val="08B60D54"/>
    <w:rsid w:val="08CE0793"/>
    <w:rsid w:val="08CE7756"/>
    <w:rsid w:val="08D07B67"/>
    <w:rsid w:val="08DD2784"/>
    <w:rsid w:val="08DD4532"/>
    <w:rsid w:val="08FF2EF0"/>
    <w:rsid w:val="09077801"/>
    <w:rsid w:val="09104908"/>
    <w:rsid w:val="0913264A"/>
    <w:rsid w:val="09231825"/>
    <w:rsid w:val="092F2E81"/>
    <w:rsid w:val="09306D58"/>
    <w:rsid w:val="09346111"/>
    <w:rsid w:val="093A3733"/>
    <w:rsid w:val="093E76C7"/>
    <w:rsid w:val="093F0D49"/>
    <w:rsid w:val="09524F20"/>
    <w:rsid w:val="095261C8"/>
    <w:rsid w:val="095600DF"/>
    <w:rsid w:val="095962AF"/>
    <w:rsid w:val="096A04BC"/>
    <w:rsid w:val="09732882"/>
    <w:rsid w:val="097C1F9D"/>
    <w:rsid w:val="0988684E"/>
    <w:rsid w:val="098E0780"/>
    <w:rsid w:val="098F1CD1"/>
    <w:rsid w:val="098F7FAE"/>
    <w:rsid w:val="099472E7"/>
    <w:rsid w:val="09AA4D5C"/>
    <w:rsid w:val="09AB2883"/>
    <w:rsid w:val="09B434E5"/>
    <w:rsid w:val="09C10ECC"/>
    <w:rsid w:val="09C556F2"/>
    <w:rsid w:val="09CD0693"/>
    <w:rsid w:val="09CF6571"/>
    <w:rsid w:val="09D04097"/>
    <w:rsid w:val="09D45935"/>
    <w:rsid w:val="09EF09C1"/>
    <w:rsid w:val="09F45FD8"/>
    <w:rsid w:val="09F558AC"/>
    <w:rsid w:val="09F63AFE"/>
    <w:rsid w:val="0A0F696E"/>
    <w:rsid w:val="0A1246B0"/>
    <w:rsid w:val="0A1B17B6"/>
    <w:rsid w:val="0A1B48A5"/>
    <w:rsid w:val="0A1E3055"/>
    <w:rsid w:val="0A2269D0"/>
    <w:rsid w:val="0A2A0E89"/>
    <w:rsid w:val="0A2A6C56"/>
    <w:rsid w:val="0A3208AE"/>
    <w:rsid w:val="0A402FCB"/>
    <w:rsid w:val="0A4707FD"/>
    <w:rsid w:val="0A481E7F"/>
    <w:rsid w:val="0A56083A"/>
    <w:rsid w:val="0A570314"/>
    <w:rsid w:val="0A6C3DC0"/>
    <w:rsid w:val="0A742C74"/>
    <w:rsid w:val="0A782765"/>
    <w:rsid w:val="0A8530D4"/>
    <w:rsid w:val="0A93759F"/>
    <w:rsid w:val="0A9D041D"/>
    <w:rsid w:val="0AA3355A"/>
    <w:rsid w:val="0AA572D2"/>
    <w:rsid w:val="0ABB532B"/>
    <w:rsid w:val="0AC97CCE"/>
    <w:rsid w:val="0ACB4F8A"/>
    <w:rsid w:val="0AD329BB"/>
    <w:rsid w:val="0AD35BED"/>
    <w:rsid w:val="0AE93662"/>
    <w:rsid w:val="0AF049F1"/>
    <w:rsid w:val="0B0C10FF"/>
    <w:rsid w:val="0B203064"/>
    <w:rsid w:val="0B294C45"/>
    <w:rsid w:val="0B2D0986"/>
    <w:rsid w:val="0B2D79F3"/>
    <w:rsid w:val="0B3B18A0"/>
    <w:rsid w:val="0B417780"/>
    <w:rsid w:val="0B446AEB"/>
    <w:rsid w:val="0B5C1325"/>
    <w:rsid w:val="0B753B34"/>
    <w:rsid w:val="0B7F7B23"/>
    <w:rsid w:val="0B837613"/>
    <w:rsid w:val="0B881247"/>
    <w:rsid w:val="0B926EDF"/>
    <w:rsid w:val="0B9730BE"/>
    <w:rsid w:val="0BAD1753"/>
    <w:rsid w:val="0BAD28E2"/>
    <w:rsid w:val="0BB53545"/>
    <w:rsid w:val="0BB772BD"/>
    <w:rsid w:val="0BC42441"/>
    <w:rsid w:val="0BED7182"/>
    <w:rsid w:val="0BF02472"/>
    <w:rsid w:val="0BFA53FB"/>
    <w:rsid w:val="0C012C2E"/>
    <w:rsid w:val="0C01678A"/>
    <w:rsid w:val="0C0B7609"/>
    <w:rsid w:val="0C0D15D3"/>
    <w:rsid w:val="0C0D512F"/>
    <w:rsid w:val="0C104FD7"/>
    <w:rsid w:val="0C154FD8"/>
    <w:rsid w:val="0C175FAD"/>
    <w:rsid w:val="0C2F32F7"/>
    <w:rsid w:val="0C382491"/>
    <w:rsid w:val="0C3C5A14"/>
    <w:rsid w:val="0C3F7BB0"/>
    <w:rsid w:val="0C692C1B"/>
    <w:rsid w:val="0C6A07D3"/>
    <w:rsid w:val="0C6B7FC5"/>
    <w:rsid w:val="0C6F7B97"/>
    <w:rsid w:val="0C741652"/>
    <w:rsid w:val="0C790A16"/>
    <w:rsid w:val="0C7B653C"/>
    <w:rsid w:val="0C7C3346"/>
    <w:rsid w:val="0C8A1828"/>
    <w:rsid w:val="0CA02447"/>
    <w:rsid w:val="0CAC0DEC"/>
    <w:rsid w:val="0CAC2A5F"/>
    <w:rsid w:val="0CAC2B9A"/>
    <w:rsid w:val="0CAF268A"/>
    <w:rsid w:val="0CBF34A1"/>
    <w:rsid w:val="0CCC4C4B"/>
    <w:rsid w:val="0CCD48BE"/>
    <w:rsid w:val="0CCF6888"/>
    <w:rsid w:val="0CD10852"/>
    <w:rsid w:val="0CEC568C"/>
    <w:rsid w:val="0CF14A50"/>
    <w:rsid w:val="0CF359C5"/>
    <w:rsid w:val="0CFD23D1"/>
    <w:rsid w:val="0CFD33F5"/>
    <w:rsid w:val="0D0B5B12"/>
    <w:rsid w:val="0D1D75F3"/>
    <w:rsid w:val="0D280AFB"/>
    <w:rsid w:val="0D2A7147"/>
    <w:rsid w:val="0D3F3A0E"/>
    <w:rsid w:val="0D436541"/>
    <w:rsid w:val="0D4508F8"/>
    <w:rsid w:val="0D7A4A46"/>
    <w:rsid w:val="0D8B0A01"/>
    <w:rsid w:val="0D907DC5"/>
    <w:rsid w:val="0DA675E9"/>
    <w:rsid w:val="0DB25F8E"/>
    <w:rsid w:val="0DBD2424"/>
    <w:rsid w:val="0DBF2B8C"/>
    <w:rsid w:val="0DC42165"/>
    <w:rsid w:val="0DCB34F3"/>
    <w:rsid w:val="0DDA7292"/>
    <w:rsid w:val="0DDD629D"/>
    <w:rsid w:val="0DE16873"/>
    <w:rsid w:val="0E012A71"/>
    <w:rsid w:val="0E083E00"/>
    <w:rsid w:val="0E1A3B33"/>
    <w:rsid w:val="0E1E7AC7"/>
    <w:rsid w:val="0E2624D8"/>
    <w:rsid w:val="0E2F3A82"/>
    <w:rsid w:val="0E320E7D"/>
    <w:rsid w:val="0E372937"/>
    <w:rsid w:val="0E3958A9"/>
    <w:rsid w:val="0E3B2427"/>
    <w:rsid w:val="0E3C7F4D"/>
    <w:rsid w:val="0E3D1872"/>
    <w:rsid w:val="0E4137B5"/>
    <w:rsid w:val="0E5232CD"/>
    <w:rsid w:val="0E532823"/>
    <w:rsid w:val="0E59465B"/>
    <w:rsid w:val="0E6059EA"/>
    <w:rsid w:val="0E6A2D0C"/>
    <w:rsid w:val="0E6A4ABA"/>
    <w:rsid w:val="0E7C4CA5"/>
    <w:rsid w:val="0E87741A"/>
    <w:rsid w:val="0E930F68"/>
    <w:rsid w:val="0E976A31"/>
    <w:rsid w:val="0EA131D8"/>
    <w:rsid w:val="0EA224A6"/>
    <w:rsid w:val="0EAA3109"/>
    <w:rsid w:val="0EB03BEC"/>
    <w:rsid w:val="0EB9159E"/>
    <w:rsid w:val="0EBE6BB4"/>
    <w:rsid w:val="0ED32660"/>
    <w:rsid w:val="0ED463D8"/>
    <w:rsid w:val="0EE77EB9"/>
    <w:rsid w:val="0EEC1973"/>
    <w:rsid w:val="0F05136D"/>
    <w:rsid w:val="0F3B0205"/>
    <w:rsid w:val="0F3D21CF"/>
    <w:rsid w:val="0F3D3AB4"/>
    <w:rsid w:val="0F3F7CF5"/>
    <w:rsid w:val="0F490B74"/>
    <w:rsid w:val="0F492922"/>
    <w:rsid w:val="0F4C3FDD"/>
    <w:rsid w:val="0F4E1CE6"/>
    <w:rsid w:val="0F5A68DD"/>
    <w:rsid w:val="0F5F0397"/>
    <w:rsid w:val="0F6239E3"/>
    <w:rsid w:val="0F672AED"/>
    <w:rsid w:val="0F6C6610"/>
    <w:rsid w:val="0F8142F7"/>
    <w:rsid w:val="0F856DA0"/>
    <w:rsid w:val="0F8C0A60"/>
    <w:rsid w:val="0F930041"/>
    <w:rsid w:val="0F957915"/>
    <w:rsid w:val="0FB26719"/>
    <w:rsid w:val="0FB81855"/>
    <w:rsid w:val="0FBA381F"/>
    <w:rsid w:val="0FBF0E36"/>
    <w:rsid w:val="0FC63F72"/>
    <w:rsid w:val="0FC65D20"/>
    <w:rsid w:val="0FCC70AF"/>
    <w:rsid w:val="0FCD79AA"/>
    <w:rsid w:val="0FE20255"/>
    <w:rsid w:val="100B7BD7"/>
    <w:rsid w:val="101822F4"/>
    <w:rsid w:val="102672EF"/>
    <w:rsid w:val="103A670E"/>
    <w:rsid w:val="10450C3A"/>
    <w:rsid w:val="104615E0"/>
    <w:rsid w:val="10465E59"/>
    <w:rsid w:val="104B26C9"/>
    <w:rsid w:val="10505F32"/>
    <w:rsid w:val="10584AF1"/>
    <w:rsid w:val="105A4EA8"/>
    <w:rsid w:val="10637A13"/>
    <w:rsid w:val="10705B6A"/>
    <w:rsid w:val="10795489"/>
    <w:rsid w:val="107E2A9F"/>
    <w:rsid w:val="108C7A6C"/>
    <w:rsid w:val="108F2164"/>
    <w:rsid w:val="109202F8"/>
    <w:rsid w:val="10961B97"/>
    <w:rsid w:val="109A0F5B"/>
    <w:rsid w:val="10A11BCB"/>
    <w:rsid w:val="10B95885"/>
    <w:rsid w:val="10C5247C"/>
    <w:rsid w:val="10D64689"/>
    <w:rsid w:val="10DB3A4D"/>
    <w:rsid w:val="10E86862"/>
    <w:rsid w:val="10E96369"/>
    <w:rsid w:val="10F42D61"/>
    <w:rsid w:val="10FE2A09"/>
    <w:rsid w:val="10FE773C"/>
    <w:rsid w:val="1109455C"/>
    <w:rsid w:val="110B2B14"/>
    <w:rsid w:val="1111121D"/>
    <w:rsid w:val="11166833"/>
    <w:rsid w:val="111927C8"/>
    <w:rsid w:val="113118BF"/>
    <w:rsid w:val="113C4D03"/>
    <w:rsid w:val="115C56A6"/>
    <w:rsid w:val="115F7210"/>
    <w:rsid w:val="117143B2"/>
    <w:rsid w:val="11765524"/>
    <w:rsid w:val="117721F1"/>
    <w:rsid w:val="117D4B05"/>
    <w:rsid w:val="11823EC9"/>
    <w:rsid w:val="11847C41"/>
    <w:rsid w:val="11895257"/>
    <w:rsid w:val="1193257A"/>
    <w:rsid w:val="11955D1E"/>
    <w:rsid w:val="11B06C88"/>
    <w:rsid w:val="11B15073"/>
    <w:rsid w:val="11C73FD2"/>
    <w:rsid w:val="11CB3AC2"/>
    <w:rsid w:val="11CE35B2"/>
    <w:rsid w:val="11DC24AA"/>
    <w:rsid w:val="11E46932"/>
    <w:rsid w:val="11E9219A"/>
    <w:rsid w:val="11ED1C8A"/>
    <w:rsid w:val="11F823DD"/>
    <w:rsid w:val="11FA7F03"/>
    <w:rsid w:val="11FC5C3D"/>
    <w:rsid w:val="12081639"/>
    <w:rsid w:val="1211524D"/>
    <w:rsid w:val="12144CC9"/>
    <w:rsid w:val="12154D3D"/>
    <w:rsid w:val="1218482D"/>
    <w:rsid w:val="121A67F7"/>
    <w:rsid w:val="123478B9"/>
    <w:rsid w:val="1246139A"/>
    <w:rsid w:val="125C6E10"/>
    <w:rsid w:val="125D0492"/>
    <w:rsid w:val="12767737"/>
    <w:rsid w:val="12C10A21"/>
    <w:rsid w:val="12C549B5"/>
    <w:rsid w:val="12C56763"/>
    <w:rsid w:val="12D3057E"/>
    <w:rsid w:val="12E5507A"/>
    <w:rsid w:val="12EA7F78"/>
    <w:rsid w:val="12F10CB8"/>
    <w:rsid w:val="12F26E2C"/>
    <w:rsid w:val="12FD248B"/>
    <w:rsid w:val="130D010A"/>
    <w:rsid w:val="131055DD"/>
    <w:rsid w:val="131B2827"/>
    <w:rsid w:val="132316DC"/>
    <w:rsid w:val="1332191F"/>
    <w:rsid w:val="133236CD"/>
    <w:rsid w:val="1336140F"/>
    <w:rsid w:val="1356385F"/>
    <w:rsid w:val="135B70C7"/>
    <w:rsid w:val="13946135"/>
    <w:rsid w:val="139B5716"/>
    <w:rsid w:val="139F22A2"/>
    <w:rsid w:val="13AC56F2"/>
    <w:rsid w:val="13AC7923"/>
    <w:rsid w:val="13BD35E6"/>
    <w:rsid w:val="13C06F2A"/>
    <w:rsid w:val="13C55540"/>
    <w:rsid w:val="13CE7899"/>
    <w:rsid w:val="13D749A0"/>
    <w:rsid w:val="13E97767"/>
    <w:rsid w:val="13EB044B"/>
    <w:rsid w:val="13ED41C3"/>
    <w:rsid w:val="13F27AB4"/>
    <w:rsid w:val="13FD1F2D"/>
    <w:rsid w:val="14121FE2"/>
    <w:rsid w:val="14125FD5"/>
    <w:rsid w:val="1412709D"/>
    <w:rsid w:val="143A0A8B"/>
    <w:rsid w:val="14416EB1"/>
    <w:rsid w:val="14466611"/>
    <w:rsid w:val="144C07BE"/>
    <w:rsid w:val="144D4C62"/>
    <w:rsid w:val="14522278"/>
    <w:rsid w:val="14586719"/>
    <w:rsid w:val="145A3816"/>
    <w:rsid w:val="14627FE2"/>
    <w:rsid w:val="147F0B94"/>
    <w:rsid w:val="14873355"/>
    <w:rsid w:val="14885C9A"/>
    <w:rsid w:val="148F7029"/>
    <w:rsid w:val="149363ED"/>
    <w:rsid w:val="14942891"/>
    <w:rsid w:val="1497412F"/>
    <w:rsid w:val="149C34F4"/>
    <w:rsid w:val="14A16D5C"/>
    <w:rsid w:val="14AB1989"/>
    <w:rsid w:val="14B22D17"/>
    <w:rsid w:val="14B545B5"/>
    <w:rsid w:val="14BB3530"/>
    <w:rsid w:val="14C07769"/>
    <w:rsid w:val="14DE58BA"/>
    <w:rsid w:val="14E17F16"/>
    <w:rsid w:val="14E60C13"/>
    <w:rsid w:val="14ED5333"/>
    <w:rsid w:val="14F11708"/>
    <w:rsid w:val="14F450DE"/>
    <w:rsid w:val="14F52C04"/>
    <w:rsid w:val="150B768C"/>
    <w:rsid w:val="151439D2"/>
    <w:rsid w:val="151F68ED"/>
    <w:rsid w:val="152640AD"/>
    <w:rsid w:val="15415E49"/>
    <w:rsid w:val="154A11A2"/>
    <w:rsid w:val="154F0566"/>
    <w:rsid w:val="15532C0C"/>
    <w:rsid w:val="1557566D"/>
    <w:rsid w:val="15681628"/>
    <w:rsid w:val="15783F61"/>
    <w:rsid w:val="157A5D4B"/>
    <w:rsid w:val="1585667E"/>
    <w:rsid w:val="15897F1C"/>
    <w:rsid w:val="159468C1"/>
    <w:rsid w:val="159B19FD"/>
    <w:rsid w:val="15AE7982"/>
    <w:rsid w:val="15B11221"/>
    <w:rsid w:val="15B36D47"/>
    <w:rsid w:val="15B8610B"/>
    <w:rsid w:val="15B91414"/>
    <w:rsid w:val="15D62A35"/>
    <w:rsid w:val="15E74C42"/>
    <w:rsid w:val="15F5735F"/>
    <w:rsid w:val="15F829AC"/>
    <w:rsid w:val="1604165C"/>
    <w:rsid w:val="1615442F"/>
    <w:rsid w:val="16195C5D"/>
    <w:rsid w:val="161B13E4"/>
    <w:rsid w:val="16223ECC"/>
    <w:rsid w:val="16243949"/>
    <w:rsid w:val="162A266C"/>
    <w:rsid w:val="162C7CB7"/>
    <w:rsid w:val="163830CC"/>
    <w:rsid w:val="16397B92"/>
    <w:rsid w:val="16421E79"/>
    <w:rsid w:val="16461969"/>
    <w:rsid w:val="165B5B0F"/>
    <w:rsid w:val="1660788A"/>
    <w:rsid w:val="166E7112"/>
    <w:rsid w:val="167504A0"/>
    <w:rsid w:val="16885A42"/>
    <w:rsid w:val="168B2846"/>
    <w:rsid w:val="169C7E87"/>
    <w:rsid w:val="169F376F"/>
    <w:rsid w:val="16A36DBB"/>
    <w:rsid w:val="16AC39FC"/>
    <w:rsid w:val="16AD7C3A"/>
    <w:rsid w:val="16B1482B"/>
    <w:rsid w:val="16B26FFE"/>
    <w:rsid w:val="16B40FC8"/>
    <w:rsid w:val="16B54D41"/>
    <w:rsid w:val="16C376EF"/>
    <w:rsid w:val="16CA259A"/>
    <w:rsid w:val="16CB00C0"/>
    <w:rsid w:val="16CB4564"/>
    <w:rsid w:val="16D52AD6"/>
    <w:rsid w:val="16DB7867"/>
    <w:rsid w:val="16DE6045"/>
    <w:rsid w:val="17067369"/>
    <w:rsid w:val="171056A3"/>
    <w:rsid w:val="171750B3"/>
    <w:rsid w:val="17236193"/>
    <w:rsid w:val="174340FA"/>
    <w:rsid w:val="174F2A9F"/>
    <w:rsid w:val="17667DE9"/>
    <w:rsid w:val="1768590F"/>
    <w:rsid w:val="176D1177"/>
    <w:rsid w:val="176F398D"/>
    <w:rsid w:val="176F6C9D"/>
    <w:rsid w:val="17723A53"/>
    <w:rsid w:val="1776610E"/>
    <w:rsid w:val="177B2FEE"/>
    <w:rsid w:val="177B5205"/>
    <w:rsid w:val="177C0784"/>
    <w:rsid w:val="177E3384"/>
    <w:rsid w:val="17837CBB"/>
    <w:rsid w:val="178D35C8"/>
    <w:rsid w:val="178D6E7A"/>
    <w:rsid w:val="178F10EE"/>
    <w:rsid w:val="17BD20FF"/>
    <w:rsid w:val="17C92852"/>
    <w:rsid w:val="17CA481C"/>
    <w:rsid w:val="17D17958"/>
    <w:rsid w:val="17DB2585"/>
    <w:rsid w:val="17E07B9B"/>
    <w:rsid w:val="17E45254"/>
    <w:rsid w:val="17EF174E"/>
    <w:rsid w:val="17EF6030"/>
    <w:rsid w:val="17F35B20"/>
    <w:rsid w:val="17F92A0B"/>
    <w:rsid w:val="17FB49D5"/>
    <w:rsid w:val="1800023D"/>
    <w:rsid w:val="18015F20"/>
    <w:rsid w:val="180970F2"/>
    <w:rsid w:val="180E295A"/>
    <w:rsid w:val="1811129D"/>
    <w:rsid w:val="181635BD"/>
    <w:rsid w:val="181B0BD3"/>
    <w:rsid w:val="182201B4"/>
    <w:rsid w:val="18277578"/>
    <w:rsid w:val="18420856"/>
    <w:rsid w:val="184E71FB"/>
    <w:rsid w:val="18506ACF"/>
    <w:rsid w:val="18523F58"/>
    <w:rsid w:val="187C5B16"/>
    <w:rsid w:val="18846779"/>
    <w:rsid w:val="18952734"/>
    <w:rsid w:val="18B2778A"/>
    <w:rsid w:val="18C82B09"/>
    <w:rsid w:val="18DF3DEA"/>
    <w:rsid w:val="18E436BB"/>
    <w:rsid w:val="18F306E1"/>
    <w:rsid w:val="18F338FE"/>
    <w:rsid w:val="18F51424"/>
    <w:rsid w:val="18F558C8"/>
    <w:rsid w:val="18FF04F5"/>
    <w:rsid w:val="190653E0"/>
    <w:rsid w:val="19120228"/>
    <w:rsid w:val="191F64A1"/>
    <w:rsid w:val="192579BC"/>
    <w:rsid w:val="193F08F1"/>
    <w:rsid w:val="19445F08"/>
    <w:rsid w:val="194B1275"/>
    <w:rsid w:val="194B373A"/>
    <w:rsid w:val="194D74B2"/>
    <w:rsid w:val="19593CDE"/>
    <w:rsid w:val="195A0529"/>
    <w:rsid w:val="196842EC"/>
    <w:rsid w:val="198527A8"/>
    <w:rsid w:val="198804EA"/>
    <w:rsid w:val="1988673C"/>
    <w:rsid w:val="199B6470"/>
    <w:rsid w:val="19A075E2"/>
    <w:rsid w:val="19B60BB4"/>
    <w:rsid w:val="19B968F6"/>
    <w:rsid w:val="19C05ED6"/>
    <w:rsid w:val="19C07C84"/>
    <w:rsid w:val="19CA0467"/>
    <w:rsid w:val="19D35C0A"/>
    <w:rsid w:val="19DF45AE"/>
    <w:rsid w:val="19EA6AAF"/>
    <w:rsid w:val="19EC0A79"/>
    <w:rsid w:val="19F4792E"/>
    <w:rsid w:val="19F618F8"/>
    <w:rsid w:val="19FC63DB"/>
    <w:rsid w:val="1A02204B"/>
    <w:rsid w:val="1A0B7828"/>
    <w:rsid w:val="1A0F4768"/>
    <w:rsid w:val="1A120A1C"/>
    <w:rsid w:val="1A1431A9"/>
    <w:rsid w:val="1A1D50D7"/>
    <w:rsid w:val="1A273773"/>
    <w:rsid w:val="1A2A3350"/>
    <w:rsid w:val="1A366198"/>
    <w:rsid w:val="1A3A4EC6"/>
    <w:rsid w:val="1A501008"/>
    <w:rsid w:val="1A5ECC39"/>
    <w:rsid w:val="1A644AB4"/>
    <w:rsid w:val="1A734CF7"/>
    <w:rsid w:val="1A951111"/>
    <w:rsid w:val="1A972494"/>
    <w:rsid w:val="1A9A0F56"/>
    <w:rsid w:val="1AA2738A"/>
    <w:rsid w:val="1AB71087"/>
    <w:rsid w:val="1AB8095B"/>
    <w:rsid w:val="1AC8208F"/>
    <w:rsid w:val="1AF23E6D"/>
    <w:rsid w:val="1AF71484"/>
    <w:rsid w:val="1AF8344E"/>
    <w:rsid w:val="1B063846"/>
    <w:rsid w:val="1B351FAC"/>
    <w:rsid w:val="1B410951"/>
    <w:rsid w:val="1B430B6D"/>
    <w:rsid w:val="1B487F31"/>
    <w:rsid w:val="1B4D5548"/>
    <w:rsid w:val="1B6B3C20"/>
    <w:rsid w:val="1B75638B"/>
    <w:rsid w:val="1B8278A4"/>
    <w:rsid w:val="1B844731"/>
    <w:rsid w:val="1B860A5A"/>
    <w:rsid w:val="1B8A054A"/>
    <w:rsid w:val="1B943177"/>
    <w:rsid w:val="1B944F25"/>
    <w:rsid w:val="1BAC3B76"/>
    <w:rsid w:val="1BAF7FB0"/>
    <w:rsid w:val="1BBB4BA7"/>
    <w:rsid w:val="1BD17F27"/>
    <w:rsid w:val="1BD25A4D"/>
    <w:rsid w:val="1BD61A61"/>
    <w:rsid w:val="1BD9502D"/>
    <w:rsid w:val="1BD9519A"/>
    <w:rsid w:val="1BE7774A"/>
    <w:rsid w:val="1BE94940"/>
    <w:rsid w:val="1BEC6B0F"/>
    <w:rsid w:val="1BEE6D2B"/>
    <w:rsid w:val="1C006A5E"/>
    <w:rsid w:val="1C072BC1"/>
    <w:rsid w:val="1C077DEC"/>
    <w:rsid w:val="1C177904"/>
    <w:rsid w:val="1C1918CE"/>
    <w:rsid w:val="1C2362A8"/>
    <w:rsid w:val="1C39168D"/>
    <w:rsid w:val="1C3B7A96"/>
    <w:rsid w:val="1C6A2129"/>
    <w:rsid w:val="1C6E062E"/>
    <w:rsid w:val="1C6E7E6B"/>
    <w:rsid w:val="1C896A53"/>
    <w:rsid w:val="1C901B90"/>
    <w:rsid w:val="1CAE0268"/>
    <w:rsid w:val="1CB6536F"/>
    <w:rsid w:val="1CB87339"/>
    <w:rsid w:val="1CC651D8"/>
    <w:rsid w:val="1CD001DE"/>
    <w:rsid w:val="1CDA2E0B"/>
    <w:rsid w:val="1CDF6D93"/>
    <w:rsid w:val="1CE360D9"/>
    <w:rsid w:val="1CE41EDC"/>
    <w:rsid w:val="1CF2284B"/>
    <w:rsid w:val="1CF57C45"/>
    <w:rsid w:val="1CF87735"/>
    <w:rsid w:val="1CF93072"/>
    <w:rsid w:val="1D0600A4"/>
    <w:rsid w:val="1D13456F"/>
    <w:rsid w:val="1D1A76AB"/>
    <w:rsid w:val="1D24677C"/>
    <w:rsid w:val="1D2A7604"/>
    <w:rsid w:val="1D2C0BD2"/>
    <w:rsid w:val="1D2D1651"/>
    <w:rsid w:val="1D2D5631"/>
    <w:rsid w:val="1D31712B"/>
    <w:rsid w:val="1D3249F5"/>
    <w:rsid w:val="1D385D84"/>
    <w:rsid w:val="1D3A1AFC"/>
    <w:rsid w:val="1D464944"/>
    <w:rsid w:val="1D5A219E"/>
    <w:rsid w:val="1D6116B8"/>
    <w:rsid w:val="1D6152DA"/>
    <w:rsid w:val="1D661893"/>
    <w:rsid w:val="1D682B0D"/>
    <w:rsid w:val="1D6E15AF"/>
    <w:rsid w:val="1D76522A"/>
    <w:rsid w:val="1D772CDB"/>
    <w:rsid w:val="1D8B040A"/>
    <w:rsid w:val="1D9F40CF"/>
    <w:rsid w:val="1DAB1CCD"/>
    <w:rsid w:val="1DB0172A"/>
    <w:rsid w:val="1DB765E6"/>
    <w:rsid w:val="1DBC4C07"/>
    <w:rsid w:val="1DBE272D"/>
    <w:rsid w:val="1DCF5BB5"/>
    <w:rsid w:val="1DD30B53"/>
    <w:rsid w:val="1DD71A40"/>
    <w:rsid w:val="1DD9556F"/>
    <w:rsid w:val="1DEC54EC"/>
    <w:rsid w:val="1DED6B6E"/>
    <w:rsid w:val="1DF223D6"/>
    <w:rsid w:val="1DF27458"/>
    <w:rsid w:val="1E000E36"/>
    <w:rsid w:val="1E0B5246"/>
    <w:rsid w:val="1E205195"/>
    <w:rsid w:val="1E234C86"/>
    <w:rsid w:val="1E2E2693"/>
    <w:rsid w:val="1E312B23"/>
    <w:rsid w:val="1E34479D"/>
    <w:rsid w:val="1E4057D3"/>
    <w:rsid w:val="1E5E6D25"/>
    <w:rsid w:val="1E64219C"/>
    <w:rsid w:val="1E65704C"/>
    <w:rsid w:val="1E6C03DB"/>
    <w:rsid w:val="1E6C3F37"/>
    <w:rsid w:val="1E786D7F"/>
    <w:rsid w:val="1E805C34"/>
    <w:rsid w:val="1E851F92"/>
    <w:rsid w:val="1E892D3B"/>
    <w:rsid w:val="1E8C6387"/>
    <w:rsid w:val="1E8F46BC"/>
    <w:rsid w:val="1E90231B"/>
    <w:rsid w:val="1E905301"/>
    <w:rsid w:val="1EA307B4"/>
    <w:rsid w:val="1EA9518B"/>
    <w:rsid w:val="1EAB0F03"/>
    <w:rsid w:val="1EAC4C7B"/>
    <w:rsid w:val="1EB07B5B"/>
    <w:rsid w:val="1EB458DE"/>
    <w:rsid w:val="1ECD748C"/>
    <w:rsid w:val="1ED16490"/>
    <w:rsid w:val="1ED434B6"/>
    <w:rsid w:val="1ED85A70"/>
    <w:rsid w:val="1EF108E0"/>
    <w:rsid w:val="1EF1268E"/>
    <w:rsid w:val="1EF5217E"/>
    <w:rsid w:val="1EF67CA4"/>
    <w:rsid w:val="1F0E4FEE"/>
    <w:rsid w:val="1F204D21"/>
    <w:rsid w:val="1F38650F"/>
    <w:rsid w:val="1F4924CA"/>
    <w:rsid w:val="1F4E3F72"/>
    <w:rsid w:val="1F501AAA"/>
    <w:rsid w:val="1F564138"/>
    <w:rsid w:val="1F574BE7"/>
    <w:rsid w:val="1F58270D"/>
    <w:rsid w:val="1F5F5B66"/>
    <w:rsid w:val="1F625038"/>
    <w:rsid w:val="1F634E53"/>
    <w:rsid w:val="1F6C37C4"/>
    <w:rsid w:val="1F763AE9"/>
    <w:rsid w:val="1F785344"/>
    <w:rsid w:val="1F7A6B27"/>
    <w:rsid w:val="1F874145"/>
    <w:rsid w:val="1F8A4FBC"/>
    <w:rsid w:val="1F8D685B"/>
    <w:rsid w:val="1F9939FA"/>
    <w:rsid w:val="1F9B7088"/>
    <w:rsid w:val="1FB0285C"/>
    <w:rsid w:val="1FB060A5"/>
    <w:rsid w:val="1FB42039"/>
    <w:rsid w:val="1FC63B1B"/>
    <w:rsid w:val="1FC76E81"/>
    <w:rsid w:val="1FEA0867"/>
    <w:rsid w:val="1FEA15B7"/>
    <w:rsid w:val="1FEA5A5B"/>
    <w:rsid w:val="1FEF6BCD"/>
    <w:rsid w:val="1FEFF03E"/>
    <w:rsid w:val="1FF02946"/>
    <w:rsid w:val="1FF468DA"/>
    <w:rsid w:val="1FF64400"/>
    <w:rsid w:val="1FF93EF0"/>
    <w:rsid w:val="1FFC12EA"/>
    <w:rsid w:val="20016901"/>
    <w:rsid w:val="20176124"/>
    <w:rsid w:val="2020322B"/>
    <w:rsid w:val="20346CD6"/>
    <w:rsid w:val="20401B1F"/>
    <w:rsid w:val="204038CD"/>
    <w:rsid w:val="205572B9"/>
    <w:rsid w:val="205B4263"/>
    <w:rsid w:val="20654DD2"/>
    <w:rsid w:val="20690EF3"/>
    <w:rsid w:val="20735A50"/>
    <w:rsid w:val="20796DDF"/>
    <w:rsid w:val="20833120"/>
    <w:rsid w:val="208C40B0"/>
    <w:rsid w:val="209854B7"/>
    <w:rsid w:val="20A13949"/>
    <w:rsid w:val="20A756FA"/>
    <w:rsid w:val="20AD0837"/>
    <w:rsid w:val="20C067BC"/>
    <w:rsid w:val="20D24AD1"/>
    <w:rsid w:val="20D52267"/>
    <w:rsid w:val="20D83B05"/>
    <w:rsid w:val="20E02454"/>
    <w:rsid w:val="20E57FD0"/>
    <w:rsid w:val="20F12E19"/>
    <w:rsid w:val="20F14BC7"/>
    <w:rsid w:val="20F36B91"/>
    <w:rsid w:val="20F52909"/>
    <w:rsid w:val="20FF36F0"/>
    <w:rsid w:val="20FF5536"/>
    <w:rsid w:val="21050F62"/>
    <w:rsid w:val="210C6958"/>
    <w:rsid w:val="21110DC5"/>
    <w:rsid w:val="211B1C44"/>
    <w:rsid w:val="21262AC3"/>
    <w:rsid w:val="21283700"/>
    <w:rsid w:val="214116AB"/>
    <w:rsid w:val="216655B5"/>
    <w:rsid w:val="216E446A"/>
    <w:rsid w:val="21724815"/>
    <w:rsid w:val="21747CD2"/>
    <w:rsid w:val="21865751"/>
    <w:rsid w:val="218A5869"/>
    <w:rsid w:val="218E2416"/>
    <w:rsid w:val="2195103F"/>
    <w:rsid w:val="2197576F"/>
    <w:rsid w:val="21983295"/>
    <w:rsid w:val="21A659B2"/>
    <w:rsid w:val="21B373BE"/>
    <w:rsid w:val="21BE2CFB"/>
    <w:rsid w:val="21C354DC"/>
    <w:rsid w:val="21D64592"/>
    <w:rsid w:val="21DA565B"/>
    <w:rsid w:val="21E309B4"/>
    <w:rsid w:val="21E97547"/>
    <w:rsid w:val="22063F01"/>
    <w:rsid w:val="22076818"/>
    <w:rsid w:val="220B7F0B"/>
    <w:rsid w:val="221151E0"/>
    <w:rsid w:val="22160D89"/>
    <w:rsid w:val="2217065D"/>
    <w:rsid w:val="2217240B"/>
    <w:rsid w:val="22222B04"/>
    <w:rsid w:val="22277A41"/>
    <w:rsid w:val="22295C85"/>
    <w:rsid w:val="222E4EA5"/>
    <w:rsid w:val="223E208E"/>
    <w:rsid w:val="22460F43"/>
    <w:rsid w:val="225D6BA6"/>
    <w:rsid w:val="22910410"/>
    <w:rsid w:val="2291491A"/>
    <w:rsid w:val="22A46395"/>
    <w:rsid w:val="22C83F56"/>
    <w:rsid w:val="22E04EF3"/>
    <w:rsid w:val="22FE1292"/>
    <w:rsid w:val="22FE46E2"/>
    <w:rsid w:val="230B6414"/>
    <w:rsid w:val="230C0C10"/>
    <w:rsid w:val="23113150"/>
    <w:rsid w:val="23172040"/>
    <w:rsid w:val="231774AE"/>
    <w:rsid w:val="231B417D"/>
    <w:rsid w:val="231D59F7"/>
    <w:rsid w:val="232716AD"/>
    <w:rsid w:val="23294AEC"/>
    <w:rsid w:val="232A00F1"/>
    <w:rsid w:val="23307672"/>
    <w:rsid w:val="23337719"/>
    <w:rsid w:val="23452FA8"/>
    <w:rsid w:val="234D7347"/>
    <w:rsid w:val="23567486"/>
    <w:rsid w:val="235F406A"/>
    <w:rsid w:val="2366190C"/>
    <w:rsid w:val="23675615"/>
    <w:rsid w:val="236B2A0F"/>
    <w:rsid w:val="23776BF1"/>
    <w:rsid w:val="237D0994"/>
    <w:rsid w:val="237F64BA"/>
    <w:rsid w:val="23847F75"/>
    <w:rsid w:val="239006C7"/>
    <w:rsid w:val="2391082F"/>
    <w:rsid w:val="239B0E1A"/>
    <w:rsid w:val="23A81EB5"/>
    <w:rsid w:val="23B62A82"/>
    <w:rsid w:val="23B819CC"/>
    <w:rsid w:val="23BA1BE8"/>
    <w:rsid w:val="23D762F6"/>
    <w:rsid w:val="23DF164F"/>
    <w:rsid w:val="23FC3FAF"/>
    <w:rsid w:val="23FC5D5D"/>
    <w:rsid w:val="24107A5A"/>
    <w:rsid w:val="24125580"/>
    <w:rsid w:val="241A4435"/>
    <w:rsid w:val="241B5F4A"/>
    <w:rsid w:val="241F760F"/>
    <w:rsid w:val="242B03F0"/>
    <w:rsid w:val="243454F7"/>
    <w:rsid w:val="243674C1"/>
    <w:rsid w:val="24392B0D"/>
    <w:rsid w:val="246247E3"/>
    <w:rsid w:val="246851A0"/>
    <w:rsid w:val="246A53BC"/>
    <w:rsid w:val="246D0A09"/>
    <w:rsid w:val="247955FF"/>
    <w:rsid w:val="247B1632"/>
    <w:rsid w:val="2480698E"/>
    <w:rsid w:val="24812713"/>
    <w:rsid w:val="24A361D8"/>
    <w:rsid w:val="24AA3DEA"/>
    <w:rsid w:val="24B109F1"/>
    <w:rsid w:val="24B77ED6"/>
    <w:rsid w:val="24C0322E"/>
    <w:rsid w:val="24E06173"/>
    <w:rsid w:val="24E422B9"/>
    <w:rsid w:val="24F006A4"/>
    <w:rsid w:val="24F37160"/>
    <w:rsid w:val="24FD1D8D"/>
    <w:rsid w:val="24FE78B3"/>
    <w:rsid w:val="250C7D47"/>
    <w:rsid w:val="250F386E"/>
    <w:rsid w:val="251B0465"/>
    <w:rsid w:val="251F79D4"/>
    <w:rsid w:val="25237319"/>
    <w:rsid w:val="25282076"/>
    <w:rsid w:val="252860E2"/>
    <w:rsid w:val="252F5CBE"/>
    <w:rsid w:val="255F2A47"/>
    <w:rsid w:val="256718FC"/>
    <w:rsid w:val="256F5821"/>
    <w:rsid w:val="25716B2A"/>
    <w:rsid w:val="25783B09"/>
    <w:rsid w:val="25787665"/>
    <w:rsid w:val="2593624D"/>
    <w:rsid w:val="259721E1"/>
    <w:rsid w:val="25A638FA"/>
    <w:rsid w:val="25B738EE"/>
    <w:rsid w:val="25C15D57"/>
    <w:rsid w:val="25C24D84"/>
    <w:rsid w:val="25C91C6F"/>
    <w:rsid w:val="25CB3C39"/>
    <w:rsid w:val="25CB59E7"/>
    <w:rsid w:val="25D16D75"/>
    <w:rsid w:val="25E22D30"/>
    <w:rsid w:val="25E77A72"/>
    <w:rsid w:val="25F211C5"/>
    <w:rsid w:val="25F3318F"/>
    <w:rsid w:val="25FF1B34"/>
    <w:rsid w:val="25FF38E2"/>
    <w:rsid w:val="26040EF9"/>
    <w:rsid w:val="26094761"/>
    <w:rsid w:val="2613738E"/>
    <w:rsid w:val="262275D1"/>
    <w:rsid w:val="263F461C"/>
    <w:rsid w:val="2641214D"/>
    <w:rsid w:val="2652167D"/>
    <w:rsid w:val="265579A6"/>
    <w:rsid w:val="2657371E"/>
    <w:rsid w:val="26630315"/>
    <w:rsid w:val="266B71CA"/>
    <w:rsid w:val="26722306"/>
    <w:rsid w:val="26804A23"/>
    <w:rsid w:val="2685203A"/>
    <w:rsid w:val="26867B60"/>
    <w:rsid w:val="2689308B"/>
    <w:rsid w:val="268D7F1A"/>
    <w:rsid w:val="26976211"/>
    <w:rsid w:val="26A46375"/>
    <w:rsid w:val="26A61FB0"/>
    <w:rsid w:val="26A8437A"/>
    <w:rsid w:val="26B24DF9"/>
    <w:rsid w:val="26B7240F"/>
    <w:rsid w:val="26BD5C77"/>
    <w:rsid w:val="26C54B2C"/>
    <w:rsid w:val="26C568DA"/>
    <w:rsid w:val="26C724D6"/>
    <w:rsid w:val="26CD39E1"/>
    <w:rsid w:val="26D7660D"/>
    <w:rsid w:val="26DB7EAB"/>
    <w:rsid w:val="26E2748C"/>
    <w:rsid w:val="26F43170"/>
    <w:rsid w:val="26FB22FC"/>
    <w:rsid w:val="271B7E29"/>
    <w:rsid w:val="271D04C7"/>
    <w:rsid w:val="27207FB4"/>
    <w:rsid w:val="27221F7E"/>
    <w:rsid w:val="27247AA4"/>
    <w:rsid w:val="272555CB"/>
    <w:rsid w:val="272730F1"/>
    <w:rsid w:val="272D447F"/>
    <w:rsid w:val="272F1FA5"/>
    <w:rsid w:val="2746618D"/>
    <w:rsid w:val="27483067"/>
    <w:rsid w:val="27541A0C"/>
    <w:rsid w:val="275B2D9A"/>
    <w:rsid w:val="276115AA"/>
    <w:rsid w:val="27653C19"/>
    <w:rsid w:val="27914A0E"/>
    <w:rsid w:val="279754BD"/>
    <w:rsid w:val="279B588D"/>
    <w:rsid w:val="27A6670B"/>
    <w:rsid w:val="27B4439C"/>
    <w:rsid w:val="27CE17BE"/>
    <w:rsid w:val="27CE7A10"/>
    <w:rsid w:val="27D25752"/>
    <w:rsid w:val="27E532D7"/>
    <w:rsid w:val="280253D0"/>
    <w:rsid w:val="28090A48"/>
    <w:rsid w:val="280D070B"/>
    <w:rsid w:val="280D0773"/>
    <w:rsid w:val="281C2EBD"/>
    <w:rsid w:val="282723FE"/>
    <w:rsid w:val="28285372"/>
    <w:rsid w:val="28377363"/>
    <w:rsid w:val="283F446A"/>
    <w:rsid w:val="28537F15"/>
    <w:rsid w:val="28550131"/>
    <w:rsid w:val="2858552C"/>
    <w:rsid w:val="2862422F"/>
    <w:rsid w:val="28642123"/>
    <w:rsid w:val="286923D0"/>
    <w:rsid w:val="286E3660"/>
    <w:rsid w:val="286F3CE6"/>
    <w:rsid w:val="28700AC7"/>
    <w:rsid w:val="28751640"/>
    <w:rsid w:val="2881331F"/>
    <w:rsid w:val="28846321"/>
    <w:rsid w:val="288602EB"/>
    <w:rsid w:val="28875740"/>
    <w:rsid w:val="28926C90"/>
    <w:rsid w:val="2897576D"/>
    <w:rsid w:val="28A318B1"/>
    <w:rsid w:val="28A40771"/>
    <w:rsid w:val="28AC2239"/>
    <w:rsid w:val="28AD1821"/>
    <w:rsid w:val="28BB61E6"/>
    <w:rsid w:val="28C3509B"/>
    <w:rsid w:val="28C9029D"/>
    <w:rsid w:val="28D15422"/>
    <w:rsid w:val="28DC0900"/>
    <w:rsid w:val="28DF17A9"/>
    <w:rsid w:val="28EB3EAD"/>
    <w:rsid w:val="28EC7F84"/>
    <w:rsid w:val="28F8168C"/>
    <w:rsid w:val="28FB65E3"/>
    <w:rsid w:val="290C6A42"/>
    <w:rsid w:val="29111B8C"/>
    <w:rsid w:val="291122AA"/>
    <w:rsid w:val="29211DC2"/>
    <w:rsid w:val="292F44DF"/>
    <w:rsid w:val="29310257"/>
    <w:rsid w:val="2939535D"/>
    <w:rsid w:val="29476FB2"/>
    <w:rsid w:val="294837F2"/>
    <w:rsid w:val="294E705B"/>
    <w:rsid w:val="29514455"/>
    <w:rsid w:val="29534671"/>
    <w:rsid w:val="296C5733"/>
    <w:rsid w:val="297445E7"/>
    <w:rsid w:val="297E7214"/>
    <w:rsid w:val="298E56A9"/>
    <w:rsid w:val="299507E6"/>
    <w:rsid w:val="29A053DC"/>
    <w:rsid w:val="29DC3786"/>
    <w:rsid w:val="29E11C7D"/>
    <w:rsid w:val="29F32C1A"/>
    <w:rsid w:val="29FA689B"/>
    <w:rsid w:val="29FB7994"/>
    <w:rsid w:val="2A0762A7"/>
    <w:rsid w:val="2A094181"/>
    <w:rsid w:val="2A1A518F"/>
    <w:rsid w:val="2A1F09F7"/>
    <w:rsid w:val="2A363B85"/>
    <w:rsid w:val="2A495A74"/>
    <w:rsid w:val="2A612DBE"/>
    <w:rsid w:val="2A6308E4"/>
    <w:rsid w:val="2A6C52BE"/>
    <w:rsid w:val="2A7A5C2D"/>
    <w:rsid w:val="2A7F1496"/>
    <w:rsid w:val="2A7F4FF2"/>
    <w:rsid w:val="2A841EDB"/>
    <w:rsid w:val="2A872F7E"/>
    <w:rsid w:val="2A88659C"/>
    <w:rsid w:val="2A950CB9"/>
    <w:rsid w:val="2A9A62D0"/>
    <w:rsid w:val="2AA131BA"/>
    <w:rsid w:val="2AB34FD4"/>
    <w:rsid w:val="2AB96756"/>
    <w:rsid w:val="2ABF7AE4"/>
    <w:rsid w:val="2AD96DF8"/>
    <w:rsid w:val="2B0025D7"/>
    <w:rsid w:val="2B1D43BA"/>
    <w:rsid w:val="2B204A27"/>
    <w:rsid w:val="2B22254D"/>
    <w:rsid w:val="2B25360D"/>
    <w:rsid w:val="2B2A31B0"/>
    <w:rsid w:val="2B2C517A"/>
    <w:rsid w:val="2B395AE8"/>
    <w:rsid w:val="2B634913"/>
    <w:rsid w:val="2B6B08B1"/>
    <w:rsid w:val="2B724B56"/>
    <w:rsid w:val="2B732DA8"/>
    <w:rsid w:val="2B8A1EA0"/>
    <w:rsid w:val="2B9D1BD3"/>
    <w:rsid w:val="2BA707AB"/>
    <w:rsid w:val="2BA7709E"/>
    <w:rsid w:val="2BB26CDA"/>
    <w:rsid w:val="2BBF6DF7"/>
    <w:rsid w:val="2BC37160"/>
    <w:rsid w:val="2BC52ED8"/>
    <w:rsid w:val="2BCC4267"/>
    <w:rsid w:val="2BCF3D57"/>
    <w:rsid w:val="2BD001FB"/>
    <w:rsid w:val="2BD02F1E"/>
    <w:rsid w:val="2BE21CDC"/>
    <w:rsid w:val="2BEA2811"/>
    <w:rsid w:val="2BF13CCD"/>
    <w:rsid w:val="2BF9025C"/>
    <w:rsid w:val="2C0B1233"/>
    <w:rsid w:val="2C0B1848"/>
    <w:rsid w:val="2C153E60"/>
    <w:rsid w:val="2C2063A3"/>
    <w:rsid w:val="2C22032B"/>
    <w:rsid w:val="2C267E1B"/>
    <w:rsid w:val="2C471F68"/>
    <w:rsid w:val="2C4B5AD3"/>
    <w:rsid w:val="2C4D6197"/>
    <w:rsid w:val="2C5D1363"/>
    <w:rsid w:val="2C5F3D95"/>
    <w:rsid w:val="2C6170A5"/>
    <w:rsid w:val="2C631178"/>
    <w:rsid w:val="2C6721E1"/>
    <w:rsid w:val="2C772424"/>
    <w:rsid w:val="2C9A4365"/>
    <w:rsid w:val="2CA174A1"/>
    <w:rsid w:val="2CA64AB8"/>
    <w:rsid w:val="2CA86A82"/>
    <w:rsid w:val="2CC13FE9"/>
    <w:rsid w:val="2CCD473A"/>
    <w:rsid w:val="2CE43832"/>
    <w:rsid w:val="2CF32C1B"/>
    <w:rsid w:val="2D144117"/>
    <w:rsid w:val="2D1B54A6"/>
    <w:rsid w:val="2D20628D"/>
    <w:rsid w:val="2D2C76B3"/>
    <w:rsid w:val="2D3C36D5"/>
    <w:rsid w:val="2D4349FC"/>
    <w:rsid w:val="2D46629B"/>
    <w:rsid w:val="2D4B1F8E"/>
    <w:rsid w:val="2D542766"/>
    <w:rsid w:val="2D5664DE"/>
    <w:rsid w:val="2D597D7C"/>
    <w:rsid w:val="2D6A05F9"/>
    <w:rsid w:val="2D746964"/>
    <w:rsid w:val="2D80355B"/>
    <w:rsid w:val="2D847478"/>
    <w:rsid w:val="2D882190"/>
    <w:rsid w:val="2D8A79AB"/>
    <w:rsid w:val="2D947006"/>
    <w:rsid w:val="2D94722D"/>
    <w:rsid w:val="2DA74F8B"/>
    <w:rsid w:val="2DAF3E40"/>
    <w:rsid w:val="2DB93228"/>
    <w:rsid w:val="2DBE4083"/>
    <w:rsid w:val="2DC53663"/>
    <w:rsid w:val="2DC7118A"/>
    <w:rsid w:val="2DD1536A"/>
    <w:rsid w:val="2DE7182C"/>
    <w:rsid w:val="2DE83304"/>
    <w:rsid w:val="2E0832BB"/>
    <w:rsid w:val="2E100D83"/>
    <w:rsid w:val="2E1A3538"/>
    <w:rsid w:val="2E2760CC"/>
    <w:rsid w:val="2E2C16B4"/>
    <w:rsid w:val="2E3031D3"/>
    <w:rsid w:val="2E310CF9"/>
    <w:rsid w:val="2E312AA7"/>
    <w:rsid w:val="2E334A71"/>
    <w:rsid w:val="2E3A195C"/>
    <w:rsid w:val="2E431003"/>
    <w:rsid w:val="2E456552"/>
    <w:rsid w:val="2E5D3BF1"/>
    <w:rsid w:val="2E5F7614"/>
    <w:rsid w:val="2E642E7C"/>
    <w:rsid w:val="2E690493"/>
    <w:rsid w:val="2E7A04EE"/>
    <w:rsid w:val="2E861045"/>
    <w:rsid w:val="2E9A064C"/>
    <w:rsid w:val="2E9B6FA0"/>
    <w:rsid w:val="2EAC037F"/>
    <w:rsid w:val="2ECC0653"/>
    <w:rsid w:val="2EDC2BC1"/>
    <w:rsid w:val="2EE46C9D"/>
    <w:rsid w:val="2EF51D26"/>
    <w:rsid w:val="2EFC1307"/>
    <w:rsid w:val="2EFF7EA8"/>
    <w:rsid w:val="2F0D7070"/>
    <w:rsid w:val="2F261AF6"/>
    <w:rsid w:val="2F2B399A"/>
    <w:rsid w:val="2F3445FD"/>
    <w:rsid w:val="2F391C13"/>
    <w:rsid w:val="2F3B1DEA"/>
    <w:rsid w:val="2F3B5727"/>
    <w:rsid w:val="2F436F36"/>
    <w:rsid w:val="2F4805A1"/>
    <w:rsid w:val="2F4A3E20"/>
    <w:rsid w:val="2F566C69"/>
    <w:rsid w:val="2F6F0031"/>
    <w:rsid w:val="2F805A94"/>
    <w:rsid w:val="2F807842"/>
    <w:rsid w:val="2F9B119F"/>
    <w:rsid w:val="2FA178D1"/>
    <w:rsid w:val="2FA81347"/>
    <w:rsid w:val="2FAA2B11"/>
    <w:rsid w:val="2FB23883"/>
    <w:rsid w:val="2FC242FE"/>
    <w:rsid w:val="2FCC0CD9"/>
    <w:rsid w:val="2FD22068"/>
    <w:rsid w:val="2FE06533"/>
    <w:rsid w:val="2FEE50F3"/>
    <w:rsid w:val="2FEF49C8"/>
    <w:rsid w:val="2FEF69D6"/>
    <w:rsid w:val="2FFF5A67"/>
    <w:rsid w:val="30013365"/>
    <w:rsid w:val="300357AB"/>
    <w:rsid w:val="300C7D0A"/>
    <w:rsid w:val="30197C97"/>
    <w:rsid w:val="301D7787"/>
    <w:rsid w:val="303074BA"/>
    <w:rsid w:val="3034062C"/>
    <w:rsid w:val="3038011D"/>
    <w:rsid w:val="3038636F"/>
    <w:rsid w:val="30470360"/>
    <w:rsid w:val="304E7940"/>
    <w:rsid w:val="30590093"/>
    <w:rsid w:val="305B4B62"/>
    <w:rsid w:val="305D4027"/>
    <w:rsid w:val="306058C5"/>
    <w:rsid w:val="306C7DC6"/>
    <w:rsid w:val="307B625B"/>
    <w:rsid w:val="30AE03DF"/>
    <w:rsid w:val="30B11C7D"/>
    <w:rsid w:val="30CC4243"/>
    <w:rsid w:val="30CE6CD3"/>
    <w:rsid w:val="30D77936"/>
    <w:rsid w:val="30E20088"/>
    <w:rsid w:val="30F009F7"/>
    <w:rsid w:val="31071536"/>
    <w:rsid w:val="311741D6"/>
    <w:rsid w:val="311A3CC6"/>
    <w:rsid w:val="311E5564"/>
    <w:rsid w:val="31271F3F"/>
    <w:rsid w:val="312C38AE"/>
    <w:rsid w:val="313F2B6C"/>
    <w:rsid w:val="31411253"/>
    <w:rsid w:val="31677225"/>
    <w:rsid w:val="3172765E"/>
    <w:rsid w:val="317C04DD"/>
    <w:rsid w:val="318D46C1"/>
    <w:rsid w:val="319A0963"/>
    <w:rsid w:val="319E48F7"/>
    <w:rsid w:val="31B934DF"/>
    <w:rsid w:val="31BE0AF5"/>
    <w:rsid w:val="31BF532C"/>
    <w:rsid w:val="31C3435E"/>
    <w:rsid w:val="31CB6D6E"/>
    <w:rsid w:val="31D92BDB"/>
    <w:rsid w:val="31E57E30"/>
    <w:rsid w:val="31EF209A"/>
    <w:rsid w:val="32001FC9"/>
    <w:rsid w:val="32023A78"/>
    <w:rsid w:val="320F30FF"/>
    <w:rsid w:val="321D581C"/>
    <w:rsid w:val="323037C4"/>
    <w:rsid w:val="323A4620"/>
    <w:rsid w:val="32425283"/>
    <w:rsid w:val="32452FC5"/>
    <w:rsid w:val="32456B21"/>
    <w:rsid w:val="325F4087"/>
    <w:rsid w:val="32607DFF"/>
    <w:rsid w:val="32672F3B"/>
    <w:rsid w:val="32794A1C"/>
    <w:rsid w:val="327A42BE"/>
    <w:rsid w:val="3284589B"/>
    <w:rsid w:val="32987847"/>
    <w:rsid w:val="32A777DC"/>
    <w:rsid w:val="32AC3044"/>
    <w:rsid w:val="32B111BB"/>
    <w:rsid w:val="32C71C2C"/>
    <w:rsid w:val="32D54349"/>
    <w:rsid w:val="32D74327"/>
    <w:rsid w:val="32DA370D"/>
    <w:rsid w:val="32E26A66"/>
    <w:rsid w:val="32EC51EE"/>
    <w:rsid w:val="32F56799"/>
    <w:rsid w:val="33010C9A"/>
    <w:rsid w:val="330E69BA"/>
    <w:rsid w:val="33134E71"/>
    <w:rsid w:val="332350B4"/>
    <w:rsid w:val="33260700"/>
    <w:rsid w:val="33272CFD"/>
    <w:rsid w:val="33335CB5"/>
    <w:rsid w:val="33462385"/>
    <w:rsid w:val="33473DDB"/>
    <w:rsid w:val="335334BF"/>
    <w:rsid w:val="3369683F"/>
    <w:rsid w:val="3374560F"/>
    <w:rsid w:val="33792F26"/>
    <w:rsid w:val="337F6063"/>
    <w:rsid w:val="33900270"/>
    <w:rsid w:val="33A361F5"/>
    <w:rsid w:val="33A81579"/>
    <w:rsid w:val="33B51A84"/>
    <w:rsid w:val="33C543BD"/>
    <w:rsid w:val="33C951FF"/>
    <w:rsid w:val="33CA3782"/>
    <w:rsid w:val="33D939C5"/>
    <w:rsid w:val="33E800AC"/>
    <w:rsid w:val="33EA7980"/>
    <w:rsid w:val="33EF4F96"/>
    <w:rsid w:val="33FC5905"/>
    <w:rsid w:val="34034EE6"/>
    <w:rsid w:val="341449FD"/>
    <w:rsid w:val="342A2472"/>
    <w:rsid w:val="34347ADF"/>
    <w:rsid w:val="34425A0E"/>
    <w:rsid w:val="34557417"/>
    <w:rsid w:val="34565015"/>
    <w:rsid w:val="345C6B82"/>
    <w:rsid w:val="34655258"/>
    <w:rsid w:val="34741A8A"/>
    <w:rsid w:val="348362DD"/>
    <w:rsid w:val="34884FD5"/>
    <w:rsid w:val="348A4CBF"/>
    <w:rsid w:val="34993154"/>
    <w:rsid w:val="349A05A1"/>
    <w:rsid w:val="34AF2977"/>
    <w:rsid w:val="34B51A5F"/>
    <w:rsid w:val="34BD6E42"/>
    <w:rsid w:val="34C06933"/>
    <w:rsid w:val="34CE63BA"/>
    <w:rsid w:val="34D04DC8"/>
    <w:rsid w:val="34EC7728"/>
    <w:rsid w:val="350031D3"/>
    <w:rsid w:val="350441E6"/>
    <w:rsid w:val="35096109"/>
    <w:rsid w:val="350C7DCA"/>
    <w:rsid w:val="350E769E"/>
    <w:rsid w:val="351153E0"/>
    <w:rsid w:val="35135697"/>
    <w:rsid w:val="351F18AB"/>
    <w:rsid w:val="35243365"/>
    <w:rsid w:val="352B46F4"/>
    <w:rsid w:val="353A0493"/>
    <w:rsid w:val="35494B7A"/>
    <w:rsid w:val="35521BC3"/>
    <w:rsid w:val="355C2AFF"/>
    <w:rsid w:val="35611EC4"/>
    <w:rsid w:val="3569521C"/>
    <w:rsid w:val="357617BA"/>
    <w:rsid w:val="35843E04"/>
    <w:rsid w:val="35845BB2"/>
    <w:rsid w:val="358D4A67"/>
    <w:rsid w:val="359A3628"/>
    <w:rsid w:val="359C2EFC"/>
    <w:rsid w:val="35B00755"/>
    <w:rsid w:val="35B50461"/>
    <w:rsid w:val="35BA7826"/>
    <w:rsid w:val="35BB1FB7"/>
    <w:rsid w:val="35BC7482"/>
    <w:rsid w:val="35C0308E"/>
    <w:rsid w:val="35C3492C"/>
    <w:rsid w:val="35C366DA"/>
    <w:rsid w:val="35D94150"/>
    <w:rsid w:val="35E11256"/>
    <w:rsid w:val="35E93C67"/>
    <w:rsid w:val="35F329D2"/>
    <w:rsid w:val="35F72828"/>
    <w:rsid w:val="35FC399A"/>
    <w:rsid w:val="3601265D"/>
    <w:rsid w:val="360E1555"/>
    <w:rsid w:val="361B2A2D"/>
    <w:rsid w:val="362178A5"/>
    <w:rsid w:val="36343134"/>
    <w:rsid w:val="36511F38"/>
    <w:rsid w:val="36527A5E"/>
    <w:rsid w:val="36590DED"/>
    <w:rsid w:val="36723C5D"/>
    <w:rsid w:val="367D0F7F"/>
    <w:rsid w:val="369915A3"/>
    <w:rsid w:val="369E4A52"/>
    <w:rsid w:val="36AC716F"/>
    <w:rsid w:val="36B10C29"/>
    <w:rsid w:val="36B35B90"/>
    <w:rsid w:val="36B45BEF"/>
    <w:rsid w:val="36B50719"/>
    <w:rsid w:val="36B6623F"/>
    <w:rsid w:val="36C22E36"/>
    <w:rsid w:val="36C56482"/>
    <w:rsid w:val="36D87F64"/>
    <w:rsid w:val="37060F75"/>
    <w:rsid w:val="370C0358"/>
    <w:rsid w:val="370C2D0E"/>
    <w:rsid w:val="371116C7"/>
    <w:rsid w:val="371615DE"/>
    <w:rsid w:val="371F3DE4"/>
    <w:rsid w:val="37226CD7"/>
    <w:rsid w:val="37384EA6"/>
    <w:rsid w:val="373E64EC"/>
    <w:rsid w:val="37421881"/>
    <w:rsid w:val="37503F9E"/>
    <w:rsid w:val="375810A4"/>
    <w:rsid w:val="375A53EF"/>
    <w:rsid w:val="375D2B5F"/>
    <w:rsid w:val="376B702A"/>
    <w:rsid w:val="377D6D5D"/>
    <w:rsid w:val="37865C12"/>
    <w:rsid w:val="378B147A"/>
    <w:rsid w:val="379F3974"/>
    <w:rsid w:val="37A21406"/>
    <w:rsid w:val="37A2695A"/>
    <w:rsid w:val="37BA1D5F"/>
    <w:rsid w:val="37BC7885"/>
    <w:rsid w:val="37BD53AB"/>
    <w:rsid w:val="37C07CD2"/>
    <w:rsid w:val="37C624B2"/>
    <w:rsid w:val="37D41A69"/>
    <w:rsid w:val="37E02F84"/>
    <w:rsid w:val="37EE37B7"/>
    <w:rsid w:val="37F92887"/>
    <w:rsid w:val="3805122C"/>
    <w:rsid w:val="380D654C"/>
    <w:rsid w:val="381C20F8"/>
    <w:rsid w:val="382316B2"/>
    <w:rsid w:val="38237904"/>
    <w:rsid w:val="3825542A"/>
    <w:rsid w:val="382947EF"/>
    <w:rsid w:val="382F0057"/>
    <w:rsid w:val="383D7D2C"/>
    <w:rsid w:val="38441481"/>
    <w:rsid w:val="38526E65"/>
    <w:rsid w:val="386121DB"/>
    <w:rsid w:val="38651CCB"/>
    <w:rsid w:val="38710670"/>
    <w:rsid w:val="38740160"/>
    <w:rsid w:val="38767A34"/>
    <w:rsid w:val="388C2306"/>
    <w:rsid w:val="388F0AF6"/>
    <w:rsid w:val="389600D6"/>
    <w:rsid w:val="38A02D03"/>
    <w:rsid w:val="38A92A8B"/>
    <w:rsid w:val="38B13162"/>
    <w:rsid w:val="38BB7B3D"/>
    <w:rsid w:val="38E52E0C"/>
    <w:rsid w:val="38F1355F"/>
    <w:rsid w:val="390037A2"/>
    <w:rsid w:val="39074B30"/>
    <w:rsid w:val="39096AFA"/>
    <w:rsid w:val="390F1C37"/>
    <w:rsid w:val="391D4354"/>
    <w:rsid w:val="39203E44"/>
    <w:rsid w:val="392252B1"/>
    <w:rsid w:val="39292CF8"/>
    <w:rsid w:val="39333B77"/>
    <w:rsid w:val="39355B41"/>
    <w:rsid w:val="39396CB4"/>
    <w:rsid w:val="39534219"/>
    <w:rsid w:val="396C7089"/>
    <w:rsid w:val="39870BBF"/>
    <w:rsid w:val="39882115"/>
    <w:rsid w:val="39896207"/>
    <w:rsid w:val="39896C04"/>
    <w:rsid w:val="39900FC9"/>
    <w:rsid w:val="399B34CA"/>
    <w:rsid w:val="39B32F0A"/>
    <w:rsid w:val="39B47DB4"/>
    <w:rsid w:val="39C55CFE"/>
    <w:rsid w:val="39C72511"/>
    <w:rsid w:val="39CE1AF2"/>
    <w:rsid w:val="39D32C64"/>
    <w:rsid w:val="39DA0497"/>
    <w:rsid w:val="39DE1D35"/>
    <w:rsid w:val="39DE7F87"/>
    <w:rsid w:val="39E430C3"/>
    <w:rsid w:val="39F10574"/>
    <w:rsid w:val="39F23A32"/>
    <w:rsid w:val="3A0D6176"/>
    <w:rsid w:val="3A160918"/>
    <w:rsid w:val="3A1A013A"/>
    <w:rsid w:val="3A1A6A02"/>
    <w:rsid w:val="3A1A6AE5"/>
    <w:rsid w:val="3A1C460B"/>
    <w:rsid w:val="3A1E6A12"/>
    <w:rsid w:val="3A1F234D"/>
    <w:rsid w:val="3A2230DD"/>
    <w:rsid w:val="3A2D6818"/>
    <w:rsid w:val="3A331955"/>
    <w:rsid w:val="3A345DF9"/>
    <w:rsid w:val="3A35391F"/>
    <w:rsid w:val="3A394D59"/>
    <w:rsid w:val="3A3E6C77"/>
    <w:rsid w:val="3A455684"/>
    <w:rsid w:val="3A502507"/>
    <w:rsid w:val="3A52002D"/>
    <w:rsid w:val="3A674AE5"/>
    <w:rsid w:val="3A6A35C8"/>
    <w:rsid w:val="3A6D30B9"/>
    <w:rsid w:val="3A6D6766"/>
    <w:rsid w:val="3A751F6D"/>
    <w:rsid w:val="3A766411"/>
    <w:rsid w:val="3A78F678"/>
    <w:rsid w:val="3A791A5E"/>
    <w:rsid w:val="3A84407A"/>
    <w:rsid w:val="3A86417A"/>
    <w:rsid w:val="3A995C5C"/>
    <w:rsid w:val="3A9B5E78"/>
    <w:rsid w:val="3A9B7233"/>
    <w:rsid w:val="3AAF722D"/>
    <w:rsid w:val="3ABC7B9C"/>
    <w:rsid w:val="3AC43DDB"/>
    <w:rsid w:val="3AC74D9C"/>
    <w:rsid w:val="3AD1189A"/>
    <w:rsid w:val="3AD34590"/>
    <w:rsid w:val="3AE100CF"/>
    <w:rsid w:val="3AE27603"/>
    <w:rsid w:val="3AEA295B"/>
    <w:rsid w:val="3AEF7F72"/>
    <w:rsid w:val="3AF00F25"/>
    <w:rsid w:val="3AF235BE"/>
    <w:rsid w:val="3AFB2473"/>
    <w:rsid w:val="3AFD8945"/>
    <w:rsid w:val="3B00217F"/>
    <w:rsid w:val="3B023801"/>
    <w:rsid w:val="3B0D3470"/>
    <w:rsid w:val="3B116466"/>
    <w:rsid w:val="3B245E6D"/>
    <w:rsid w:val="3B2F036E"/>
    <w:rsid w:val="3B2F65C0"/>
    <w:rsid w:val="3B3836C7"/>
    <w:rsid w:val="3B4007CD"/>
    <w:rsid w:val="3B491430"/>
    <w:rsid w:val="3B4E1CDB"/>
    <w:rsid w:val="3B506C62"/>
    <w:rsid w:val="3B53405D"/>
    <w:rsid w:val="3B556027"/>
    <w:rsid w:val="3B5B1163"/>
    <w:rsid w:val="3B5D8811"/>
    <w:rsid w:val="3B6444BC"/>
    <w:rsid w:val="3B691AD2"/>
    <w:rsid w:val="3B732951"/>
    <w:rsid w:val="3B8402E7"/>
    <w:rsid w:val="3B8763FC"/>
    <w:rsid w:val="3B9A7EDD"/>
    <w:rsid w:val="3BA96AAD"/>
    <w:rsid w:val="3BAA64F8"/>
    <w:rsid w:val="3BCD02B3"/>
    <w:rsid w:val="3BD5458B"/>
    <w:rsid w:val="3BDA29D0"/>
    <w:rsid w:val="3BE13D5E"/>
    <w:rsid w:val="3BED2703"/>
    <w:rsid w:val="3BF35840"/>
    <w:rsid w:val="3C095063"/>
    <w:rsid w:val="3C1934F8"/>
    <w:rsid w:val="3C6057B5"/>
    <w:rsid w:val="3C636521"/>
    <w:rsid w:val="3C6A224E"/>
    <w:rsid w:val="3C797AF3"/>
    <w:rsid w:val="3C7E15AD"/>
    <w:rsid w:val="3C85293C"/>
    <w:rsid w:val="3C8F37BA"/>
    <w:rsid w:val="3CA60B04"/>
    <w:rsid w:val="3CBD2B72"/>
    <w:rsid w:val="3CD25455"/>
    <w:rsid w:val="3CEC29BB"/>
    <w:rsid w:val="3CF01FD9"/>
    <w:rsid w:val="3CF74EBC"/>
    <w:rsid w:val="3CFD4BC8"/>
    <w:rsid w:val="3CFE624A"/>
    <w:rsid w:val="3D023F8C"/>
    <w:rsid w:val="3D0754BF"/>
    <w:rsid w:val="3D0A6C1F"/>
    <w:rsid w:val="3D115F7D"/>
    <w:rsid w:val="3D127F47"/>
    <w:rsid w:val="3D181C2D"/>
    <w:rsid w:val="3D1D5216"/>
    <w:rsid w:val="3D314871"/>
    <w:rsid w:val="3D324146"/>
    <w:rsid w:val="3D332398"/>
    <w:rsid w:val="3D3D3216"/>
    <w:rsid w:val="3D4E71D1"/>
    <w:rsid w:val="3D4E73C9"/>
    <w:rsid w:val="3D51281E"/>
    <w:rsid w:val="3D566086"/>
    <w:rsid w:val="3D596EC1"/>
    <w:rsid w:val="3D7B789B"/>
    <w:rsid w:val="3D9A2900"/>
    <w:rsid w:val="3DBC4791"/>
    <w:rsid w:val="3DDE2548"/>
    <w:rsid w:val="3DE6565C"/>
    <w:rsid w:val="3E0C2BE9"/>
    <w:rsid w:val="3E0D0E3B"/>
    <w:rsid w:val="3E1877DF"/>
    <w:rsid w:val="3E25581D"/>
    <w:rsid w:val="3E2717D1"/>
    <w:rsid w:val="3E29430C"/>
    <w:rsid w:val="3E3363C7"/>
    <w:rsid w:val="3E4B3711"/>
    <w:rsid w:val="3E4D56DB"/>
    <w:rsid w:val="3E4D7489"/>
    <w:rsid w:val="3E5E3444"/>
    <w:rsid w:val="3E6820F8"/>
    <w:rsid w:val="3E7964D0"/>
    <w:rsid w:val="3E853FFC"/>
    <w:rsid w:val="3E855C22"/>
    <w:rsid w:val="3E974BA8"/>
    <w:rsid w:val="3EAD617A"/>
    <w:rsid w:val="3EAD7F28"/>
    <w:rsid w:val="3EBC016B"/>
    <w:rsid w:val="3EC7661E"/>
    <w:rsid w:val="3ECA6D2C"/>
    <w:rsid w:val="3ED25BE0"/>
    <w:rsid w:val="3EDA2BAA"/>
    <w:rsid w:val="3EE576C2"/>
    <w:rsid w:val="3EEF143A"/>
    <w:rsid w:val="3EF20030"/>
    <w:rsid w:val="3EF76F56"/>
    <w:rsid w:val="3EFC2C5D"/>
    <w:rsid w:val="3F067638"/>
    <w:rsid w:val="3F0836D6"/>
    <w:rsid w:val="3F0A7128"/>
    <w:rsid w:val="3F23468E"/>
    <w:rsid w:val="3F3B3068"/>
    <w:rsid w:val="3F446ADE"/>
    <w:rsid w:val="3F5932DF"/>
    <w:rsid w:val="3F593C0C"/>
    <w:rsid w:val="3F693A71"/>
    <w:rsid w:val="3F852C53"/>
    <w:rsid w:val="3F9335C1"/>
    <w:rsid w:val="3F9E5AC2"/>
    <w:rsid w:val="3F9F1F66"/>
    <w:rsid w:val="3FA70E1B"/>
    <w:rsid w:val="3FAC7296"/>
    <w:rsid w:val="3FC45529"/>
    <w:rsid w:val="3FCA68B7"/>
    <w:rsid w:val="3FD57736"/>
    <w:rsid w:val="3FD85478"/>
    <w:rsid w:val="3FF0539D"/>
    <w:rsid w:val="3FF80285"/>
    <w:rsid w:val="3FF83425"/>
    <w:rsid w:val="4001677D"/>
    <w:rsid w:val="400718BA"/>
    <w:rsid w:val="401250C2"/>
    <w:rsid w:val="402B1A4C"/>
    <w:rsid w:val="40316936"/>
    <w:rsid w:val="403C77B5"/>
    <w:rsid w:val="403D46F7"/>
    <w:rsid w:val="405C1C05"/>
    <w:rsid w:val="40624D42"/>
    <w:rsid w:val="40673674"/>
    <w:rsid w:val="406960D0"/>
    <w:rsid w:val="407C6503"/>
    <w:rsid w:val="40860A30"/>
    <w:rsid w:val="408B6047"/>
    <w:rsid w:val="40903157"/>
    <w:rsid w:val="409C584F"/>
    <w:rsid w:val="409E43AD"/>
    <w:rsid w:val="40A21818"/>
    <w:rsid w:val="40A60893"/>
    <w:rsid w:val="40AD06B3"/>
    <w:rsid w:val="40AE4C6A"/>
    <w:rsid w:val="40B416B7"/>
    <w:rsid w:val="40CD1BC6"/>
    <w:rsid w:val="40CD7EEF"/>
    <w:rsid w:val="40CF687B"/>
    <w:rsid w:val="40D914A8"/>
    <w:rsid w:val="40D95004"/>
    <w:rsid w:val="40EB2F89"/>
    <w:rsid w:val="40F0234E"/>
    <w:rsid w:val="4105229D"/>
    <w:rsid w:val="410D73A4"/>
    <w:rsid w:val="41175B2C"/>
    <w:rsid w:val="412169AB"/>
    <w:rsid w:val="4142704D"/>
    <w:rsid w:val="41456B3D"/>
    <w:rsid w:val="41517290"/>
    <w:rsid w:val="41523008"/>
    <w:rsid w:val="415B010F"/>
    <w:rsid w:val="41662610"/>
    <w:rsid w:val="41753A42"/>
    <w:rsid w:val="417B430D"/>
    <w:rsid w:val="418036D2"/>
    <w:rsid w:val="41856F3A"/>
    <w:rsid w:val="419F65E2"/>
    <w:rsid w:val="41A57025"/>
    <w:rsid w:val="41B44B58"/>
    <w:rsid w:val="41B82E6B"/>
    <w:rsid w:val="41C53760"/>
    <w:rsid w:val="41CC6917"/>
    <w:rsid w:val="41FB36A0"/>
    <w:rsid w:val="41FF6CEC"/>
    <w:rsid w:val="420430C3"/>
    <w:rsid w:val="42051E29"/>
    <w:rsid w:val="42091919"/>
    <w:rsid w:val="422E137F"/>
    <w:rsid w:val="42313585"/>
    <w:rsid w:val="423B584A"/>
    <w:rsid w:val="42402E61"/>
    <w:rsid w:val="42415557"/>
    <w:rsid w:val="42425A2A"/>
    <w:rsid w:val="42462B6D"/>
    <w:rsid w:val="424F3F3D"/>
    <w:rsid w:val="425A02DC"/>
    <w:rsid w:val="425F69D2"/>
    <w:rsid w:val="42621029"/>
    <w:rsid w:val="426B1D8C"/>
    <w:rsid w:val="427F1BDB"/>
    <w:rsid w:val="42930804"/>
    <w:rsid w:val="429A4C67"/>
    <w:rsid w:val="42C33846"/>
    <w:rsid w:val="42C5050F"/>
    <w:rsid w:val="42C955C2"/>
    <w:rsid w:val="42D9578F"/>
    <w:rsid w:val="42E15078"/>
    <w:rsid w:val="42E20BBA"/>
    <w:rsid w:val="42ED123B"/>
    <w:rsid w:val="42EE5D8C"/>
    <w:rsid w:val="42EF4FB3"/>
    <w:rsid w:val="430622FC"/>
    <w:rsid w:val="43087855"/>
    <w:rsid w:val="431C567C"/>
    <w:rsid w:val="432A489D"/>
    <w:rsid w:val="433C187A"/>
    <w:rsid w:val="43452E25"/>
    <w:rsid w:val="43541D5E"/>
    <w:rsid w:val="43554A85"/>
    <w:rsid w:val="435E3EE6"/>
    <w:rsid w:val="436C1CAB"/>
    <w:rsid w:val="436D0BED"/>
    <w:rsid w:val="43813731"/>
    <w:rsid w:val="438374A9"/>
    <w:rsid w:val="43921046"/>
    <w:rsid w:val="43A72E06"/>
    <w:rsid w:val="43B458B4"/>
    <w:rsid w:val="43BE6733"/>
    <w:rsid w:val="43CA50D8"/>
    <w:rsid w:val="43D736D0"/>
    <w:rsid w:val="43DD4399"/>
    <w:rsid w:val="43ED0DC6"/>
    <w:rsid w:val="43EE526A"/>
    <w:rsid w:val="43EE7018"/>
    <w:rsid w:val="43F959BD"/>
    <w:rsid w:val="43FB3B13"/>
    <w:rsid w:val="43FD36FF"/>
    <w:rsid w:val="44044D46"/>
    <w:rsid w:val="44093E52"/>
    <w:rsid w:val="440F6F8F"/>
    <w:rsid w:val="4416656F"/>
    <w:rsid w:val="442347E8"/>
    <w:rsid w:val="44316F2F"/>
    <w:rsid w:val="443872CC"/>
    <w:rsid w:val="443C4228"/>
    <w:rsid w:val="4440539A"/>
    <w:rsid w:val="4447497A"/>
    <w:rsid w:val="444E5D09"/>
    <w:rsid w:val="444F55DD"/>
    <w:rsid w:val="445F7F16"/>
    <w:rsid w:val="44703ED1"/>
    <w:rsid w:val="44872FC9"/>
    <w:rsid w:val="44953938"/>
    <w:rsid w:val="44AE0556"/>
    <w:rsid w:val="44B71B00"/>
    <w:rsid w:val="44BF2763"/>
    <w:rsid w:val="44C47D79"/>
    <w:rsid w:val="44D02BC2"/>
    <w:rsid w:val="44D51F86"/>
    <w:rsid w:val="44DF1057"/>
    <w:rsid w:val="44E26451"/>
    <w:rsid w:val="44E65F41"/>
    <w:rsid w:val="44E93C84"/>
    <w:rsid w:val="44E95A32"/>
    <w:rsid w:val="44F71EFD"/>
    <w:rsid w:val="44FA379B"/>
    <w:rsid w:val="45085EB8"/>
    <w:rsid w:val="450F36EA"/>
    <w:rsid w:val="450F44F8"/>
    <w:rsid w:val="45154A79"/>
    <w:rsid w:val="451C5E07"/>
    <w:rsid w:val="452E1D75"/>
    <w:rsid w:val="453749EF"/>
    <w:rsid w:val="45392515"/>
    <w:rsid w:val="454D49E5"/>
    <w:rsid w:val="45561319"/>
    <w:rsid w:val="45573267"/>
    <w:rsid w:val="455E3D2A"/>
    <w:rsid w:val="4563163D"/>
    <w:rsid w:val="457C0654"/>
    <w:rsid w:val="457C4AF8"/>
    <w:rsid w:val="45857508"/>
    <w:rsid w:val="45B439D0"/>
    <w:rsid w:val="45C24135"/>
    <w:rsid w:val="45CF1C33"/>
    <w:rsid w:val="45D264C6"/>
    <w:rsid w:val="45D95AA6"/>
    <w:rsid w:val="45DE1E0C"/>
    <w:rsid w:val="45FE3BBD"/>
    <w:rsid w:val="4605689B"/>
    <w:rsid w:val="46164604"/>
    <w:rsid w:val="462C5F25"/>
    <w:rsid w:val="46333408"/>
    <w:rsid w:val="46467C60"/>
    <w:rsid w:val="464F5D68"/>
    <w:rsid w:val="4652536E"/>
    <w:rsid w:val="465670F7"/>
    <w:rsid w:val="465D0485"/>
    <w:rsid w:val="4663559F"/>
    <w:rsid w:val="46647A66"/>
    <w:rsid w:val="466E2692"/>
    <w:rsid w:val="467001B9"/>
    <w:rsid w:val="46713F31"/>
    <w:rsid w:val="467470B8"/>
    <w:rsid w:val="467A2DE5"/>
    <w:rsid w:val="46845A12"/>
    <w:rsid w:val="468464D9"/>
    <w:rsid w:val="46890679"/>
    <w:rsid w:val="468D3F4C"/>
    <w:rsid w:val="469330D2"/>
    <w:rsid w:val="46A460B4"/>
    <w:rsid w:val="46A616B2"/>
    <w:rsid w:val="46D95013"/>
    <w:rsid w:val="46E97F6B"/>
    <w:rsid w:val="46F661E4"/>
    <w:rsid w:val="47013507"/>
    <w:rsid w:val="47040901"/>
    <w:rsid w:val="47087D64"/>
    <w:rsid w:val="47176886"/>
    <w:rsid w:val="471C5C4A"/>
    <w:rsid w:val="472471F5"/>
    <w:rsid w:val="472D7E58"/>
    <w:rsid w:val="47413903"/>
    <w:rsid w:val="474156B1"/>
    <w:rsid w:val="474E46DC"/>
    <w:rsid w:val="476F0559"/>
    <w:rsid w:val="477A1A0D"/>
    <w:rsid w:val="47857C94"/>
    <w:rsid w:val="478B587E"/>
    <w:rsid w:val="47953C4F"/>
    <w:rsid w:val="479A7985"/>
    <w:rsid w:val="479F12A5"/>
    <w:rsid w:val="47A13CBD"/>
    <w:rsid w:val="47BB36B5"/>
    <w:rsid w:val="47CB141F"/>
    <w:rsid w:val="47DB3D58"/>
    <w:rsid w:val="47E837E0"/>
    <w:rsid w:val="47F24BFD"/>
    <w:rsid w:val="47F646ED"/>
    <w:rsid w:val="47F70466"/>
    <w:rsid w:val="482A7DE6"/>
    <w:rsid w:val="48357685"/>
    <w:rsid w:val="483A3088"/>
    <w:rsid w:val="483D6C27"/>
    <w:rsid w:val="483F7562"/>
    <w:rsid w:val="485E04E5"/>
    <w:rsid w:val="486F26F2"/>
    <w:rsid w:val="486F624E"/>
    <w:rsid w:val="48763A80"/>
    <w:rsid w:val="488066AD"/>
    <w:rsid w:val="488C5052"/>
    <w:rsid w:val="48A24875"/>
    <w:rsid w:val="48B85E47"/>
    <w:rsid w:val="48B9571B"/>
    <w:rsid w:val="48CB5B7A"/>
    <w:rsid w:val="48DF5182"/>
    <w:rsid w:val="48E24C72"/>
    <w:rsid w:val="48F52BF7"/>
    <w:rsid w:val="48FC21D7"/>
    <w:rsid w:val="4907292A"/>
    <w:rsid w:val="49090450"/>
    <w:rsid w:val="49092B02"/>
    <w:rsid w:val="490C7F8C"/>
    <w:rsid w:val="491B02FE"/>
    <w:rsid w:val="491C3E50"/>
    <w:rsid w:val="491D214E"/>
    <w:rsid w:val="492139EC"/>
    <w:rsid w:val="4941408E"/>
    <w:rsid w:val="494424C7"/>
    <w:rsid w:val="494974E8"/>
    <w:rsid w:val="494B0A69"/>
    <w:rsid w:val="494D3A57"/>
    <w:rsid w:val="49507E2D"/>
    <w:rsid w:val="49535B70"/>
    <w:rsid w:val="4961203A"/>
    <w:rsid w:val="496552D0"/>
    <w:rsid w:val="496A0C54"/>
    <w:rsid w:val="49724248"/>
    <w:rsid w:val="49747FC0"/>
    <w:rsid w:val="49902920"/>
    <w:rsid w:val="499674EC"/>
    <w:rsid w:val="499B5A3F"/>
    <w:rsid w:val="499C12C5"/>
    <w:rsid w:val="499E6DEB"/>
    <w:rsid w:val="49CF51F6"/>
    <w:rsid w:val="49D92519"/>
    <w:rsid w:val="49DA0D9F"/>
    <w:rsid w:val="49DB1DED"/>
    <w:rsid w:val="49DC3DB7"/>
    <w:rsid w:val="49EA0282"/>
    <w:rsid w:val="49F17862"/>
    <w:rsid w:val="49F44C5D"/>
    <w:rsid w:val="4A0E1D6C"/>
    <w:rsid w:val="4A123335"/>
    <w:rsid w:val="4A1418DA"/>
    <w:rsid w:val="4A2C717C"/>
    <w:rsid w:val="4A3B6D2F"/>
    <w:rsid w:val="4A404346"/>
    <w:rsid w:val="4A421E6C"/>
    <w:rsid w:val="4A4554B8"/>
    <w:rsid w:val="4A474501"/>
    <w:rsid w:val="4A4756D4"/>
    <w:rsid w:val="4A4D0811"/>
    <w:rsid w:val="4A4E54E6"/>
    <w:rsid w:val="4A5971B6"/>
    <w:rsid w:val="4A5A38B5"/>
    <w:rsid w:val="4A5F4669"/>
    <w:rsid w:val="4A6159E3"/>
    <w:rsid w:val="4A631737"/>
    <w:rsid w:val="4A667FF3"/>
    <w:rsid w:val="4A7B35D0"/>
    <w:rsid w:val="4A895CED"/>
    <w:rsid w:val="4A965D14"/>
    <w:rsid w:val="4AA15B5C"/>
    <w:rsid w:val="4AA743C5"/>
    <w:rsid w:val="4AB03279"/>
    <w:rsid w:val="4AB71746"/>
    <w:rsid w:val="4AD52CE0"/>
    <w:rsid w:val="4ADA20A4"/>
    <w:rsid w:val="4AE747C1"/>
    <w:rsid w:val="4AF55130"/>
    <w:rsid w:val="4B0655B3"/>
    <w:rsid w:val="4B0E7FA0"/>
    <w:rsid w:val="4B0F7B64"/>
    <w:rsid w:val="4B133808"/>
    <w:rsid w:val="4B1650A7"/>
    <w:rsid w:val="4B3A0D95"/>
    <w:rsid w:val="4B427C4A"/>
    <w:rsid w:val="4B441C14"/>
    <w:rsid w:val="4B5C0D0B"/>
    <w:rsid w:val="4B5E0F27"/>
    <w:rsid w:val="4B616322"/>
    <w:rsid w:val="4B692AA4"/>
    <w:rsid w:val="4B6B53F2"/>
    <w:rsid w:val="4B6C4CC7"/>
    <w:rsid w:val="4B9009B5"/>
    <w:rsid w:val="4B9F32EE"/>
    <w:rsid w:val="4BA81969"/>
    <w:rsid w:val="4BC51A62"/>
    <w:rsid w:val="4BD26B15"/>
    <w:rsid w:val="4BDC3BFA"/>
    <w:rsid w:val="4BE551A5"/>
    <w:rsid w:val="4BEE652D"/>
    <w:rsid w:val="4BF76C86"/>
    <w:rsid w:val="4BFC24EE"/>
    <w:rsid w:val="4C15608A"/>
    <w:rsid w:val="4C16300C"/>
    <w:rsid w:val="4C1C493F"/>
    <w:rsid w:val="4C5F4732"/>
    <w:rsid w:val="4C5F70AB"/>
    <w:rsid w:val="4C612351"/>
    <w:rsid w:val="4C621D61"/>
    <w:rsid w:val="4C661FF5"/>
    <w:rsid w:val="4C667968"/>
    <w:rsid w:val="4C6C79F8"/>
    <w:rsid w:val="4C76404F"/>
    <w:rsid w:val="4C8229F4"/>
    <w:rsid w:val="4C92075D"/>
    <w:rsid w:val="4C982217"/>
    <w:rsid w:val="4CA010CC"/>
    <w:rsid w:val="4CAE37E9"/>
    <w:rsid w:val="4CB46925"/>
    <w:rsid w:val="4CC528E0"/>
    <w:rsid w:val="4CCB6A55"/>
    <w:rsid w:val="4CEA2347"/>
    <w:rsid w:val="4CEC4311"/>
    <w:rsid w:val="4CF02BED"/>
    <w:rsid w:val="4CF60CEC"/>
    <w:rsid w:val="4CF95C45"/>
    <w:rsid w:val="4CFA6A2E"/>
    <w:rsid w:val="4D072EF9"/>
    <w:rsid w:val="4D1A0E7E"/>
    <w:rsid w:val="4D1A1D0C"/>
    <w:rsid w:val="4D20243D"/>
    <w:rsid w:val="4D381304"/>
    <w:rsid w:val="4D572089"/>
    <w:rsid w:val="4D5D6FBD"/>
    <w:rsid w:val="4D6640C3"/>
    <w:rsid w:val="4D8573C5"/>
    <w:rsid w:val="4D8B58D8"/>
    <w:rsid w:val="4D8D7A48"/>
    <w:rsid w:val="4D950CFC"/>
    <w:rsid w:val="4DA90454"/>
    <w:rsid w:val="4DB7491F"/>
    <w:rsid w:val="4DBE3EFF"/>
    <w:rsid w:val="4DC305F7"/>
    <w:rsid w:val="4DC54232"/>
    <w:rsid w:val="4DD23507"/>
    <w:rsid w:val="4DD63514"/>
    <w:rsid w:val="4DDA685F"/>
    <w:rsid w:val="4DDC6134"/>
    <w:rsid w:val="4DE374C2"/>
    <w:rsid w:val="4DE65204"/>
    <w:rsid w:val="4DEE4968"/>
    <w:rsid w:val="4E031912"/>
    <w:rsid w:val="4E0833CC"/>
    <w:rsid w:val="4E0B4C6B"/>
    <w:rsid w:val="4E0F02B7"/>
    <w:rsid w:val="4E165AE9"/>
    <w:rsid w:val="4E166129"/>
    <w:rsid w:val="4E192EE4"/>
    <w:rsid w:val="4E1E04FA"/>
    <w:rsid w:val="4E231197"/>
    <w:rsid w:val="4E2B70BB"/>
    <w:rsid w:val="4E375A60"/>
    <w:rsid w:val="4E395334"/>
    <w:rsid w:val="4E434405"/>
    <w:rsid w:val="4E451F2B"/>
    <w:rsid w:val="4E52289A"/>
    <w:rsid w:val="4E557C94"/>
    <w:rsid w:val="4E760336"/>
    <w:rsid w:val="4E881E17"/>
    <w:rsid w:val="4E975000"/>
    <w:rsid w:val="4E982244"/>
    <w:rsid w:val="4E9D1D67"/>
    <w:rsid w:val="4EA12ED9"/>
    <w:rsid w:val="4EA36C51"/>
    <w:rsid w:val="4EB3158A"/>
    <w:rsid w:val="4EB62E28"/>
    <w:rsid w:val="4EB726FD"/>
    <w:rsid w:val="4EBD3CAB"/>
    <w:rsid w:val="4ECA2430"/>
    <w:rsid w:val="4ECC61A8"/>
    <w:rsid w:val="4EE2777A"/>
    <w:rsid w:val="4F027E1C"/>
    <w:rsid w:val="4F152C53"/>
    <w:rsid w:val="4F245FE4"/>
    <w:rsid w:val="4F277882"/>
    <w:rsid w:val="4F32016C"/>
    <w:rsid w:val="4F3855EC"/>
    <w:rsid w:val="4F42208D"/>
    <w:rsid w:val="4F455F5A"/>
    <w:rsid w:val="4F5368C9"/>
    <w:rsid w:val="4F5A6892"/>
    <w:rsid w:val="4F5F1C0D"/>
    <w:rsid w:val="4F672375"/>
    <w:rsid w:val="4F764366"/>
    <w:rsid w:val="4F807D78"/>
    <w:rsid w:val="4F8E16AF"/>
    <w:rsid w:val="4F8E7901"/>
    <w:rsid w:val="4F950C90"/>
    <w:rsid w:val="4FA445A2"/>
    <w:rsid w:val="4FB73F54"/>
    <w:rsid w:val="4FB96E6B"/>
    <w:rsid w:val="4FBB7FCB"/>
    <w:rsid w:val="4FBC446F"/>
    <w:rsid w:val="4FBF7ABB"/>
    <w:rsid w:val="4FCD667C"/>
    <w:rsid w:val="4FD7012C"/>
    <w:rsid w:val="4FD86DCF"/>
    <w:rsid w:val="4FEA072E"/>
    <w:rsid w:val="4FFD527C"/>
    <w:rsid w:val="500C47C3"/>
    <w:rsid w:val="500D6A78"/>
    <w:rsid w:val="501147DB"/>
    <w:rsid w:val="501605C8"/>
    <w:rsid w:val="50197E5C"/>
    <w:rsid w:val="502F26CB"/>
    <w:rsid w:val="50355FCF"/>
    <w:rsid w:val="503E3B67"/>
    <w:rsid w:val="50574197"/>
    <w:rsid w:val="505A0623"/>
    <w:rsid w:val="506568C1"/>
    <w:rsid w:val="507E6923"/>
    <w:rsid w:val="508F3931"/>
    <w:rsid w:val="509B0528"/>
    <w:rsid w:val="50A52380"/>
    <w:rsid w:val="50A849F3"/>
    <w:rsid w:val="50A867A1"/>
    <w:rsid w:val="50B909AE"/>
    <w:rsid w:val="50DB6B76"/>
    <w:rsid w:val="50E023DF"/>
    <w:rsid w:val="50EA0B67"/>
    <w:rsid w:val="50EA651A"/>
    <w:rsid w:val="50ED7D32"/>
    <w:rsid w:val="50F166B3"/>
    <w:rsid w:val="50FA0AC0"/>
    <w:rsid w:val="51025EB1"/>
    <w:rsid w:val="51031C29"/>
    <w:rsid w:val="51037E7B"/>
    <w:rsid w:val="51087240"/>
    <w:rsid w:val="510D4856"/>
    <w:rsid w:val="511856D5"/>
    <w:rsid w:val="5119769F"/>
    <w:rsid w:val="511B51C5"/>
    <w:rsid w:val="511B6F73"/>
    <w:rsid w:val="51247E35"/>
    <w:rsid w:val="51252566"/>
    <w:rsid w:val="513B5867"/>
    <w:rsid w:val="5145104C"/>
    <w:rsid w:val="5147420C"/>
    <w:rsid w:val="51493AE0"/>
    <w:rsid w:val="517F5754"/>
    <w:rsid w:val="51864D34"/>
    <w:rsid w:val="5187285A"/>
    <w:rsid w:val="51890380"/>
    <w:rsid w:val="518C1C1F"/>
    <w:rsid w:val="51932FAD"/>
    <w:rsid w:val="51937451"/>
    <w:rsid w:val="519E0BA5"/>
    <w:rsid w:val="51A65DA3"/>
    <w:rsid w:val="51A82C77"/>
    <w:rsid w:val="51AF590D"/>
    <w:rsid w:val="51B313CF"/>
    <w:rsid w:val="51BC69A8"/>
    <w:rsid w:val="51C15D6C"/>
    <w:rsid w:val="51C615D4"/>
    <w:rsid w:val="51D16D90"/>
    <w:rsid w:val="51D3784E"/>
    <w:rsid w:val="51D42D5D"/>
    <w:rsid w:val="51DA5080"/>
    <w:rsid w:val="51DD760F"/>
    <w:rsid w:val="51E67581"/>
    <w:rsid w:val="51E86240"/>
    <w:rsid w:val="51E8779D"/>
    <w:rsid w:val="51E97071"/>
    <w:rsid w:val="51FA7FEF"/>
    <w:rsid w:val="51FF6894"/>
    <w:rsid w:val="52021EE1"/>
    <w:rsid w:val="52097713"/>
    <w:rsid w:val="520D51E4"/>
    <w:rsid w:val="52160150"/>
    <w:rsid w:val="52203465"/>
    <w:rsid w:val="52271947"/>
    <w:rsid w:val="522726A2"/>
    <w:rsid w:val="523227C6"/>
    <w:rsid w:val="52383C77"/>
    <w:rsid w:val="52426781"/>
    <w:rsid w:val="52541116"/>
    <w:rsid w:val="525F123E"/>
    <w:rsid w:val="526606C2"/>
    <w:rsid w:val="52660C39"/>
    <w:rsid w:val="526A01B2"/>
    <w:rsid w:val="527C1C93"/>
    <w:rsid w:val="52870A4D"/>
    <w:rsid w:val="528B1ED6"/>
    <w:rsid w:val="52972F71"/>
    <w:rsid w:val="52A35472"/>
    <w:rsid w:val="52A631B4"/>
    <w:rsid w:val="52A75D81"/>
    <w:rsid w:val="52A80CDA"/>
    <w:rsid w:val="52AB4326"/>
    <w:rsid w:val="52AD009F"/>
    <w:rsid w:val="52AE4350"/>
    <w:rsid w:val="52B61649"/>
    <w:rsid w:val="52BC4786"/>
    <w:rsid w:val="52C11D9C"/>
    <w:rsid w:val="52C2378C"/>
    <w:rsid w:val="52CC2C1B"/>
    <w:rsid w:val="52CD6993"/>
    <w:rsid w:val="52E02B08"/>
    <w:rsid w:val="52EA12F3"/>
    <w:rsid w:val="52F103A6"/>
    <w:rsid w:val="52FA4345"/>
    <w:rsid w:val="52FD1026"/>
    <w:rsid w:val="53073C53"/>
    <w:rsid w:val="5311062D"/>
    <w:rsid w:val="53193986"/>
    <w:rsid w:val="532A16EF"/>
    <w:rsid w:val="533250AC"/>
    <w:rsid w:val="53360094"/>
    <w:rsid w:val="534704F3"/>
    <w:rsid w:val="534B7C08"/>
    <w:rsid w:val="534E509D"/>
    <w:rsid w:val="534F1156"/>
    <w:rsid w:val="5351047D"/>
    <w:rsid w:val="53530C46"/>
    <w:rsid w:val="5358625C"/>
    <w:rsid w:val="535A6478"/>
    <w:rsid w:val="536855E4"/>
    <w:rsid w:val="536A2433"/>
    <w:rsid w:val="53764934"/>
    <w:rsid w:val="537A2677"/>
    <w:rsid w:val="538A6632"/>
    <w:rsid w:val="53990623"/>
    <w:rsid w:val="539E2B66"/>
    <w:rsid w:val="53CE651E"/>
    <w:rsid w:val="53D224B3"/>
    <w:rsid w:val="53D26603"/>
    <w:rsid w:val="53D4756D"/>
    <w:rsid w:val="53E73A84"/>
    <w:rsid w:val="53EC2E48"/>
    <w:rsid w:val="54085ED4"/>
    <w:rsid w:val="54091C4C"/>
    <w:rsid w:val="540C056F"/>
    <w:rsid w:val="54212AF2"/>
    <w:rsid w:val="54352A41"/>
    <w:rsid w:val="5438608E"/>
    <w:rsid w:val="543F566E"/>
    <w:rsid w:val="544D1B39"/>
    <w:rsid w:val="54505185"/>
    <w:rsid w:val="546D5D37"/>
    <w:rsid w:val="54817A35"/>
    <w:rsid w:val="549B6A86"/>
    <w:rsid w:val="54A51975"/>
    <w:rsid w:val="54AC4660"/>
    <w:rsid w:val="54BF230B"/>
    <w:rsid w:val="54C17E31"/>
    <w:rsid w:val="54D44008"/>
    <w:rsid w:val="54D51B2F"/>
    <w:rsid w:val="54DC2EBD"/>
    <w:rsid w:val="54DE6C35"/>
    <w:rsid w:val="54E0475B"/>
    <w:rsid w:val="54F75F49"/>
    <w:rsid w:val="55020B76"/>
    <w:rsid w:val="550348EE"/>
    <w:rsid w:val="550A5C7C"/>
    <w:rsid w:val="5512068D"/>
    <w:rsid w:val="55131DCE"/>
    <w:rsid w:val="55410C03"/>
    <w:rsid w:val="55452C8B"/>
    <w:rsid w:val="554D7917"/>
    <w:rsid w:val="55524F2D"/>
    <w:rsid w:val="55676C2B"/>
    <w:rsid w:val="557E5D22"/>
    <w:rsid w:val="55816518"/>
    <w:rsid w:val="558568C7"/>
    <w:rsid w:val="558C6691"/>
    <w:rsid w:val="559E0172"/>
    <w:rsid w:val="559E63C4"/>
    <w:rsid w:val="55A57753"/>
    <w:rsid w:val="55AE155E"/>
    <w:rsid w:val="55B51D9D"/>
    <w:rsid w:val="55B6370E"/>
    <w:rsid w:val="55BA31FE"/>
    <w:rsid w:val="55C9175E"/>
    <w:rsid w:val="55CB540B"/>
    <w:rsid w:val="55CE0A58"/>
    <w:rsid w:val="55CF657E"/>
    <w:rsid w:val="55D10548"/>
    <w:rsid w:val="55D65B5E"/>
    <w:rsid w:val="55E24503"/>
    <w:rsid w:val="55F304BE"/>
    <w:rsid w:val="55F45FE4"/>
    <w:rsid w:val="55F60C35"/>
    <w:rsid w:val="55F67FAE"/>
    <w:rsid w:val="55F97114"/>
    <w:rsid w:val="55FC6467"/>
    <w:rsid w:val="55FD758F"/>
    <w:rsid w:val="56062E06"/>
    <w:rsid w:val="561072C2"/>
    <w:rsid w:val="56214114"/>
    <w:rsid w:val="5621502B"/>
    <w:rsid w:val="56226FF5"/>
    <w:rsid w:val="5634522F"/>
    <w:rsid w:val="56352885"/>
    <w:rsid w:val="563665FD"/>
    <w:rsid w:val="56424FA2"/>
    <w:rsid w:val="564725B8"/>
    <w:rsid w:val="5658335A"/>
    <w:rsid w:val="56660C90"/>
    <w:rsid w:val="56707D61"/>
    <w:rsid w:val="568D4EDB"/>
    <w:rsid w:val="568E6439"/>
    <w:rsid w:val="568F468B"/>
    <w:rsid w:val="569021B1"/>
    <w:rsid w:val="569A4DDE"/>
    <w:rsid w:val="56AE2637"/>
    <w:rsid w:val="56B2066F"/>
    <w:rsid w:val="56B45E9F"/>
    <w:rsid w:val="56C37E91"/>
    <w:rsid w:val="56CB4F97"/>
    <w:rsid w:val="56D0377C"/>
    <w:rsid w:val="56D95906"/>
    <w:rsid w:val="570C1274"/>
    <w:rsid w:val="572648C3"/>
    <w:rsid w:val="57342B3C"/>
    <w:rsid w:val="573963A5"/>
    <w:rsid w:val="574F7976"/>
    <w:rsid w:val="575431DF"/>
    <w:rsid w:val="575925A3"/>
    <w:rsid w:val="575E22AF"/>
    <w:rsid w:val="57634E1A"/>
    <w:rsid w:val="5765719A"/>
    <w:rsid w:val="5766493A"/>
    <w:rsid w:val="57684EDC"/>
    <w:rsid w:val="576C677A"/>
    <w:rsid w:val="576F626A"/>
    <w:rsid w:val="5774562F"/>
    <w:rsid w:val="578810DA"/>
    <w:rsid w:val="578D1785"/>
    <w:rsid w:val="579B33D3"/>
    <w:rsid w:val="579C2278"/>
    <w:rsid w:val="57A557E8"/>
    <w:rsid w:val="57A56669"/>
    <w:rsid w:val="57A9024A"/>
    <w:rsid w:val="57B40E8F"/>
    <w:rsid w:val="57B7551B"/>
    <w:rsid w:val="57BE5435"/>
    <w:rsid w:val="57C739B1"/>
    <w:rsid w:val="57CC7219"/>
    <w:rsid w:val="57CE11E3"/>
    <w:rsid w:val="57CF0AB7"/>
    <w:rsid w:val="57D165DD"/>
    <w:rsid w:val="57D32355"/>
    <w:rsid w:val="57D8796C"/>
    <w:rsid w:val="57F347A6"/>
    <w:rsid w:val="57FD3876"/>
    <w:rsid w:val="58040325"/>
    <w:rsid w:val="58065367"/>
    <w:rsid w:val="581B17A6"/>
    <w:rsid w:val="581B5AAA"/>
    <w:rsid w:val="582C415B"/>
    <w:rsid w:val="58360B36"/>
    <w:rsid w:val="584368A2"/>
    <w:rsid w:val="585C67EF"/>
    <w:rsid w:val="5862192B"/>
    <w:rsid w:val="586631C9"/>
    <w:rsid w:val="586A7ED7"/>
    <w:rsid w:val="58773629"/>
    <w:rsid w:val="587D49B7"/>
    <w:rsid w:val="58A61818"/>
    <w:rsid w:val="58A67A6A"/>
    <w:rsid w:val="58A81A34"/>
    <w:rsid w:val="58B54151"/>
    <w:rsid w:val="58BA07B7"/>
    <w:rsid w:val="58BA3515"/>
    <w:rsid w:val="58BC103B"/>
    <w:rsid w:val="58BD00DC"/>
    <w:rsid w:val="58BD4DB3"/>
    <w:rsid w:val="58BD4DBE"/>
    <w:rsid w:val="58BF28DA"/>
    <w:rsid w:val="58C85C32"/>
    <w:rsid w:val="58D04AE7"/>
    <w:rsid w:val="58E10AA2"/>
    <w:rsid w:val="58E30CBE"/>
    <w:rsid w:val="58EB1921"/>
    <w:rsid w:val="58F01B88"/>
    <w:rsid w:val="5920225C"/>
    <w:rsid w:val="59232E69"/>
    <w:rsid w:val="59260BAB"/>
    <w:rsid w:val="5937022E"/>
    <w:rsid w:val="593B28A8"/>
    <w:rsid w:val="593C217C"/>
    <w:rsid w:val="594554D5"/>
    <w:rsid w:val="594C1E89"/>
    <w:rsid w:val="594D3367"/>
    <w:rsid w:val="59527BF2"/>
    <w:rsid w:val="59570D64"/>
    <w:rsid w:val="59684D1F"/>
    <w:rsid w:val="599E2E37"/>
    <w:rsid w:val="59A0095D"/>
    <w:rsid w:val="59AA17DC"/>
    <w:rsid w:val="59CF48FC"/>
    <w:rsid w:val="59E83671"/>
    <w:rsid w:val="5A0E4489"/>
    <w:rsid w:val="5A151CDB"/>
    <w:rsid w:val="5A1E1882"/>
    <w:rsid w:val="5A494B51"/>
    <w:rsid w:val="5A520603"/>
    <w:rsid w:val="5A557999"/>
    <w:rsid w:val="5A6F5836"/>
    <w:rsid w:val="5A726E5B"/>
    <w:rsid w:val="5A7871E4"/>
    <w:rsid w:val="5A843DDB"/>
    <w:rsid w:val="5A8E4D36"/>
    <w:rsid w:val="5A8F7D8D"/>
    <w:rsid w:val="5AD05272"/>
    <w:rsid w:val="5AE160B3"/>
    <w:rsid w:val="5AE26D53"/>
    <w:rsid w:val="5AED1980"/>
    <w:rsid w:val="5AEE9866"/>
    <w:rsid w:val="5AFA6F68"/>
    <w:rsid w:val="5AFF7905"/>
    <w:rsid w:val="5B052529"/>
    <w:rsid w:val="5B136F0D"/>
    <w:rsid w:val="5B1F58B2"/>
    <w:rsid w:val="5B2335F4"/>
    <w:rsid w:val="5B2A1968"/>
    <w:rsid w:val="5B2D4472"/>
    <w:rsid w:val="5B38460D"/>
    <w:rsid w:val="5B3F7D02"/>
    <w:rsid w:val="5B480C66"/>
    <w:rsid w:val="5B4F43E9"/>
    <w:rsid w:val="5B5A3CEF"/>
    <w:rsid w:val="5B5E63DA"/>
    <w:rsid w:val="5B7B3430"/>
    <w:rsid w:val="5B7E082A"/>
    <w:rsid w:val="5B88509D"/>
    <w:rsid w:val="5BB26726"/>
    <w:rsid w:val="5BB406F0"/>
    <w:rsid w:val="5BB45DCE"/>
    <w:rsid w:val="5BBC1352"/>
    <w:rsid w:val="5BC546AB"/>
    <w:rsid w:val="5BCA3A6F"/>
    <w:rsid w:val="5BCD17B1"/>
    <w:rsid w:val="5BD14DFE"/>
    <w:rsid w:val="5BDE576D"/>
    <w:rsid w:val="5BE25396"/>
    <w:rsid w:val="5BE37641"/>
    <w:rsid w:val="5BEC7E8A"/>
    <w:rsid w:val="5BF8682E"/>
    <w:rsid w:val="5BFE5E0F"/>
    <w:rsid w:val="5BFFB4B3"/>
    <w:rsid w:val="5C0A6562"/>
    <w:rsid w:val="5C14118E"/>
    <w:rsid w:val="5C182A2D"/>
    <w:rsid w:val="5C1949F7"/>
    <w:rsid w:val="5C1B251D"/>
    <w:rsid w:val="5C2A2760"/>
    <w:rsid w:val="5C390BF5"/>
    <w:rsid w:val="5C533A65"/>
    <w:rsid w:val="5C58551F"/>
    <w:rsid w:val="5C643EC4"/>
    <w:rsid w:val="5C6E6AF1"/>
    <w:rsid w:val="5C763BF7"/>
    <w:rsid w:val="5C7AD2E5"/>
    <w:rsid w:val="5C7E485A"/>
    <w:rsid w:val="5C887CBA"/>
    <w:rsid w:val="5C924BA2"/>
    <w:rsid w:val="5C9B540C"/>
    <w:rsid w:val="5CA72002"/>
    <w:rsid w:val="5CAA3FA7"/>
    <w:rsid w:val="5CB376A5"/>
    <w:rsid w:val="5CBE327B"/>
    <w:rsid w:val="5CBF734C"/>
    <w:rsid w:val="5CCE57E1"/>
    <w:rsid w:val="5CD01559"/>
    <w:rsid w:val="5CD8040E"/>
    <w:rsid w:val="5CDD3C76"/>
    <w:rsid w:val="5CE62B2B"/>
    <w:rsid w:val="5CF60894"/>
    <w:rsid w:val="5D080CF3"/>
    <w:rsid w:val="5D0B07E3"/>
    <w:rsid w:val="5D0E3E30"/>
    <w:rsid w:val="5D1C6DB3"/>
    <w:rsid w:val="5D1F603D"/>
    <w:rsid w:val="5D245401"/>
    <w:rsid w:val="5D3C0503"/>
    <w:rsid w:val="5D3C099D"/>
    <w:rsid w:val="5D4B0BE0"/>
    <w:rsid w:val="5D50189C"/>
    <w:rsid w:val="5D5F835B"/>
    <w:rsid w:val="5D665A1A"/>
    <w:rsid w:val="5D743159"/>
    <w:rsid w:val="5D746389"/>
    <w:rsid w:val="5D883BE2"/>
    <w:rsid w:val="5D8D2FA6"/>
    <w:rsid w:val="5D9C5497"/>
    <w:rsid w:val="5DA327CA"/>
    <w:rsid w:val="5DB03139"/>
    <w:rsid w:val="5DB20C5F"/>
    <w:rsid w:val="5DB26EB1"/>
    <w:rsid w:val="5DB75972"/>
    <w:rsid w:val="5DBC388C"/>
    <w:rsid w:val="5DC34C1A"/>
    <w:rsid w:val="5DC664B8"/>
    <w:rsid w:val="5DCF35BF"/>
    <w:rsid w:val="5DD76917"/>
    <w:rsid w:val="5DDC69E8"/>
    <w:rsid w:val="5DDD2180"/>
    <w:rsid w:val="5DE74DAC"/>
    <w:rsid w:val="5DED613B"/>
    <w:rsid w:val="5DF272AD"/>
    <w:rsid w:val="5DF35FE0"/>
    <w:rsid w:val="5E024645"/>
    <w:rsid w:val="5E08087F"/>
    <w:rsid w:val="5E115985"/>
    <w:rsid w:val="5E20206C"/>
    <w:rsid w:val="5E3C677A"/>
    <w:rsid w:val="5E4538A8"/>
    <w:rsid w:val="5E5D6E1D"/>
    <w:rsid w:val="5E7062EB"/>
    <w:rsid w:val="5E745F14"/>
    <w:rsid w:val="5E7B37A8"/>
    <w:rsid w:val="5E806F6F"/>
    <w:rsid w:val="5E8E347A"/>
    <w:rsid w:val="5EA762EA"/>
    <w:rsid w:val="5EB36A3D"/>
    <w:rsid w:val="5EBFEABE"/>
    <w:rsid w:val="5EC22ACD"/>
    <w:rsid w:val="5EC76FEF"/>
    <w:rsid w:val="5ED30E8D"/>
    <w:rsid w:val="5ED54C05"/>
    <w:rsid w:val="5F074FDA"/>
    <w:rsid w:val="5F0B4ACB"/>
    <w:rsid w:val="5F13397F"/>
    <w:rsid w:val="5F180F96"/>
    <w:rsid w:val="5F1C6CD8"/>
    <w:rsid w:val="5F2E2567"/>
    <w:rsid w:val="5F37326D"/>
    <w:rsid w:val="5F38637A"/>
    <w:rsid w:val="5F5712EE"/>
    <w:rsid w:val="5F702B80"/>
    <w:rsid w:val="5F73441E"/>
    <w:rsid w:val="5F750926"/>
    <w:rsid w:val="5F7A39FE"/>
    <w:rsid w:val="5F7C7776"/>
    <w:rsid w:val="5F8B1768"/>
    <w:rsid w:val="5F9D4DA8"/>
    <w:rsid w:val="5FAB005C"/>
    <w:rsid w:val="5FB751EF"/>
    <w:rsid w:val="5FBB6258"/>
    <w:rsid w:val="5FBC2B14"/>
    <w:rsid w:val="5FBC7B73"/>
    <w:rsid w:val="5FC74B65"/>
    <w:rsid w:val="5FCA4FBF"/>
    <w:rsid w:val="5FD01870"/>
    <w:rsid w:val="5FD255E8"/>
    <w:rsid w:val="5FDC5F0D"/>
    <w:rsid w:val="5FE1582B"/>
    <w:rsid w:val="5FE315A4"/>
    <w:rsid w:val="5FEC59D3"/>
    <w:rsid w:val="5FF217E7"/>
    <w:rsid w:val="5FF732A1"/>
    <w:rsid w:val="5FF76DFD"/>
    <w:rsid w:val="60240307"/>
    <w:rsid w:val="60285208"/>
    <w:rsid w:val="603E4A2C"/>
    <w:rsid w:val="604007A4"/>
    <w:rsid w:val="60402552"/>
    <w:rsid w:val="604A1623"/>
    <w:rsid w:val="604C539B"/>
    <w:rsid w:val="60590E6C"/>
    <w:rsid w:val="605D3104"/>
    <w:rsid w:val="605F5EC3"/>
    <w:rsid w:val="606326E4"/>
    <w:rsid w:val="60657EB1"/>
    <w:rsid w:val="607641C6"/>
    <w:rsid w:val="607E12CC"/>
    <w:rsid w:val="60803296"/>
    <w:rsid w:val="6094289E"/>
    <w:rsid w:val="609805E0"/>
    <w:rsid w:val="609C3503"/>
    <w:rsid w:val="60BB7E2A"/>
    <w:rsid w:val="60BC04C4"/>
    <w:rsid w:val="60BC2B7B"/>
    <w:rsid w:val="60D61108"/>
    <w:rsid w:val="60E23609"/>
    <w:rsid w:val="60F60C59"/>
    <w:rsid w:val="610F0176"/>
    <w:rsid w:val="61161505"/>
    <w:rsid w:val="611B4D6D"/>
    <w:rsid w:val="61355E2F"/>
    <w:rsid w:val="613A51F3"/>
    <w:rsid w:val="614B5652"/>
    <w:rsid w:val="61564616"/>
    <w:rsid w:val="615F4C5A"/>
    <w:rsid w:val="61671D60"/>
    <w:rsid w:val="617821BF"/>
    <w:rsid w:val="618172C6"/>
    <w:rsid w:val="6186668A"/>
    <w:rsid w:val="619012B7"/>
    <w:rsid w:val="61B836BE"/>
    <w:rsid w:val="61BB5C6C"/>
    <w:rsid w:val="61C3343B"/>
    <w:rsid w:val="61CA333F"/>
    <w:rsid w:val="61DC62AA"/>
    <w:rsid w:val="61DF7322"/>
    <w:rsid w:val="61EE0BB8"/>
    <w:rsid w:val="61EF2482"/>
    <w:rsid w:val="61F5736C"/>
    <w:rsid w:val="62037CDB"/>
    <w:rsid w:val="6208709F"/>
    <w:rsid w:val="620D46B6"/>
    <w:rsid w:val="621267CD"/>
    <w:rsid w:val="62285994"/>
    <w:rsid w:val="622C5484"/>
    <w:rsid w:val="622E3BFA"/>
    <w:rsid w:val="624F2F20"/>
    <w:rsid w:val="625D3847"/>
    <w:rsid w:val="627209BD"/>
    <w:rsid w:val="62726C0F"/>
    <w:rsid w:val="62782477"/>
    <w:rsid w:val="627E068F"/>
    <w:rsid w:val="628A03FC"/>
    <w:rsid w:val="62970423"/>
    <w:rsid w:val="62A56FE4"/>
    <w:rsid w:val="62A6082C"/>
    <w:rsid w:val="62B92A90"/>
    <w:rsid w:val="62BB7F8A"/>
    <w:rsid w:val="62BF3F7B"/>
    <w:rsid w:val="62C22EE5"/>
    <w:rsid w:val="62C27B96"/>
    <w:rsid w:val="62C54880"/>
    <w:rsid w:val="62C80A33"/>
    <w:rsid w:val="62CB68ED"/>
    <w:rsid w:val="62D17DD9"/>
    <w:rsid w:val="62D35760"/>
    <w:rsid w:val="62D84CC4"/>
    <w:rsid w:val="62ED4B2B"/>
    <w:rsid w:val="62F022F5"/>
    <w:rsid w:val="62F4112C"/>
    <w:rsid w:val="62F538E1"/>
    <w:rsid w:val="62F835B8"/>
    <w:rsid w:val="62FA0C98"/>
    <w:rsid w:val="63097573"/>
    <w:rsid w:val="631657EC"/>
    <w:rsid w:val="631739A6"/>
    <w:rsid w:val="6329551F"/>
    <w:rsid w:val="632C3261"/>
    <w:rsid w:val="632C5010"/>
    <w:rsid w:val="634B193A"/>
    <w:rsid w:val="63513C84"/>
    <w:rsid w:val="635602DE"/>
    <w:rsid w:val="635A7DCF"/>
    <w:rsid w:val="635F7193"/>
    <w:rsid w:val="63662497"/>
    <w:rsid w:val="636649C5"/>
    <w:rsid w:val="63693782"/>
    <w:rsid w:val="63710DF7"/>
    <w:rsid w:val="63750765"/>
    <w:rsid w:val="637B6EC6"/>
    <w:rsid w:val="637F7835"/>
    <w:rsid w:val="63807109"/>
    <w:rsid w:val="638210D3"/>
    <w:rsid w:val="63866E40"/>
    <w:rsid w:val="63936E3D"/>
    <w:rsid w:val="639A466F"/>
    <w:rsid w:val="639F61AC"/>
    <w:rsid w:val="63AD611F"/>
    <w:rsid w:val="63AE011A"/>
    <w:rsid w:val="63AE1EC8"/>
    <w:rsid w:val="63B12090"/>
    <w:rsid w:val="63B55005"/>
    <w:rsid w:val="63C158E9"/>
    <w:rsid w:val="63D3192F"/>
    <w:rsid w:val="63D80CF3"/>
    <w:rsid w:val="63DA6CC5"/>
    <w:rsid w:val="63DF4CBC"/>
    <w:rsid w:val="63DF6526"/>
    <w:rsid w:val="63E85859"/>
    <w:rsid w:val="63EB0A27"/>
    <w:rsid w:val="63F35B2D"/>
    <w:rsid w:val="63FA510E"/>
    <w:rsid w:val="63FA6EBC"/>
    <w:rsid w:val="64087C2C"/>
    <w:rsid w:val="643028DD"/>
    <w:rsid w:val="643423CE"/>
    <w:rsid w:val="645760BC"/>
    <w:rsid w:val="645C1924"/>
    <w:rsid w:val="645E6426"/>
    <w:rsid w:val="6468651C"/>
    <w:rsid w:val="64713622"/>
    <w:rsid w:val="647B624F"/>
    <w:rsid w:val="647C1FA9"/>
    <w:rsid w:val="64803865"/>
    <w:rsid w:val="64A37553"/>
    <w:rsid w:val="64B058C7"/>
    <w:rsid w:val="64BB76D0"/>
    <w:rsid w:val="64C30230"/>
    <w:rsid w:val="64C33752"/>
    <w:rsid w:val="64C51278"/>
    <w:rsid w:val="64DB4F3F"/>
    <w:rsid w:val="64E4376B"/>
    <w:rsid w:val="64F8789F"/>
    <w:rsid w:val="6502427A"/>
    <w:rsid w:val="650A66F6"/>
    <w:rsid w:val="65115D99"/>
    <w:rsid w:val="6518584B"/>
    <w:rsid w:val="651B1E5A"/>
    <w:rsid w:val="651E6BDA"/>
    <w:rsid w:val="651FB5F3"/>
    <w:rsid w:val="652B51D9"/>
    <w:rsid w:val="6530528B"/>
    <w:rsid w:val="65322667"/>
    <w:rsid w:val="65340FB0"/>
    <w:rsid w:val="65417250"/>
    <w:rsid w:val="654900FB"/>
    <w:rsid w:val="6550475A"/>
    <w:rsid w:val="65510D5D"/>
    <w:rsid w:val="655D5954"/>
    <w:rsid w:val="655F791E"/>
    <w:rsid w:val="659B022A"/>
    <w:rsid w:val="659D21F5"/>
    <w:rsid w:val="65A92947"/>
    <w:rsid w:val="65B31A18"/>
    <w:rsid w:val="65CB4FB4"/>
    <w:rsid w:val="65CE23AE"/>
    <w:rsid w:val="65D33E68"/>
    <w:rsid w:val="65E63B9C"/>
    <w:rsid w:val="65F067C8"/>
    <w:rsid w:val="65F455F9"/>
    <w:rsid w:val="65F71905"/>
    <w:rsid w:val="65FC5E46"/>
    <w:rsid w:val="661F2C0A"/>
    <w:rsid w:val="662338BA"/>
    <w:rsid w:val="662F5543"/>
    <w:rsid w:val="66383CCB"/>
    <w:rsid w:val="664773D7"/>
    <w:rsid w:val="665E3732"/>
    <w:rsid w:val="666176C6"/>
    <w:rsid w:val="66636F9A"/>
    <w:rsid w:val="66666A8A"/>
    <w:rsid w:val="6667175C"/>
    <w:rsid w:val="666B5E4F"/>
    <w:rsid w:val="66756CCD"/>
    <w:rsid w:val="66882EA5"/>
    <w:rsid w:val="66887C83"/>
    <w:rsid w:val="668F5FE1"/>
    <w:rsid w:val="66925AD1"/>
    <w:rsid w:val="66A82BFF"/>
    <w:rsid w:val="66AA2E1B"/>
    <w:rsid w:val="66AF3F8D"/>
    <w:rsid w:val="66B721F3"/>
    <w:rsid w:val="66B772E6"/>
    <w:rsid w:val="66BA1100"/>
    <w:rsid w:val="66BB0F04"/>
    <w:rsid w:val="66BC48FC"/>
    <w:rsid w:val="66C814F3"/>
    <w:rsid w:val="66C832A1"/>
    <w:rsid w:val="66D71736"/>
    <w:rsid w:val="66DB2FD4"/>
    <w:rsid w:val="66DF0D5C"/>
    <w:rsid w:val="66E00291"/>
    <w:rsid w:val="66E856F1"/>
    <w:rsid w:val="66E8749F"/>
    <w:rsid w:val="66ED0F5A"/>
    <w:rsid w:val="66F422E8"/>
    <w:rsid w:val="67010561"/>
    <w:rsid w:val="67013016"/>
    <w:rsid w:val="6703252B"/>
    <w:rsid w:val="67110DC2"/>
    <w:rsid w:val="671B5AC7"/>
    <w:rsid w:val="67256946"/>
    <w:rsid w:val="67263F46"/>
    <w:rsid w:val="672F50CE"/>
    <w:rsid w:val="67332E10"/>
    <w:rsid w:val="6744501E"/>
    <w:rsid w:val="6745396E"/>
    <w:rsid w:val="67486190"/>
    <w:rsid w:val="675445CD"/>
    <w:rsid w:val="67605C0E"/>
    <w:rsid w:val="67611D55"/>
    <w:rsid w:val="677564D7"/>
    <w:rsid w:val="67866389"/>
    <w:rsid w:val="678D5748"/>
    <w:rsid w:val="679D028A"/>
    <w:rsid w:val="67A7581C"/>
    <w:rsid w:val="67B6134C"/>
    <w:rsid w:val="67B850C4"/>
    <w:rsid w:val="67DC3DF5"/>
    <w:rsid w:val="67E10ABE"/>
    <w:rsid w:val="67E61C31"/>
    <w:rsid w:val="67EE6029"/>
    <w:rsid w:val="67F14C93"/>
    <w:rsid w:val="680A5DCC"/>
    <w:rsid w:val="68212C69"/>
    <w:rsid w:val="6826255D"/>
    <w:rsid w:val="683747AE"/>
    <w:rsid w:val="68460921"/>
    <w:rsid w:val="68464643"/>
    <w:rsid w:val="684F3C7A"/>
    <w:rsid w:val="6855023B"/>
    <w:rsid w:val="68572B2F"/>
    <w:rsid w:val="685C6397"/>
    <w:rsid w:val="685E5C6B"/>
    <w:rsid w:val="68660FC4"/>
    <w:rsid w:val="687E630D"/>
    <w:rsid w:val="688776ED"/>
    <w:rsid w:val="68882CE8"/>
    <w:rsid w:val="68A51AEC"/>
    <w:rsid w:val="68C042EE"/>
    <w:rsid w:val="68C857DA"/>
    <w:rsid w:val="68CA3301"/>
    <w:rsid w:val="68D4417F"/>
    <w:rsid w:val="68DD74D8"/>
    <w:rsid w:val="68E007DF"/>
    <w:rsid w:val="68E212C0"/>
    <w:rsid w:val="68E61B37"/>
    <w:rsid w:val="68EE40C0"/>
    <w:rsid w:val="68F47416"/>
    <w:rsid w:val="68F61F94"/>
    <w:rsid w:val="68F87276"/>
    <w:rsid w:val="691B1DAE"/>
    <w:rsid w:val="691E53FA"/>
    <w:rsid w:val="69392234"/>
    <w:rsid w:val="69407A67"/>
    <w:rsid w:val="6953779A"/>
    <w:rsid w:val="695D4175"/>
    <w:rsid w:val="69601EB7"/>
    <w:rsid w:val="696574CD"/>
    <w:rsid w:val="696C260A"/>
    <w:rsid w:val="698A2A90"/>
    <w:rsid w:val="69A26EC4"/>
    <w:rsid w:val="69A476D9"/>
    <w:rsid w:val="69A71894"/>
    <w:rsid w:val="69B33D95"/>
    <w:rsid w:val="69CA774D"/>
    <w:rsid w:val="69E20B1E"/>
    <w:rsid w:val="69E2467A"/>
    <w:rsid w:val="69EC72A7"/>
    <w:rsid w:val="69F544E6"/>
    <w:rsid w:val="6A1D643E"/>
    <w:rsid w:val="6A2353BE"/>
    <w:rsid w:val="6A31115D"/>
    <w:rsid w:val="6A3C1FDC"/>
    <w:rsid w:val="6A3E376A"/>
    <w:rsid w:val="6A445335"/>
    <w:rsid w:val="6A4A07BE"/>
    <w:rsid w:val="6A5F4DAD"/>
    <w:rsid w:val="6A6D5027"/>
    <w:rsid w:val="6A876FCF"/>
    <w:rsid w:val="6A8776E6"/>
    <w:rsid w:val="6A9516EC"/>
    <w:rsid w:val="6A955B90"/>
    <w:rsid w:val="6A9A31A7"/>
    <w:rsid w:val="6AA06A0F"/>
    <w:rsid w:val="6AA33E09"/>
    <w:rsid w:val="6AA447AA"/>
    <w:rsid w:val="6AA87672"/>
    <w:rsid w:val="6AB46016"/>
    <w:rsid w:val="6ACA583A"/>
    <w:rsid w:val="6AD20B92"/>
    <w:rsid w:val="6AE461D0"/>
    <w:rsid w:val="6AE46E3C"/>
    <w:rsid w:val="6AF01018"/>
    <w:rsid w:val="6AF11C0B"/>
    <w:rsid w:val="6AF91C7B"/>
    <w:rsid w:val="6B075151"/>
    <w:rsid w:val="6B146AB5"/>
    <w:rsid w:val="6B180D33"/>
    <w:rsid w:val="6B282560"/>
    <w:rsid w:val="6B4E646B"/>
    <w:rsid w:val="6B6A2B79"/>
    <w:rsid w:val="6B6E799E"/>
    <w:rsid w:val="6B735ED1"/>
    <w:rsid w:val="6B767770"/>
    <w:rsid w:val="6B7834E8"/>
    <w:rsid w:val="6B7C05F7"/>
    <w:rsid w:val="6B924F89"/>
    <w:rsid w:val="6B9A16B0"/>
    <w:rsid w:val="6BA02A3F"/>
    <w:rsid w:val="6BAD3A00"/>
    <w:rsid w:val="6BAE0CB8"/>
    <w:rsid w:val="6BC32105"/>
    <w:rsid w:val="6BC95AF1"/>
    <w:rsid w:val="6BCE135A"/>
    <w:rsid w:val="6C0528A2"/>
    <w:rsid w:val="6C066D46"/>
    <w:rsid w:val="6C0E5BFA"/>
    <w:rsid w:val="6C111246"/>
    <w:rsid w:val="6C1A70D2"/>
    <w:rsid w:val="6C305B70"/>
    <w:rsid w:val="6C386DFB"/>
    <w:rsid w:val="6C477619"/>
    <w:rsid w:val="6C4E249B"/>
    <w:rsid w:val="6C557385"/>
    <w:rsid w:val="6C627CF4"/>
    <w:rsid w:val="6C6E6699"/>
    <w:rsid w:val="6C7A0F7D"/>
    <w:rsid w:val="6C841A18"/>
    <w:rsid w:val="6C8859AD"/>
    <w:rsid w:val="6C8C6B1F"/>
    <w:rsid w:val="6C8E0AE9"/>
    <w:rsid w:val="6C9D1138"/>
    <w:rsid w:val="6CA81BAB"/>
    <w:rsid w:val="6CAB51F7"/>
    <w:rsid w:val="6CAF07BA"/>
    <w:rsid w:val="6CB7492C"/>
    <w:rsid w:val="6CBE13CE"/>
    <w:rsid w:val="6CBF0CA2"/>
    <w:rsid w:val="6CC22541"/>
    <w:rsid w:val="6CD36534"/>
    <w:rsid w:val="6CE93F71"/>
    <w:rsid w:val="6CEB7E0F"/>
    <w:rsid w:val="6CF44DF0"/>
    <w:rsid w:val="6CFA1CDB"/>
    <w:rsid w:val="6CFF313F"/>
    <w:rsid w:val="6D01750D"/>
    <w:rsid w:val="6D147240"/>
    <w:rsid w:val="6D3B345F"/>
    <w:rsid w:val="6D446CDF"/>
    <w:rsid w:val="6D48513C"/>
    <w:rsid w:val="6D5E670D"/>
    <w:rsid w:val="6D601DA1"/>
    <w:rsid w:val="6D6B0A08"/>
    <w:rsid w:val="6D7952F5"/>
    <w:rsid w:val="6D7C6B93"/>
    <w:rsid w:val="6D7D64CF"/>
    <w:rsid w:val="6D89465E"/>
    <w:rsid w:val="6D8A305E"/>
    <w:rsid w:val="6D8E68C7"/>
    <w:rsid w:val="6D9B6C43"/>
    <w:rsid w:val="6D9E4D5C"/>
    <w:rsid w:val="6DAC1227"/>
    <w:rsid w:val="6DBD1686"/>
    <w:rsid w:val="6DBD3434"/>
    <w:rsid w:val="6DBE0F5A"/>
    <w:rsid w:val="6DDB1B0C"/>
    <w:rsid w:val="6DDD3198"/>
    <w:rsid w:val="6DE818EA"/>
    <w:rsid w:val="6DF350A8"/>
    <w:rsid w:val="6E070B53"/>
    <w:rsid w:val="6E0E22A8"/>
    <w:rsid w:val="6E0F17B6"/>
    <w:rsid w:val="6E11552E"/>
    <w:rsid w:val="6E241705"/>
    <w:rsid w:val="6E292877"/>
    <w:rsid w:val="6E3D1FD3"/>
    <w:rsid w:val="6E3D27C7"/>
    <w:rsid w:val="6E4476B1"/>
    <w:rsid w:val="6E4753F3"/>
    <w:rsid w:val="6E492F1A"/>
    <w:rsid w:val="6E560540"/>
    <w:rsid w:val="6E5C4A12"/>
    <w:rsid w:val="6E600263"/>
    <w:rsid w:val="6E6B7334"/>
    <w:rsid w:val="6E732CC4"/>
    <w:rsid w:val="6E761835"/>
    <w:rsid w:val="6E78084B"/>
    <w:rsid w:val="6E7965FC"/>
    <w:rsid w:val="6E8C2E06"/>
    <w:rsid w:val="6E9028F6"/>
    <w:rsid w:val="6E9C74ED"/>
    <w:rsid w:val="6EA60FA1"/>
    <w:rsid w:val="6EAC5256"/>
    <w:rsid w:val="6EB32A89"/>
    <w:rsid w:val="6EC72090"/>
    <w:rsid w:val="6ED30A35"/>
    <w:rsid w:val="6ED8604B"/>
    <w:rsid w:val="6EEB5D7F"/>
    <w:rsid w:val="6EF00F1F"/>
    <w:rsid w:val="6EF07839"/>
    <w:rsid w:val="6F06705D"/>
    <w:rsid w:val="6F0B4673"/>
    <w:rsid w:val="6F0F4163"/>
    <w:rsid w:val="6F1A48B6"/>
    <w:rsid w:val="6F1D1C68"/>
    <w:rsid w:val="6F345978"/>
    <w:rsid w:val="6F5558EE"/>
    <w:rsid w:val="6F6124E5"/>
    <w:rsid w:val="6F63000B"/>
    <w:rsid w:val="6F631DB9"/>
    <w:rsid w:val="6F653BCF"/>
    <w:rsid w:val="6F7915DC"/>
    <w:rsid w:val="6F7BA534"/>
    <w:rsid w:val="6F8306AD"/>
    <w:rsid w:val="6F9401C4"/>
    <w:rsid w:val="6F9802C5"/>
    <w:rsid w:val="6FAB07A1"/>
    <w:rsid w:val="6FAD1286"/>
    <w:rsid w:val="6FB46AB9"/>
    <w:rsid w:val="6FC62348"/>
    <w:rsid w:val="6FD11419"/>
    <w:rsid w:val="6FD827A7"/>
    <w:rsid w:val="6FDB399B"/>
    <w:rsid w:val="6FE23626"/>
    <w:rsid w:val="6FE70C3C"/>
    <w:rsid w:val="6FED3D79"/>
    <w:rsid w:val="6FF70753"/>
    <w:rsid w:val="6FFE7D34"/>
    <w:rsid w:val="6FFF995E"/>
    <w:rsid w:val="70061DD5"/>
    <w:rsid w:val="700977B9"/>
    <w:rsid w:val="70117A67"/>
    <w:rsid w:val="70187047"/>
    <w:rsid w:val="7020414E"/>
    <w:rsid w:val="70207CAA"/>
    <w:rsid w:val="70291255"/>
    <w:rsid w:val="70357BF9"/>
    <w:rsid w:val="7047792D"/>
    <w:rsid w:val="70480FAF"/>
    <w:rsid w:val="70645DE9"/>
    <w:rsid w:val="707460A2"/>
    <w:rsid w:val="70880B12"/>
    <w:rsid w:val="708B5A6B"/>
    <w:rsid w:val="708E730A"/>
    <w:rsid w:val="709D754D"/>
    <w:rsid w:val="70A47C58"/>
    <w:rsid w:val="70AD3C34"/>
    <w:rsid w:val="70B2124A"/>
    <w:rsid w:val="70B76860"/>
    <w:rsid w:val="70B84386"/>
    <w:rsid w:val="70CC2206"/>
    <w:rsid w:val="70D2369A"/>
    <w:rsid w:val="70DA60AB"/>
    <w:rsid w:val="70E46F2A"/>
    <w:rsid w:val="70FC4273"/>
    <w:rsid w:val="711F7F62"/>
    <w:rsid w:val="71245578"/>
    <w:rsid w:val="712673C7"/>
    <w:rsid w:val="712B2DAA"/>
    <w:rsid w:val="712D08D1"/>
    <w:rsid w:val="7148570A"/>
    <w:rsid w:val="715B3690"/>
    <w:rsid w:val="715E6CDC"/>
    <w:rsid w:val="71601B0A"/>
    <w:rsid w:val="716658D8"/>
    <w:rsid w:val="71724535"/>
    <w:rsid w:val="71771B4C"/>
    <w:rsid w:val="71777D9E"/>
    <w:rsid w:val="717D1E70"/>
    <w:rsid w:val="718030F6"/>
    <w:rsid w:val="718524BB"/>
    <w:rsid w:val="719941B8"/>
    <w:rsid w:val="719C7804"/>
    <w:rsid w:val="71AA1F21"/>
    <w:rsid w:val="71B52674"/>
    <w:rsid w:val="71C13CE9"/>
    <w:rsid w:val="71DB3E88"/>
    <w:rsid w:val="71E72C94"/>
    <w:rsid w:val="71F36811"/>
    <w:rsid w:val="720535FB"/>
    <w:rsid w:val="720C491E"/>
    <w:rsid w:val="722515A8"/>
    <w:rsid w:val="722717C4"/>
    <w:rsid w:val="723A2DA8"/>
    <w:rsid w:val="72436A93"/>
    <w:rsid w:val="72460640"/>
    <w:rsid w:val="7249173A"/>
    <w:rsid w:val="724C2FD8"/>
    <w:rsid w:val="724F2AC9"/>
    <w:rsid w:val="725956F5"/>
    <w:rsid w:val="725B2B3B"/>
    <w:rsid w:val="72604CD6"/>
    <w:rsid w:val="72634067"/>
    <w:rsid w:val="72640322"/>
    <w:rsid w:val="726E117A"/>
    <w:rsid w:val="72705062"/>
    <w:rsid w:val="72716493"/>
    <w:rsid w:val="727610DE"/>
    <w:rsid w:val="728269FA"/>
    <w:rsid w:val="728564EA"/>
    <w:rsid w:val="728A3B01"/>
    <w:rsid w:val="728B1D53"/>
    <w:rsid w:val="728C1627"/>
    <w:rsid w:val="72916C3D"/>
    <w:rsid w:val="72936E59"/>
    <w:rsid w:val="729721CC"/>
    <w:rsid w:val="72AE5A41"/>
    <w:rsid w:val="72BF37AA"/>
    <w:rsid w:val="72C734DC"/>
    <w:rsid w:val="72CE1C3F"/>
    <w:rsid w:val="72D51220"/>
    <w:rsid w:val="72D96C94"/>
    <w:rsid w:val="72E871A5"/>
    <w:rsid w:val="72E952C2"/>
    <w:rsid w:val="72EE5E3E"/>
    <w:rsid w:val="72F5541E"/>
    <w:rsid w:val="730613D9"/>
    <w:rsid w:val="7315161C"/>
    <w:rsid w:val="73350A06"/>
    <w:rsid w:val="733777E5"/>
    <w:rsid w:val="733A06B3"/>
    <w:rsid w:val="733B4A78"/>
    <w:rsid w:val="733D0B73"/>
    <w:rsid w:val="7349576A"/>
    <w:rsid w:val="7352461E"/>
    <w:rsid w:val="7355410F"/>
    <w:rsid w:val="73591E51"/>
    <w:rsid w:val="735A1725"/>
    <w:rsid w:val="735A34D3"/>
    <w:rsid w:val="735F4F8D"/>
    <w:rsid w:val="7366631C"/>
    <w:rsid w:val="736E2D96"/>
    <w:rsid w:val="737126BD"/>
    <w:rsid w:val="73727918"/>
    <w:rsid w:val="73734595"/>
    <w:rsid w:val="7376697B"/>
    <w:rsid w:val="7399224D"/>
    <w:rsid w:val="739D7782"/>
    <w:rsid w:val="739E1612"/>
    <w:rsid w:val="73A17354"/>
    <w:rsid w:val="73A56E44"/>
    <w:rsid w:val="73A706C7"/>
    <w:rsid w:val="73B01345"/>
    <w:rsid w:val="73B9644B"/>
    <w:rsid w:val="73C3376E"/>
    <w:rsid w:val="73C372CA"/>
    <w:rsid w:val="73C60B68"/>
    <w:rsid w:val="73CA68AB"/>
    <w:rsid w:val="73CB43D1"/>
    <w:rsid w:val="73CD1EF7"/>
    <w:rsid w:val="73DF4A64"/>
    <w:rsid w:val="73F45B84"/>
    <w:rsid w:val="74121311"/>
    <w:rsid w:val="74213FF1"/>
    <w:rsid w:val="74220495"/>
    <w:rsid w:val="742C4E6F"/>
    <w:rsid w:val="742D0BE7"/>
    <w:rsid w:val="74312486"/>
    <w:rsid w:val="7434641A"/>
    <w:rsid w:val="74365CEE"/>
    <w:rsid w:val="744A438B"/>
    <w:rsid w:val="744D4DE6"/>
    <w:rsid w:val="745443C6"/>
    <w:rsid w:val="74546174"/>
    <w:rsid w:val="74606A19"/>
    <w:rsid w:val="74640AAD"/>
    <w:rsid w:val="74652FE8"/>
    <w:rsid w:val="74684BCE"/>
    <w:rsid w:val="7473B658"/>
    <w:rsid w:val="74810B21"/>
    <w:rsid w:val="74920388"/>
    <w:rsid w:val="749300E5"/>
    <w:rsid w:val="74936C9D"/>
    <w:rsid w:val="749649DF"/>
    <w:rsid w:val="749B1FF5"/>
    <w:rsid w:val="74A215D5"/>
    <w:rsid w:val="74AF7363"/>
    <w:rsid w:val="74B35591"/>
    <w:rsid w:val="74B9560C"/>
    <w:rsid w:val="74BD1F6B"/>
    <w:rsid w:val="74C96B62"/>
    <w:rsid w:val="74CA4A99"/>
    <w:rsid w:val="74D07618"/>
    <w:rsid w:val="74DA0D6F"/>
    <w:rsid w:val="74DD45F5"/>
    <w:rsid w:val="74EC5B80"/>
    <w:rsid w:val="74F636CF"/>
    <w:rsid w:val="74F82FA3"/>
    <w:rsid w:val="750000AA"/>
    <w:rsid w:val="751126A4"/>
    <w:rsid w:val="751C1037"/>
    <w:rsid w:val="75241FEA"/>
    <w:rsid w:val="75245231"/>
    <w:rsid w:val="754E350B"/>
    <w:rsid w:val="75502DDF"/>
    <w:rsid w:val="75575F1C"/>
    <w:rsid w:val="75664839"/>
    <w:rsid w:val="75722D56"/>
    <w:rsid w:val="758111EB"/>
    <w:rsid w:val="75976C60"/>
    <w:rsid w:val="75C966D2"/>
    <w:rsid w:val="75DC28C5"/>
    <w:rsid w:val="75DE663D"/>
    <w:rsid w:val="75DF5F11"/>
    <w:rsid w:val="75E16A7C"/>
    <w:rsid w:val="75EA4FE2"/>
    <w:rsid w:val="75F36DE3"/>
    <w:rsid w:val="76077CC8"/>
    <w:rsid w:val="76125EF6"/>
    <w:rsid w:val="762304F4"/>
    <w:rsid w:val="76277FE4"/>
    <w:rsid w:val="762C1346"/>
    <w:rsid w:val="76391AC6"/>
    <w:rsid w:val="763C5112"/>
    <w:rsid w:val="763D7C49"/>
    <w:rsid w:val="763E70DC"/>
    <w:rsid w:val="76564426"/>
    <w:rsid w:val="7657019E"/>
    <w:rsid w:val="765E2A63"/>
    <w:rsid w:val="76623EF9"/>
    <w:rsid w:val="76650B0D"/>
    <w:rsid w:val="76674C06"/>
    <w:rsid w:val="766A6123"/>
    <w:rsid w:val="76703D70"/>
    <w:rsid w:val="76726D86"/>
    <w:rsid w:val="76733229"/>
    <w:rsid w:val="767945B8"/>
    <w:rsid w:val="767D7C04"/>
    <w:rsid w:val="76962A74"/>
    <w:rsid w:val="769B008A"/>
    <w:rsid w:val="769B35AD"/>
    <w:rsid w:val="76A07D97"/>
    <w:rsid w:val="76A9C50E"/>
    <w:rsid w:val="76AB6FB1"/>
    <w:rsid w:val="76B33626"/>
    <w:rsid w:val="76C05D43"/>
    <w:rsid w:val="76C9109B"/>
    <w:rsid w:val="76CA6BC2"/>
    <w:rsid w:val="76E57F62"/>
    <w:rsid w:val="76EE465E"/>
    <w:rsid w:val="76EF35CB"/>
    <w:rsid w:val="76F0487A"/>
    <w:rsid w:val="76F105F2"/>
    <w:rsid w:val="76F9063A"/>
    <w:rsid w:val="76F93003"/>
    <w:rsid w:val="76FA74A7"/>
    <w:rsid w:val="76FE0619"/>
    <w:rsid w:val="77043E82"/>
    <w:rsid w:val="77071BC4"/>
    <w:rsid w:val="770C33E3"/>
    <w:rsid w:val="77204A34"/>
    <w:rsid w:val="772207AC"/>
    <w:rsid w:val="77297D8C"/>
    <w:rsid w:val="772B7660"/>
    <w:rsid w:val="773A78A3"/>
    <w:rsid w:val="77446974"/>
    <w:rsid w:val="77536BB7"/>
    <w:rsid w:val="7755292F"/>
    <w:rsid w:val="775F555C"/>
    <w:rsid w:val="776112D4"/>
    <w:rsid w:val="776B013F"/>
    <w:rsid w:val="777728A5"/>
    <w:rsid w:val="77876861"/>
    <w:rsid w:val="77980A6E"/>
    <w:rsid w:val="779DFD5D"/>
    <w:rsid w:val="77A22DD9"/>
    <w:rsid w:val="77A61681"/>
    <w:rsid w:val="77AC566A"/>
    <w:rsid w:val="77C74EAF"/>
    <w:rsid w:val="77D0645A"/>
    <w:rsid w:val="77DE2925"/>
    <w:rsid w:val="77E1126B"/>
    <w:rsid w:val="77E837A3"/>
    <w:rsid w:val="77EE4F13"/>
    <w:rsid w:val="77F43EF6"/>
    <w:rsid w:val="77FE4D75"/>
    <w:rsid w:val="7803238B"/>
    <w:rsid w:val="78041B5D"/>
    <w:rsid w:val="78160310"/>
    <w:rsid w:val="781C6430"/>
    <w:rsid w:val="78212811"/>
    <w:rsid w:val="78342545"/>
    <w:rsid w:val="783C14CF"/>
    <w:rsid w:val="78434E7D"/>
    <w:rsid w:val="784529A4"/>
    <w:rsid w:val="78631CFD"/>
    <w:rsid w:val="786646C8"/>
    <w:rsid w:val="78691546"/>
    <w:rsid w:val="78762B5D"/>
    <w:rsid w:val="7878384E"/>
    <w:rsid w:val="788D434B"/>
    <w:rsid w:val="78917997"/>
    <w:rsid w:val="78A07BDA"/>
    <w:rsid w:val="78B638A1"/>
    <w:rsid w:val="78C0027C"/>
    <w:rsid w:val="78C338C8"/>
    <w:rsid w:val="78DD3E5D"/>
    <w:rsid w:val="78DF4BA6"/>
    <w:rsid w:val="78EE5041"/>
    <w:rsid w:val="78F700D0"/>
    <w:rsid w:val="78F9378E"/>
    <w:rsid w:val="78FA2B04"/>
    <w:rsid w:val="790A7749"/>
    <w:rsid w:val="791C35C7"/>
    <w:rsid w:val="79234A97"/>
    <w:rsid w:val="796721E3"/>
    <w:rsid w:val="797572B9"/>
    <w:rsid w:val="79A436FA"/>
    <w:rsid w:val="79AB6836"/>
    <w:rsid w:val="79B0209F"/>
    <w:rsid w:val="79B55E6A"/>
    <w:rsid w:val="79B871A5"/>
    <w:rsid w:val="79C30024"/>
    <w:rsid w:val="79C63670"/>
    <w:rsid w:val="79D95029"/>
    <w:rsid w:val="79E955B1"/>
    <w:rsid w:val="7A2465E9"/>
    <w:rsid w:val="7A28257D"/>
    <w:rsid w:val="7A29310C"/>
    <w:rsid w:val="7A3136B8"/>
    <w:rsid w:val="7A3A77EB"/>
    <w:rsid w:val="7A3E76AA"/>
    <w:rsid w:val="7A3F6FD3"/>
    <w:rsid w:val="7A49604F"/>
    <w:rsid w:val="7A65612E"/>
    <w:rsid w:val="7A6B4218"/>
    <w:rsid w:val="7A6C06BC"/>
    <w:rsid w:val="7A770E0E"/>
    <w:rsid w:val="7A7D1F22"/>
    <w:rsid w:val="7A8772A3"/>
    <w:rsid w:val="7A8953BB"/>
    <w:rsid w:val="7A980001"/>
    <w:rsid w:val="7A995229"/>
    <w:rsid w:val="7A9E5829"/>
    <w:rsid w:val="7A9F445D"/>
    <w:rsid w:val="7AA8546C"/>
    <w:rsid w:val="7AAD65DE"/>
    <w:rsid w:val="7AAF05A8"/>
    <w:rsid w:val="7AB23BF5"/>
    <w:rsid w:val="7AB30796"/>
    <w:rsid w:val="7ABC4A73"/>
    <w:rsid w:val="7ABD1E1A"/>
    <w:rsid w:val="7ABE2599"/>
    <w:rsid w:val="7AC53928"/>
    <w:rsid w:val="7AC758F2"/>
    <w:rsid w:val="7ACD1873"/>
    <w:rsid w:val="7AD85D51"/>
    <w:rsid w:val="7AF91823"/>
    <w:rsid w:val="7B0E1773"/>
    <w:rsid w:val="7B164183"/>
    <w:rsid w:val="7B1B3E90"/>
    <w:rsid w:val="7B205002"/>
    <w:rsid w:val="7B226FCC"/>
    <w:rsid w:val="7B25086A"/>
    <w:rsid w:val="7B31720F"/>
    <w:rsid w:val="7B3949E4"/>
    <w:rsid w:val="7B3A2568"/>
    <w:rsid w:val="7B4B6523"/>
    <w:rsid w:val="7B4C4049"/>
    <w:rsid w:val="7B536F58"/>
    <w:rsid w:val="7B543974"/>
    <w:rsid w:val="7B611E85"/>
    <w:rsid w:val="7B6F1AE6"/>
    <w:rsid w:val="7B762E74"/>
    <w:rsid w:val="7B7F2D72"/>
    <w:rsid w:val="7B845591"/>
    <w:rsid w:val="7B876E2F"/>
    <w:rsid w:val="7B917CAE"/>
    <w:rsid w:val="7B9F061D"/>
    <w:rsid w:val="7BA674FA"/>
    <w:rsid w:val="7BB340C8"/>
    <w:rsid w:val="7BC02341"/>
    <w:rsid w:val="7BCB228F"/>
    <w:rsid w:val="7BD1454E"/>
    <w:rsid w:val="7BDE5C58"/>
    <w:rsid w:val="7BE76389"/>
    <w:rsid w:val="7BFA1CF7"/>
    <w:rsid w:val="7C084414"/>
    <w:rsid w:val="7C091F3A"/>
    <w:rsid w:val="7C0D1A2A"/>
    <w:rsid w:val="7C0D37D8"/>
    <w:rsid w:val="7C225EB9"/>
    <w:rsid w:val="7C280612"/>
    <w:rsid w:val="7C3228D0"/>
    <w:rsid w:val="7C407D3A"/>
    <w:rsid w:val="7C417926"/>
    <w:rsid w:val="7C741AA9"/>
    <w:rsid w:val="7C776EA4"/>
    <w:rsid w:val="7C80044E"/>
    <w:rsid w:val="7C887303"/>
    <w:rsid w:val="7C8A440C"/>
    <w:rsid w:val="7C8B5A02"/>
    <w:rsid w:val="7C947A56"/>
    <w:rsid w:val="7C975798"/>
    <w:rsid w:val="7C9B489A"/>
    <w:rsid w:val="7CB71996"/>
    <w:rsid w:val="7CBE3824"/>
    <w:rsid w:val="7CBE7066"/>
    <w:rsid w:val="7CD267D0"/>
    <w:rsid w:val="7CD73DE6"/>
    <w:rsid w:val="7CE107C1"/>
    <w:rsid w:val="7CE16A13"/>
    <w:rsid w:val="7CE25C2E"/>
    <w:rsid w:val="7CE64029"/>
    <w:rsid w:val="7CF6426C"/>
    <w:rsid w:val="7CF96FF9"/>
    <w:rsid w:val="7CFBDB8E"/>
    <w:rsid w:val="7D004A92"/>
    <w:rsid w:val="7D0235F0"/>
    <w:rsid w:val="7D0D15B6"/>
    <w:rsid w:val="7D0F17D2"/>
    <w:rsid w:val="7D122577"/>
    <w:rsid w:val="7D1C7A4B"/>
    <w:rsid w:val="7D1E1A15"/>
    <w:rsid w:val="7D1F7C67"/>
    <w:rsid w:val="7D33611A"/>
    <w:rsid w:val="7D353B60"/>
    <w:rsid w:val="7D3B25C7"/>
    <w:rsid w:val="7D3B68E8"/>
    <w:rsid w:val="7D541CBA"/>
    <w:rsid w:val="7D733B0F"/>
    <w:rsid w:val="7D841415"/>
    <w:rsid w:val="7D9677FD"/>
    <w:rsid w:val="7DAE4B47"/>
    <w:rsid w:val="7DB12889"/>
    <w:rsid w:val="7DB67DE3"/>
    <w:rsid w:val="7DC62C05"/>
    <w:rsid w:val="7DCF4ABD"/>
    <w:rsid w:val="7DE06CCB"/>
    <w:rsid w:val="7DE93DD1"/>
    <w:rsid w:val="7DE95B7F"/>
    <w:rsid w:val="7DEB18F7"/>
    <w:rsid w:val="7DEE648C"/>
    <w:rsid w:val="7E026C41"/>
    <w:rsid w:val="7E0B3D48"/>
    <w:rsid w:val="7E1370A0"/>
    <w:rsid w:val="7E190053"/>
    <w:rsid w:val="7E3A287F"/>
    <w:rsid w:val="7E3F47BF"/>
    <w:rsid w:val="7E417769"/>
    <w:rsid w:val="7E4C28C2"/>
    <w:rsid w:val="7E584AB3"/>
    <w:rsid w:val="7E6E42D6"/>
    <w:rsid w:val="7E7044F2"/>
    <w:rsid w:val="7E714AC6"/>
    <w:rsid w:val="7E723DC7"/>
    <w:rsid w:val="7E7E70A5"/>
    <w:rsid w:val="7E822120"/>
    <w:rsid w:val="7E843AFA"/>
    <w:rsid w:val="7EA321D2"/>
    <w:rsid w:val="7EA47CF8"/>
    <w:rsid w:val="7EA711D3"/>
    <w:rsid w:val="7EB22415"/>
    <w:rsid w:val="7EB919F5"/>
    <w:rsid w:val="7EC554E1"/>
    <w:rsid w:val="7EC7550A"/>
    <w:rsid w:val="7ED24865"/>
    <w:rsid w:val="7EE12CFA"/>
    <w:rsid w:val="7EF107C0"/>
    <w:rsid w:val="7EF7251E"/>
    <w:rsid w:val="7EF96296"/>
    <w:rsid w:val="7F0569E9"/>
    <w:rsid w:val="7F25708B"/>
    <w:rsid w:val="7F280929"/>
    <w:rsid w:val="7F285AB9"/>
    <w:rsid w:val="7F384CD7"/>
    <w:rsid w:val="7F3EA508"/>
    <w:rsid w:val="7F4113C8"/>
    <w:rsid w:val="7F4514DB"/>
    <w:rsid w:val="7F465196"/>
    <w:rsid w:val="7F4A6AF1"/>
    <w:rsid w:val="7F511C2E"/>
    <w:rsid w:val="7F550F96"/>
    <w:rsid w:val="7F572FBC"/>
    <w:rsid w:val="7F5856E2"/>
    <w:rsid w:val="7F596D35"/>
    <w:rsid w:val="7F5F0F7E"/>
    <w:rsid w:val="7F65312D"/>
    <w:rsid w:val="7F77C9B0"/>
    <w:rsid w:val="7F7D6EC7"/>
    <w:rsid w:val="7F82586C"/>
    <w:rsid w:val="7F912972"/>
    <w:rsid w:val="7FA97CBC"/>
    <w:rsid w:val="7FB0104A"/>
    <w:rsid w:val="7FB03BBB"/>
    <w:rsid w:val="7FB623D9"/>
    <w:rsid w:val="7FB977D3"/>
    <w:rsid w:val="7FBB179D"/>
    <w:rsid w:val="7FC22824"/>
    <w:rsid w:val="7FCA19E0"/>
    <w:rsid w:val="7FCE14D1"/>
    <w:rsid w:val="7FCE7723"/>
    <w:rsid w:val="7FD36AE7"/>
    <w:rsid w:val="7FDC0EF6"/>
    <w:rsid w:val="7FDE9F66"/>
    <w:rsid w:val="7FE40CF4"/>
    <w:rsid w:val="7FE8157F"/>
    <w:rsid w:val="7FFA8F7F"/>
    <w:rsid w:val="7FFF0994"/>
    <w:rsid w:val="7FFF3972"/>
    <w:rsid w:val="7FFF3ABB"/>
    <w:rsid w:val="95FB0D94"/>
    <w:rsid w:val="AEEEC40E"/>
    <w:rsid w:val="B7FFDE07"/>
    <w:rsid w:val="B97EDC66"/>
    <w:rsid w:val="BB3F82A2"/>
    <w:rsid w:val="BBFE2349"/>
    <w:rsid w:val="BD9ADFB0"/>
    <w:rsid w:val="BDFCBF8D"/>
    <w:rsid w:val="BDFF1534"/>
    <w:rsid w:val="BE7D93F7"/>
    <w:rsid w:val="BECF1EB3"/>
    <w:rsid w:val="BFAFAE9F"/>
    <w:rsid w:val="C5D76600"/>
    <w:rsid w:val="CE2DCC1C"/>
    <w:rsid w:val="CEAF75D0"/>
    <w:rsid w:val="CFBF6BC5"/>
    <w:rsid w:val="CFFD427B"/>
    <w:rsid w:val="D82F3D94"/>
    <w:rsid w:val="D96F8101"/>
    <w:rsid w:val="DB772E33"/>
    <w:rsid w:val="DDD70506"/>
    <w:rsid w:val="DEDFC8B5"/>
    <w:rsid w:val="DFED547C"/>
    <w:rsid w:val="E6EDF44F"/>
    <w:rsid w:val="E77E9F27"/>
    <w:rsid w:val="EBFF14D5"/>
    <w:rsid w:val="ED67AABD"/>
    <w:rsid w:val="EF4DD9BA"/>
    <w:rsid w:val="EF63F8B0"/>
    <w:rsid w:val="F3FF3423"/>
    <w:rsid w:val="F669ABA9"/>
    <w:rsid w:val="F7EDF570"/>
    <w:rsid w:val="F855C0C3"/>
    <w:rsid w:val="F937A571"/>
    <w:rsid w:val="FB75122B"/>
    <w:rsid w:val="FBDB37BE"/>
    <w:rsid w:val="FBFB4291"/>
    <w:rsid w:val="FBFF4041"/>
    <w:rsid w:val="FDFF7AE4"/>
    <w:rsid w:val="FFB7F78F"/>
    <w:rsid w:val="FFBF7F9C"/>
    <w:rsid w:val="FFF34FD8"/>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semiHidden="0" w:name="heading 2"/>
    <w:lsdException w:qFormat="1" w:uiPriority="0"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nhideWhenUsed="0" w:uiPriority="0" w:semiHidden="0" w:name="toc 2"/>
    <w:lsdException w:uiPriority="39" w:name="toc 3"/>
    <w:lsdException w:qFormat="1" w:unhideWhenUsed="0" w:uiPriority="39" w:semiHidden="0" w:name="toc 4"/>
    <w:lsdException w:uiPriority="39" w:name="toc 5"/>
    <w:lsdException w:qFormat="1" w:unhideWhenUsed="0" w:uiPriority="0" w:semiHidden="0" w:name="toc 6"/>
    <w:lsdException w:uiPriority="39" w:name="toc 7"/>
    <w:lsdException w:uiPriority="39"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99"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qFormat="1" w:uiPriority="99" w:semiHidden="0"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40"/>
    <w:qFormat/>
    <w:uiPriority w:val="99"/>
    <w:pPr>
      <w:autoSpaceDE w:val="0"/>
      <w:autoSpaceDN w:val="0"/>
      <w:adjustRightInd w:val="0"/>
      <w:outlineLvl w:val="0"/>
    </w:pPr>
    <w:rPr>
      <w:rFonts w:ascii="Times New Roman" w:hAnsi="Times New Roman" w:eastAsia="宋体" w:cs="Times New Roman"/>
      <w:kern w:val="0"/>
      <w:sz w:val="24"/>
      <w:szCs w:val="24"/>
    </w:rPr>
  </w:style>
  <w:style w:type="paragraph" w:styleId="3">
    <w:name w:val="heading 2"/>
    <w:basedOn w:val="1"/>
    <w:next w:val="4"/>
    <w:link w:val="37"/>
    <w:unhideWhenUsed/>
    <w:qFormat/>
    <w:uiPriority w:val="0"/>
    <w:pPr>
      <w:autoSpaceDE w:val="0"/>
      <w:autoSpaceDN w:val="0"/>
      <w:adjustRightInd w:val="0"/>
      <w:jc w:val="left"/>
      <w:outlineLvl w:val="1"/>
    </w:pPr>
    <w:rPr>
      <w:rFonts w:ascii="Times New Roman" w:hAnsi="Times New Roman" w:eastAsia="宋体" w:cs="Times New Roman"/>
      <w:kern w:val="0"/>
      <w:sz w:val="24"/>
      <w:szCs w:val="24"/>
    </w:rPr>
  </w:style>
  <w:style w:type="paragraph" w:styleId="7">
    <w:name w:val="heading 3"/>
    <w:basedOn w:val="1"/>
    <w:next w:val="1"/>
    <w:unhideWhenUsed/>
    <w:qFormat/>
    <w:uiPriority w:val="0"/>
    <w:pPr>
      <w:keepNext/>
      <w:keepLines/>
      <w:numPr>
        <w:ilvl w:val="2"/>
        <w:numId w:val="1"/>
      </w:numPr>
      <w:tabs>
        <w:tab w:val="left" w:pos="720"/>
      </w:tabs>
      <w:spacing w:before="260" w:after="260" w:line="416" w:lineRule="atLeast"/>
      <w:outlineLvl w:val="2"/>
    </w:pPr>
    <w:rPr>
      <w:b/>
      <w:bCs/>
      <w:sz w:val="32"/>
      <w:szCs w:val="32"/>
    </w:rPr>
  </w:style>
  <w:style w:type="paragraph" w:styleId="8">
    <w:name w:val="heading 4"/>
    <w:basedOn w:val="1"/>
    <w:next w:val="1"/>
    <w:link w:val="65"/>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4">
    <w:name w:val="Normal Indent"/>
    <w:basedOn w:val="1"/>
    <w:next w:val="5"/>
    <w:qFormat/>
    <w:uiPriority w:val="0"/>
    <w:pPr>
      <w:adjustRightInd w:val="0"/>
      <w:spacing w:line="360" w:lineRule="atLeast"/>
      <w:ind w:firstLine="420"/>
      <w:jc w:val="left"/>
      <w:textAlignment w:val="baseline"/>
    </w:pPr>
    <w:rPr>
      <w:rFonts w:ascii="Times New Roman" w:hAnsi="Times New Roman" w:eastAsia="宋体" w:cs="Times New Roman"/>
      <w:kern w:val="0"/>
      <w:sz w:val="24"/>
      <w:szCs w:val="20"/>
    </w:rPr>
  </w:style>
  <w:style w:type="paragraph" w:styleId="5">
    <w:name w:val="Body Text"/>
    <w:basedOn w:val="1"/>
    <w:next w:val="6"/>
    <w:link w:val="59"/>
    <w:semiHidden/>
    <w:unhideWhenUsed/>
    <w:qFormat/>
    <w:uiPriority w:val="99"/>
    <w:pPr>
      <w:spacing w:after="120"/>
    </w:pPr>
  </w:style>
  <w:style w:type="paragraph" w:styleId="6">
    <w:name w:val="Title"/>
    <w:basedOn w:val="1"/>
    <w:next w:val="1"/>
    <w:qFormat/>
    <w:uiPriority w:val="0"/>
    <w:pPr>
      <w:spacing w:before="240" w:after="60"/>
      <w:jc w:val="center"/>
      <w:outlineLvl w:val="0"/>
    </w:pPr>
    <w:rPr>
      <w:rFonts w:ascii="Arial" w:hAnsi="Arial" w:cs="Arial"/>
      <w:b/>
      <w:bCs/>
      <w:sz w:val="32"/>
      <w:szCs w:val="32"/>
    </w:rPr>
  </w:style>
  <w:style w:type="paragraph" w:styleId="9">
    <w:name w:val="Document Map"/>
    <w:basedOn w:val="1"/>
    <w:link w:val="55"/>
    <w:semiHidden/>
    <w:unhideWhenUsed/>
    <w:qFormat/>
    <w:uiPriority w:val="99"/>
    <w:rPr>
      <w:rFonts w:ascii="宋体" w:eastAsia="宋体"/>
      <w:sz w:val="18"/>
      <w:szCs w:val="18"/>
    </w:rPr>
  </w:style>
  <w:style w:type="paragraph" w:styleId="10">
    <w:name w:val="annotation text"/>
    <w:basedOn w:val="1"/>
    <w:link w:val="41"/>
    <w:unhideWhenUsed/>
    <w:qFormat/>
    <w:uiPriority w:val="0"/>
    <w:pPr>
      <w:jc w:val="left"/>
    </w:pPr>
  </w:style>
  <w:style w:type="paragraph" w:styleId="11">
    <w:name w:val="Body Text Indent"/>
    <w:basedOn w:val="1"/>
    <w:next w:val="12"/>
    <w:link w:val="42"/>
    <w:unhideWhenUsed/>
    <w:qFormat/>
    <w:uiPriority w:val="99"/>
    <w:pPr>
      <w:spacing w:after="120"/>
      <w:ind w:left="420" w:leftChars="200"/>
    </w:pPr>
  </w:style>
  <w:style w:type="paragraph" w:styleId="12">
    <w:name w:val="envelope return"/>
    <w:basedOn w:val="1"/>
    <w:semiHidden/>
    <w:unhideWhenUsed/>
    <w:qFormat/>
    <w:uiPriority w:val="99"/>
    <w:pPr>
      <w:snapToGrid w:val="0"/>
    </w:pPr>
    <w:rPr>
      <w:rFonts w:ascii="Arial" w:hAnsi="Arial"/>
    </w:rPr>
  </w:style>
  <w:style w:type="paragraph" w:styleId="13">
    <w:name w:val="Plain Text"/>
    <w:basedOn w:val="1"/>
    <w:link w:val="44"/>
    <w:unhideWhenUsed/>
    <w:qFormat/>
    <w:uiPriority w:val="0"/>
    <w:rPr>
      <w:rFonts w:ascii="宋体" w:hAnsi="Courier New" w:eastAsia="宋体" w:cs="Times New Roman"/>
      <w:szCs w:val="21"/>
    </w:rPr>
  </w:style>
  <w:style w:type="paragraph" w:styleId="14">
    <w:name w:val="Date"/>
    <w:basedOn w:val="1"/>
    <w:next w:val="1"/>
    <w:link w:val="56"/>
    <w:semiHidden/>
    <w:unhideWhenUsed/>
    <w:qFormat/>
    <w:uiPriority w:val="99"/>
    <w:pPr>
      <w:ind w:left="100" w:leftChars="2500"/>
    </w:pPr>
  </w:style>
  <w:style w:type="paragraph" w:styleId="15">
    <w:name w:val="Balloon Text"/>
    <w:basedOn w:val="1"/>
    <w:link w:val="46"/>
    <w:semiHidden/>
    <w:unhideWhenUsed/>
    <w:qFormat/>
    <w:uiPriority w:val="99"/>
    <w:rPr>
      <w:sz w:val="18"/>
      <w:szCs w:val="18"/>
    </w:rPr>
  </w:style>
  <w:style w:type="paragraph" w:styleId="16">
    <w:name w:val="footer"/>
    <w:basedOn w:val="1"/>
    <w:link w:val="39"/>
    <w:unhideWhenUsed/>
    <w:qFormat/>
    <w:uiPriority w:val="99"/>
    <w:pPr>
      <w:tabs>
        <w:tab w:val="center" w:pos="4153"/>
        <w:tab w:val="right" w:pos="8306"/>
      </w:tabs>
      <w:snapToGrid w:val="0"/>
      <w:jc w:val="left"/>
    </w:pPr>
    <w:rPr>
      <w:sz w:val="18"/>
      <w:szCs w:val="18"/>
    </w:rPr>
  </w:style>
  <w:style w:type="paragraph" w:styleId="17">
    <w:name w:val="header"/>
    <w:basedOn w:val="1"/>
    <w:link w:val="38"/>
    <w:unhideWhenUsed/>
    <w:qFormat/>
    <w:uiPriority w:val="99"/>
    <w:pPr>
      <w:pBdr>
        <w:bottom w:val="single" w:color="auto" w:sz="6" w:space="1"/>
      </w:pBdr>
      <w:tabs>
        <w:tab w:val="center" w:pos="4153"/>
        <w:tab w:val="right" w:pos="8306"/>
      </w:tabs>
      <w:snapToGrid w:val="0"/>
      <w:jc w:val="center"/>
    </w:pPr>
    <w:rPr>
      <w:sz w:val="18"/>
      <w:szCs w:val="18"/>
    </w:rPr>
  </w:style>
  <w:style w:type="paragraph" w:styleId="18">
    <w:name w:val="toc 4"/>
    <w:basedOn w:val="1"/>
    <w:next w:val="1"/>
    <w:qFormat/>
    <w:uiPriority w:val="39"/>
    <w:pPr>
      <w:spacing w:beforeLines="50" w:afterLines="50"/>
      <w:ind w:firstLine="200" w:firstLineChars="200"/>
      <w:jc w:val="left"/>
    </w:pPr>
    <w:rPr>
      <w:rFonts w:eastAsia="等线"/>
      <w:sz w:val="24"/>
      <w:szCs w:val="21"/>
    </w:rPr>
  </w:style>
  <w:style w:type="paragraph" w:styleId="19">
    <w:name w:val="footnote text"/>
    <w:basedOn w:val="1"/>
    <w:next w:val="17"/>
    <w:qFormat/>
    <w:uiPriority w:val="0"/>
    <w:pPr>
      <w:snapToGrid w:val="0"/>
      <w:jc w:val="left"/>
    </w:pPr>
  </w:style>
  <w:style w:type="paragraph" w:styleId="20">
    <w:name w:val="toc 6"/>
    <w:basedOn w:val="1"/>
    <w:next w:val="1"/>
    <w:qFormat/>
    <w:uiPriority w:val="0"/>
    <w:pPr>
      <w:ind w:left="1050"/>
      <w:jc w:val="left"/>
    </w:pPr>
    <w:rPr>
      <w:rFonts w:ascii="Arial" w:hAnsi="Arial"/>
      <w:sz w:val="18"/>
      <w:szCs w:val="18"/>
    </w:rPr>
  </w:style>
  <w:style w:type="paragraph" w:styleId="21">
    <w:name w:val="toc 2"/>
    <w:basedOn w:val="1"/>
    <w:next w:val="1"/>
    <w:qFormat/>
    <w:uiPriority w:val="0"/>
    <w:pPr>
      <w:tabs>
        <w:tab w:val="right" w:leader="dot" w:pos="9180"/>
      </w:tabs>
      <w:spacing w:line="360" w:lineRule="auto"/>
      <w:ind w:left="210"/>
      <w:jc w:val="left"/>
    </w:pPr>
    <w:rPr>
      <w:smallCaps/>
      <w:szCs w:val="24"/>
    </w:rPr>
  </w:style>
  <w:style w:type="paragraph" w:styleId="22">
    <w:name w:val="toc 9"/>
    <w:basedOn w:val="1"/>
    <w:next w:val="1"/>
    <w:qFormat/>
    <w:uiPriority w:val="0"/>
    <w:pPr>
      <w:wordWrap w:val="0"/>
      <w:ind w:left="2975"/>
    </w:pPr>
    <w:rPr>
      <w:rFonts w:ascii="Calibri" w:hAnsi="Calibri"/>
    </w:rPr>
  </w:style>
  <w:style w:type="paragraph" w:styleId="23">
    <w:name w:val="Normal (We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szCs w:val="24"/>
    </w:rPr>
  </w:style>
  <w:style w:type="paragraph" w:styleId="24">
    <w:name w:val="index 1"/>
    <w:basedOn w:val="1"/>
    <w:next w:val="1"/>
    <w:semiHidden/>
    <w:qFormat/>
    <w:uiPriority w:val="0"/>
    <w:rPr>
      <w:rFonts w:eastAsia="宋体" w:cs="Times New Roman"/>
      <w:szCs w:val="21"/>
    </w:rPr>
  </w:style>
  <w:style w:type="paragraph" w:styleId="25">
    <w:name w:val="annotation subject"/>
    <w:basedOn w:val="10"/>
    <w:next w:val="10"/>
    <w:link w:val="45"/>
    <w:unhideWhenUsed/>
    <w:qFormat/>
    <w:uiPriority w:val="99"/>
    <w:rPr>
      <w:b/>
      <w:bCs/>
    </w:rPr>
  </w:style>
  <w:style w:type="paragraph" w:styleId="26">
    <w:name w:val="Body Text First Indent"/>
    <w:basedOn w:val="1"/>
    <w:next w:val="20"/>
    <w:unhideWhenUsed/>
    <w:qFormat/>
    <w:uiPriority w:val="99"/>
    <w:pPr>
      <w:ind w:firstLine="420" w:firstLineChars="100"/>
    </w:pPr>
  </w:style>
  <w:style w:type="paragraph" w:styleId="27">
    <w:name w:val="Body Text First Indent 2"/>
    <w:basedOn w:val="11"/>
    <w:link w:val="43"/>
    <w:unhideWhenUsed/>
    <w:qFormat/>
    <w:uiPriority w:val="99"/>
    <w:pPr>
      <w:spacing w:after="0" w:line="360" w:lineRule="auto"/>
      <w:ind w:left="0" w:leftChars="0" w:firstLine="480" w:firstLineChars="200"/>
      <w:jc w:val="center"/>
    </w:pPr>
    <w:rPr>
      <w:rFonts w:ascii="Arial" w:hAnsi="Arial" w:eastAsia="仿宋_GB2312"/>
      <w:sz w:val="28"/>
    </w:rPr>
  </w:style>
  <w:style w:type="table" w:styleId="29">
    <w:name w:val="Table Grid"/>
    <w:basedOn w:val="2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Strong"/>
    <w:basedOn w:val="30"/>
    <w:qFormat/>
    <w:uiPriority w:val="22"/>
    <w:rPr>
      <w:b/>
      <w:bCs/>
    </w:rPr>
  </w:style>
  <w:style w:type="character" w:styleId="32">
    <w:name w:val="page number"/>
    <w:qFormat/>
    <w:uiPriority w:val="0"/>
  </w:style>
  <w:style w:type="character" w:styleId="33">
    <w:name w:val="FollowedHyperlink"/>
    <w:basedOn w:val="30"/>
    <w:semiHidden/>
    <w:unhideWhenUsed/>
    <w:qFormat/>
    <w:uiPriority w:val="99"/>
    <w:rPr>
      <w:color w:val="800080"/>
      <w:u w:val="single"/>
    </w:rPr>
  </w:style>
  <w:style w:type="character" w:styleId="34">
    <w:name w:val="Emphasis"/>
    <w:basedOn w:val="30"/>
    <w:qFormat/>
    <w:uiPriority w:val="20"/>
    <w:rPr>
      <w:i/>
      <w:iCs/>
    </w:rPr>
  </w:style>
  <w:style w:type="character" w:styleId="35">
    <w:name w:val="Hyperlink"/>
    <w:basedOn w:val="30"/>
    <w:unhideWhenUsed/>
    <w:qFormat/>
    <w:uiPriority w:val="99"/>
    <w:rPr>
      <w:color w:val="0000FF"/>
      <w:u w:val="single"/>
    </w:rPr>
  </w:style>
  <w:style w:type="character" w:styleId="36">
    <w:name w:val="annotation reference"/>
    <w:basedOn w:val="30"/>
    <w:unhideWhenUsed/>
    <w:qFormat/>
    <w:uiPriority w:val="99"/>
    <w:rPr>
      <w:sz w:val="21"/>
      <w:szCs w:val="21"/>
    </w:rPr>
  </w:style>
  <w:style w:type="character" w:customStyle="1" w:styleId="37">
    <w:name w:val="标题 2 Char"/>
    <w:basedOn w:val="30"/>
    <w:link w:val="3"/>
    <w:qFormat/>
    <w:uiPriority w:val="99"/>
    <w:rPr>
      <w:rFonts w:ascii="Times New Roman" w:hAnsi="Times New Roman" w:eastAsia="宋体" w:cs="Times New Roman"/>
      <w:kern w:val="0"/>
      <w:sz w:val="24"/>
      <w:szCs w:val="24"/>
    </w:rPr>
  </w:style>
  <w:style w:type="character" w:customStyle="1" w:styleId="38">
    <w:name w:val="页眉 Char"/>
    <w:basedOn w:val="30"/>
    <w:link w:val="17"/>
    <w:qFormat/>
    <w:uiPriority w:val="99"/>
    <w:rPr>
      <w:sz w:val="18"/>
      <w:szCs w:val="18"/>
    </w:rPr>
  </w:style>
  <w:style w:type="character" w:customStyle="1" w:styleId="39">
    <w:name w:val="页脚 Char"/>
    <w:basedOn w:val="30"/>
    <w:link w:val="16"/>
    <w:qFormat/>
    <w:uiPriority w:val="99"/>
    <w:rPr>
      <w:sz w:val="18"/>
      <w:szCs w:val="18"/>
    </w:rPr>
  </w:style>
  <w:style w:type="character" w:customStyle="1" w:styleId="40">
    <w:name w:val="标题 1 Char"/>
    <w:basedOn w:val="30"/>
    <w:link w:val="2"/>
    <w:qFormat/>
    <w:uiPriority w:val="99"/>
    <w:rPr>
      <w:sz w:val="24"/>
      <w:szCs w:val="24"/>
    </w:rPr>
  </w:style>
  <w:style w:type="character" w:customStyle="1" w:styleId="41">
    <w:name w:val="批注文字 Char1"/>
    <w:basedOn w:val="30"/>
    <w:link w:val="10"/>
    <w:qFormat/>
    <w:uiPriority w:val="0"/>
  </w:style>
  <w:style w:type="character" w:customStyle="1" w:styleId="42">
    <w:name w:val="正文文本缩进 Char"/>
    <w:basedOn w:val="30"/>
    <w:link w:val="11"/>
    <w:qFormat/>
    <w:uiPriority w:val="99"/>
  </w:style>
  <w:style w:type="character" w:customStyle="1" w:styleId="43">
    <w:name w:val="正文首行缩进 2 Char"/>
    <w:basedOn w:val="42"/>
    <w:link w:val="27"/>
    <w:qFormat/>
    <w:uiPriority w:val="99"/>
    <w:rPr>
      <w:rFonts w:ascii="Arial" w:hAnsi="Arial" w:eastAsia="仿宋_GB2312" w:cstheme="minorBidi"/>
      <w:kern w:val="2"/>
      <w:sz w:val="28"/>
      <w:szCs w:val="22"/>
    </w:rPr>
  </w:style>
  <w:style w:type="character" w:customStyle="1" w:styleId="44">
    <w:name w:val="纯文本 Char"/>
    <w:basedOn w:val="30"/>
    <w:link w:val="13"/>
    <w:qFormat/>
    <w:uiPriority w:val="99"/>
    <w:rPr>
      <w:rFonts w:ascii="宋体" w:hAnsi="Courier New" w:eastAsia="宋体" w:cs="Times New Roman"/>
      <w:szCs w:val="21"/>
    </w:rPr>
  </w:style>
  <w:style w:type="character" w:customStyle="1" w:styleId="45">
    <w:name w:val="批注主题 Char"/>
    <w:basedOn w:val="41"/>
    <w:link w:val="25"/>
    <w:qFormat/>
    <w:uiPriority w:val="99"/>
    <w:rPr>
      <w:b/>
      <w:bCs/>
    </w:rPr>
  </w:style>
  <w:style w:type="character" w:customStyle="1" w:styleId="46">
    <w:name w:val="批注框文本 Char"/>
    <w:basedOn w:val="30"/>
    <w:link w:val="15"/>
    <w:semiHidden/>
    <w:qFormat/>
    <w:uiPriority w:val="99"/>
    <w:rPr>
      <w:sz w:val="18"/>
      <w:szCs w:val="18"/>
    </w:rPr>
  </w:style>
  <w:style w:type="paragraph" w:styleId="47">
    <w:name w:val="List Paragraph"/>
    <w:basedOn w:val="1"/>
    <w:qFormat/>
    <w:uiPriority w:val="34"/>
    <w:pPr>
      <w:numPr>
        <w:ilvl w:val="0"/>
        <w:numId w:val="2"/>
      </w:numPr>
      <w:spacing w:line="360" w:lineRule="auto"/>
    </w:pPr>
  </w:style>
  <w:style w:type="paragraph" w:customStyle="1" w:styleId="48">
    <w:name w:val="Default"/>
    <w:qFormat/>
    <w:uiPriority w:val="0"/>
    <w:pPr>
      <w:widowControl w:val="0"/>
      <w:autoSpaceDE w:val="0"/>
      <w:autoSpaceDN w:val="0"/>
      <w:adjustRightInd w:val="0"/>
    </w:pPr>
    <w:rPr>
      <w:rFonts w:ascii="宋体" w:hAnsi="宋体" w:cs="宋体" w:eastAsiaTheme="minorEastAsia"/>
      <w:color w:val="000000"/>
      <w:sz w:val="24"/>
      <w:szCs w:val="24"/>
      <w:lang w:val="en-US" w:eastAsia="zh-CN" w:bidi="ar-SA"/>
    </w:rPr>
  </w:style>
  <w:style w:type="paragraph" w:customStyle="1" w:styleId="49">
    <w:name w:val="纯文本1"/>
    <w:basedOn w:val="1"/>
    <w:qFormat/>
    <w:uiPriority w:val="0"/>
    <w:pPr>
      <w:adjustRightInd w:val="0"/>
      <w:textAlignment w:val="baseline"/>
    </w:pPr>
    <w:rPr>
      <w:rFonts w:ascii="宋体"/>
      <w:kern w:val="0"/>
      <w:sz w:val="24"/>
    </w:rPr>
  </w:style>
  <w:style w:type="paragraph" w:customStyle="1" w:styleId="50">
    <w:name w:val="Body text|1"/>
    <w:basedOn w:val="1"/>
    <w:link w:val="53"/>
    <w:qFormat/>
    <w:uiPriority w:val="0"/>
    <w:pPr>
      <w:spacing w:line="480" w:lineRule="auto"/>
    </w:pPr>
    <w:rPr>
      <w:rFonts w:ascii="宋体" w:hAnsi="宋体" w:cs="宋体"/>
      <w:lang w:val="zh-TW" w:eastAsia="zh-TW" w:bidi="zh-TW"/>
    </w:rPr>
  </w:style>
  <w:style w:type="paragraph" w:customStyle="1" w:styleId="51">
    <w:name w:val="正文 New"/>
    <w:qFormat/>
    <w:uiPriority w:val="0"/>
    <w:pPr>
      <w:widowControl w:val="0"/>
      <w:spacing w:after="200" w:line="276" w:lineRule="auto"/>
      <w:ind w:left="839" w:hanging="357"/>
      <w:jc w:val="both"/>
    </w:pPr>
    <w:rPr>
      <w:rFonts w:ascii="Times New Roman" w:hAnsi="Times New Roman" w:eastAsia="宋体" w:cs="Times New Roman"/>
      <w:sz w:val="22"/>
      <w:szCs w:val="22"/>
      <w:lang w:val="en-US" w:eastAsia="en-US" w:bidi="ar-SA"/>
    </w:rPr>
  </w:style>
  <w:style w:type="paragraph" w:customStyle="1" w:styleId="52">
    <w:name w:val="正文 New New"/>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53">
    <w:name w:val="Body text|1_"/>
    <w:basedOn w:val="30"/>
    <w:link w:val="50"/>
    <w:qFormat/>
    <w:locked/>
    <w:uiPriority w:val="0"/>
    <w:rPr>
      <w:rFonts w:ascii="宋体" w:hAnsi="宋体" w:cs="宋体" w:eastAsiaTheme="minorEastAsia"/>
      <w:kern w:val="2"/>
      <w:sz w:val="21"/>
      <w:szCs w:val="22"/>
      <w:lang w:val="zh-TW" w:eastAsia="zh-TW" w:bidi="zh-TW"/>
    </w:rPr>
  </w:style>
  <w:style w:type="paragraph" w:customStyle="1" w:styleId="54">
    <w:name w:val="修订1"/>
    <w:hidden/>
    <w:unhideWhenUsed/>
    <w:qFormat/>
    <w:uiPriority w:val="99"/>
    <w:rPr>
      <w:rFonts w:asciiTheme="minorHAnsi" w:hAnsiTheme="minorHAnsi" w:eastAsiaTheme="minorEastAsia" w:cstheme="minorBidi"/>
      <w:kern w:val="2"/>
      <w:sz w:val="21"/>
      <w:szCs w:val="22"/>
      <w:lang w:val="en-US" w:eastAsia="zh-CN" w:bidi="ar-SA"/>
    </w:rPr>
  </w:style>
  <w:style w:type="character" w:customStyle="1" w:styleId="55">
    <w:name w:val="文档结构图 Char"/>
    <w:basedOn w:val="30"/>
    <w:link w:val="9"/>
    <w:semiHidden/>
    <w:qFormat/>
    <w:uiPriority w:val="99"/>
    <w:rPr>
      <w:rFonts w:ascii="宋体" w:hAnsiTheme="minorHAnsi" w:cstheme="minorBidi"/>
      <w:kern w:val="2"/>
      <w:sz w:val="18"/>
      <w:szCs w:val="18"/>
    </w:rPr>
  </w:style>
  <w:style w:type="character" w:customStyle="1" w:styleId="56">
    <w:name w:val="日期 Char"/>
    <w:basedOn w:val="30"/>
    <w:link w:val="14"/>
    <w:semiHidden/>
    <w:qFormat/>
    <w:uiPriority w:val="99"/>
    <w:rPr>
      <w:rFonts w:asciiTheme="minorHAnsi" w:hAnsiTheme="minorHAnsi" w:eastAsiaTheme="minorEastAsia" w:cstheme="minorBidi"/>
      <w:kern w:val="2"/>
      <w:sz w:val="21"/>
      <w:szCs w:val="22"/>
    </w:rPr>
  </w:style>
  <w:style w:type="character" w:customStyle="1" w:styleId="57">
    <w:name w:val="未处理的提及1"/>
    <w:basedOn w:val="30"/>
    <w:semiHidden/>
    <w:unhideWhenUsed/>
    <w:qFormat/>
    <w:uiPriority w:val="99"/>
    <w:rPr>
      <w:color w:val="605E5C"/>
      <w:shd w:val="clear" w:color="auto" w:fill="E1DFDD"/>
    </w:rPr>
  </w:style>
  <w:style w:type="paragraph" w:customStyle="1" w:styleId="58">
    <w:name w:val="修订2"/>
    <w:hidden/>
    <w:semiHidden/>
    <w:qFormat/>
    <w:uiPriority w:val="99"/>
    <w:rPr>
      <w:rFonts w:asciiTheme="minorHAnsi" w:hAnsiTheme="minorHAnsi" w:eastAsiaTheme="minorEastAsia" w:cstheme="minorBidi"/>
      <w:kern w:val="2"/>
      <w:sz w:val="21"/>
      <w:szCs w:val="22"/>
      <w:lang w:val="en-US" w:eastAsia="zh-CN" w:bidi="ar-SA"/>
    </w:rPr>
  </w:style>
  <w:style w:type="character" w:customStyle="1" w:styleId="59">
    <w:name w:val="正文文本 Char"/>
    <w:basedOn w:val="30"/>
    <w:link w:val="5"/>
    <w:semiHidden/>
    <w:qFormat/>
    <w:uiPriority w:val="99"/>
    <w:rPr>
      <w:rFonts w:asciiTheme="minorHAnsi" w:hAnsiTheme="minorHAnsi" w:eastAsiaTheme="minorEastAsia" w:cstheme="minorBidi"/>
      <w:kern w:val="2"/>
      <w:sz w:val="21"/>
      <w:szCs w:val="22"/>
    </w:rPr>
  </w:style>
  <w:style w:type="paragraph" w:customStyle="1" w:styleId="60">
    <w:name w:val="CM17"/>
    <w:basedOn w:val="48"/>
    <w:next w:val="48"/>
    <w:qFormat/>
    <w:uiPriority w:val="99"/>
    <w:pPr>
      <w:spacing w:after="160"/>
    </w:pPr>
    <w:rPr>
      <w:rFonts w:ascii="仿宋" w:hAnsi="Calibri" w:eastAsia="仿宋" w:cs="Times New Roman"/>
      <w:color w:val="auto"/>
    </w:rPr>
  </w:style>
  <w:style w:type="paragraph" w:customStyle="1" w:styleId="61">
    <w:name w:val="CM11"/>
    <w:basedOn w:val="48"/>
    <w:next w:val="48"/>
    <w:qFormat/>
    <w:uiPriority w:val="99"/>
    <w:pPr>
      <w:spacing w:line="520" w:lineRule="atLeast"/>
    </w:pPr>
    <w:rPr>
      <w:rFonts w:ascii="仿宋" w:hAnsi="Calibri" w:eastAsia="仿宋" w:cs="Times New Roman"/>
      <w:color w:val="auto"/>
    </w:rPr>
  </w:style>
  <w:style w:type="paragraph" w:customStyle="1" w:styleId="62">
    <w:name w:val="CM13"/>
    <w:basedOn w:val="48"/>
    <w:next w:val="48"/>
    <w:qFormat/>
    <w:uiPriority w:val="99"/>
    <w:pPr>
      <w:spacing w:line="520" w:lineRule="atLeast"/>
    </w:pPr>
    <w:rPr>
      <w:rFonts w:ascii="仿宋" w:hAnsi="Calibri" w:eastAsia="仿宋" w:cs="Times New Roman"/>
      <w:color w:val="auto"/>
    </w:rPr>
  </w:style>
  <w:style w:type="paragraph" w:customStyle="1" w:styleId="63">
    <w:name w:val="样式"/>
    <w:basedOn w:val="1"/>
    <w:next w:val="13"/>
    <w:qFormat/>
    <w:uiPriority w:val="0"/>
    <w:rPr>
      <w:rFonts w:ascii="宋体" w:hAnsi="Courier New" w:eastAsia="宋体" w:cs="宋体"/>
      <w:szCs w:val="21"/>
    </w:rPr>
  </w:style>
  <w:style w:type="paragraph" w:customStyle="1" w:styleId="64">
    <w:name w:val="修订3"/>
    <w:hidden/>
    <w:semiHidden/>
    <w:qFormat/>
    <w:uiPriority w:val="99"/>
    <w:rPr>
      <w:rFonts w:asciiTheme="minorHAnsi" w:hAnsiTheme="minorHAnsi" w:eastAsiaTheme="minorEastAsia" w:cstheme="minorBidi"/>
      <w:kern w:val="2"/>
      <w:sz w:val="21"/>
      <w:szCs w:val="22"/>
      <w:lang w:val="en-US" w:eastAsia="zh-CN" w:bidi="ar-SA"/>
    </w:rPr>
  </w:style>
  <w:style w:type="character" w:customStyle="1" w:styleId="65">
    <w:name w:val="标题 4 Char"/>
    <w:basedOn w:val="30"/>
    <w:link w:val="8"/>
    <w:qFormat/>
    <w:uiPriority w:val="9"/>
    <w:rPr>
      <w:rFonts w:asciiTheme="majorHAnsi" w:hAnsiTheme="majorHAnsi" w:eastAsiaTheme="majorEastAsia" w:cstheme="majorBidi"/>
      <w:b/>
      <w:bCs/>
      <w:kern w:val="2"/>
      <w:sz w:val="28"/>
      <w:szCs w:val="28"/>
    </w:rPr>
  </w:style>
  <w:style w:type="character" w:customStyle="1" w:styleId="66">
    <w:name w:val="p141"/>
    <w:qFormat/>
    <w:uiPriority w:val="0"/>
    <w:rPr>
      <w:sz w:val="21"/>
      <w:szCs w:val="21"/>
    </w:rPr>
  </w:style>
  <w:style w:type="paragraph" w:customStyle="1" w:styleId="67">
    <w:name w:val="正文_0"/>
    <w:qFormat/>
    <w:uiPriority w:val="0"/>
    <w:pPr>
      <w:widowControl w:val="0"/>
      <w:jc w:val="both"/>
    </w:pPr>
    <w:rPr>
      <w:rFonts w:ascii="Calibri" w:hAnsi="Calibri" w:eastAsia="宋体" w:cs="Times New Roman"/>
      <w:kern w:val="2"/>
      <w:sz w:val="21"/>
      <w:lang w:val="en-US" w:eastAsia="zh-CN" w:bidi="ar-SA"/>
    </w:rPr>
  </w:style>
  <w:style w:type="paragraph" w:customStyle="1" w:styleId="68">
    <w:name w:val="修订4"/>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69">
    <w:name w:val="日期2"/>
    <w:basedOn w:val="1"/>
    <w:qFormat/>
    <w:uiPriority w:val="0"/>
    <w:pPr>
      <w:suppressAutoHyphens/>
    </w:pPr>
    <w:rPr>
      <w:rFonts w:ascii="宋体" w:hAnsi="宋体" w:eastAsia="宋体" w:cs="Times New Roman"/>
      <w:kern w:val="0"/>
      <w:sz w:val="28"/>
      <w:szCs w:val="24"/>
    </w:rPr>
  </w:style>
  <w:style w:type="character" w:customStyle="1" w:styleId="70">
    <w:name w:val="批注文字 Char"/>
    <w:qFormat/>
    <w:uiPriority w:val="0"/>
    <w:rPr>
      <w:kern w:val="2"/>
      <w:sz w:val="21"/>
      <w:szCs w:val="24"/>
    </w:rPr>
  </w:style>
  <w:style w:type="paragraph" w:customStyle="1" w:styleId="71">
    <w:name w:val="修订5"/>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72">
    <w:name w:val="修订6"/>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73">
    <w:name w:val="四级标题"/>
    <w:basedOn w:val="14"/>
    <w:qFormat/>
    <w:uiPriority w:val="99"/>
    <w:pPr>
      <w:widowControl/>
      <w:spacing w:line="360" w:lineRule="auto"/>
      <w:ind w:left="0" w:leftChars="0" w:firstLine="880" w:firstLineChars="200"/>
    </w:pPr>
    <w:rPr>
      <w:rFonts w:ascii="Arial" w:hAnsi="Arial" w:eastAsia="黑体" w:cs="Times New Roman"/>
      <w:kern w:val="0"/>
      <w:sz w:val="24"/>
      <w:szCs w:val="20"/>
    </w:rPr>
  </w:style>
  <w:style w:type="character" w:customStyle="1" w:styleId="74">
    <w:name w:val="fontstyle01"/>
    <w:basedOn w:val="30"/>
    <w:qFormat/>
    <w:uiPriority w:val="0"/>
    <w:rPr>
      <w:rFonts w:hint="eastAsia" w:ascii="宋体" w:hAnsi="宋体" w:eastAsia="宋体"/>
      <w:color w:val="000000"/>
      <w:sz w:val="22"/>
      <w:szCs w:val="22"/>
    </w:rPr>
  </w:style>
  <w:style w:type="table" w:customStyle="1" w:styleId="75">
    <w:name w:val="Table Normal1"/>
    <w:semiHidden/>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76">
    <w:name w:val="Table Paragraph"/>
    <w:basedOn w:val="1"/>
    <w:qFormat/>
    <w:uiPriority w:val="1"/>
    <w:pPr>
      <w:autoSpaceDE w:val="0"/>
      <w:autoSpaceDN w:val="0"/>
      <w:spacing w:before="29"/>
      <w:ind w:left="63"/>
      <w:jc w:val="left"/>
    </w:pPr>
    <w:rPr>
      <w:rFonts w:ascii="微软雅黑" w:hAnsi="微软雅黑" w:eastAsia="微软雅黑" w:cs="微软雅黑"/>
      <w:kern w:val="0"/>
      <w:sz w:val="22"/>
      <w:lang w:eastAsia="en-US"/>
    </w:rPr>
  </w:style>
  <w:style w:type="character" w:customStyle="1" w:styleId="77">
    <w:name w:val="未处理的提及2"/>
    <w:basedOn w:val="30"/>
    <w:semiHidden/>
    <w:unhideWhenUsed/>
    <w:qFormat/>
    <w:uiPriority w:val="99"/>
    <w:rPr>
      <w:color w:val="605E5C"/>
      <w:shd w:val="clear" w:color="auto" w:fill="E1DFDD"/>
    </w:rPr>
  </w:style>
  <w:style w:type="paragraph" w:customStyle="1" w:styleId="78">
    <w:name w:val="Other|1"/>
    <w:basedOn w:val="1"/>
    <w:qFormat/>
    <w:uiPriority w:val="0"/>
    <w:pPr>
      <w:ind w:firstLine="200" w:firstLineChars="200"/>
    </w:pPr>
    <w:rPr>
      <w:rFonts w:cs="Arial"/>
      <w:sz w:val="19"/>
      <w:szCs w:val="19"/>
    </w:rPr>
  </w:style>
  <w:style w:type="paragraph" w:customStyle="1" w:styleId="79">
    <w:name w:val="Table Text"/>
    <w:basedOn w:val="1"/>
    <w:semiHidden/>
    <w:qFormat/>
    <w:uiPriority w:val="0"/>
    <w:pPr>
      <w:widowControl/>
      <w:kinsoku w:val="0"/>
      <w:autoSpaceDE w:val="0"/>
      <w:autoSpaceDN w:val="0"/>
      <w:adjustRightInd w:val="0"/>
      <w:snapToGrid w:val="0"/>
      <w:jc w:val="left"/>
      <w:textAlignment w:val="baseline"/>
    </w:pPr>
    <w:rPr>
      <w:rFonts w:ascii="宋体" w:hAnsi="宋体" w:eastAsia="宋体" w:cs="宋体"/>
      <w:snapToGrid w:val="0"/>
      <w:color w:val="000000"/>
      <w:kern w:val="0"/>
      <w:szCs w:val="21"/>
      <w:lang w:eastAsia="en-US"/>
    </w:rPr>
  </w:style>
  <w:style w:type="paragraph" w:customStyle="1" w:styleId="80">
    <w:name w:val="02二级表格"/>
    <w:qFormat/>
    <w:uiPriority w:val="0"/>
    <w:pPr>
      <w:numPr>
        <w:ilvl w:val="1"/>
        <w:numId w:val="3"/>
      </w:numPr>
    </w:pPr>
    <w:rPr>
      <w:rFonts w:ascii="Times New Roman" w:hAnsi="Times New Roman" w:eastAsia="仿宋" w:cs="Times New Roman"/>
      <w:b/>
      <w:sz w:val="24"/>
      <w:szCs w:val="24"/>
      <w:lang w:val="en-US" w:eastAsia="zh-CN" w:bidi="ar-SA"/>
    </w:rPr>
  </w:style>
  <w:style w:type="paragraph" w:customStyle="1" w:styleId="81">
    <w:name w:val="03三级表格"/>
    <w:qFormat/>
    <w:uiPriority w:val="0"/>
    <w:pPr>
      <w:numPr>
        <w:ilvl w:val="2"/>
        <w:numId w:val="3"/>
      </w:numPr>
    </w:pPr>
    <w:rPr>
      <w:rFonts w:ascii="Times New Roman" w:hAnsi="Times New Roman" w:eastAsia="仿宋" w:cs="Times New Roman"/>
      <w:sz w:val="24"/>
      <w:szCs w:val="24"/>
      <w:lang w:val="en-US" w:eastAsia="zh-CN" w:bidi="ar-SA"/>
    </w:rPr>
  </w:style>
  <w:style w:type="paragraph" w:customStyle="1" w:styleId="82">
    <w:name w:val="列表段落1"/>
    <w:basedOn w:val="1"/>
    <w:qFormat/>
    <w:uiPriority w:val="34"/>
    <w:pPr>
      <w:ind w:firstLine="420" w:firstLineChars="200"/>
    </w:pPr>
  </w:style>
  <w:style w:type="paragraph" w:customStyle="1" w:styleId="83">
    <w:name w:val="Revision1"/>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84">
    <w:name w:val="Revision2"/>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85">
    <w:name w:val="修订7"/>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86">
    <w:name w:val="修订8"/>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87">
    <w:name w:val="修订9"/>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88">
    <w:name w:val="修订10"/>
    <w:hidden/>
    <w:unhideWhenUsed/>
    <w:qFormat/>
    <w:uiPriority w:val="99"/>
    <w:rPr>
      <w:rFonts w:asciiTheme="minorHAnsi" w:hAnsiTheme="minorHAnsi" w:eastAsiaTheme="minorEastAsia" w:cstheme="minorBidi"/>
      <w:kern w:val="2"/>
      <w:sz w:val="21"/>
      <w:szCs w:val="22"/>
      <w:lang w:val="en-US" w:eastAsia="zh-CN" w:bidi="ar-SA"/>
    </w:rPr>
  </w:style>
  <w:style w:type="character" w:customStyle="1" w:styleId="89">
    <w:name w:val="font11"/>
    <w:qFormat/>
    <w:uiPriority w:val="0"/>
    <w:rPr>
      <w:rFonts w:hint="eastAsia" w:ascii="宋体" w:hAnsi="宋体" w:eastAsia="宋体" w:cs="宋体"/>
      <w:color w:val="000000"/>
      <w:sz w:val="20"/>
      <w:szCs w:val="20"/>
      <w:u w:val="none"/>
    </w:rPr>
  </w:style>
  <w:style w:type="paragraph" w:customStyle="1" w:styleId="90">
    <w:name w:val="修订11"/>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91">
    <w:name w:val="修订12"/>
    <w:hidden/>
    <w:unhideWhenUsed/>
    <w:qFormat/>
    <w:uiPriority w:val="99"/>
    <w:rPr>
      <w:rFonts w:asciiTheme="minorHAnsi" w:hAnsiTheme="minorHAnsi" w:eastAsiaTheme="minorEastAsia" w:cstheme="minorBidi"/>
      <w:kern w:val="2"/>
      <w:sz w:val="21"/>
      <w:szCs w:val="22"/>
      <w:lang w:val="en-US" w:eastAsia="zh-CN" w:bidi="ar-SA"/>
    </w:rPr>
  </w:style>
  <w:style w:type="character" w:customStyle="1" w:styleId="92">
    <w:name w:val="font41"/>
    <w:basedOn w:val="30"/>
    <w:qFormat/>
    <w:uiPriority w:val="0"/>
    <w:rPr>
      <w:rFonts w:hint="eastAsia" w:ascii="宋体" w:hAnsi="宋体" w:eastAsia="宋体" w:cs="宋体"/>
      <w:b/>
      <w:bCs/>
      <w:color w:val="000000"/>
      <w:sz w:val="24"/>
      <w:szCs w:val="24"/>
      <w:u w:val="none"/>
    </w:rPr>
  </w:style>
  <w:style w:type="paragraph" w:customStyle="1" w:styleId="93">
    <w:name w:val="x_msonormal"/>
    <w:basedOn w:val="1"/>
    <w:qFormat/>
    <w:uiPriority w:val="0"/>
    <w:pPr>
      <w:widowControl/>
      <w:spacing w:before="100" w:beforeAutospacing="1" w:after="100" w:afterAutospacing="1"/>
      <w:jc w:val="left"/>
    </w:pPr>
    <w:rPr>
      <w:rFonts w:ascii="Times New Roman" w:hAnsi="Times New Roman" w:eastAsia="Times New Roman" w:cs="Times New Roman"/>
      <w:kern w:val="0"/>
      <w:sz w:val="24"/>
      <w:szCs w:val="24"/>
      <w:lang w:val="en-SG"/>
    </w:rPr>
  </w:style>
  <w:style w:type="paragraph" w:customStyle="1" w:styleId="94">
    <w:name w:val="修订13"/>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95">
    <w:name w:val="修订14"/>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96">
    <w:name w:val="修订15"/>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97">
    <w:name w:val="null3"/>
    <w:qFormat/>
    <w:uiPriority w:val="0"/>
    <w:rPr>
      <w:rFonts w:hint="eastAsia" w:ascii="Calibri" w:hAnsi="Calibri" w:eastAsia="宋体" w:cs="Times New Roman"/>
      <w:lang w:val="en-US" w:eastAsia="zh-Hans" w:bidi="ar-SA"/>
    </w:rPr>
  </w:style>
  <w:style w:type="paragraph" w:customStyle="1" w:styleId="98">
    <w:name w:val="修订16"/>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99">
    <w:name w:val="_Style 13"/>
    <w:qFormat/>
    <w:uiPriority w:val="0"/>
    <w:pPr>
      <w:spacing w:before="120" w:after="120" w:line="288" w:lineRule="auto"/>
    </w:pPr>
    <w:rPr>
      <w:rFonts w:ascii="Arial" w:hAnsi="Arial" w:eastAsia="等线" w:cs="Arial"/>
      <w:sz w:val="22"/>
      <w:szCs w:val="22"/>
      <w:lang w:val="en-US" w:eastAsia="zh-CN" w:bidi="ar-SA"/>
    </w:rPr>
  </w:style>
  <w:style w:type="paragraph" w:customStyle="1" w:styleId="100">
    <w:name w:val="修订17"/>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101">
    <w:name w:val="表"/>
    <w:basedOn w:val="1"/>
    <w:qFormat/>
    <w:uiPriority w:val="0"/>
    <w:pPr>
      <w:spacing w:line="360" w:lineRule="auto"/>
    </w:pPr>
    <w:rPr>
      <w:rFonts w:ascii="宋体" w:hAnsi="宋体"/>
      <w:b/>
      <w:bCs/>
    </w:rPr>
  </w:style>
  <w:style w:type="paragraph" w:customStyle="1" w:styleId="102">
    <w:name w:val="List Paragraph1"/>
    <w:qFormat/>
    <w:uiPriority w:val="0"/>
    <w:pPr>
      <w:widowControl w:val="0"/>
      <w:ind w:firstLine="420" w:firstLineChars="200"/>
      <w:jc w:val="both"/>
    </w:pPr>
    <w:rPr>
      <w:rFonts w:ascii="Times New Roman" w:hAnsi="Times New Roman" w:eastAsia="宋体" w:cs="Times New Roman"/>
      <w:kern w:val="2"/>
      <w:sz w:val="21"/>
      <w:szCs w:val="21"/>
      <w:lang w:val="en-US" w:eastAsia="zh-CN" w:bidi="ar-SA"/>
    </w:rPr>
  </w:style>
  <w:style w:type="paragraph" w:customStyle="1" w:styleId="103">
    <w:name w:val="日期1"/>
    <w:qFormat/>
    <w:uiPriority w:val="0"/>
    <w:pPr>
      <w:widowControl w:val="0"/>
      <w:suppressAutoHyphens/>
      <w:jc w:val="both"/>
    </w:pPr>
    <w:rPr>
      <w:rFonts w:ascii="宋体" w:hAnsi="宋体" w:eastAsia="宋体" w:cs="Times New Roman"/>
      <w:sz w:val="28"/>
      <w:szCs w:val="28"/>
      <w:lang w:val="en-US" w:eastAsia="zh-CN" w:bidi="ar-SA"/>
    </w:rPr>
  </w:style>
  <w:style w:type="character" w:customStyle="1" w:styleId="104">
    <w:name w:val="font31"/>
    <w:basedOn w:val="30"/>
    <w:qFormat/>
    <w:uiPriority w:val="0"/>
    <w:rPr>
      <w:rFonts w:hint="eastAsia" w:ascii="宋体" w:hAnsi="宋体" w:eastAsia="宋体" w:cs="宋体"/>
      <w:b/>
      <w:bCs/>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emf"/><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StyleName="APA Fifth Edition" SelectedStyle="\APA.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EAEBD2A-A372-4E19-B983-E6181E0442F3}">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165</Pages>
  <Words>21065</Words>
  <Characters>24632</Characters>
  <Lines>103</Lines>
  <Paragraphs>147</Paragraphs>
  <TotalTime>22</TotalTime>
  <ScaleCrop>false</ScaleCrop>
  <LinksUpToDate>false</LinksUpToDate>
  <CharactersWithSpaces>25134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2025-12-27T03:47:00Z</dcterms:created>
  <dc:creator>lenovo</dc:creator>
  <cp:lastModifiedBy>东方招标办公专用号</cp:lastModifiedBy>
  <cp:lastPrinted>2022-09-06T05:47:00Z</cp:lastPrinted>
  <dcterms:modified xsi:type="dcterms:W3CDTF">2026-08-17T08:29:29Z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2654C2564443A96991CB7E6A9FB91890_43</vt:lpwstr>
  </property>
  <property fmtid="{D5CDD505-2E9C-101B-9397-08002B2CF9AE}" pid="4" name="KSOTemplateDocerSaveRecord">
    <vt:lpwstr>eyJoZGlkIjoiNzg1ZDk5NDAzMzE3MmFkZjhlMzIxMzU1NWRlNjgzYjQiLCJ1c2VySWQiOiI4MDg3NDE3NTcifQ==</vt:lpwstr>
  </property>
</Properties>
</file>