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E919DB">
      <w:pPr>
        <w:pStyle w:val="9"/>
        <w:jc w:val="left"/>
        <w:outlineLvl w:val="2"/>
      </w:pPr>
      <w:r>
        <w:rPr>
          <w:rFonts w:ascii="仿宋_GB2312" w:hAnsi="仿宋_GB2312" w:eastAsia="仿宋_GB2312" w:cs="仿宋_GB2312"/>
          <w:b/>
          <w:sz w:val="28"/>
        </w:rPr>
        <w:t>合同文本</w:t>
      </w:r>
    </w:p>
    <w:p w14:paraId="71659F30">
      <w:pPr>
        <w:widowControl/>
        <w:spacing w:beforeAutospacing="0" w:afterAutospacing="0" w:line="360" w:lineRule="auto"/>
        <w:jc w:val="center"/>
        <w:outlineLvl w:val="9"/>
        <w:rPr>
          <w:rFonts w:ascii="Times New Roman" w:hAnsi="Times New Roman" w:eastAsia="黑体" w:cs="Times New Roman"/>
          <w:sz w:val="44"/>
          <w:highlight w:val="none"/>
        </w:rPr>
      </w:pPr>
      <w:r>
        <w:rPr>
          <w:rFonts w:ascii="Times New Roman" w:hAnsi="Times New Roman" w:eastAsia="黑体" w:cs="Times New Roman"/>
          <w:sz w:val="44"/>
          <w:highlight w:val="none"/>
        </w:rPr>
        <w:t>海南省公安厅反走私和海岸管理总队第三支队物业</w:t>
      </w:r>
      <w:r>
        <w:rPr>
          <w:rFonts w:hint="eastAsia" w:ascii="Times New Roman" w:hAnsi="Times New Roman" w:eastAsia="黑体" w:cs="Times New Roman"/>
          <w:sz w:val="44"/>
          <w:highlight w:val="none"/>
          <w:lang w:val="en-US" w:eastAsia="zh-CN"/>
        </w:rPr>
        <w:t>保障</w:t>
      </w:r>
      <w:r>
        <w:rPr>
          <w:rFonts w:ascii="Times New Roman" w:hAnsi="Times New Roman" w:eastAsia="黑体" w:cs="Times New Roman"/>
          <w:sz w:val="44"/>
          <w:highlight w:val="none"/>
        </w:rPr>
        <w:t>服务项目合同书</w:t>
      </w:r>
    </w:p>
    <w:p w14:paraId="7807E511">
      <w:pPr>
        <w:widowControl/>
        <w:spacing w:beforeAutospacing="0" w:afterAutospacing="0" w:line="360" w:lineRule="auto"/>
        <w:jc w:val="center"/>
        <w:outlineLvl w:val="9"/>
        <w:rPr>
          <w:rFonts w:hint="default" w:ascii="Times New Roman" w:hAnsi="Times New Roman" w:eastAsia="黑体" w:cs="Times New Roman"/>
          <w:sz w:val="44"/>
          <w:highlight w:val="none"/>
          <w:lang w:val="en-US" w:eastAsia="zh-CN"/>
        </w:rPr>
      </w:pPr>
      <w:r>
        <w:rPr>
          <w:rFonts w:hint="eastAsia" w:ascii="Times New Roman" w:hAnsi="Times New Roman" w:eastAsia="黑体" w:cs="Times New Roman"/>
          <w:sz w:val="44"/>
          <w:highlight w:val="none"/>
          <w:lang w:eastAsia="zh-CN"/>
        </w:rPr>
        <w:t>（</w:t>
      </w:r>
      <w:r>
        <w:rPr>
          <w:rFonts w:hint="eastAsia" w:ascii="Times New Roman" w:hAnsi="Times New Roman" w:eastAsia="黑体" w:cs="Times New Roman"/>
          <w:sz w:val="44"/>
          <w:highlight w:val="none"/>
          <w:lang w:val="en-US" w:eastAsia="zh-CN"/>
        </w:rPr>
        <w:t>项目编号：</w:t>
      </w:r>
      <w:r>
        <w:rPr>
          <w:rFonts w:hint="eastAsia" w:ascii="Times New Roman" w:hAnsi="Times New Roman" w:eastAsia="黑体" w:cs="Times New Roman"/>
          <w:sz w:val="44"/>
          <w:highlight w:val="none"/>
          <w:u w:val="single"/>
          <w:lang w:val="en-US" w:eastAsia="zh-CN"/>
        </w:rPr>
        <w:t xml:space="preserve">          </w:t>
      </w:r>
      <w:r>
        <w:rPr>
          <w:rFonts w:hint="eastAsia" w:ascii="Times New Roman" w:hAnsi="Times New Roman" w:eastAsia="黑体" w:cs="Times New Roman"/>
          <w:sz w:val="44"/>
          <w:highlight w:val="none"/>
          <w:lang w:val="en-US" w:eastAsia="zh-CN"/>
        </w:rPr>
        <w:t>）</w:t>
      </w:r>
    </w:p>
    <w:p w14:paraId="5E5BFD23">
      <w:pPr>
        <w:pStyle w:val="3"/>
        <w:widowControl/>
        <w:numPr>
          <w:ilvl w:val="0"/>
          <w:numId w:val="0"/>
        </w:numPr>
        <w:tabs>
          <w:tab w:val="left" w:pos="1413"/>
          <w:tab w:val="left" w:pos="1566"/>
        </w:tabs>
        <w:ind w:left="0" w:leftChars="0" w:firstLine="482" w:firstLineChars="200"/>
        <w:rPr>
          <w:b/>
          <w:color w:val="0000FF"/>
          <w:highlight w:val="red"/>
        </w:rPr>
      </w:pPr>
      <w:r>
        <w:rPr>
          <w:rFonts w:hint="eastAsia" w:ascii="宋体" w:hAnsi="宋体" w:eastAsia="宋体" w:cs="宋体"/>
          <w:b/>
          <w:bCs/>
          <w:color w:val="0000FF"/>
          <w:kern w:val="44"/>
          <w:sz w:val="24"/>
          <w:szCs w:val="30"/>
        </w:rPr>
        <w:t>第一条</w:t>
      </w:r>
      <w:r>
        <w:rPr>
          <w:rFonts w:hint="eastAsia"/>
          <w:color w:val="0000FF"/>
          <w:highlight w:val="none"/>
          <w:lang w:eastAsia="zh-CN"/>
        </w:rPr>
        <w:tab/>
      </w:r>
      <w:r>
        <w:rPr>
          <w:color w:val="0000FF"/>
          <w:highlight w:val="none"/>
        </w:rPr>
        <w:t>本合同当事人</w:t>
      </w:r>
    </w:p>
    <w:p w14:paraId="0B7FEEAA">
      <w:pPr>
        <w:pStyle w:val="4"/>
        <w:widowControl/>
        <w:ind w:left="0" w:leftChars="0" w:firstLine="480" w:firstLineChars="200"/>
        <w:rPr>
          <w:rFonts w:ascii="Times New Roman" w:hAnsi="Times New Roman" w:eastAsia="宋体" w:cs="Times New Roman"/>
          <w:color w:val="auto"/>
          <w:sz w:val="24"/>
          <w:highlight w:val="none"/>
          <w:u w:val="single"/>
        </w:rPr>
      </w:pPr>
      <w:r>
        <w:rPr>
          <w:rFonts w:ascii="Times New Roman" w:hAnsi="Times New Roman" w:eastAsia="宋体" w:cs="Times New Roman"/>
          <w:color w:val="auto"/>
          <w:sz w:val="24"/>
          <w:highlight w:val="none"/>
        </w:rPr>
        <w:t xml:space="preserve">甲方（委托方）: </w:t>
      </w:r>
      <w:r>
        <w:rPr>
          <w:rFonts w:ascii="Times New Roman" w:hAnsi="Times New Roman" w:eastAsia="宋体" w:cs="Times New Roman"/>
          <w:color w:val="auto"/>
          <w:sz w:val="24"/>
          <w:highlight w:val="none"/>
          <w:u w:val="single"/>
        </w:rPr>
        <w:t>海南省公安厅反走私和海岸管理总队第三支队</w:t>
      </w:r>
    </w:p>
    <w:p w14:paraId="7D777705">
      <w:pPr>
        <w:pStyle w:val="4"/>
        <w:widowControl/>
        <w:ind w:left="0" w:leftChars="0" w:firstLine="480" w:firstLineChars="200"/>
        <w:rPr>
          <w:rFonts w:ascii="Times New Roman" w:hAnsi="Times New Roman" w:eastAsia="宋体" w:cs="Times New Roman"/>
          <w:color w:val="auto"/>
          <w:sz w:val="24"/>
          <w:highlight w:val="none"/>
          <w:u w:val="single"/>
        </w:rPr>
      </w:pPr>
      <w:r>
        <w:rPr>
          <w:rFonts w:ascii="Times New Roman" w:hAnsi="Times New Roman" w:eastAsia="宋体" w:cs="Times New Roman"/>
          <w:color w:val="auto"/>
          <w:sz w:val="24"/>
          <w:highlight w:val="none"/>
        </w:rPr>
        <w:t>乙方（受托方）:</w:t>
      </w:r>
      <w:r>
        <w:rPr>
          <w:rFonts w:ascii="Times New Roman" w:hAnsi="Times New Roman" w:eastAsia="宋体" w:cs="Times New Roman"/>
          <w:color w:val="auto"/>
          <w:sz w:val="24"/>
          <w:highlight w:val="none"/>
          <w:u w:val="single"/>
        </w:rPr>
        <w:t xml:space="preserve">                                         </w:t>
      </w:r>
    </w:p>
    <w:p w14:paraId="67576018"/>
    <w:p w14:paraId="42E1E851">
      <w:pPr>
        <w:pStyle w:val="4"/>
        <w:widowControl/>
        <w:ind w:left="0" w:leftChars="0" w:firstLine="480" w:firstLineChars="200"/>
        <w:rPr>
          <w:rFonts w:ascii="Times New Roman" w:hAnsi="Times New Roman" w:eastAsia="宋体" w:cs="Times New Roman"/>
          <w:color w:val="auto"/>
          <w:sz w:val="24"/>
          <w:highlight w:val="none"/>
        </w:rPr>
      </w:pPr>
      <w:r>
        <w:rPr>
          <w:rFonts w:ascii="Times New Roman" w:hAnsi="Times New Roman" w:eastAsia="宋体" w:cs="Times New Roman"/>
          <w:color w:val="auto"/>
          <w:sz w:val="24"/>
          <w:highlight w:val="none"/>
        </w:rPr>
        <w:t>甲方和乙方根据《中华人民共和国民法典》《中华人民共和国政府甲方法》《中华人民共和国劳动合同法》《物业管理条例》等法律法规，遵循平等、自愿、公平和诚实信用原则，同意按照下面的条款和条件订立本政府</w:t>
      </w:r>
      <w:bookmarkStart w:id="0" w:name="_GoBack"/>
      <w:bookmarkEnd w:id="0"/>
      <w:r>
        <w:rPr>
          <w:rFonts w:ascii="Times New Roman" w:hAnsi="Times New Roman" w:eastAsia="宋体" w:cs="Times New Roman"/>
          <w:color w:val="auto"/>
          <w:sz w:val="24"/>
          <w:highlight w:val="none"/>
        </w:rPr>
        <w:t>合同，共同信守。</w:t>
      </w:r>
    </w:p>
    <w:p w14:paraId="4181FDC6">
      <w:pPr>
        <w:pStyle w:val="3"/>
        <w:widowControl/>
        <w:numPr>
          <w:ilvl w:val="0"/>
          <w:numId w:val="0"/>
        </w:numPr>
        <w:tabs>
          <w:tab w:val="left" w:pos="1566"/>
        </w:tabs>
        <w:ind w:left="0" w:leftChars="0" w:firstLine="482" w:firstLineChars="200"/>
        <w:rPr>
          <w:b/>
          <w:color w:val="0000FF"/>
          <w:highlight w:val="none"/>
        </w:rPr>
      </w:pPr>
      <w:r>
        <w:rPr>
          <w:rFonts w:hint="eastAsia" w:ascii="宋体" w:hAnsi="宋体" w:eastAsia="宋体" w:cs="宋体"/>
          <w:b/>
          <w:bCs/>
          <w:color w:val="0000FF"/>
          <w:kern w:val="44"/>
          <w:sz w:val="24"/>
          <w:szCs w:val="30"/>
        </w:rPr>
        <w:t>第二条</w:t>
      </w:r>
      <w:r>
        <w:rPr>
          <w:rFonts w:hint="eastAsia" w:cs="宋体"/>
          <w:b/>
          <w:bCs/>
          <w:color w:val="0000FF"/>
          <w:kern w:val="44"/>
          <w:sz w:val="24"/>
          <w:szCs w:val="30"/>
          <w:lang w:val="en-US" w:eastAsia="zh-CN"/>
        </w:rPr>
        <w:t xml:space="preserve">  </w:t>
      </w:r>
      <w:r>
        <w:rPr>
          <w:color w:val="0000FF"/>
          <w:highlight w:val="none"/>
        </w:rPr>
        <w:t>合同文件</w:t>
      </w:r>
    </w:p>
    <w:p w14:paraId="3E0A837C">
      <w:pPr>
        <w:pStyle w:val="4"/>
        <w:widowControl/>
        <w:ind w:left="0" w:leftChars="0" w:firstLine="480" w:firstLineChars="200"/>
        <w:rPr>
          <w:rFonts w:ascii="Times New Roman" w:hAnsi="Times New Roman" w:eastAsia="宋体" w:cs="Times New Roman"/>
          <w:color w:val="auto"/>
          <w:sz w:val="24"/>
          <w:highlight w:val="none"/>
        </w:rPr>
      </w:pPr>
      <w:r>
        <w:rPr>
          <w:rFonts w:ascii="Times New Roman" w:hAnsi="Times New Roman" w:eastAsia="宋体" w:cs="Times New Roman"/>
          <w:color w:val="auto"/>
          <w:sz w:val="24"/>
          <w:highlight w:val="none"/>
        </w:rPr>
        <w:t>以下内容为合同不可分割的组成部分，构成合同的各项文件及其优先解释顺序如下：</w:t>
      </w:r>
    </w:p>
    <w:p w14:paraId="1026CE88">
      <w:pPr>
        <w:pStyle w:val="4"/>
        <w:widowControl/>
        <w:numPr>
          <w:ilvl w:val="0"/>
          <w:numId w:val="0"/>
        </w:numPr>
        <w:tabs>
          <w:tab w:val="left" w:pos="1200"/>
        </w:tabs>
        <w:topLinePunct w:val="0"/>
        <w:ind w:left="0" w:leftChars="0" w:firstLine="480" w:firstLineChars="200"/>
        <w:rPr>
          <w:rFonts w:ascii="Times New Roman" w:hAnsi="Times New Roman" w:eastAsia="宋体" w:cs="Times New Roman"/>
          <w:b w:val="0"/>
          <w:color w:val="auto"/>
          <w:sz w:val="24"/>
          <w:highlight w:val="none"/>
        </w:rPr>
      </w:pPr>
      <w:r>
        <w:rPr>
          <w:rFonts w:hint="eastAsia" w:ascii="Times New Roman" w:hAnsi="Times New Roman" w:eastAsia="宋体" w:cs="Times New Roman"/>
          <w:b w:val="0"/>
          <w:color w:val="auto"/>
          <w:sz w:val="24"/>
        </w:rPr>
        <w:t>（一）</w:t>
      </w:r>
      <w:r>
        <w:rPr>
          <w:rFonts w:ascii="Times New Roman" w:hAnsi="Times New Roman" w:eastAsia="宋体" w:cs="Times New Roman"/>
          <w:color w:val="auto"/>
          <w:sz w:val="24"/>
          <w:highlight w:val="none"/>
        </w:rPr>
        <w:t>本合同书及附件；</w:t>
      </w:r>
    </w:p>
    <w:p w14:paraId="01CB1937">
      <w:pPr>
        <w:pStyle w:val="4"/>
        <w:widowControl/>
        <w:numPr>
          <w:ilvl w:val="0"/>
          <w:numId w:val="0"/>
        </w:numPr>
        <w:tabs>
          <w:tab w:val="left" w:pos="1200"/>
        </w:tabs>
        <w:topLinePunct w:val="0"/>
        <w:ind w:left="0" w:leftChars="0" w:firstLine="480" w:firstLineChars="200"/>
        <w:rPr>
          <w:rFonts w:ascii="Times New Roman" w:hAnsi="Times New Roman" w:eastAsia="宋体" w:cs="Times New Roman"/>
          <w:b w:val="0"/>
          <w:color w:val="auto"/>
          <w:sz w:val="24"/>
          <w:highlight w:val="none"/>
        </w:rPr>
      </w:pPr>
      <w:r>
        <w:rPr>
          <w:rFonts w:hint="eastAsia" w:ascii="Times New Roman" w:hAnsi="Times New Roman" w:eastAsia="宋体" w:cs="Times New Roman"/>
          <w:b w:val="0"/>
          <w:color w:val="auto"/>
          <w:sz w:val="24"/>
        </w:rPr>
        <w:t>（二）</w:t>
      </w:r>
      <w:r>
        <w:rPr>
          <w:rFonts w:ascii="Times New Roman" w:hAnsi="Times New Roman" w:eastAsia="宋体" w:cs="Times New Roman"/>
          <w:color w:val="auto"/>
          <w:sz w:val="24"/>
          <w:highlight w:val="none"/>
        </w:rPr>
        <w:t>成交（中标）通知书；</w:t>
      </w:r>
    </w:p>
    <w:p w14:paraId="65C75D1C">
      <w:pPr>
        <w:pStyle w:val="4"/>
        <w:widowControl/>
        <w:numPr>
          <w:ilvl w:val="0"/>
          <w:numId w:val="0"/>
        </w:numPr>
        <w:tabs>
          <w:tab w:val="left" w:pos="1200"/>
        </w:tabs>
        <w:topLinePunct w:val="0"/>
        <w:ind w:left="0" w:leftChars="0" w:firstLine="480" w:firstLineChars="200"/>
        <w:rPr>
          <w:rFonts w:ascii="Times New Roman" w:hAnsi="Times New Roman" w:eastAsia="宋体" w:cs="Times New Roman"/>
          <w:b w:val="0"/>
          <w:color w:val="auto"/>
          <w:sz w:val="24"/>
          <w:highlight w:val="none"/>
        </w:rPr>
      </w:pPr>
      <w:r>
        <w:rPr>
          <w:rFonts w:hint="eastAsia" w:ascii="Times New Roman" w:hAnsi="Times New Roman" w:eastAsia="宋体" w:cs="Times New Roman"/>
          <w:b w:val="0"/>
          <w:color w:val="auto"/>
          <w:sz w:val="24"/>
        </w:rPr>
        <w:t>（三）</w:t>
      </w:r>
      <w:r>
        <w:rPr>
          <w:rFonts w:ascii="Times New Roman" w:hAnsi="Times New Roman" w:eastAsia="宋体" w:cs="Times New Roman"/>
          <w:color w:val="auto"/>
          <w:sz w:val="24"/>
          <w:highlight w:val="none"/>
        </w:rPr>
        <w:t>成交供应商提交的响应文件；</w:t>
      </w:r>
    </w:p>
    <w:p w14:paraId="050CF70F">
      <w:pPr>
        <w:pStyle w:val="4"/>
        <w:widowControl/>
        <w:numPr>
          <w:ilvl w:val="0"/>
          <w:numId w:val="0"/>
        </w:numPr>
        <w:tabs>
          <w:tab w:val="left" w:pos="1200"/>
        </w:tabs>
        <w:topLinePunct w:val="0"/>
        <w:ind w:left="0" w:leftChars="0" w:firstLine="480" w:firstLineChars="200"/>
        <w:rPr>
          <w:rFonts w:ascii="Times New Roman" w:hAnsi="Times New Roman" w:eastAsia="宋体" w:cs="Times New Roman"/>
          <w:b w:val="0"/>
          <w:color w:val="auto"/>
          <w:sz w:val="24"/>
          <w:highlight w:val="none"/>
        </w:rPr>
      </w:pPr>
      <w:r>
        <w:rPr>
          <w:rFonts w:hint="eastAsia" w:ascii="Times New Roman" w:hAnsi="Times New Roman" w:eastAsia="宋体" w:cs="Times New Roman"/>
          <w:b w:val="0"/>
          <w:color w:val="auto"/>
          <w:sz w:val="24"/>
        </w:rPr>
        <w:t>（四）</w:t>
      </w:r>
      <w:r>
        <w:rPr>
          <w:rFonts w:ascii="Times New Roman" w:hAnsi="Times New Roman" w:eastAsia="宋体" w:cs="Times New Roman"/>
          <w:color w:val="auto"/>
          <w:sz w:val="24"/>
          <w:highlight w:val="none"/>
        </w:rPr>
        <w:t>甲方文件（甲方文件编号：</w:t>
      </w:r>
      <w:r>
        <w:rPr>
          <w:rFonts w:ascii="Times New Roman" w:hAnsi="Times New Roman" w:eastAsia="宋体" w:cs="Times New Roman"/>
          <w:color w:val="auto"/>
          <w:sz w:val="24"/>
          <w:highlight w:val="none"/>
          <w:u w:val="single"/>
        </w:rPr>
        <w:t xml:space="preserve">           </w:t>
      </w:r>
      <w:r>
        <w:rPr>
          <w:rFonts w:ascii="Times New Roman" w:hAnsi="Times New Roman" w:eastAsia="宋体" w:cs="Times New Roman"/>
          <w:color w:val="auto"/>
          <w:sz w:val="24"/>
          <w:highlight w:val="none"/>
        </w:rPr>
        <w:t>）及更正公告、变更公告。</w:t>
      </w:r>
    </w:p>
    <w:p w14:paraId="0AD9A58C">
      <w:pPr>
        <w:pStyle w:val="3"/>
        <w:widowControl/>
        <w:numPr>
          <w:ilvl w:val="0"/>
          <w:numId w:val="0"/>
        </w:numPr>
        <w:tabs>
          <w:tab w:val="left" w:pos="1566"/>
        </w:tabs>
        <w:ind w:left="0" w:leftChars="0" w:firstLine="482" w:firstLineChars="200"/>
        <w:rPr>
          <w:b/>
          <w:color w:val="0000FF"/>
          <w:highlight w:val="none"/>
        </w:rPr>
      </w:pPr>
      <w:r>
        <w:rPr>
          <w:rFonts w:hint="eastAsia" w:ascii="宋体" w:hAnsi="宋体" w:eastAsia="宋体" w:cs="宋体"/>
          <w:b/>
          <w:bCs/>
          <w:color w:val="0000FF"/>
          <w:kern w:val="44"/>
          <w:sz w:val="24"/>
          <w:szCs w:val="30"/>
        </w:rPr>
        <w:t>第三条</w:t>
      </w:r>
      <w:r>
        <w:rPr>
          <w:rFonts w:hint="eastAsia" w:cs="宋体"/>
          <w:b/>
          <w:bCs/>
          <w:color w:val="0000FF"/>
          <w:kern w:val="44"/>
          <w:sz w:val="24"/>
          <w:szCs w:val="30"/>
          <w:lang w:val="en-US" w:eastAsia="zh-CN"/>
        </w:rPr>
        <w:t xml:space="preserve">  </w:t>
      </w:r>
      <w:r>
        <w:rPr>
          <w:color w:val="0000FF"/>
          <w:highlight w:val="none"/>
        </w:rPr>
        <w:t>甲方和乙方关系</w:t>
      </w:r>
    </w:p>
    <w:p w14:paraId="05FB5481">
      <w:pPr>
        <w:pStyle w:val="4"/>
        <w:widowControl/>
        <w:ind w:left="0" w:leftChars="0"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highlight w:val="none"/>
        </w:rPr>
        <w:t>甲方与乙方签署本合同，明确双方权利义务关系，乙方按照本合同约定向甲方支队机关及下属派驻单位提供物业保障服务，甲方下属派驻单位不再与乙方另行签订物业保障服务合同。</w:t>
      </w:r>
    </w:p>
    <w:p w14:paraId="3FFF5595">
      <w:pPr>
        <w:pStyle w:val="3"/>
        <w:widowControl/>
        <w:numPr>
          <w:ilvl w:val="0"/>
          <w:numId w:val="0"/>
        </w:numPr>
        <w:tabs>
          <w:tab w:val="left" w:pos="1566"/>
        </w:tabs>
        <w:ind w:left="0" w:leftChars="0" w:firstLine="482" w:firstLineChars="200"/>
        <w:rPr>
          <w:b/>
          <w:color w:val="0000FF"/>
          <w:highlight w:val="none"/>
        </w:rPr>
      </w:pPr>
      <w:r>
        <w:rPr>
          <w:rFonts w:hint="eastAsia" w:ascii="宋体" w:hAnsi="宋体" w:eastAsia="宋体" w:cs="宋体"/>
          <w:b/>
          <w:bCs/>
          <w:color w:val="0000FF"/>
          <w:kern w:val="44"/>
          <w:sz w:val="24"/>
          <w:szCs w:val="30"/>
        </w:rPr>
        <w:t>第四条</w:t>
      </w:r>
      <w:r>
        <w:rPr>
          <w:rFonts w:hint="eastAsia" w:cs="宋体"/>
          <w:b/>
          <w:bCs/>
          <w:color w:val="0000FF"/>
          <w:kern w:val="44"/>
          <w:sz w:val="24"/>
          <w:szCs w:val="30"/>
          <w:lang w:val="en-US" w:eastAsia="zh-CN"/>
        </w:rPr>
        <w:t xml:space="preserve">  </w:t>
      </w:r>
      <w:r>
        <w:rPr>
          <w:color w:val="0000FF"/>
          <w:highlight w:val="none"/>
        </w:rPr>
        <w:t>物业保障服务基本情况和服务范围</w:t>
      </w:r>
    </w:p>
    <w:p w14:paraId="3234A13A">
      <w:pPr>
        <w:pStyle w:val="4"/>
        <w:widowControl/>
        <w:ind w:left="0" w:leftChars="0" w:firstLine="480" w:firstLineChars="200"/>
        <w:rPr>
          <w:rFonts w:ascii="Times New Roman" w:hAnsi="Times New Roman" w:eastAsia="宋体" w:cs="Times New Roman"/>
          <w:sz w:val="24"/>
        </w:rPr>
      </w:pPr>
      <w:r>
        <w:rPr>
          <w:rFonts w:ascii="Times New Roman" w:hAnsi="Times New Roman" w:eastAsia="宋体" w:cs="Times New Roman"/>
          <w:color w:val="auto"/>
          <w:sz w:val="24"/>
          <w:highlight w:val="none"/>
        </w:rPr>
        <w:t>甲方作为维护我省沿海地区安全稳定的重要力量，其所属机关、特警大队及派出所等机构分布于琼海、万宁沿海各乡镇，具有点多面广的特点。总办公面积为30848.73㎡（办公建筑共54栋），附属绿化场地面积为28054㎡，服务范围覆盖第三支队机关、特警大队、各海岸派出所、博鳌办公点、万宁人民西路营区共12个服务点位。</w:t>
      </w:r>
    </w:p>
    <w:p w14:paraId="50BF3834">
      <w:pPr>
        <w:pStyle w:val="4"/>
        <w:widowControl/>
        <w:ind w:left="0" w:leftChars="0" w:firstLine="480" w:firstLineChars="200"/>
        <w:rPr>
          <w:rFonts w:ascii="Times New Roman" w:hAnsi="Times New Roman" w:eastAsia="宋体" w:cs="Times New Roman"/>
          <w:b w:val="0"/>
          <w:sz w:val="24"/>
          <w:highlight w:val="none"/>
        </w:rPr>
      </w:pPr>
      <w:r>
        <w:rPr>
          <w:rFonts w:hint="eastAsia" w:ascii="Times New Roman" w:hAnsi="Times New Roman" w:eastAsia="宋体" w:cs="Times New Roman"/>
          <w:b w:val="0"/>
          <w:sz w:val="24"/>
          <w:highlight w:val="none"/>
        </w:rPr>
        <w:t>服务内容涵盖第三支队机关、特警大队、派出所、博鳌办公点及三支队万宁人民西路营区等本合同列明的全部12个点位办公区域的保洁卫生、绿化养护、水电维修及秩序维护保障服务，具体服务内容、标准及点位明细以本合同附件及附表约定为准。</w:t>
      </w:r>
    </w:p>
    <w:p w14:paraId="14248493">
      <w:pPr>
        <w:pStyle w:val="4"/>
        <w:widowControl/>
        <w:ind w:left="0" w:leftChars="0" w:firstLine="480" w:firstLineChars="200"/>
        <w:rPr>
          <w:rFonts w:ascii="Times New Roman" w:hAnsi="Times New Roman" w:eastAsia="宋体" w:cs="Times New Roman"/>
          <w:b w:val="0"/>
          <w:sz w:val="24"/>
          <w:highlight w:val="none"/>
        </w:rPr>
      </w:pPr>
      <w:r>
        <w:rPr>
          <w:rFonts w:ascii="Times New Roman" w:hAnsi="Times New Roman" w:eastAsia="宋体" w:cs="Times New Roman"/>
          <w:b w:val="0"/>
          <w:sz w:val="24"/>
          <w:highlight w:val="none"/>
        </w:rPr>
        <w:t>具体服务地点及岗位设置详见下表：</w:t>
      </w:r>
    </w:p>
    <w:tbl>
      <w:tblPr>
        <w:tblStyle w:val="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
        <w:gridCol w:w="1011"/>
        <w:gridCol w:w="1679"/>
        <w:gridCol w:w="826"/>
        <w:gridCol w:w="1063"/>
        <w:gridCol w:w="510"/>
        <w:gridCol w:w="452"/>
        <w:gridCol w:w="609"/>
        <w:gridCol w:w="510"/>
        <w:gridCol w:w="706"/>
        <w:gridCol w:w="730"/>
      </w:tblGrid>
      <w:tr w14:paraId="014337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4" w:hRule="atLeast"/>
        </w:trPr>
        <w:tc>
          <w:tcPr>
            <w:tcW w:w="249" w:type="pct"/>
            <w:tcBorders>
              <w:top w:val="single" w:color="000000" w:sz="4" w:space="0"/>
              <w:left w:val="single" w:color="000000" w:sz="4" w:space="0"/>
              <w:bottom w:val="single" w:color="000000" w:sz="4" w:space="0"/>
              <w:right w:val="single" w:color="000000" w:sz="4" w:space="0"/>
            </w:tcBorders>
            <w:noWrap w:val="0"/>
            <w:vAlign w:val="center"/>
          </w:tcPr>
          <w:p w14:paraId="71B38199">
            <w:pPr>
              <w:keepNext w:val="0"/>
              <w:keepLines w:val="0"/>
              <w:widowControl/>
              <w:suppressLineNumbers w:val="0"/>
              <w:jc w:val="center"/>
              <w:textAlignment w:val="center"/>
              <w:rPr>
                <w:rFonts w:ascii="黑体" w:hAnsi="宋体" w:eastAsia="黑体" w:cs="黑体"/>
                <w:i w:val="0"/>
                <w:iCs w:val="0"/>
                <w:color w:val="000000"/>
                <w:sz w:val="21"/>
                <w:szCs w:val="21"/>
                <w:u w:val="none"/>
              </w:rPr>
            </w:pPr>
            <w:r>
              <w:rPr>
                <w:rFonts w:hint="eastAsia" w:ascii="黑体" w:hAnsi="宋体" w:eastAsia="黑体" w:cs="黑体"/>
                <w:i w:val="0"/>
                <w:iCs w:val="0"/>
                <w:color w:val="000000"/>
                <w:kern w:val="0"/>
                <w:sz w:val="21"/>
                <w:szCs w:val="21"/>
                <w:u w:val="none"/>
                <w:lang w:val="en-US" w:eastAsia="zh-CN" w:bidi="ar"/>
              </w:rPr>
              <w:t>序号</w:t>
            </w:r>
          </w:p>
        </w:tc>
        <w:tc>
          <w:tcPr>
            <w:tcW w:w="593" w:type="pct"/>
            <w:tcBorders>
              <w:top w:val="single" w:color="000000" w:sz="4" w:space="0"/>
              <w:left w:val="single" w:color="000000" w:sz="4" w:space="0"/>
              <w:bottom w:val="single" w:color="000000" w:sz="4" w:space="0"/>
              <w:right w:val="single" w:color="000000" w:sz="4" w:space="0"/>
            </w:tcBorders>
            <w:noWrap w:val="0"/>
            <w:vAlign w:val="center"/>
          </w:tcPr>
          <w:p w14:paraId="1FF7CB28">
            <w:pPr>
              <w:keepNext w:val="0"/>
              <w:keepLines w:val="0"/>
              <w:widowControl/>
              <w:suppressLineNumbers w:val="0"/>
              <w:jc w:val="center"/>
              <w:textAlignment w:val="center"/>
              <w:rPr>
                <w:rFonts w:hint="eastAsia" w:ascii="黑体" w:hAnsi="宋体" w:eastAsia="黑体" w:cs="黑体"/>
                <w:i w:val="0"/>
                <w:iCs w:val="0"/>
                <w:color w:val="000000"/>
                <w:sz w:val="21"/>
                <w:szCs w:val="21"/>
                <w:u w:val="none"/>
              </w:rPr>
            </w:pPr>
            <w:r>
              <w:rPr>
                <w:rFonts w:hint="eastAsia" w:ascii="黑体" w:hAnsi="宋体" w:eastAsia="黑体" w:cs="黑体"/>
                <w:i w:val="0"/>
                <w:iCs w:val="0"/>
                <w:color w:val="000000"/>
                <w:kern w:val="0"/>
                <w:sz w:val="21"/>
                <w:szCs w:val="21"/>
                <w:u w:val="none"/>
                <w:lang w:val="en-US" w:eastAsia="zh-CN" w:bidi="ar"/>
              </w:rPr>
              <w:t>单位名称</w:t>
            </w:r>
          </w:p>
        </w:tc>
        <w:tc>
          <w:tcPr>
            <w:tcW w:w="984" w:type="pct"/>
            <w:tcBorders>
              <w:top w:val="single" w:color="000000" w:sz="4" w:space="0"/>
              <w:left w:val="single" w:color="000000" w:sz="4" w:space="0"/>
              <w:bottom w:val="single" w:color="000000" w:sz="4" w:space="0"/>
              <w:right w:val="single" w:color="000000" w:sz="4" w:space="0"/>
            </w:tcBorders>
            <w:noWrap w:val="0"/>
            <w:vAlign w:val="center"/>
          </w:tcPr>
          <w:p w14:paraId="05891978">
            <w:pPr>
              <w:keepNext w:val="0"/>
              <w:keepLines w:val="0"/>
              <w:widowControl/>
              <w:suppressLineNumbers w:val="0"/>
              <w:jc w:val="center"/>
              <w:textAlignment w:val="center"/>
              <w:rPr>
                <w:rFonts w:hint="eastAsia" w:ascii="黑体" w:hAnsi="宋体" w:eastAsia="黑体" w:cs="黑体"/>
                <w:i w:val="0"/>
                <w:iCs w:val="0"/>
                <w:color w:val="000000"/>
                <w:sz w:val="21"/>
                <w:szCs w:val="21"/>
                <w:u w:val="none"/>
              </w:rPr>
            </w:pPr>
            <w:r>
              <w:rPr>
                <w:rFonts w:hint="eastAsia" w:ascii="黑体" w:hAnsi="宋体" w:eastAsia="黑体" w:cs="黑体"/>
                <w:i w:val="0"/>
                <w:iCs w:val="0"/>
                <w:color w:val="000000"/>
                <w:kern w:val="0"/>
                <w:sz w:val="21"/>
                <w:szCs w:val="21"/>
                <w:u w:val="none"/>
                <w:lang w:val="en-US" w:eastAsia="zh-CN" w:bidi="ar"/>
              </w:rPr>
              <w:t>地址</w:t>
            </w:r>
          </w:p>
        </w:tc>
        <w:tc>
          <w:tcPr>
            <w:tcW w:w="484" w:type="pct"/>
            <w:tcBorders>
              <w:top w:val="single" w:color="000000" w:sz="4" w:space="0"/>
              <w:left w:val="single" w:color="000000" w:sz="4" w:space="0"/>
              <w:bottom w:val="single" w:color="000000" w:sz="4" w:space="0"/>
              <w:right w:val="single" w:color="000000" w:sz="4" w:space="0"/>
            </w:tcBorders>
            <w:noWrap w:val="0"/>
            <w:vAlign w:val="center"/>
          </w:tcPr>
          <w:p w14:paraId="2DC46ED9">
            <w:pPr>
              <w:keepNext w:val="0"/>
              <w:keepLines w:val="0"/>
              <w:widowControl/>
              <w:suppressLineNumbers w:val="0"/>
              <w:jc w:val="center"/>
              <w:textAlignment w:val="center"/>
              <w:rPr>
                <w:rFonts w:hint="eastAsia" w:ascii="黑体" w:hAnsi="宋体" w:eastAsia="黑体" w:cs="黑体"/>
                <w:i w:val="0"/>
                <w:iCs w:val="0"/>
                <w:color w:val="000000"/>
                <w:sz w:val="21"/>
                <w:szCs w:val="21"/>
                <w:u w:val="none"/>
              </w:rPr>
            </w:pPr>
            <w:r>
              <w:rPr>
                <w:rStyle w:val="10"/>
                <w:sz w:val="21"/>
                <w:szCs w:val="21"/>
                <w:lang w:val="en-US" w:eastAsia="zh-CN" w:bidi="ar"/>
              </w:rPr>
              <w:t>绿化面积（m</w:t>
            </w:r>
            <w:r>
              <w:rPr>
                <w:rStyle w:val="11"/>
                <w:sz w:val="21"/>
                <w:szCs w:val="21"/>
                <w:lang w:val="en-US" w:eastAsia="zh-CN" w:bidi="ar"/>
              </w:rPr>
              <w:t>²</w:t>
            </w:r>
            <w:r>
              <w:rPr>
                <w:rStyle w:val="10"/>
                <w:sz w:val="21"/>
                <w:szCs w:val="21"/>
                <w:lang w:val="en-US" w:eastAsia="zh-CN" w:bidi="ar"/>
              </w:rPr>
              <w:t>）</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14:paraId="3ADB4DB9">
            <w:pPr>
              <w:keepNext w:val="0"/>
              <w:keepLines w:val="0"/>
              <w:widowControl/>
              <w:suppressLineNumbers w:val="0"/>
              <w:jc w:val="center"/>
              <w:textAlignment w:val="center"/>
              <w:rPr>
                <w:rFonts w:hint="eastAsia" w:ascii="黑体" w:hAnsi="宋体" w:eastAsia="黑体" w:cs="黑体"/>
                <w:i w:val="0"/>
                <w:iCs w:val="0"/>
                <w:color w:val="000000"/>
                <w:sz w:val="21"/>
                <w:szCs w:val="21"/>
                <w:u w:val="none"/>
              </w:rPr>
            </w:pPr>
            <w:r>
              <w:rPr>
                <w:rStyle w:val="10"/>
                <w:sz w:val="21"/>
                <w:szCs w:val="21"/>
                <w:lang w:val="en-US" w:eastAsia="zh-CN" w:bidi="ar"/>
              </w:rPr>
              <w:t>办公面积（m</w:t>
            </w:r>
            <w:r>
              <w:rPr>
                <w:rStyle w:val="11"/>
                <w:sz w:val="21"/>
                <w:szCs w:val="21"/>
                <w:lang w:val="en-US" w:eastAsia="zh-CN" w:bidi="ar"/>
              </w:rPr>
              <w:t>²</w:t>
            </w:r>
            <w:r>
              <w:rPr>
                <w:rStyle w:val="10"/>
                <w:sz w:val="21"/>
                <w:szCs w:val="21"/>
                <w:lang w:val="en-US" w:eastAsia="zh-CN" w:bidi="ar"/>
              </w:rPr>
              <w:t>）</w:t>
            </w:r>
          </w:p>
        </w:tc>
        <w:tc>
          <w:tcPr>
            <w:tcW w:w="299" w:type="pct"/>
            <w:tcBorders>
              <w:top w:val="single" w:color="000000" w:sz="4" w:space="0"/>
              <w:left w:val="single" w:color="000000" w:sz="4" w:space="0"/>
              <w:bottom w:val="single" w:color="000000" w:sz="4" w:space="0"/>
              <w:right w:val="single" w:color="000000" w:sz="4" w:space="0"/>
            </w:tcBorders>
            <w:noWrap w:val="0"/>
            <w:vAlign w:val="center"/>
          </w:tcPr>
          <w:p w14:paraId="1DBCB0D3">
            <w:pPr>
              <w:keepNext w:val="0"/>
              <w:keepLines w:val="0"/>
              <w:widowControl/>
              <w:suppressLineNumbers w:val="0"/>
              <w:jc w:val="center"/>
              <w:textAlignment w:val="center"/>
              <w:rPr>
                <w:rFonts w:hint="eastAsia" w:ascii="黑体" w:hAnsi="宋体" w:eastAsia="黑体" w:cs="黑体"/>
                <w:i w:val="0"/>
                <w:iCs w:val="0"/>
                <w:color w:val="000000"/>
                <w:sz w:val="21"/>
                <w:szCs w:val="21"/>
                <w:u w:val="none"/>
              </w:rPr>
            </w:pPr>
            <w:r>
              <w:rPr>
                <w:rFonts w:hint="eastAsia" w:ascii="黑体" w:hAnsi="宋体" w:eastAsia="黑体" w:cs="黑体"/>
                <w:i w:val="0"/>
                <w:iCs w:val="0"/>
                <w:color w:val="000000"/>
                <w:kern w:val="0"/>
                <w:sz w:val="21"/>
                <w:szCs w:val="21"/>
                <w:u w:val="none"/>
                <w:lang w:val="en-US" w:eastAsia="zh-CN" w:bidi="ar"/>
              </w:rPr>
              <w:t>办公建筑栋数</w:t>
            </w:r>
          </w:p>
        </w:tc>
        <w:tc>
          <w:tcPr>
            <w:tcW w:w="265" w:type="pct"/>
            <w:tcBorders>
              <w:top w:val="single" w:color="000000" w:sz="4" w:space="0"/>
              <w:left w:val="single" w:color="000000" w:sz="4" w:space="0"/>
              <w:bottom w:val="single" w:color="000000" w:sz="4" w:space="0"/>
              <w:right w:val="single" w:color="000000" w:sz="4" w:space="0"/>
            </w:tcBorders>
            <w:noWrap w:val="0"/>
            <w:vAlign w:val="center"/>
          </w:tcPr>
          <w:p w14:paraId="2A444C8A">
            <w:pPr>
              <w:keepNext w:val="0"/>
              <w:keepLines w:val="0"/>
              <w:widowControl/>
              <w:suppressLineNumbers w:val="0"/>
              <w:jc w:val="center"/>
              <w:textAlignment w:val="center"/>
              <w:rPr>
                <w:rFonts w:hint="eastAsia" w:ascii="黑体" w:hAnsi="宋体" w:eastAsia="黑体" w:cs="黑体"/>
                <w:i w:val="0"/>
                <w:iCs w:val="0"/>
                <w:color w:val="000000"/>
                <w:sz w:val="21"/>
                <w:szCs w:val="21"/>
                <w:u w:val="none"/>
              </w:rPr>
            </w:pPr>
            <w:r>
              <w:rPr>
                <w:rFonts w:hint="eastAsia" w:ascii="黑体" w:hAnsi="宋体" w:eastAsia="黑体" w:cs="黑体"/>
                <w:i w:val="0"/>
                <w:iCs w:val="0"/>
                <w:color w:val="000000"/>
                <w:kern w:val="0"/>
                <w:sz w:val="21"/>
                <w:szCs w:val="21"/>
                <w:u w:val="none"/>
                <w:lang w:val="en-US" w:eastAsia="zh-CN" w:bidi="ar"/>
              </w:rPr>
              <w:t>管理人员</w:t>
            </w:r>
          </w:p>
        </w:tc>
        <w:tc>
          <w:tcPr>
            <w:tcW w:w="357" w:type="pct"/>
            <w:tcBorders>
              <w:top w:val="single" w:color="000000" w:sz="4" w:space="0"/>
              <w:left w:val="single" w:color="000000" w:sz="4" w:space="0"/>
              <w:bottom w:val="single" w:color="000000" w:sz="4" w:space="0"/>
              <w:right w:val="single" w:color="000000" w:sz="4" w:space="0"/>
            </w:tcBorders>
            <w:noWrap w:val="0"/>
            <w:vAlign w:val="center"/>
          </w:tcPr>
          <w:p w14:paraId="004A9ABE">
            <w:pPr>
              <w:keepNext w:val="0"/>
              <w:keepLines w:val="0"/>
              <w:widowControl/>
              <w:suppressLineNumbers w:val="0"/>
              <w:jc w:val="center"/>
              <w:textAlignment w:val="center"/>
              <w:rPr>
                <w:rFonts w:hint="eastAsia" w:ascii="黑体" w:hAnsi="宋体" w:eastAsia="黑体" w:cs="黑体"/>
                <w:i w:val="0"/>
                <w:iCs w:val="0"/>
                <w:color w:val="000000"/>
                <w:sz w:val="21"/>
                <w:szCs w:val="21"/>
                <w:u w:val="none"/>
              </w:rPr>
            </w:pPr>
            <w:r>
              <w:rPr>
                <w:rFonts w:hint="eastAsia" w:ascii="黑体" w:hAnsi="宋体" w:eastAsia="黑体" w:cs="黑体"/>
                <w:i w:val="0"/>
                <w:iCs w:val="0"/>
                <w:color w:val="000000"/>
                <w:kern w:val="0"/>
                <w:sz w:val="21"/>
                <w:szCs w:val="21"/>
                <w:u w:val="none"/>
                <w:lang w:val="en-US" w:eastAsia="zh-CN" w:bidi="ar"/>
              </w:rPr>
              <w:t>水电维修工</w:t>
            </w:r>
          </w:p>
        </w:tc>
        <w:tc>
          <w:tcPr>
            <w:tcW w:w="299" w:type="pct"/>
            <w:tcBorders>
              <w:top w:val="single" w:color="000000" w:sz="4" w:space="0"/>
              <w:left w:val="single" w:color="000000" w:sz="4" w:space="0"/>
              <w:bottom w:val="single" w:color="000000" w:sz="4" w:space="0"/>
              <w:right w:val="single" w:color="000000" w:sz="4" w:space="0"/>
            </w:tcBorders>
            <w:noWrap w:val="0"/>
            <w:vAlign w:val="center"/>
          </w:tcPr>
          <w:p w14:paraId="039C8CD0">
            <w:pPr>
              <w:keepNext w:val="0"/>
              <w:keepLines w:val="0"/>
              <w:widowControl/>
              <w:suppressLineNumbers w:val="0"/>
              <w:jc w:val="center"/>
              <w:textAlignment w:val="center"/>
              <w:rPr>
                <w:rFonts w:hint="eastAsia" w:ascii="黑体" w:hAnsi="宋体" w:eastAsia="黑体" w:cs="黑体"/>
                <w:i w:val="0"/>
                <w:iCs w:val="0"/>
                <w:color w:val="000000"/>
                <w:sz w:val="21"/>
                <w:szCs w:val="21"/>
                <w:u w:val="none"/>
              </w:rPr>
            </w:pPr>
            <w:r>
              <w:rPr>
                <w:rFonts w:hint="eastAsia" w:ascii="黑体" w:hAnsi="宋体" w:eastAsia="黑体" w:cs="黑体"/>
                <w:i w:val="0"/>
                <w:iCs w:val="0"/>
                <w:color w:val="000000"/>
                <w:kern w:val="0"/>
                <w:sz w:val="21"/>
                <w:szCs w:val="21"/>
                <w:u w:val="none"/>
                <w:lang w:val="en-US" w:eastAsia="zh-CN" w:bidi="ar"/>
              </w:rPr>
              <w:t>保洁人员</w:t>
            </w:r>
          </w:p>
        </w:tc>
        <w:tc>
          <w:tcPr>
            <w:tcW w:w="414" w:type="pct"/>
            <w:tcBorders>
              <w:top w:val="single" w:color="000000" w:sz="4" w:space="0"/>
              <w:left w:val="single" w:color="000000" w:sz="4" w:space="0"/>
              <w:bottom w:val="single" w:color="000000" w:sz="4" w:space="0"/>
              <w:right w:val="single" w:color="000000" w:sz="4" w:space="0"/>
            </w:tcBorders>
            <w:noWrap w:val="0"/>
            <w:vAlign w:val="center"/>
          </w:tcPr>
          <w:p w14:paraId="76AFEEDB">
            <w:pPr>
              <w:keepNext w:val="0"/>
              <w:keepLines w:val="0"/>
              <w:widowControl/>
              <w:suppressLineNumbers w:val="0"/>
              <w:jc w:val="center"/>
              <w:textAlignment w:val="center"/>
              <w:rPr>
                <w:rFonts w:hint="eastAsia" w:ascii="黑体" w:hAnsi="宋体" w:eastAsia="黑体" w:cs="黑体"/>
                <w:i w:val="0"/>
                <w:iCs w:val="0"/>
                <w:color w:val="000000"/>
                <w:sz w:val="21"/>
                <w:szCs w:val="21"/>
                <w:u w:val="none"/>
              </w:rPr>
            </w:pPr>
            <w:r>
              <w:rPr>
                <w:rFonts w:hint="eastAsia" w:ascii="黑体" w:hAnsi="宋体" w:eastAsia="黑体" w:cs="黑体"/>
                <w:i w:val="0"/>
                <w:iCs w:val="0"/>
                <w:color w:val="000000"/>
                <w:kern w:val="0"/>
                <w:sz w:val="21"/>
                <w:szCs w:val="21"/>
                <w:u w:val="none"/>
                <w:lang w:val="en-US" w:eastAsia="zh-CN" w:bidi="ar"/>
              </w:rPr>
              <w:t>绿化养护人员</w:t>
            </w:r>
          </w:p>
        </w:tc>
        <w:tc>
          <w:tcPr>
            <w:tcW w:w="428" w:type="pct"/>
            <w:tcBorders>
              <w:top w:val="single" w:color="000000" w:sz="4" w:space="0"/>
              <w:left w:val="single" w:color="000000" w:sz="4" w:space="0"/>
              <w:bottom w:val="single" w:color="000000" w:sz="4" w:space="0"/>
              <w:right w:val="single" w:color="000000" w:sz="4" w:space="0"/>
            </w:tcBorders>
            <w:noWrap w:val="0"/>
            <w:vAlign w:val="center"/>
          </w:tcPr>
          <w:p w14:paraId="6774E206">
            <w:pPr>
              <w:keepNext w:val="0"/>
              <w:keepLines w:val="0"/>
              <w:widowControl/>
              <w:suppressLineNumbers w:val="0"/>
              <w:jc w:val="center"/>
              <w:textAlignment w:val="center"/>
              <w:rPr>
                <w:rFonts w:hint="eastAsia" w:ascii="黑体" w:hAnsi="宋体" w:eastAsia="黑体" w:cs="黑体"/>
                <w:i w:val="0"/>
                <w:iCs w:val="0"/>
                <w:color w:val="000000"/>
                <w:sz w:val="21"/>
                <w:szCs w:val="21"/>
                <w:u w:val="none"/>
              </w:rPr>
            </w:pPr>
            <w:r>
              <w:rPr>
                <w:rFonts w:hint="eastAsia" w:ascii="黑体" w:hAnsi="宋体" w:eastAsia="黑体" w:cs="黑体"/>
                <w:i w:val="0"/>
                <w:iCs w:val="0"/>
                <w:color w:val="000000"/>
                <w:kern w:val="0"/>
                <w:sz w:val="21"/>
                <w:szCs w:val="21"/>
                <w:u w:val="none"/>
                <w:lang w:val="en-US" w:eastAsia="zh-CN" w:bidi="ar"/>
              </w:rPr>
              <w:t>秩序维护人员</w:t>
            </w:r>
          </w:p>
        </w:tc>
      </w:tr>
      <w:tr w14:paraId="64C835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249" w:type="pct"/>
            <w:tcBorders>
              <w:top w:val="single" w:color="000000" w:sz="4" w:space="0"/>
              <w:left w:val="single" w:color="000000" w:sz="4" w:space="0"/>
              <w:bottom w:val="single" w:color="000000" w:sz="4" w:space="0"/>
              <w:right w:val="single" w:color="000000" w:sz="4" w:space="0"/>
            </w:tcBorders>
            <w:noWrap w:val="0"/>
            <w:vAlign w:val="center"/>
          </w:tcPr>
          <w:p w14:paraId="628EA88D">
            <w:pPr>
              <w:keepNext w:val="0"/>
              <w:keepLines w:val="0"/>
              <w:widowControl/>
              <w:suppressLineNumbers w:val="0"/>
              <w:jc w:val="center"/>
              <w:textAlignment w:val="center"/>
              <w:rPr>
                <w:rFonts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593" w:type="pct"/>
            <w:tcBorders>
              <w:top w:val="single" w:color="000000" w:sz="4" w:space="0"/>
              <w:left w:val="single" w:color="000000" w:sz="4" w:space="0"/>
              <w:bottom w:val="single" w:color="000000" w:sz="4" w:space="0"/>
              <w:right w:val="single" w:color="000000" w:sz="4" w:space="0"/>
            </w:tcBorders>
            <w:noWrap w:val="0"/>
            <w:vAlign w:val="center"/>
          </w:tcPr>
          <w:p w14:paraId="461AD45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支队机关</w:t>
            </w:r>
          </w:p>
        </w:tc>
        <w:tc>
          <w:tcPr>
            <w:tcW w:w="984" w:type="pct"/>
            <w:tcBorders>
              <w:top w:val="single" w:color="000000" w:sz="4" w:space="0"/>
              <w:left w:val="single" w:color="000000" w:sz="4" w:space="0"/>
              <w:bottom w:val="single" w:color="000000" w:sz="4" w:space="0"/>
              <w:right w:val="single" w:color="000000" w:sz="4" w:space="0"/>
            </w:tcBorders>
            <w:noWrap w:val="0"/>
            <w:vAlign w:val="center"/>
          </w:tcPr>
          <w:p w14:paraId="129E47DE">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琼海市兴海南路66号</w:t>
            </w:r>
          </w:p>
        </w:tc>
        <w:tc>
          <w:tcPr>
            <w:tcW w:w="484" w:type="pct"/>
            <w:tcBorders>
              <w:top w:val="single" w:color="000000" w:sz="4" w:space="0"/>
              <w:left w:val="single" w:color="000000" w:sz="4" w:space="0"/>
              <w:bottom w:val="single" w:color="000000" w:sz="4" w:space="0"/>
              <w:right w:val="single" w:color="000000" w:sz="4" w:space="0"/>
            </w:tcBorders>
            <w:noWrap w:val="0"/>
            <w:vAlign w:val="center"/>
          </w:tcPr>
          <w:p w14:paraId="61EC4EB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5391</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14:paraId="4192F06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3564.2</w:t>
            </w:r>
          </w:p>
        </w:tc>
        <w:tc>
          <w:tcPr>
            <w:tcW w:w="299" w:type="pct"/>
            <w:tcBorders>
              <w:top w:val="single" w:color="000000" w:sz="4" w:space="0"/>
              <w:left w:val="single" w:color="000000" w:sz="4" w:space="0"/>
              <w:bottom w:val="single" w:color="000000" w:sz="4" w:space="0"/>
              <w:right w:val="single" w:color="000000" w:sz="4" w:space="0"/>
            </w:tcBorders>
            <w:noWrap w:val="0"/>
            <w:vAlign w:val="center"/>
          </w:tcPr>
          <w:p w14:paraId="56C194B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265" w:type="pct"/>
            <w:vMerge w:val="restart"/>
            <w:tcBorders>
              <w:top w:val="single" w:color="000000" w:sz="4" w:space="0"/>
              <w:left w:val="single" w:color="000000" w:sz="4" w:space="0"/>
              <w:bottom w:val="single" w:color="000000" w:sz="4" w:space="0"/>
              <w:right w:val="single" w:color="000000" w:sz="4" w:space="0"/>
            </w:tcBorders>
            <w:noWrap w:val="0"/>
            <w:vAlign w:val="center"/>
          </w:tcPr>
          <w:p w14:paraId="3F06250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357" w:type="pct"/>
            <w:vMerge w:val="restart"/>
            <w:tcBorders>
              <w:top w:val="single" w:color="000000" w:sz="4" w:space="0"/>
              <w:left w:val="single" w:color="000000" w:sz="4" w:space="0"/>
              <w:bottom w:val="single" w:color="000000" w:sz="4" w:space="0"/>
              <w:right w:val="single" w:color="000000" w:sz="4" w:space="0"/>
            </w:tcBorders>
            <w:noWrap w:val="0"/>
            <w:vAlign w:val="center"/>
          </w:tcPr>
          <w:p w14:paraId="703197E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299" w:type="pct"/>
            <w:tcBorders>
              <w:top w:val="single" w:color="000000" w:sz="4" w:space="0"/>
              <w:left w:val="single" w:color="000000" w:sz="4" w:space="0"/>
              <w:bottom w:val="single" w:color="000000" w:sz="4" w:space="0"/>
              <w:right w:val="single" w:color="000000" w:sz="4" w:space="0"/>
            </w:tcBorders>
            <w:noWrap w:val="0"/>
            <w:vAlign w:val="center"/>
          </w:tcPr>
          <w:p w14:paraId="05E9D22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414" w:type="pct"/>
            <w:tcBorders>
              <w:top w:val="single" w:color="000000" w:sz="4" w:space="0"/>
              <w:left w:val="single" w:color="000000" w:sz="4" w:space="0"/>
              <w:bottom w:val="single" w:color="000000" w:sz="4" w:space="0"/>
              <w:right w:val="single" w:color="000000" w:sz="4" w:space="0"/>
            </w:tcBorders>
            <w:noWrap w:val="0"/>
            <w:vAlign w:val="center"/>
          </w:tcPr>
          <w:p w14:paraId="14AF5FF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428" w:type="pct"/>
            <w:tcBorders>
              <w:top w:val="single" w:color="000000" w:sz="4" w:space="0"/>
              <w:left w:val="single" w:color="000000" w:sz="4" w:space="0"/>
              <w:bottom w:val="single" w:color="000000" w:sz="4" w:space="0"/>
              <w:right w:val="single" w:color="000000" w:sz="4" w:space="0"/>
            </w:tcBorders>
            <w:noWrap w:val="0"/>
            <w:vAlign w:val="center"/>
          </w:tcPr>
          <w:p w14:paraId="2ACA884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r>
      <w:tr w14:paraId="13C919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249" w:type="pct"/>
            <w:tcBorders>
              <w:top w:val="single" w:color="000000" w:sz="4" w:space="0"/>
              <w:left w:val="single" w:color="000000" w:sz="4" w:space="0"/>
              <w:bottom w:val="single" w:color="000000" w:sz="4" w:space="0"/>
              <w:right w:val="single" w:color="000000" w:sz="4" w:space="0"/>
            </w:tcBorders>
            <w:noWrap w:val="0"/>
            <w:vAlign w:val="center"/>
          </w:tcPr>
          <w:p w14:paraId="2D14174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593" w:type="pct"/>
            <w:tcBorders>
              <w:top w:val="single" w:color="000000" w:sz="4" w:space="0"/>
              <w:left w:val="single" w:color="000000" w:sz="4" w:space="0"/>
              <w:bottom w:val="single" w:color="000000" w:sz="4" w:space="0"/>
              <w:right w:val="single" w:color="000000" w:sz="4" w:space="0"/>
            </w:tcBorders>
            <w:noWrap w:val="0"/>
            <w:vAlign w:val="center"/>
          </w:tcPr>
          <w:p w14:paraId="0FCEF3D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博鳌安保指挥部</w:t>
            </w:r>
          </w:p>
        </w:tc>
        <w:tc>
          <w:tcPr>
            <w:tcW w:w="984" w:type="pct"/>
            <w:tcBorders>
              <w:top w:val="single" w:color="000000" w:sz="4" w:space="0"/>
              <w:left w:val="single" w:color="000000" w:sz="4" w:space="0"/>
              <w:bottom w:val="single" w:color="000000" w:sz="4" w:space="0"/>
              <w:right w:val="single" w:color="000000" w:sz="4" w:space="0"/>
            </w:tcBorders>
            <w:noWrap w:val="0"/>
            <w:vAlign w:val="center"/>
          </w:tcPr>
          <w:p w14:paraId="2E8A4E12">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琼海市博鳌镇东宁街</w:t>
            </w:r>
          </w:p>
        </w:tc>
        <w:tc>
          <w:tcPr>
            <w:tcW w:w="484" w:type="pct"/>
            <w:tcBorders>
              <w:top w:val="single" w:color="000000" w:sz="4" w:space="0"/>
              <w:left w:val="single" w:color="000000" w:sz="4" w:space="0"/>
              <w:bottom w:val="single" w:color="000000" w:sz="4" w:space="0"/>
              <w:right w:val="single" w:color="000000" w:sz="4" w:space="0"/>
            </w:tcBorders>
            <w:noWrap w:val="0"/>
            <w:vAlign w:val="center"/>
          </w:tcPr>
          <w:p w14:paraId="7CE75BE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1956</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14:paraId="738CFCE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5704.23</w:t>
            </w:r>
          </w:p>
        </w:tc>
        <w:tc>
          <w:tcPr>
            <w:tcW w:w="299" w:type="pct"/>
            <w:tcBorders>
              <w:top w:val="single" w:color="000000" w:sz="4" w:space="0"/>
              <w:left w:val="single" w:color="000000" w:sz="4" w:space="0"/>
              <w:bottom w:val="single" w:color="000000" w:sz="4" w:space="0"/>
              <w:right w:val="single" w:color="000000" w:sz="4" w:space="0"/>
            </w:tcBorders>
            <w:noWrap w:val="0"/>
            <w:vAlign w:val="center"/>
          </w:tcPr>
          <w:p w14:paraId="73B8E59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265" w:type="pct"/>
            <w:vMerge w:val="continue"/>
            <w:tcBorders>
              <w:top w:val="single" w:color="000000" w:sz="4" w:space="0"/>
              <w:left w:val="single" w:color="000000" w:sz="4" w:space="0"/>
              <w:bottom w:val="single" w:color="000000" w:sz="4" w:space="0"/>
              <w:right w:val="single" w:color="000000" w:sz="4" w:space="0"/>
            </w:tcBorders>
            <w:noWrap w:val="0"/>
            <w:vAlign w:val="center"/>
          </w:tcPr>
          <w:p w14:paraId="38637514">
            <w:pPr>
              <w:jc w:val="center"/>
              <w:rPr>
                <w:rFonts w:hint="eastAsia" w:ascii="仿宋" w:hAnsi="仿宋" w:eastAsia="仿宋" w:cs="仿宋"/>
                <w:i w:val="0"/>
                <w:iCs w:val="0"/>
                <w:color w:val="000000"/>
                <w:sz w:val="21"/>
                <w:szCs w:val="21"/>
                <w:u w:val="none"/>
              </w:rPr>
            </w:pPr>
          </w:p>
        </w:tc>
        <w:tc>
          <w:tcPr>
            <w:tcW w:w="357" w:type="pct"/>
            <w:vMerge w:val="continue"/>
            <w:tcBorders>
              <w:top w:val="single" w:color="000000" w:sz="4" w:space="0"/>
              <w:left w:val="single" w:color="000000" w:sz="4" w:space="0"/>
              <w:bottom w:val="single" w:color="000000" w:sz="4" w:space="0"/>
              <w:right w:val="single" w:color="000000" w:sz="4" w:space="0"/>
            </w:tcBorders>
            <w:noWrap w:val="0"/>
            <w:vAlign w:val="center"/>
          </w:tcPr>
          <w:p w14:paraId="409F80FE">
            <w:pPr>
              <w:jc w:val="center"/>
              <w:rPr>
                <w:rFonts w:hint="eastAsia" w:ascii="仿宋" w:hAnsi="仿宋" w:eastAsia="仿宋" w:cs="仿宋"/>
                <w:i w:val="0"/>
                <w:iCs w:val="0"/>
                <w:color w:val="000000"/>
                <w:sz w:val="21"/>
                <w:szCs w:val="21"/>
                <w:u w:val="none"/>
              </w:rPr>
            </w:pPr>
          </w:p>
        </w:tc>
        <w:tc>
          <w:tcPr>
            <w:tcW w:w="299" w:type="pct"/>
            <w:tcBorders>
              <w:top w:val="single" w:color="000000" w:sz="4" w:space="0"/>
              <w:left w:val="single" w:color="000000" w:sz="4" w:space="0"/>
              <w:bottom w:val="single" w:color="000000" w:sz="4" w:space="0"/>
              <w:right w:val="single" w:color="000000" w:sz="4" w:space="0"/>
            </w:tcBorders>
            <w:noWrap w:val="0"/>
            <w:vAlign w:val="center"/>
          </w:tcPr>
          <w:p w14:paraId="1C5B07D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414" w:type="pct"/>
            <w:tcBorders>
              <w:top w:val="single" w:color="000000" w:sz="4" w:space="0"/>
              <w:left w:val="single" w:color="000000" w:sz="4" w:space="0"/>
              <w:bottom w:val="single" w:color="000000" w:sz="4" w:space="0"/>
              <w:right w:val="single" w:color="000000" w:sz="4" w:space="0"/>
            </w:tcBorders>
            <w:noWrap w:val="0"/>
            <w:vAlign w:val="center"/>
          </w:tcPr>
          <w:p w14:paraId="4DF72B2D">
            <w:pPr>
              <w:jc w:val="center"/>
              <w:rPr>
                <w:rFonts w:hint="eastAsia" w:ascii="仿宋" w:hAnsi="仿宋" w:eastAsia="仿宋" w:cs="仿宋"/>
                <w:i w:val="0"/>
                <w:iCs w:val="0"/>
                <w:color w:val="000000"/>
                <w:sz w:val="21"/>
                <w:szCs w:val="21"/>
                <w:u w:val="none"/>
              </w:rPr>
            </w:pPr>
          </w:p>
        </w:tc>
        <w:tc>
          <w:tcPr>
            <w:tcW w:w="428" w:type="pct"/>
            <w:tcBorders>
              <w:top w:val="single" w:color="000000" w:sz="4" w:space="0"/>
              <w:left w:val="single" w:color="000000" w:sz="4" w:space="0"/>
              <w:bottom w:val="single" w:color="000000" w:sz="4" w:space="0"/>
              <w:right w:val="single" w:color="000000" w:sz="4" w:space="0"/>
            </w:tcBorders>
            <w:noWrap w:val="0"/>
            <w:vAlign w:val="center"/>
          </w:tcPr>
          <w:p w14:paraId="0C4F4901">
            <w:pPr>
              <w:jc w:val="center"/>
              <w:rPr>
                <w:rFonts w:hint="eastAsia" w:ascii="仿宋" w:hAnsi="仿宋" w:eastAsia="仿宋" w:cs="仿宋"/>
                <w:i w:val="0"/>
                <w:iCs w:val="0"/>
                <w:color w:val="000000"/>
                <w:sz w:val="21"/>
                <w:szCs w:val="21"/>
                <w:u w:val="none"/>
              </w:rPr>
            </w:pPr>
          </w:p>
        </w:tc>
      </w:tr>
      <w:tr w14:paraId="68ED8D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249" w:type="pct"/>
            <w:tcBorders>
              <w:top w:val="single" w:color="000000" w:sz="4" w:space="0"/>
              <w:left w:val="single" w:color="000000" w:sz="4" w:space="0"/>
              <w:bottom w:val="single" w:color="000000" w:sz="4" w:space="0"/>
              <w:right w:val="single" w:color="000000" w:sz="4" w:space="0"/>
            </w:tcBorders>
            <w:noWrap w:val="0"/>
            <w:vAlign w:val="center"/>
          </w:tcPr>
          <w:p w14:paraId="5AA0889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593" w:type="pct"/>
            <w:tcBorders>
              <w:top w:val="single" w:color="000000" w:sz="4" w:space="0"/>
              <w:left w:val="single" w:color="000000" w:sz="4" w:space="0"/>
              <w:bottom w:val="single" w:color="000000" w:sz="4" w:space="0"/>
              <w:right w:val="single" w:color="000000" w:sz="4" w:space="0"/>
            </w:tcBorders>
            <w:noWrap w:val="0"/>
            <w:vAlign w:val="center"/>
          </w:tcPr>
          <w:p w14:paraId="3FA1980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青葛海岸派出所</w:t>
            </w:r>
          </w:p>
        </w:tc>
        <w:tc>
          <w:tcPr>
            <w:tcW w:w="984" w:type="pct"/>
            <w:tcBorders>
              <w:top w:val="single" w:color="000000" w:sz="4" w:space="0"/>
              <w:left w:val="single" w:color="000000" w:sz="4" w:space="0"/>
              <w:bottom w:val="single" w:color="000000" w:sz="4" w:space="0"/>
              <w:right w:val="single" w:color="000000" w:sz="4" w:space="0"/>
            </w:tcBorders>
            <w:noWrap w:val="0"/>
            <w:vAlign w:val="center"/>
          </w:tcPr>
          <w:p w14:paraId="1F2B4BDD">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琼海市056乡道</w:t>
            </w:r>
          </w:p>
        </w:tc>
        <w:tc>
          <w:tcPr>
            <w:tcW w:w="484" w:type="pct"/>
            <w:tcBorders>
              <w:top w:val="single" w:color="000000" w:sz="4" w:space="0"/>
              <w:left w:val="single" w:color="000000" w:sz="4" w:space="0"/>
              <w:bottom w:val="single" w:color="000000" w:sz="4" w:space="0"/>
              <w:right w:val="single" w:color="000000" w:sz="4" w:space="0"/>
            </w:tcBorders>
            <w:noWrap w:val="0"/>
            <w:vAlign w:val="center"/>
          </w:tcPr>
          <w:p w14:paraId="0F93F6F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721</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14:paraId="16C22BC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606.93</w:t>
            </w:r>
          </w:p>
        </w:tc>
        <w:tc>
          <w:tcPr>
            <w:tcW w:w="299" w:type="pct"/>
            <w:tcBorders>
              <w:top w:val="single" w:color="000000" w:sz="4" w:space="0"/>
              <w:left w:val="single" w:color="000000" w:sz="4" w:space="0"/>
              <w:bottom w:val="single" w:color="000000" w:sz="4" w:space="0"/>
              <w:right w:val="single" w:color="000000" w:sz="4" w:space="0"/>
            </w:tcBorders>
            <w:noWrap w:val="0"/>
            <w:vAlign w:val="center"/>
          </w:tcPr>
          <w:p w14:paraId="409EAFB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265" w:type="pct"/>
            <w:vMerge w:val="continue"/>
            <w:tcBorders>
              <w:top w:val="single" w:color="000000" w:sz="4" w:space="0"/>
              <w:left w:val="single" w:color="000000" w:sz="4" w:space="0"/>
              <w:bottom w:val="single" w:color="000000" w:sz="4" w:space="0"/>
              <w:right w:val="single" w:color="000000" w:sz="4" w:space="0"/>
            </w:tcBorders>
            <w:noWrap w:val="0"/>
            <w:vAlign w:val="center"/>
          </w:tcPr>
          <w:p w14:paraId="642680F3">
            <w:pPr>
              <w:jc w:val="center"/>
              <w:rPr>
                <w:rFonts w:hint="eastAsia" w:ascii="仿宋" w:hAnsi="仿宋" w:eastAsia="仿宋" w:cs="仿宋"/>
                <w:i w:val="0"/>
                <w:iCs w:val="0"/>
                <w:color w:val="000000"/>
                <w:sz w:val="21"/>
                <w:szCs w:val="21"/>
                <w:u w:val="none"/>
              </w:rPr>
            </w:pPr>
          </w:p>
        </w:tc>
        <w:tc>
          <w:tcPr>
            <w:tcW w:w="357" w:type="pct"/>
            <w:vMerge w:val="continue"/>
            <w:tcBorders>
              <w:top w:val="single" w:color="000000" w:sz="4" w:space="0"/>
              <w:left w:val="single" w:color="000000" w:sz="4" w:space="0"/>
              <w:bottom w:val="single" w:color="000000" w:sz="4" w:space="0"/>
              <w:right w:val="single" w:color="000000" w:sz="4" w:space="0"/>
            </w:tcBorders>
            <w:noWrap w:val="0"/>
            <w:vAlign w:val="center"/>
          </w:tcPr>
          <w:p w14:paraId="5164B3DA">
            <w:pPr>
              <w:jc w:val="center"/>
              <w:rPr>
                <w:rFonts w:hint="eastAsia" w:ascii="仿宋" w:hAnsi="仿宋" w:eastAsia="仿宋" w:cs="仿宋"/>
                <w:i w:val="0"/>
                <w:iCs w:val="0"/>
                <w:color w:val="000000"/>
                <w:sz w:val="21"/>
                <w:szCs w:val="21"/>
                <w:u w:val="none"/>
              </w:rPr>
            </w:pPr>
          </w:p>
        </w:tc>
        <w:tc>
          <w:tcPr>
            <w:tcW w:w="299" w:type="pct"/>
            <w:tcBorders>
              <w:top w:val="single" w:color="000000" w:sz="4" w:space="0"/>
              <w:left w:val="single" w:color="000000" w:sz="4" w:space="0"/>
              <w:bottom w:val="single" w:color="000000" w:sz="4" w:space="0"/>
              <w:right w:val="single" w:color="000000" w:sz="4" w:space="0"/>
            </w:tcBorders>
            <w:noWrap w:val="0"/>
            <w:vAlign w:val="center"/>
          </w:tcPr>
          <w:p w14:paraId="08D6D17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414" w:type="pct"/>
            <w:tcBorders>
              <w:top w:val="single" w:color="000000" w:sz="4" w:space="0"/>
              <w:left w:val="single" w:color="000000" w:sz="4" w:space="0"/>
              <w:bottom w:val="single" w:color="000000" w:sz="4" w:space="0"/>
              <w:right w:val="single" w:color="000000" w:sz="4" w:space="0"/>
            </w:tcBorders>
            <w:noWrap w:val="0"/>
            <w:vAlign w:val="center"/>
          </w:tcPr>
          <w:p w14:paraId="1CCEB67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428" w:type="pct"/>
            <w:tcBorders>
              <w:top w:val="single" w:color="000000" w:sz="4" w:space="0"/>
              <w:left w:val="single" w:color="000000" w:sz="4" w:space="0"/>
              <w:bottom w:val="single" w:color="000000" w:sz="4" w:space="0"/>
              <w:right w:val="single" w:color="000000" w:sz="4" w:space="0"/>
            </w:tcBorders>
            <w:noWrap w:val="0"/>
            <w:vAlign w:val="center"/>
          </w:tcPr>
          <w:p w14:paraId="7E2B22F9">
            <w:pPr>
              <w:jc w:val="center"/>
              <w:rPr>
                <w:rFonts w:hint="eastAsia" w:ascii="仿宋" w:hAnsi="仿宋" w:eastAsia="仿宋" w:cs="仿宋"/>
                <w:i w:val="0"/>
                <w:iCs w:val="0"/>
                <w:color w:val="000000"/>
                <w:sz w:val="21"/>
                <w:szCs w:val="21"/>
                <w:u w:val="none"/>
              </w:rPr>
            </w:pPr>
          </w:p>
        </w:tc>
      </w:tr>
      <w:tr w14:paraId="690B87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49" w:type="pct"/>
            <w:tcBorders>
              <w:top w:val="single" w:color="000000" w:sz="4" w:space="0"/>
              <w:left w:val="single" w:color="000000" w:sz="4" w:space="0"/>
              <w:bottom w:val="single" w:color="000000" w:sz="4" w:space="0"/>
              <w:right w:val="single" w:color="000000" w:sz="4" w:space="0"/>
            </w:tcBorders>
            <w:noWrap w:val="0"/>
            <w:vAlign w:val="center"/>
          </w:tcPr>
          <w:p w14:paraId="59CF937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593" w:type="pct"/>
            <w:tcBorders>
              <w:top w:val="single" w:color="000000" w:sz="4" w:space="0"/>
              <w:left w:val="single" w:color="000000" w:sz="4" w:space="0"/>
              <w:bottom w:val="single" w:color="000000" w:sz="4" w:space="0"/>
              <w:right w:val="single" w:color="000000" w:sz="4" w:space="0"/>
            </w:tcBorders>
            <w:noWrap w:val="0"/>
            <w:vAlign w:val="center"/>
          </w:tcPr>
          <w:p w14:paraId="5F0D7E5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龙湾港海岸派出所</w:t>
            </w:r>
          </w:p>
        </w:tc>
        <w:tc>
          <w:tcPr>
            <w:tcW w:w="984" w:type="pct"/>
            <w:tcBorders>
              <w:top w:val="single" w:color="000000" w:sz="4" w:space="0"/>
              <w:left w:val="single" w:color="000000" w:sz="4" w:space="0"/>
              <w:bottom w:val="single" w:color="000000" w:sz="4" w:space="0"/>
              <w:right w:val="single" w:color="000000" w:sz="4" w:space="0"/>
            </w:tcBorders>
            <w:noWrap w:val="0"/>
            <w:vAlign w:val="center"/>
          </w:tcPr>
          <w:p w14:paraId="38139DA4">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1.琼海市潭门镇双拥路；</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2.琼海市潭门镇文后仔东南837米。</w:t>
            </w:r>
          </w:p>
        </w:tc>
        <w:tc>
          <w:tcPr>
            <w:tcW w:w="484" w:type="pct"/>
            <w:tcBorders>
              <w:top w:val="single" w:color="000000" w:sz="4" w:space="0"/>
              <w:left w:val="single" w:color="000000" w:sz="4" w:space="0"/>
              <w:bottom w:val="single" w:color="000000" w:sz="4" w:space="0"/>
              <w:right w:val="single" w:color="000000" w:sz="4" w:space="0"/>
            </w:tcBorders>
            <w:noWrap w:val="0"/>
            <w:vAlign w:val="center"/>
          </w:tcPr>
          <w:p w14:paraId="3CF1643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1873</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14:paraId="623B45D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3502.93</w:t>
            </w:r>
          </w:p>
        </w:tc>
        <w:tc>
          <w:tcPr>
            <w:tcW w:w="299" w:type="pct"/>
            <w:tcBorders>
              <w:top w:val="single" w:color="000000" w:sz="4" w:space="0"/>
              <w:left w:val="single" w:color="000000" w:sz="4" w:space="0"/>
              <w:bottom w:val="single" w:color="000000" w:sz="4" w:space="0"/>
              <w:right w:val="single" w:color="000000" w:sz="4" w:space="0"/>
            </w:tcBorders>
            <w:noWrap w:val="0"/>
            <w:vAlign w:val="center"/>
          </w:tcPr>
          <w:p w14:paraId="73B8346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265" w:type="pct"/>
            <w:vMerge w:val="continue"/>
            <w:tcBorders>
              <w:top w:val="single" w:color="000000" w:sz="4" w:space="0"/>
              <w:left w:val="single" w:color="000000" w:sz="4" w:space="0"/>
              <w:bottom w:val="single" w:color="000000" w:sz="4" w:space="0"/>
              <w:right w:val="single" w:color="000000" w:sz="4" w:space="0"/>
            </w:tcBorders>
            <w:noWrap w:val="0"/>
            <w:vAlign w:val="center"/>
          </w:tcPr>
          <w:p w14:paraId="688EE577">
            <w:pPr>
              <w:jc w:val="center"/>
              <w:rPr>
                <w:rFonts w:hint="eastAsia" w:ascii="仿宋" w:hAnsi="仿宋" w:eastAsia="仿宋" w:cs="仿宋"/>
                <w:i w:val="0"/>
                <w:iCs w:val="0"/>
                <w:color w:val="000000"/>
                <w:sz w:val="21"/>
                <w:szCs w:val="21"/>
                <w:u w:val="none"/>
              </w:rPr>
            </w:pPr>
          </w:p>
        </w:tc>
        <w:tc>
          <w:tcPr>
            <w:tcW w:w="357" w:type="pct"/>
            <w:vMerge w:val="continue"/>
            <w:tcBorders>
              <w:top w:val="single" w:color="000000" w:sz="4" w:space="0"/>
              <w:left w:val="single" w:color="000000" w:sz="4" w:space="0"/>
              <w:bottom w:val="single" w:color="000000" w:sz="4" w:space="0"/>
              <w:right w:val="single" w:color="000000" w:sz="4" w:space="0"/>
            </w:tcBorders>
            <w:noWrap w:val="0"/>
            <w:vAlign w:val="center"/>
          </w:tcPr>
          <w:p w14:paraId="38A0831D">
            <w:pPr>
              <w:jc w:val="center"/>
              <w:rPr>
                <w:rFonts w:hint="eastAsia" w:ascii="仿宋" w:hAnsi="仿宋" w:eastAsia="仿宋" w:cs="仿宋"/>
                <w:i w:val="0"/>
                <w:iCs w:val="0"/>
                <w:color w:val="000000"/>
                <w:sz w:val="21"/>
                <w:szCs w:val="21"/>
                <w:u w:val="none"/>
              </w:rPr>
            </w:pPr>
          </w:p>
        </w:tc>
        <w:tc>
          <w:tcPr>
            <w:tcW w:w="299" w:type="pct"/>
            <w:tcBorders>
              <w:top w:val="single" w:color="000000" w:sz="4" w:space="0"/>
              <w:left w:val="single" w:color="000000" w:sz="4" w:space="0"/>
              <w:bottom w:val="single" w:color="000000" w:sz="4" w:space="0"/>
              <w:right w:val="single" w:color="000000" w:sz="4" w:space="0"/>
            </w:tcBorders>
            <w:noWrap w:val="0"/>
            <w:vAlign w:val="center"/>
          </w:tcPr>
          <w:p w14:paraId="00E463B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414" w:type="pct"/>
            <w:tcBorders>
              <w:top w:val="single" w:color="000000" w:sz="4" w:space="0"/>
              <w:left w:val="single" w:color="000000" w:sz="4" w:space="0"/>
              <w:bottom w:val="single" w:color="000000" w:sz="4" w:space="0"/>
              <w:right w:val="single" w:color="000000" w:sz="4" w:space="0"/>
            </w:tcBorders>
            <w:noWrap w:val="0"/>
            <w:vAlign w:val="center"/>
          </w:tcPr>
          <w:p w14:paraId="17B9B16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428" w:type="pct"/>
            <w:tcBorders>
              <w:top w:val="single" w:color="000000" w:sz="4" w:space="0"/>
              <w:left w:val="single" w:color="000000" w:sz="4" w:space="0"/>
              <w:bottom w:val="single" w:color="000000" w:sz="4" w:space="0"/>
              <w:right w:val="single" w:color="000000" w:sz="4" w:space="0"/>
            </w:tcBorders>
            <w:noWrap w:val="0"/>
            <w:vAlign w:val="center"/>
          </w:tcPr>
          <w:p w14:paraId="07D721C2">
            <w:pPr>
              <w:jc w:val="center"/>
              <w:rPr>
                <w:rFonts w:hint="eastAsia" w:ascii="仿宋" w:hAnsi="仿宋" w:eastAsia="仿宋" w:cs="仿宋"/>
                <w:i w:val="0"/>
                <w:iCs w:val="0"/>
                <w:color w:val="000000"/>
                <w:sz w:val="21"/>
                <w:szCs w:val="21"/>
                <w:u w:val="none"/>
              </w:rPr>
            </w:pPr>
          </w:p>
        </w:tc>
      </w:tr>
      <w:tr w14:paraId="64FD54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0" w:hRule="atLeast"/>
        </w:trPr>
        <w:tc>
          <w:tcPr>
            <w:tcW w:w="249" w:type="pct"/>
            <w:tcBorders>
              <w:top w:val="single" w:color="000000" w:sz="4" w:space="0"/>
              <w:left w:val="single" w:color="000000" w:sz="4" w:space="0"/>
              <w:bottom w:val="single" w:color="000000" w:sz="4" w:space="0"/>
              <w:right w:val="single" w:color="000000" w:sz="4" w:space="0"/>
            </w:tcBorders>
            <w:noWrap w:val="0"/>
            <w:vAlign w:val="center"/>
          </w:tcPr>
          <w:p w14:paraId="5497B03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593" w:type="pct"/>
            <w:tcBorders>
              <w:top w:val="single" w:color="000000" w:sz="4" w:space="0"/>
              <w:left w:val="single" w:color="000000" w:sz="4" w:space="0"/>
              <w:bottom w:val="single" w:color="000000" w:sz="4" w:space="0"/>
              <w:right w:val="single" w:color="000000" w:sz="4" w:space="0"/>
            </w:tcBorders>
            <w:noWrap w:val="0"/>
            <w:vAlign w:val="center"/>
          </w:tcPr>
          <w:p w14:paraId="54884D9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东海海岸派出所</w:t>
            </w:r>
          </w:p>
        </w:tc>
        <w:tc>
          <w:tcPr>
            <w:tcW w:w="984" w:type="pct"/>
            <w:tcBorders>
              <w:top w:val="single" w:color="000000" w:sz="4" w:space="0"/>
              <w:left w:val="single" w:color="000000" w:sz="4" w:space="0"/>
              <w:bottom w:val="single" w:color="000000" w:sz="4" w:space="0"/>
              <w:right w:val="single" w:color="000000" w:sz="4" w:space="0"/>
            </w:tcBorders>
            <w:noWrap w:val="0"/>
            <w:vAlign w:val="center"/>
          </w:tcPr>
          <w:p w14:paraId="70658758">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1.琼海市博鳌镇东宁街10号；</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2.琼海市博鳌镇东海路。</w:t>
            </w:r>
          </w:p>
        </w:tc>
        <w:tc>
          <w:tcPr>
            <w:tcW w:w="484" w:type="pct"/>
            <w:tcBorders>
              <w:top w:val="single" w:color="000000" w:sz="4" w:space="0"/>
              <w:left w:val="single" w:color="000000" w:sz="4" w:space="0"/>
              <w:bottom w:val="single" w:color="000000" w:sz="4" w:space="0"/>
              <w:right w:val="single" w:color="000000" w:sz="4" w:space="0"/>
            </w:tcBorders>
            <w:noWrap w:val="0"/>
            <w:vAlign w:val="center"/>
          </w:tcPr>
          <w:p w14:paraId="556C413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2290</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14:paraId="3AA7A7A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2025.08</w:t>
            </w:r>
          </w:p>
        </w:tc>
        <w:tc>
          <w:tcPr>
            <w:tcW w:w="299" w:type="pct"/>
            <w:tcBorders>
              <w:top w:val="single" w:color="000000" w:sz="4" w:space="0"/>
              <w:left w:val="single" w:color="000000" w:sz="4" w:space="0"/>
              <w:bottom w:val="single" w:color="000000" w:sz="4" w:space="0"/>
              <w:right w:val="single" w:color="000000" w:sz="4" w:space="0"/>
            </w:tcBorders>
            <w:noWrap w:val="0"/>
            <w:vAlign w:val="center"/>
          </w:tcPr>
          <w:p w14:paraId="235B5E1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265" w:type="pct"/>
            <w:vMerge w:val="continue"/>
            <w:tcBorders>
              <w:top w:val="single" w:color="000000" w:sz="4" w:space="0"/>
              <w:left w:val="single" w:color="000000" w:sz="4" w:space="0"/>
              <w:bottom w:val="single" w:color="000000" w:sz="4" w:space="0"/>
              <w:right w:val="single" w:color="000000" w:sz="4" w:space="0"/>
            </w:tcBorders>
            <w:noWrap w:val="0"/>
            <w:vAlign w:val="center"/>
          </w:tcPr>
          <w:p w14:paraId="36C0889A">
            <w:pPr>
              <w:jc w:val="center"/>
              <w:rPr>
                <w:rFonts w:hint="eastAsia" w:ascii="仿宋" w:hAnsi="仿宋" w:eastAsia="仿宋" w:cs="仿宋"/>
                <w:i w:val="0"/>
                <w:iCs w:val="0"/>
                <w:color w:val="000000"/>
                <w:sz w:val="21"/>
                <w:szCs w:val="21"/>
                <w:u w:val="none"/>
              </w:rPr>
            </w:pPr>
          </w:p>
        </w:tc>
        <w:tc>
          <w:tcPr>
            <w:tcW w:w="357" w:type="pct"/>
            <w:vMerge w:val="continue"/>
            <w:tcBorders>
              <w:top w:val="single" w:color="000000" w:sz="4" w:space="0"/>
              <w:left w:val="single" w:color="000000" w:sz="4" w:space="0"/>
              <w:bottom w:val="single" w:color="000000" w:sz="4" w:space="0"/>
              <w:right w:val="single" w:color="000000" w:sz="4" w:space="0"/>
            </w:tcBorders>
            <w:noWrap w:val="0"/>
            <w:vAlign w:val="center"/>
          </w:tcPr>
          <w:p w14:paraId="18D29FDE">
            <w:pPr>
              <w:jc w:val="center"/>
              <w:rPr>
                <w:rFonts w:hint="eastAsia" w:ascii="仿宋" w:hAnsi="仿宋" w:eastAsia="仿宋" w:cs="仿宋"/>
                <w:i w:val="0"/>
                <w:iCs w:val="0"/>
                <w:color w:val="000000"/>
                <w:sz w:val="21"/>
                <w:szCs w:val="21"/>
                <w:u w:val="none"/>
              </w:rPr>
            </w:pPr>
          </w:p>
        </w:tc>
        <w:tc>
          <w:tcPr>
            <w:tcW w:w="299" w:type="pct"/>
            <w:tcBorders>
              <w:top w:val="single" w:color="000000" w:sz="4" w:space="0"/>
              <w:left w:val="single" w:color="000000" w:sz="4" w:space="0"/>
              <w:bottom w:val="single" w:color="000000" w:sz="4" w:space="0"/>
              <w:right w:val="single" w:color="000000" w:sz="4" w:space="0"/>
            </w:tcBorders>
            <w:noWrap w:val="0"/>
            <w:vAlign w:val="center"/>
          </w:tcPr>
          <w:p w14:paraId="6C95A14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414" w:type="pct"/>
            <w:tcBorders>
              <w:top w:val="single" w:color="000000" w:sz="4" w:space="0"/>
              <w:left w:val="single" w:color="000000" w:sz="4" w:space="0"/>
              <w:bottom w:val="single" w:color="000000" w:sz="4" w:space="0"/>
              <w:right w:val="single" w:color="000000" w:sz="4" w:space="0"/>
            </w:tcBorders>
            <w:noWrap w:val="0"/>
            <w:vAlign w:val="center"/>
          </w:tcPr>
          <w:p w14:paraId="78C2967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428" w:type="pct"/>
            <w:tcBorders>
              <w:top w:val="single" w:color="000000" w:sz="4" w:space="0"/>
              <w:left w:val="single" w:color="000000" w:sz="4" w:space="0"/>
              <w:bottom w:val="single" w:color="000000" w:sz="4" w:space="0"/>
              <w:right w:val="single" w:color="000000" w:sz="4" w:space="0"/>
            </w:tcBorders>
            <w:noWrap w:val="0"/>
            <w:vAlign w:val="center"/>
          </w:tcPr>
          <w:p w14:paraId="23542B19">
            <w:pPr>
              <w:jc w:val="center"/>
              <w:rPr>
                <w:rFonts w:hint="eastAsia" w:ascii="仿宋" w:hAnsi="仿宋" w:eastAsia="仿宋" w:cs="仿宋"/>
                <w:i w:val="0"/>
                <w:iCs w:val="0"/>
                <w:color w:val="000000"/>
                <w:sz w:val="21"/>
                <w:szCs w:val="21"/>
                <w:u w:val="none"/>
              </w:rPr>
            </w:pPr>
          </w:p>
        </w:tc>
      </w:tr>
      <w:tr w14:paraId="214A66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249" w:type="pct"/>
            <w:tcBorders>
              <w:top w:val="single" w:color="000000" w:sz="4" w:space="0"/>
              <w:left w:val="single" w:color="000000" w:sz="4" w:space="0"/>
              <w:bottom w:val="single" w:color="000000" w:sz="4" w:space="0"/>
              <w:right w:val="single" w:color="000000" w:sz="4" w:space="0"/>
            </w:tcBorders>
            <w:noWrap w:val="0"/>
            <w:vAlign w:val="center"/>
          </w:tcPr>
          <w:p w14:paraId="4C6D123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593" w:type="pct"/>
            <w:tcBorders>
              <w:top w:val="single" w:color="000000" w:sz="4" w:space="0"/>
              <w:left w:val="single" w:color="000000" w:sz="4" w:space="0"/>
              <w:bottom w:val="single" w:color="000000" w:sz="4" w:space="0"/>
              <w:right w:val="single" w:color="000000" w:sz="4" w:space="0"/>
            </w:tcBorders>
            <w:noWrap w:val="0"/>
            <w:vAlign w:val="center"/>
          </w:tcPr>
          <w:p w14:paraId="03D75F3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三支队万宁人民西路营区</w:t>
            </w:r>
          </w:p>
        </w:tc>
        <w:tc>
          <w:tcPr>
            <w:tcW w:w="984" w:type="pct"/>
            <w:tcBorders>
              <w:top w:val="single" w:color="000000" w:sz="4" w:space="0"/>
              <w:left w:val="single" w:color="000000" w:sz="4" w:space="0"/>
              <w:bottom w:val="single" w:color="000000" w:sz="4" w:space="0"/>
              <w:right w:val="single" w:color="000000" w:sz="4" w:space="0"/>
            </w:tcBorders>
            <w:noWrap w:val="0"/>
            <w:vAlign w:val="center"/>
          </w:tcPr>
          <w:p w14:paraId="2BE896CC">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万宁市万城镇人民西路275-A号</w:t>
            </w:r>
          </w:p>
        </w:tc>
        <w:tc>
          <w:tcPr>
            <w:tcW w:w="484" w:type="pct"/>
            <w:tcBorders>
              <w:top w:val="single" w:color="000000" w:sz="4" w:space="0"/>
              <w:left w:val="single" w:color="000000" w:sz="4" w:space="0"/>
              <w:bottom w:val="single" w:color="000000" w:sz="4" w:space="0"/>
              <w:right w:val="single" w:color="000000" w:sz="4" w:space="0"/>
            </w:tcBorders>
            <w:noWrap w:val="0"/>
            <w:vAlign w:val="center"/>
          </w:tcPr>
          <w:p w14:paraId="30C1863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3170</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14:paraId="01BEA8E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3320.57</w:t>
            </w:r>
          </w:p>
        </w:tc>
        <w:tc>
          <w:tcPr>
            <w:tcW w:w="299" w:type="pct"/>
            <w:tcBorders>
              <w:top w:val="single" w:color="000000" w:sz="4" w:space="0"/>
              <w:left w:val="single" w:color="000000" w:sz="4" w:space="0"/>
              <w:bottom w:val="single" w:color="000000" w:sz="4" w:space="0"/>
              <w:right w:val="single" w:color="000000" w:sz="4" w:space="0"/>
            </w:tcBorders>
            <w:noWrap w:val="0"/>
            <w:vAlign w:val="center"/>
          </w:tcPr>
          <w:p w14:paraId="2B5C7AE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265" w:type="pct"/>
            <w:vMerge w:val="restart"/>
            <w:tcBorders>
              <w:top w:val="single" w:color="000000" w:sz="4" w:space="0"/>
              <w:left w:val="single" w:color="000000" w:sz="4" w:space="0"/>
              <w:bottom w:val="single" w:color="000000" w:sz="4" w:space="0"/>
              <w:right w:val="single" w:color="000000" w:sz="4" w:space="0"/>
            </w:tcBorders>
            <w:noWrap w:val="0"/>
            <w:vAlign w:val="center"/>
          </w:tcPr>
          <w:p w14:paraId="756EDDC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357" w:type="pct"/>
            <w:vMerge w:val="restart"/>
            <w:tcBorders>
              <w:top w:val="single" w:color="000000" w:sz="4" w:space="0"/>
              <w:left w:val="single" w:color="000000" w:sz="4" w:space="0"/>
              <w:bottom w:val="single" w:color="000000" w:sz="4" w:space="0"/>
              <w:right w:val="single" w:color="000000" w:sz="4" w:space="0"/>
            </w:tcBorders>
            <w:noWrap w:val="0"/>
            <w:vAlign w:val="center"/>
          </w:tcPr>
          <w:p w14:paraId="2E4E2A0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299" w:type="pct"/>
            <w:tcBorders>
              <w:top w:val="single" w:color="000000" w:sz="4" w:space="0"/>
              <w:left w:val="single" w:color="000000" w:sz="4" w:space="0"/>
              <w:bottom w:val="single" w:color="000000" w:sz="4" w:space="0"/>
              <w:right w:val="single" w:color="000000" w:sz="4" w:space="0"/>
            </w:tcBorders>
            <w:noWrap w:val="0"/>
            <w:vAlign w:val="center"/>
          </w:tcPr>
          <w:p w14:paraId="60C8777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414" w:type="pct"/>
            <w:tcBorders>
              <w:top w:val="single" w:color="000000" w:sz="4" w:space="0"/>
              <w:left w:val="single" w:color="000000" w:sz="4" w:space="0"/>
              <w:bottom w:val="single" w:color="000000" w:sz="4" w:space="0"/>
              <w:right w:val="single" w:color="000000" w:sz="4" w:space="0"/>
            </w:tcBorders>
            <w:noWrap w:val="0"/>
            <w:vAlign w:val="center"/>
          </w:tcPr>
          <w:p w14:paraId="3148878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428" w:type="pct"/>
            <w:tcBorders>
              <w:top w:val="single" w:color="000000" w:sz="4" w:space="0"/>
              <w:left w:val="single" w:color="000000" w:sz="4" w:space="0"/>
              <w:bottom w:val="single" w:color="000000" w:sz="4" w:space="0"/>
              <w:right w:val="single" w:color="000000" w:sz="4" w:space="0"/>
            </w:tcBorders>
            <w:noWrap w:val="0"/>
            <w:vAlign w:val="center"/>
          </w:tcPr>
          <w:p w14:paraId="675C922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r>
      <w:tr w14:paraId="12C68A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249" w:type="pct"/>
            <w:tcBorders>
              <w:top w:val="single" w:color="000000" w:sz="4" w:space="0"/>
              <w:left w:val="single" w:color="000000" w:sz="4" w:space="0"/>
              <w:bottom w:val="single" w:color="000000" w:sz="4" w:space="0"/>
              <w:right w:val="single" w:color="000000" w:sz="4" w:space="0"/>
            </w:tcBorders>
            <w:noWrap w:val="0"/>
            <w:vAlign w:val="center"/>
          </w:tcPr>
          <w:p w14:paraId="55B3CAC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593" w:type="pct"/>
            <w:tcBorders>
              <w:top w:val="single" w:color="000000" w:sz="4" w:space="0"/>
              <w:left w:val="single" w:color="000000" w:sz="4" w:space="0"/>
              <w:bottom w:val="single" w:color="000000" w:sz="4" w:space="0"/>
              <w:right w:val="single" w:color="000000" w:sz="4" w:space="0"/>
            </w:tcBorders>
            <w:noWrap w:val="0"/>
            <w:vAlign w:val="center"/>
          </w:tcPr>
          <w:p w14:paraId="759AE41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特警大队</w:t>
            </w:r>
          </w:p>
        </w:tc>
        <w:tc>
          <w:tcPr>
            <w:tcW w:w="984" w:type="pct"/>
            <w:tcBorders>
              <w:top w:val="single" w:color="000000" w:sz="4" w:space="0"/>
              <w:left w:val="single" w:color="000000" w:sz="4" w:space="0"/>
              <w:bottom w:val="single" w:color="000000" w:sz="4" w:space="0"/>
              <w:right w:val="single" w:color="000000" w:sz="4" w:space="0"/>
            </w:tcBorders>
            <w:noWrap w:val="0"/>
            <w:vAlign w:val="center"/>
          </w:tcPr>
          <w:p w14:paraId="605D2489">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万宁市万城镇望海大道木棉山庄旁</w:t>
            </w:r>
          </w:p>
        </w:tc>
        <w:tc>
          <w:tcPr>
            <w:tcW w:w="484" w:type="pct"/>
            <w:tcBorders>
              <w:top w:val="single" w:color="000000" w:sz="4" w:space="0"/>
              <w:left w:val="single" w:color="000000" w:sz="4" w:space="0"/>
              <w:bottom w:val="single" w:color="000000" w:sz="4" w:space="0"/>
              <w:right w:val="single" w:color="000000" w:sz="4" w:space="0"/>
            </w:tcBorders>
            <w:noWrap w:val="0"/>
            <w:vAlign w:val="center"/>
          </w:tcPr>
          <w:p w14:paraId="6DC51E3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2726</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14:paraId="2985361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4009.58</w:t>
            </w:r>
          </w:p>
        </w:tc>
        <w:tc>
          <w:tcPr>
            <w:tcW w:w="299" w:type="pct"/>
            <w:tcBorders>
              <w:top w:val="single" w:color="000000" w:sz="4" w:space="0"/>
              <w:left w:val="single" w:color="000000" w:sz="4" w:space="0"/>
              <w:bottom w:val="single" w:color="000000" w:sz="4" w:space="0"/>
              <w:right w:val="single" w:color="000000" w:sz="4" w:space="0"/>
            </w:tcBorders>
            <w:noWrap w:val="0"/>
            <w:vAlign w:val="center"/>
          </w:tcPr>
          <w:p w14:paraId="325DC09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265" w:type="pct"/>
            <w:vMerge w:val="continue"/>
            <w:tcBorders>
              <w:top w:val="single" w:color="000000" w:sz="4" w:space="0"/>
              <w:left w:val="single" w:color="000000" w:sz="4" w:space="0"/>
              <w:bottom w:val="single" w:color="000000" w:sz="4" w:space="0"/>
              <w:right w:val="single" w:color="000000" w:sz="4" w:space="0"/>
            </w:tcBorders>
            <w:noWrap w:val="0"/>
            <w:vAlign w:val="center"/>
          </w:tcPr>
          <w:p w14:paraId="353C25BF">
            <w:pPr>
              <w:jc w:val="center"/>
              <w:rPr>
                <w:rFonts w:hint="eastAsia" w:ascii="仿宋" w:hAnsi="仿宋" w:eastAsia="仿宋" w:cs="仿宋"/>
                <w:i w:val="0"/>
                <w:iCs w:val="0"/>
                <w:color w:val="000000"/>
                <w:sz w:val="21"/>
                <w:szCs w:val="21"/>
                <w:u w:val="none"/>
              </w:rPr>
            </w:pPr>
          </w:p>
        </w:tc>
        <w:tc>
          <w:tcPr>
            <w:tcW w:w="357" w:type="pct"/>
            <w:vMerge w:val="continue"/>
            <w:tcBorders>
              <w:top w:val="single" w:color="000000" w:sz="4" w:space="0"/>
              <w:left w:val="single" w:color="000000" w:sz="4" w:space="0"/>
              <w:bottom w:val="single" w:color="000000" w:sz="4" w:space="0"/>
              <w:right w:val="single" w:color="000000" w:sz="4" w:space="0"/>
            </w:tcBorders>
            <w:noWrap w:val="0"/>
            <w:vAlign w:val="center"/>
          </w:tcPr>
          <w:p w14:paraId="2674E20C">
            <w:pPr>
              <w:jc w:val="center"/>
              <w:rPr>
                <w:rFonts w:hint="eastAsia" w:ascii="仿宋" w:hAnsi="仿宋" w:eastAsia="仿宋" w:cs="仿宋"/>
                <w:i w:val="0"/>
                <w:iCs w:val="0"/>
                <w:color w:val="000000"/>
                <w:sz w:val="21"/>
                <w:szCs w:val="21"/>
                <w:u w:val="none"/>
              </w:rPr>
            </w:pPr>
          </w:p>
        </w:tc>
        <w:tc>
          <w:tcPr>
            <w:tcW w:w="299" w:type="pct"/>
            <w:tcBorders>
              <w:top w:val="single" w:color="000000" w:sz="4" w:space="0"/>
              <w:left w:val="single" w:color="000000" w:sz="4" w:space="0"/>
              <w:bottom w:val="single" w:color="000000" w:sz="4" w:space="0"/>
              <w:right w:val="single" w:color="000000" w:sz="4" w:space="0"/>
            </w:tcBorders>
            <w:noWrap w:val="0"/>
            <w:vAlign w:val="center"/>
          </w:tcPr>
          <w:p w14:paraId="39056CE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414" w:type="pct"/>
            <w:tcBorders>
              <w:top w:val="single" w:color="000000" w:sz="4" w:space="0"/>
              <w:left w:val="single" w:color="000000" w:sz="4" w:space="0"/>
              <w:bottom w:val="single" w:color="000000" w:sz="4" w:space="0"/>
              <w:right w:val="single" w:color="000000" w:sz="4" w:space="0"/>
            </w:tcBorders>
            <w:noWrap w:val="0"/>
            <w:vAlign w:val="center"/>
          </w:tcPr>
          <w:p w14:paraId="41C4F9B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428" w:type="pct"/>
            <w:tcBorders>
              <w:top w:val="single" w:color="000000" w:sz="4" w:space="0"/>
              <w:left w:val="single" w:color="000000" w:sz="4" w:space="0"/>
              <w:bottom w:val="single" w:color="000000" w:sz="4" w:space="0"/>
              <w:right w:val="single" w:color="000000" w:sz="4" w:space="0"/>
            </w:tcBorders>
            <w:noWrap w:val="0"/>
            <w:vAlign w:val="center"/>
          </w:tcPr>
          <w:p w14:paraId="01200E3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r>
      <w:tr w14:paraId="7E798C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249" w:type="pct"/>
            <w:tcBorders>
              <w:top w:val="single" w:color="000000" w:sz="4" w:space="0"/>
              <w:left w:val="single" w:color="000000" w:sz="4" w:space="0"/>
              <w:bottom w:val="single" w:color="000000" w:sz="4" w:space="0"/>
              <w:right w:val="single" w:color="000000" w:sz="4" w:space="0"/>
            </w:tcBorders>
            <w:noWrap w:val="0"/>
            <w:vAlign w:val="center"/>
          </w:tcPr>
          <w:p w14:paraId="1F2FADB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w:t>
            </w:r>
          </w:p>
        </w:tc>
        <w:tc>
          <w:tcPr>
            <w:tcW w:w="593" w:type="pct"/>
            <w:tcBorders>
              <w:top w:val="single" w:color="000000" w:sz="4" w:space="0"/>
              <w:left w:val="single" w:color="000000" w:sz="4" w:space="0"/>
              <w:bottom w:val="single" w:color="000000" w:sz="4" w:space="0"/>
              <w:right w:val="single" w:color="000000" w:sz="4" w:space="0"/>
            </w:tcBorders>
            <w:noWrap w:val="0"/>
            <w:vAlign w:val="center"/>
          </w:tcPr>
          <w:p w14:paraId="17C05D6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山钦湾海岸派出所</w:t>
            </w:r>
          </w:p>
        </w:tc>
        <w:tc>
          <w:tcPr>
            <w:tcW w:w="984" w:type="pct"/>
            <w:tcBorders>
              <w:top w:val="single" w:color="000000" w:sz="4" w:space="0"/>
              <w:left w:val="single" w:color="000000" w:sz="4" w:space="0"/>
              <w:bottom w:val="single" w:color="000000" w:sz="4" w:space="0"/>
              <w:right w:val="single" w:color="000000" w:sz="4" w:space="0"/>
            </w:tcBorders>
            <w:noWrap w:val="0"/>
            <w:vAlign w:val="center"/>
          </w:tcPr>
          <w:p w14:paraId="1D065B95">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万宁市龙滚镇223过道与侨中街交叉口北360米</w:t>
            </w:r>
          </w:p>
        </w:tc>
        <w:tc>
          <w:tcPr>
            <w:tcW w:w="484" w:type="pct"/>
            <w:tcBorders>
              <w:top w:val="single" w:color="000000" w:sz="4" w:space="0"/>
              <w:left w:val="single" w:color="000000" w:sz="4" w:space="0"/>
              <w:bottom w:val="single" w:color="000000" w:sz="4" w:space="0"/>
              <w:right w:val="single" w:color="000000" w:sz="4" w:space="0"/>
            </w:tcBorders>
            <w:noWrap w:val="0"/>
            <w:vAlign w:val="center"/>
          </w:tcPr>
          <w:p w14:paraId="65C6F63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1027</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14:paraId="3D9B507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1433</w:t>
            </w:r>
          </w:p>
        </w:tc>
        <w:tc>
          <w:tcPr>
            <w:tcW w:w="299" w:type="pct"/>
            <w:tcBorders>
              <w:top w:val="single" w:color="000000" w:sz="4" w:space="0"/>
              <w:left w:val="single" w:color="000000" w:sz="4" w:space="0"/>
              <w:bottom w:val="single" w:color="000000" w:sz="4" w:space="0"/>
              <w:right w:val="single" w:color="000000" w:sz="4" w:space="0"/>
            </w:tcBorders>
            <w:noWrap w:val="0"/>
            <w:vAlign w:val="center"/>
          </w:tcPr>
          <w:p w14:paraId="67775AE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265" w:type="pct"/>
            <w:vMerge w:val="continue"/>
            <w:tcBorders>
              <w:top w:val="single" w:color="000000" w:sz="4" w:space="0"/>
              <w:left w:val="single" w:color="000000" w:sz="4" w:space="0"/>
              <w:bottom w:val="single" w:color="000000" w:sz="4" w:space="0"/>
              <w:right w:val="single" w:color="000000" w:sz="4" w:space="0"/>
            </w:tcBorders>
            <w:noWrap w:val="0"/>
            <w:vAlign w:val="center"/>
          </w:tcPr>
          <w:p w14:paraId="2EF4DFF1">
            <w:pPr>
              <w:jc w:val="center"/>
              <w:rPr>
                <w:rFonts w:hint="eastAsia" w:ascii="仿宋" w:hAnsi="仿宋" w:eastAsia="仿宋" w:cs="仿宋"/>
                <w:i w:val="0"/>
                <w:iCs w:val="0"/>
                <w:color w:val="000000"/>
                <w:sz w:val="21"/>
                <w:szCs w:val="21"/>
                <w:u w:val="none"/>
              </w:rPr>
            </w:pPr>
          </w:p>
        </w:tc>
        <w:tc>
          <w:tcPr>
            <w:tcW w:w="357" w:type="pct"/>
            <w:vMerge w:val="continue"/>
            <w:tcBorders>
              <w:top w:val="single" w:color="000000" w:sz="4" w:space="0"/>
              <w:left w:val="single" w:color="000000" w:sz="4" w:space="0"/>
              <w:bottom w:val="single" w:color="000000" w:sz="4" w:space="0"/>
              <w:right w:val="single" w:color="000000" w:sz="4" w:space="0"/>
            </w:tcBorders>
            <w:noWrap w:val="0"/>
            <w:vAlign w:val="center"/>
          </w:tcPr>
          <w:p w14:paraId="2B208C3C">
            <w:pPr>
              <w:jc w:val="center"/>
              <w:rPr>
                <w:rFonts w:hint="eastAsia" w:ascii="仿宋" w:hAnsi="仿宋" w:eastAsia="仿宋" w:cs="仿宋"/>
                <w:i w:val="0"/>
                <w:iCs w:val="0"/>
                <w:color w:val="000000"/>
                <w:sz w:val="21"/>
                <w:szCs w:val="21"/>
                <w:u w:val="none"/>
              </w:rPr>
            </w:pPr>
          </w:p>
        </w:tc>
        <w:tc>
          <w:tcPr>
            <w:tcW w:w="299" w:type="pct"/>
            <w:tcBorders>
              <w:top w:val="single" w:color="000000" w:sz="4" w:space="0"/>
              <w:left w:val="single" w:color="000000" w:sz="4" w:space="0"/>
              <w:bottom w:val="single" w:color="000000" w:sz="4" w:space="0"/>
              <w:right w:val="single" w:color="000000" w:sz="4" w:space="0"/>
            </w:tcBorders>
            <w:noWrap w:val="0"/>
            <w:vAlign w:val="center"/>
          </w:tcPr>
          <w:p w14:paraId="6AD7250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414" w:type="pct"/>
            <w:tcBorders>
              <w:top w:val="single" w:color="000000" w:sz="4" w:space="0"/>
              <w:left w:val="single" w:color="000000" w:sz="4" w:space="0"/>
              <w:bottom w:val="single" w:color="000000" w:sz="4" w:space="0"/>
              <w:right w:val="single" w:color="000000" w:sz="4" w:space="0"/>
            </w:tcBorders>
            <w:noWrap w:val="0"/>
            <w:vAlign w:val="center"/>
          </w:tcPr>
          <w:p w14:paraId="2642E46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428" w:type="pct"/>
            <w:tcBorders>
              <w:top w:val="single" w:color="000000" w:sz="4" w:space="0"/>
              <w:left w:val="single" w:color="000000" w:sz="4" w:space="0"/>
              <w:bottom w:val="single" w:color="000000" w:sz="4" w:space="0"/>
              <w:right w:val="single" w:color="000000" w:sz="4" w:space="0"/>
            </w:tcBorders>
            <w:noWrap w:val="0"/>
            <w:vAlign w:val="center"/>
          </w:tcPr>
          <w:p w14:paraId="360CE856">
            <w:pPr>
              <w:jc w:val="center"/>
              <w:rPr>
                <w:rFonts w:hint="eastAsia" w:ascii="仿宋" w:hAnsi="仿宋" w:eastAsia="仿宋" w:cs="仿宋"/>
                <w:i w:val="0"/>
                <w:iCs w:val="0"/>
                <w:color w:val="000000"/>
                <w:sz w:val="21"/>
                <w:szCs w:val="21"/>
                <w:u w:val="none"/>
              </w:rPr>
            </w:pPr>
          </w:p>
        </w:tc>
      </w:tr>
      <w:tr w14:paraId="1CB1C4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249" w:type="pct"/>
            <w:tcBorders>
              <w:top w:val="single" w:color="000000" w:sz="4" w:space="0"/>
              <w:left w:val="single" w:color="000000" w:sz="4" w:space="0"/>
              <w:bottom w:val="single" w:color="000000" w:sz="4" w:space="0"/>
              <w:right w:val="single" w:color="000000" w:sz="4" w:space="0"/>
            </w:tcBorders>
            <w:noWrap w:val="0"/>
            <w:vAlign w:val="center"/>
          </w:tcPr>
          <w:p w14:paraId="6746739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w:t>
            </w:r>
          </w:p>
        </w:tc>
        <w:tc>
          <w:tcPr>
            <w:tcW w:w="593" w:type="pct"/>
            <w:tcBorders>
              <w:top w:val="single" w:color="000000" w:sz="4" w:space="0"/>
              <w:left w:val="single" w:color="000000" w:sz="4" w:space="0"/>
              <w:bottom w:val="single" w:color="000000" w:sz="4" w:space="0"/>
              <w:right w:val="single" w:color="000000" w:sz="4" w:space="0"/>
            </w:tcBorders>
            <w:noWrap w:val="0"/>
            <w:vAlign w:val="center"/>
          </w:tcPr>
          <w:p w14:paraId="3DE2396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山根湾海岸派出所</w:t>
            </w:r>
          </w:p>
        </w:tc>
        <w:tc>
          <w:tcPr>
            <w:tcW w:w="984" w:type="pct"/>
            <w:tcBorders>
              <w:top w:val="single" w:color="000000" w:sz="4" w:space="0"/>
              <w:left w:val="single" w:color="000000" w:sz="4" w:space="0"/>
              <w:bottom w:val="single" w:color="000000" w:sz="4" w:space="0"/>
              <w:right w:val="single" w:color="000000" w:sz="4" w:space="0"/>
            </w:tcBorders>
            <w:noWrap w:val="0"/>
            <w:vAlign w:val="center"/>
          </w:tcPr>
          <w:p w14:paraId="50D414E1">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万宁市山根镇</w:t>
            </w:r>
          </w:p>
        </w:tc>
        <w:tc>
          <w:tcPr>
            <w:tcW w:w="484" w:type="pct"/>
            <w:tcBorders>
              <w:top w:val="single" w:color="000000" w:sz="4" w:space="0"/>
              <w:left w:val="single" w:color="000000" w:sz="4" w:space="0"/>
              <w:bottom w:val="single" w:color="000000" w:sz="4" w:space="0"/>
              <w:right w:val="single" w:color="000000" w:sz="4" w:space="0"/>
            </w:tcBorders>
            <w:noWrap w:val="0"/>
            <w:vAlign w:val="center"/>
          </w:tcPr>
          <w:p w14:paraId="2470A80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1667</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14:paraId="7729A25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775.85</w:t>
            </w:r>
          </w:p>
        </w:tc>
        <w:tc>
          <w:tcPr>
            <w:tcW w:w="299" w:type="pct"/>
            <w:tcBorders>
              <w:top w:val="single" w:color="000000" w:sz="4" w:space="0"/>
              <w:left w:val="single" w:color="000000" w:sz="4" w:space="0"/>
              <w:bottom w:val="single" w:color="000000" w:sz="4" w:space="0"/>
              <w:right w:val="single" w:color="000000" w:sz="4" w:space="0"/>
            </w:tcBorders>
            <w:noWrap w:val="0"/>
            <w:vAlign w:val="center"/>
          </w:tcPr>
          <w:p w14:paraId="0C84AA8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265" w:type="pct"/>
            <w:vMerge w:val="continue"/>
            <w:tcBorders>
              <w:top w:val="single" w:color="000000" w:sz="4" w:space="0"/>
              <w:left w:val="single" w:color="000000" w:sz="4" w:space="0"/>
              <w:bottom w:val="single" w:color="000000" w:sz="4" w:space="0"/>
              <w:right w:val="single" w:color="000000" w:sz="4" w:space="0"/>
            </w:tcBorders>
            <w:noWrap w:val="0"/>
            <w:vAlign w:val="center"/>
          </w:tcPr>
          <w:p w14:paraId="1FC5DAD9">
            <w:pPr>
              <w:jc w:val="center"/>
              <w:rPr>
                <w:rFonts w:hint="eastAsia" w:ascii="仿宋" w:hAnsi="仿宋" w:eastAsia="仿宋" w:cs="仿宋"/>
                <w:i w:val="0"/>
                <w:iCs w:val="0"/>
                <w:color w:val="000000"/>
                <w:sz w:val="21"/>
                <w:szCs w:val="21"/>
                <w:u w:val="none"/>
              </w:rPr>
            </w:pPr>
          </w:p>
        </w:tc>
        <w:tc>
          <w:tcPr>
            <w:tcW w:w="357" w:type="pct"/>
            <w:vMerge w:val="continue"/>
            <w:tcBorders>
              <w:top w:val="single" w:color="000000" w:sz="4" w:space="0"/>
              <w:left w:val="single" w:color="000000" w:sz="4" w:space="0"/>
              <w:bottom w:val="single" w:color="000000" w:sz="4" w:space="0"/>
              <w:right w:val="single" w:color="000000" w:sz="4" w:space="0"/>
            </w:tcBorders>
            <w:noWrap w:val="0"/>
            <w:vAlign w:val="center"/>
          </w:tcPr>
          <w:p w14:paraId="3B23745B">
            <w:pPr>
              <w:jc w:val="center"/>
              <w:rPr>
                <w:rFonts w:hint="eastAsia" w:ascii="仿宋" w:hAnsi="仿宋" w:eastAsia="仿宋" w:cs="仿宋"/>
                <w:i w:val="0"/>
                <w:iCs w:val="0"/>
                <w:color w:val="000000"/>
                <w:sz w:val="21"/>
                <w:szCs w:val="21"/>
                <w:u w:val="none"/>
              </w:rPr>
            </w:pPr>
          </w:p>
        </w:tc>
        <w:tc>
          <w:tcPr>
            <w:tcW w:w="299" w:type="pct"/>
            <w:tcBorders>
              <w:top w:val="single" w:color="000000" w:sz="4" w:space="0"/>
              <w:left w:val="single" w:color="000000" w:sz="4" w:space="0"/>
              <w:bottom w:val="single" w:color="000000" w:sz="4" w:space="0"/>
              <w:right w:val="single" w:color="000000" w:sz="4" w:space="0"/>
            </w:tcBorders>
            <w:noWrap w:val="0"/>
            <w:vAlign w:val="center"/>
          </w:tcPr>
          <w:p w14:paraId="10BE8F0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414" w:type="pct"/>
            <w:tcBorders>
              <w:top w:val="single" w:color="000000" w:sz="4" w:space="0"/>
              <w:left w:val="single" w:color="000000" w:sz="4" w:space="0"/>
              <w:bottom w:val="single" w:color="000000" w:sz="4" w:space="0"/>
              <w:right w:val="single" w:color="000000" w:sz="4" w:space="0"/>
            </w:tcBorders>
            <w:noWrap w:val="0"/>
            <w:vAlign w:val="center"/>
          </w:tcPr>
          <w:p w14:paraId="1CB37ED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428" w:type="pct"/>
            <w:tcBorders>
              <w:top w:val="single" w:color="000000" w:sz="4" w:space="0"/>
              <w:left w:val="single" w:color="000000" w:sz="4" w:space="0"/>
              <w:bottom w:val="single" w:color="000000" w:sz="4" w:space="0"/>
              <w:right w:val="single" w:color="000000" w:sz="4" w:space="0"/>
            </w:tcBorders>
            <w:noWrap w:val="0"/>
            <w:vAlign w:val="center"/>
          </w:tcPr>
          <w:p w14:paraId="516BABB9">
            <w:pPr>
              <w:jc w:val="center"/>
              <w:rPr>
                <w:rFonts w:hint="eastAsia" w:ascii="仿宋" w:hAnsi="仿宋" w:eastAsia="仿宋" w:cs="仿宋"/>
                <w:i w:val="0"/>
                <w:iCs w:val="0"/>
                <w:color w:val="000000"/>
                <w:sz w:val="21"/>
                <w:szCs w:val="21"/>
                <w:u w:val="none"/>
              </w:rPr>
            </w:pPr>
          </w:p>
        </w:tc>
      </w:tr>
      <w:tr w14:paraId="58D310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249" w:type="pct"/>
            <w:tcBorders>
              <w:top w:val="single" w:color="000000" w:sz="4" w:space="0"/>
              <w:left w:val="single" w:color="000000" w:sz="4" w:space="0"/>
              <w:bottom w:val="single" w:color="000000" w:sz="4" w:space="0"/>
              <w:right w:val="single" w:color="000000" w:sz="4" w:space="0"/>
            </w:tcBorders>
            <w:noWrap w:val="0"/>
            <w:vAlign w:val="center"/>
          </w:tcPr>
          <w:p w14:paraId="5D1544C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w:t>
            </w:r>
          </w:p>
        </w:tc>
        <w:tc>
          <w:tcPr>
            <w:tcW w:w="593" w:type="pct"/>
            <w:tcBorders>
              <w:top w:val="single" w:color="000000" w:sz="4" w:space="0"/>
              <w:left w:val="single" w:color="000000" w:sz="4" w:space="0"/>
              <w:bottom w:val="single" w:color="000000" w:sz="4" w:space="0"/>
              <w:right w:val="single" w:color="000000" w:sz="4" w:space="0"/>
            </w:tcBorders>
            <w:noWrap w:val="0"/>
            <w:vAlign w:val="center"/>
          </w:tcPr>
          <w:p w14:paraId="765274D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港北海岸派出所</w:t>
            </w:r>
          </w:p>
        </w:tc>
        <w:tc>
          <w:tcPr>
            <w:tcW w:w="984" w:type="pct"/>
            <w:tcBorders>
              <w:top w:val="single" w:color="000000" w:sz="4" w:space="0"/>
              <w:left w:val="single" w:color="000000" w:sz="4" w:space="0"/>
              <w:bottom w:val="single" w:color="000000" w:sz="4" w:space="0"/>
              <w:right w:val="single" w:color="000000" w:sz="4" w:space="0"/>
            </w:tcBorders>
            <w:noWrap w:val="0"/>
            <w:vAlign w:val="center"/>
          </w:tcPr>
          <w:p w14:paraId="0754B20C">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万宁市和乐镇港北港下村</w:t>
            </w:r>
          </w:p>
        </w:tc>
        <w:tc>
          <w:tcPr>
            <w:tcW w:w="484" w:type="pct"/>
            <w:tcBorders>
              <w:top w:val="single" w:color="000000" w:sz="4" w:space="0"/>
              <w:left w:val="single" w:color="000000" w:sz="4" w:space="0"/>
              <w:bottom w:val="single" w:color="000000" w:sz="4" w:space="0"/>
              <w:right w:val="single" w:color="000000" w:sz="4" w:space="0"/>
            </w:tcBorders>
            <w:noWrap w:val="0"/>
            <w:vAlign w:val="center"/>
          </w:tcPr>
          <w:p w14:paraId="78A2269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1717</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14:paraId="0F224A2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1653.92</w:t>
            </w:r>
          </w:p>
        </w:tc>
        <w:tc>
          <w:tcPr>
            <w:tcW w:w="299" w:type="pct"/>
            <w:tcBorders>
              <w:top w:val="single" w:color="000000" w:sz="4" w:space="0"/>
              <w:left w:val="single" w:color="000000" w:sz="4" w:space="0"/>
              <w:bottom w:val="single" w:color="000000" w:sz="4" w:space="0"/>
              <w:right w:val="single" w:color="000000" w:sz="4" w:space="0"/>
            </w:tcBorders>
            <w:noWrap w:val="0"/>
            <w:vAlign w:val="center"/>
          </w:tcPr>
          <w:p w14:paraId="76142E4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265" w:type="pct"/>
            <w:vMerge w:val="continue"/>
            <w:tcBorders>
              <w:top w:val="single" w:color="000000" w:sz="4" w:space="0"/>
              <w:left w:val="single" w:color="000000" w:sz="4" w:space="0"/>
              <w:bottom w:val="single" w:color="000000" w:sz="4" w:space="0"/>
              <w:right w:val="single" w:color="000000" w:sz="4" w:space="0"/>
            </w:tcBorders>
            <w:noWrap w:val="0"/>
            <w:vAlign w:val="center"/>
          </w:tcPr>
          <w:p w14:paraId="6A322E7D">
            <w:pPr>
              <w:jc w:val="center"/>
              <w:rPr>
                <w:rFonts w:hint="eastAsia" w:ascii="仿宋" w:hAnsi="仿宋" w:eastAsia="仿宋" w:cs="仿宋"/>
                <w:i w:val="0"/>
                <w:iCs w:val="0"/>
                <w:color w:val="000000"/>
                <w:sz w:val="21"/>
                <w:szCs w:val="21"/>
                <w:u w:val="none"/>
              </w:rPr>
            </w:pPr>
          </w:p>
        </w:tc>
        <w:tc>
          <w:tcPr>
            <w:tcW w:w="357" w:type="pct"/>
            <w:vMerge w:val="continue"/>
            <w:tcBorders>
              <w:top w:val="single" w:color="000000" w:sz="4" w:space="0"/>
              <w:left w:val="single" w:color="000000" w:sz="4" w:space="0"/>
              <w:bottom w:val="single" w:color="000000" w:sz="4" w:space="0"/>
              <w:right w:val="single" w:color="000000" w:sz="4" w:space="0"/>
            </w:tcBorders>
            <w:noWrap w:val="0"/>
            <w:vAlign w:val="center"/>
          </w:tcPr>
          <w:p w14:paraId="23EFE431">
            <w:pPr>
              <w:jc w:val="center"/>
              <w:rPr>
                <w:rFonts w:hint="eastAsia" w:ascii="仿宋" w:hAnsi="仿宋" w:eastAsia="仿宋" w:cs="仿宋"/>
                <w:i w:val="0"/>
                <w:iCs w:val="0"/>
                <w:color w:val="000000"/>
                <w:sz w:val="21"/>
                <w:szCs w:val="21"/>
                <w:u w:val="none"/>
              </w:rPr>
            </w:pPr>
          </w:p>
        </w:tc>
        <w:tc>
          <w:tcPr>
            <w:tcW w:w="299" w:type="pct"/>
            <w:tcBorders>
              <w:top w:val="single" w:color="000000" w:sz="4" w:space="0"/>
              <w:left w:val="single" w:color="000000" w:sz="4" w:space="0"/>
              <w:bottom w:val="single" w:color="000000" w:sz="4" w:space="0"/>
              <w:right w:val="single" w:color="000000" w:sz="4" w:space="0"/>
            </w:tcBorders>
            <w:noWrap w:val="0"/>
            <w:vAlign w:val="center"/>
          </w:tcPr>
          <w:p w14:paraId="2D3D43C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414" w:type="pct"/>
            <w:tcBorders>
              <w:top w:val="single" w:color="000000" w:sz="4" w:space="0"/>
              <w:left w:val="single" w:color="000000" w:sz="4" w:space="0"/>
              <w:bottom w:val="single" w:color="000000" w:sz="4" w:space="0"/>
              <w:right w:val="single" w:color="000000" w:sz="4" w:space="0"/>
            </w:tcBorders>
            <w:noWrap w:val="0"/>
            <w:vAlign w:val="center"/>
          </w:tcPr>
          <w:p w14:paraId="29CA3A0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428" w:type="pct"/>
            <w:tcBorders>
              <w:top w:val="single" w:color="000000" w:sz="4" w:space="0"/>
              <w:left w:val="single" w:color="000000" w:sz="4" w:space="0"/>
              <w:bottom w:val="single" w:color="000000" w:sz="4" w:space="0"/>
              <w:right w:val="single" w:color="000000" w:sz="4" w:space="0"/>
            </w:tcBorders>
            <w:noWrap w:val="0"/>
            <w:vAlign w:val="center"/>
          </w:tcPr>
          <w:p w14:paraId="5991241F">
            <w:pPr>
              <w:jc w:val="center"/>
              <w:rPr>
                <w:rFonts w:hint="eastAsia" w:ascii="仿宋" w:hAnsi="仿宋" w:eastAsia="仿宋" w:cs="仿宋"/>
                <w:i w:val="0"/>
                <w:iCs w:val="0"/>
                <w:color w:val="000000"/>
                <w:sz w:val="21"/>
                <w:szCs w:val="21"/>
                <w:u w:val="none"/>
              </w:rPr>
            </w:pPr>
          </w:p>
        </w:tc>
      </w:tr>
      <w:tr w14:paraId="5B48B6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249" w:type="pct"/>
            <w:tcBorders>
              <w:top w:val="single" w:color="000000" w:sz="4" w:space="0"/>
              <w:left w:val="single" w:color="000000" w:sz="4" w:space="0"/>
              <w:bottom w:val="single" w:color="000000" w:sz="4" w:space="0"/>
              <w:right w:val="single" w:color="000000" w:sz="4" w:space="0"/>
            </w:tcBorders>
            <w:noWrap w:val="0"/>
            <w:vAlign w:val="center"/>
          </w:tcPr>
          <w:p w14:paraId="6C61E9D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593" w:type="pct"/>
            <w:tcBorders>
              <w:top w:val="single" w:color="000000" w:sz="4" w:space="0"/>
              <w:left w:val="single" w:color="000000" w:sz="4" w:space="0"/>
              <w:bottom w:val="single" w:color="000000" w:sz="4" w:space="0"/>
              <w:right w:val="single" w:color="000000" w:sz="4" w:space="0"/>
            </w:tcBorders>
            <w:noWrap w:val="0"/>
            <w:vAlign w:val="center"/>
          </w:tcPr>
          <w:p w14:paraId="737C1C5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乌场海岸派出所</w:t>
            </w:r>
          </w:p>
        </w:tc>
        <w:tc>
          <w:tcPr>
            <w:tcW w:w="984" w:type="pct"/>
            <w:tcBorders>
              <w:top w:val="single" w:color="000000" w:sz="4" w:space="0"/>
              <w:left w:val="single" w:color="000000" w:sz="4" w:space="0"/>
              <w:bottom w:val="single" w:color="000000" w:sz="4" w:space="0"/>
              <w:right w:val="single" w:color="000000" w:sz="4" w:space="0"/>
            </w:tcBorders>
            <w:noWrap w:val="0"/>
            <w:vAlign w:val="center"/>
          </w:tcPr>
          <w:p w14:paraId="75547445">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万宁市万城镇432县道</w:t>
            </w:r>
          </w:p>
        </w:tc>
        <w:tc>
          <w:tcPr>
            <w:tcW w:w="484" w:type="pct"/>
            <w:tcBorders>
              <w:top w:val="single" w:color="000000" w:sz="4" w:space="0"/>
              <w:left w:val="single" w:color="000000" w:sz="4" w:space="0"/>
              <w:bottom w:val="single" w:color="000000" w:sz="4" w:space="0"/>
              <w:right w:val="single" w:color="000000" w:sz="4" w:space="0"/>
            </w:tcBorders>
            <w:noWrap w:val="0"/>
            <w:vAlign w:val="center"/>
          </w:tcPr>
          <w:p w14:paraId="3774A58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910</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14:paraId="7748054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847.51</w:t>
            </w:r>
          </w:p>
        </w:tc>
        <w:tc>
          <w:tcPr>
            <w:tcW w:w="299" w:type="pct"/>
            <w:tcBorders>
              <w:top w:val="single" w:color="000000" w:sz="4" w:space="0"/>
              <w:left w:val="single" w:color="000000" w:sz="4" w:space="0"/>
              <w:bottom w:val="single" w:color="000000" w:sz="4" w:space="0"/>
              <w:right w:val="single" w:color="000000" w:sz="4" w:space="0"/>
            </w:tcBorders>
            <w:noWrap w:val="0"/>
            <w:vAlign w:val="center"/>
          </w:tcPr>
          <w:p w14:paraId="4FFE341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265" w:type="pct"/>
            <w:vMerge w:val="continue"/>
            <w:tcBorders>
              <w:top w:val="single" w:color="000000" w:sz="4" w:space="0"/>
              <w:left w:val="single" w:color="000000" w:sz="4" w:space="0"/>
              <w:bottom w:val="single" w:color="000000" w:sz="4" w:space="0"/>
              <w:right w:val="single" w:color="000000" w:sz="4" w:space="0"/>
            </w:tcBorders>
            <w:noWrap w:val="0"/>
            <w:vAlign w:val="center"/>
          </w:tcPr>
          <w:p w14:paraId="3B475A75">
            <w:pPr>
              <w:jc w:val="center"/>
              <w:rPr>
                <w:rFonts w:hint="eastAsia" w:ascii="仿宋" w:hAnsi="仿宋" w:eastAsia="仿宋" w:cs="仿宋"/>
                <w:i w:val="0"/>
                <w:iCs w:val="0"/>
                <w:color w:val="000000"/>
                <w:sz w:val="21"/>
                <w:szCs w:val="21"/>
                <w:u w:val="none"/>
              </w:rPr>
            </w:pPr>
          </w:p>
        </w:tc>
        <w:tc>
          <w:tcPr>
            <w:tcW w:w="357" w:type="pct"/>
            <w:vMerge w:val="continue"/>
            <w:tcBorders>
              <w:top w:val="single" w:color="000000" w:sz="4" w:space="0"/>
              <w:left w:val="single" w:color="000000" w:sz="4" w:space="0"/>
              <w:bottom w:val="single" w:color="000000" w:sz="4" w:space="0"/>
              <w:right w:val="single" w:color="000000" w:sz="4" w:space="0"/>
            </w:tcBorders>
            <w:noWrap w:val="0"/>
            <w:vAlign w:val="center"/>
          </w:tcPr>
          <w:p w14:paraId="22F0B445">
            <w:pPr>
              <w:jc w:val="center"/>
              <w:rPr>
                <w:rFonts w:hint="eastAsia" w:ascii="仿宋" w:hAnsi="仿宋" w:eastAsia="仿宋" w:cs="仿宋"/>
                <w:i w:val="0"/>
                <w:iCs w:val="0"/>
                <w:color w:val="000000"/>
                <w:sz w:val="21"/>
                <w:szCs w:val="21"/>
                <w:u w:val="none"/>
              </w:rPr>
            </w:pPr>
          </w:p>
        </w:tc>
        <w:tc>
          <w:tcPr>
            <w:tcW w:w="299" w:type="pct"/>
            <w:tcBorders>
              <w:top w:val="single" w:color="000000" w:sz="4" w:space="0"/>
              <w:left w:val="single" w:color="000000" w:sz="4" w:space="0"/>
              <w:bottom w:val="single" w:color="000000" w:sz="4" w:space="0"/>
              <w:right w:val="single" w:color="000000" w:sz="4" w:space="0"/>
            </w:tcBorders>
            <w:noWrap w:val="0"/>
            <w:vAlign w:val="center"/>
          </w:tcPr>
          <w:p w14:paraId="7C94627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414" w:type="pct"/>
            <w:tcBorders>
              <w:top w:val="single" w:color="000000" w:sz="4" w:space="0"/>
              <w:left w:val="single" w:color="000000" w:sz="4" w:space="0"/>
              <w:bottom w:val="single" w:color="000000" w:sz="4" w:space="0"/>
              <w:right w:val="single" w:color="000000" w:sz="4" w:space="0"/>
            </w:tcBorders>
            <w:noWrap w:val="0"/>
            <w:vAlign w:val="center"/>
          </w:tcPr>
          <w:p w14:paraId="1360C96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428" w:type="pct"/>
            <w:tcBorders>
              <w:top w:val="single" w:color="000000" w:sz="4" w:space="0"/>
              <w:left w:val="single" w:color="000000" w:sz="4" w:space="0"/>
              <w:bottom w:val="single" w:color="000000" w:sz="4" w:space="0"/>
              <w:right w:val="single" w:color="000000" w:sz="4" w:space="0"/>
            </w:tcBorders>
            <w:noWrap w:val="0"/>
            <w:vAlign w:val="center"/>
          </w:tcPr>
          <w:p w14:paraId="466F3753">
            <w:pPr>
              <w:jc w:val="center"/>
              <w:rPr>
                <w:rFonts w:hint="eastAsia" w:ascii="仿宋" w:hAnsi="仿宋" w:eastAsia="仿宋" w:cs="仿宋"/>
                <w:i w:val="0"/>
                <w:iCs w:val="0"/>
                <w:color w:val="000000"/>
                <w:sz w:val="21"/>
                <w:szCs w:val="21"/>
                <w:u w:val="none"/>
              </w:rPr>
            </w:pPr>
          </w:p>
        </w:tc>
      </w:tr>
      <w:tr w14:paraId="64D578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249" w:type="pct"/>
            <w:tcBorders>
              <w:top w:val="single" w:color="000000" w:sz="4" w:space="0"/>
              <w:left w:val="single" w:color="000000" w:sz="4" w:space="0"/>
              <w:bottom w:val="single" w:color="000000" w:sz="4" w:space="0"/>
              <w:right w:val="single" w:color="000000" w:sz="4" w:space="0"/>
            </w:tcBorders>
            <w:noWrap w:val="0"/>
            <w:vAlign w:val="center"/>
          </w:tcPr>
          <w:p w14:paraId="6BAA288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w:t>
            </w:r>
          </w:p>
        </w:tc>
        <w:tc>
          <w:tcPr>
            <w:tcW w:w="593" w:type="pct"/>
            <w:tcBorders>
              <w:top w:val="single" w:color="000000" w:sz="4" w:space="0"/>
              <w:left w:val="single" w:color="000000" w:sz="4" w:space="0"/>
              <w:bottom w:val="single" w:color="000000" w:sz="4" w:space="0"/>
              <w:right w:val="single" w:color="000000" w:sz="4" w:space="0"/>
            </w:tcBorders>
            <w:noWrap w:val="0"/>
            <w:vAlign w:val="center"/>
          </w:tcPr>
          <w:p w14:paraId="296254B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神州半岛海岸派出所</w:t>
            </w:r>
          </w:p>
        </w:tc>
        <w:tc>
          <w:tcPr>
            <w:tcW w:w="984" w:type="pct"/>
            <w:tcBorders>
              <w:top w:val="single" w:color="000000" w:sz="4" w:space="0"/>
              <w:left w:val="single" w:color="000000" w:sz="4" w:space="0"/>
              <w:bottom w:val="single" w:color="000000" w:sz="4" w:space="0"/>
              <w:right w:val="single" w:color="000000" w:sz="4" w:space="0"/>
            </w:tcBorders>
            <w:noWrap w:val="0"/>
            <w:vAlign w:val="center"/>
          </w:tcPr>
          <w:p w14:paraId="14956978">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万宁市东澳镇环岛旅游公路与432县道交叉口北140米</w:t>
            </w:r>
          </w:p>
        </w:tc>
        <w:tc>
          <w:tcPr>
            <w:tcW w:w="484" w:type="pct"/>
            <w:tcBorders>
              <w:top w:val="single" w:color="000000" w:sz="4" w:space="0"/>
              <w:left w:val="single" w:color="000000" w:sz="4" w:space="0"/>
              <w:bottom w:val="single" w:color="000000" w:sz="4" w:space="0"/>
              <w:right w:val="single" w:color="000000" w:sz="4" w:space="0"/>
            </w:tcBorders>
            <w:noWrap w:val="0"/>
            <w:vAlign w:val="center"/>
          </w:tcPr>
          <w:p w14:paraId="484E609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2249</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14:paraId="566EECD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1526</w:t>
            </w:r>
          </w:p>
        </w:tc>
        <w:tc>
          <w:tcPr>
            <w:tcW w:w="299" w:type="pct"/>
            <w:tcBorders>
              <w:top w:val="single" w:color="000000" w:sz="4" w:space="0"/>
              <w:left w:val="single" w:color="000000" w:sz="4" w:space="0"/>
              <w:bottom w:val="single" w:color="000000" w:sz="4" w:space="0"/>
              <w:right w:val="single" w:color="000000" w:sz="4" w:space="0"/>
            </w:tcBorders>
            <w:noWrap w:val="0"/>
            <w:vAlign w:val="center"/>
          </w:tcPr>
          <w:p w14:paraId="491065E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265" w:type="pct"/>
            <w:vMerge w:val="continue"/>
            <w:tcBorders>
              <w:top w:val="single" w:color="000000" w:sz="4" w:space="0"/>
              <w:left w:val="single" w:color="000000" w:sz="4" w:space="0"/>
              <w:bottom w:val="single" w:color="000000" w:sz="4" w:space="0"/>
              <w:right w:val="single" w:color="000000" w:sz="4" w:space="0"/>
            </w:tcBorders>
            <w:noWrap w:val="0"/>
            <w:vAlign w:val="center"/>
          </w:tcPr>
          <w:p w14:paraId="7960F9CB">
            <w:pPr>
              <w:jc w:val="center"/>
              <w:rPr>
                <w:rFonts w:hint="eastAsia" w:ascii="仿宋" w:hAnsi="仿宋" w:eastAsia="仿宋" w:cs="仿宋"/>
                <w:i w:val="0"/>
                <w:iCs w:val="0"/>
                <w:color w:val="000000"/>
                <w:sz w:val="21"/>
                <w:szCs w:val="21"/>
                <w:u w:val="none"/>
              </w:rPr>
            </w:pPr>
          </w:p>
        </w:tc>
        <w:tc>
          <w:tcPr>
            <w:tcW w:w="357" w:type="pct"/>
            <w:vMerge w:val="continue"/>
            <w:tcBorders>
              <w:top w:val="single" w:color="000000" w:sz="4" w:space="0"/>
              <w:left w:val="single" w:color="000000" w:sz="4" w:space="0"/>
              <w:bottom w:val="single" w:color="000000" w:sz="4" w:space="0"/>
              <w:right w:val="single" w:color="000000" w:sz="4" w:space="0"/>
            </w:tcBorders>
            <w:noWrap w:val="0"/>
            <w:vAlign w:val="center"/>
          </w:tcPr>
          <w:p w14:paraId="367BC9D2">
            <w:pPr>
              <w:jc w:val="center"/>
              <w:rPr>
                <w:rFonts w:hint="eastAsia" w:ascii="仿宋" w:hAnsi="仿宋" w:eastAsia="仿宋" w:cs="仿宋"/>
                <w:i w:val="0"/>
                <w:iCs w:val="0"/>
                <w:color w:val="000000"/>
                <w:sz w:val="21"/>
                <w:szCs w:val="21"/>
                <w:u w:val="none"/>
              </w:rPr>
            </w:pPr>
          </w:p>
        </w:tc>
        <w:tc>
          <w:tcPr>
            <w:tcW w:w="299" w:type="pct"/>
            <w:tcBorders>
              <w:top w:val="single" w:color="000000" w:sz="4" w:space="0"/>
              <w:left w:val="single" w:color="000000" w:sz="4" w:space="0"/>
              <w:bottom w:val="single" w:color="000000" w:sz="4" w:space="0"/>
              <w:right w:val="single" w:color="000000" w:sz="4" w:space="0"/>
            </w:tcBorders>
            <w:noWrap w:val="0"/>
            <w:vAlign w:val="center"/>
          </w:tcPr>
          <w:p w14:paraId="15D0358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414" w:type="pct"/>
            <w:tcBorders>
              <w:top w:val="single" w:color="000000" w:sz="4" w:space="0"/>
              <w:left w:val="single" w:color="000000" w:sz="4" w:space="0"/>
              <w:bottom w:val="single" w:color="000000" w:sz="4" w:space="0"/>
              <w:right w:val="single" w:color="000000" w:sz="4" w:space="0"/>
            </w:tcBorders>
            <w:noWrap w:val="0"/>
            <w:vAlign w:val="center"/>
          </w:tcPr>
          <w:p w14:paraId="3326F03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428" w:type="pct"/>
            <w:tcBorders>
              <w:top w:val="single" w:color="000000" w:sz="4" w:space="0"/>
              <w:left w:val="single" w:color="000000" w:sz="4" w:space="0"/>
              <w:bottom w:val="single" w:color="000000" w:sz="4" w:space="0"/>
              <w:right w:val="single" w:color="000000" w:sz="4" w:space="0"/>
            </w:tcBorders>
            <w:noWrap w:val="0"/>
            <w:vAlign w:val="center"/>
          </w:tcPr>
          <w:p w14:paraId="3E99AA11">
            <w:pPr>
              <w:jc w:val="center"/>
              <w:rPr>
                <w:rFonts w:hint="eastAsia" w:ascii="仿宋" w:hAnsi="仿宋" w:eastAsia="仿宋" w:cs="仿宋"/>
                <w:i w:val="0"/>
                <w:iCs w:val="0"/>
                <w:color w:val="000000"/>
                <w:sz w:val="21"/>
                <w:szCs w:val="21"/>
                <w:u w:val="none"/>
              </w:rPr>
            </w:pPr>
          </w:p>
        </w:tc>
      </w:tr>
      <w:tr w14:paraId="7A37A1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49" w:type="pct"/>
            <w:tcBorders>
              <w:top w:val="single" w:color="000000" w:sz="4" w:space="0"/>
              <w:left w:val="single" w:color="000000" w:sz="4" w:space="0"/>
              <w:bottom w:val="single" w:color="000000" w:sz="4" w:space="0"/>
              <w:right w:val="single" w:color="000000" w:sz="4" w:space="0"/>
            </w:tcBorders>
            <w:noWrap w:val="0"/>
            <w:vAlign w:val="center"/>
          </w:tcPr>
          <w:p w14:paraId="7D4A46C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w:t>
            </w:r>
          </w:p>
        </w:tc>
        <w:tc>
          <w:tcPr>
            <w:tcW w:w="593" w:type="pct"/>
            <w:tcBorders>
              <w:top w:val="single" w:color="000000" w:sz="4" w:space="0"/>
              <w:left w:val="single" w:color="000000" w:sz="4" w:space="0"/>
              <w:bottom w:val="single" w:color="000000" w:sz="4" w:space="0"/>
              <w:right w:val="single" w:color="000000" w:sz="4" w:space="0"/>
            </w:tcBorders>
            <w:noWrap w:val="0"/>
            <w:vAlign w:val="center"/>
          </w:tcPr>
          <w:p w14:paraId="3F03469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石梅湾海岸派出所</w:t>
            </w:r>
          </w:p>
        </w:tc>
        <w:tc>
          <w:tcPr>
            <w:tcW w:w="984" w:type="pct"/>
            <w:tcBorders>
              <w:top w:val="single" w:color="000000" w:sz="4" w:space="0"/>
              <w:left w:val="single" w:color="000000" w:sz="4" w:space="0"/>
              <w:bottom w:val="single" w:color="000000" w:sz="4" w:space="0"/>
              <w:right w:val="single" w:color="000000" w:sz="4" w:space="0"/>
            </w:tcBorders>
            <w:noWrap w:val="0"/>
            <w:vAlign w:val="center"/>
          </w:tcPr>
          <w:p w14:paraId="4A3F49C8">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1.万宁市礼纪镇石梅大道88号；</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2.万宁市礼纪镇府前街76号。</w:t>
            </w:r>
          </w:p>
        </w:tc>
        <w:tc>
          <w:tcPr>
            <w:tcW w:w="484" w:type="pct"/>
            <w:tcBorders>
              <w:top w:val="single" w:color="000000" w:sz="4" w:space="0"/>
              <w:left w:val="single" w:color="000000" w:sz="4" w:space="0"/>
              <w:bottom w:val="single" w:color="000000" w:sz="4" w:space="0"/>
              <w:right w:val="single" w:color="000000" w:sz="4" w:space="0"/>
            </w:tcBorders>
            <w:noWrap w:val="0"/>
            <w:vAlign w:val="center"/>
          </w:tcPr>
          <w:p w14:paraId="16E16F5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2357</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14:paraId="514C4AD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1878.93</w:t>
            </w:r>
          </w:p>
        </w:tc>
        <w:tc>
          <w:tcPr>
            <w:tcW w:w="299" w:type="pct"/>
            <w:tcBorders>
              <w:top w:val="single" w:color="000000" w:sz="4" w:space="0"/>
              <w:left w:val="single" w:color="000000" w:sz="4" w:space="0"/>
              <w:bottom w:val="single" w:color="000000" w:sz="4" w:space="0"/>
              <w:right w:val="single" w:color="000000" w:sz="4" w:space="0"/>
            </w:tcBorders>
            <w:noWrap w:val="0"/>
            <w:vAlign w:val="center"/>
          </w:tcPr>
          <w:p w14:paraId="1A81B68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w:t>
            </w:r>
          </w:p>
        </w:tc>
        <w:tc>
          <w:tcPr>
            <w:tcW w:w="265" w:type="pct"/>
            <w:vMerge w:val="continue"/>
            <w:tcBorders>
              <w:top w:val="single" w:color="000000" w:sz="4" w:space="0"/>
              <w:left w:val="single" w:color="000000" w:sz="4" w:space="0"/>
              <w:bottom w:val="single" w:color="000000" w:sz="4" w:space="0"/>
              <w:right w:val="single" w:color="000000" w:sz="4" w:space="0"/>
            </w:tcBorders>
            <w:noWrap w:val="0"/>
            <w:vAlign w:val="center"/>
          </w:tcPr>
          <w:p w14:paraId="011EBF43">
            <w:pPr>
              <w:jc w:val="center"/>
              <w:rPr>
                <w:rFonts w:hint="eastAsia" w:ascii="仿宋" w:hAnsi="仿宋" w:eastAsia="仿宋" w:cs="仿宋"/>
                <w:i w:val="0"/>
                <w:iCs w:val="0"/>
                <w:color w:val="000000"/>
                <w:sz w:val="21"/>
                <w:szCs w:val="21"/>
                <w:u w:val="none"/>
              </w:rPr>
            </w:pPr>
          </w:p>
        </w:tc>
        <w:tc>
          <w:tcPr>
            <w:tcW w:w="357" w:type="pct"/>
            <w:vMerge w:val="continue"/>
            <w:tcBorders>
              <w:top w:val="single" w:color="000000" w:sz="4" w:space="0"/>
              <w:left w:val="single" w:color="000000" w:sz="4" w:space="0"/>
              <w:bottom w:val="single" w:color="000000" w:sz="4" w:space="0"/>
              <w:right w:val="single" w:color="000000" w:sz="4" w:space="0"/>
            </w:tcBorders>
            <w:noWrap w:val="0"/>
            <w:vAlign w:val="center"/>
          </w:tcPr>
          <w:p w14:paraId="29310DC4">
            <w:pPr>
              <w:jc w:val="center"/>
              <w:rPr>
                <w:rFonts w:hint="eastAsia" w:ascii="仿宋" w:hAnsi="仿宋" w:eastAsia="仿宋" w:cs="仿宋"/>
                <w:i w:val="0"/>
                <w:iCs w:val="0"/>
                <w:color w:val="000000"/>
                <w:sz w:val="21"/>
                <w:szCs w:val="21"/>
                <w:u w:val="none"/>
              </w:rPr>
            </w:pPr>
          </w:p>
        </w:tc>
        <w:tc>
          <w:tcPr>
            <w:tcW w:w="299" w:type="pct"/>
            <w:tcBorders>
              <w:top w:val="single" w:color="000000" w:sz="4" w:space="0"/>
              <w:left w:val="single" w:color="000000" w:sz="4" w:space="0"/>
              <w:bottom w:val="single" w:color="000000" w:sz="4" w:space="0"/>
              <w:right w:val="single" w:color="000000" w:sz="4" w:space="0"/>
            </w:tcBorders>
            <w:noWrap w:val="0"/>
            <w:vAlign w:val="center"/>
          </w:tcPr>
          <w:p w14:paraId="10C3785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414" w:type="pct"/>
            <w:tcBorders>
              <w:top w:val="single" w:color="000000" w:sz="4" w:space="0"/>
              <w:left w:val="single" w:color="000000" w:sz="4" w:space="0"/>
              <w:bottom w:val="single" w:color="000000" w:sz="4" w:space="0"/>
              <w:right w:val="single" w:color="000000" w:sz="4" w:space="0"/>
            </w:tcBorders>
            <w:noWrap w:val="0"/>
            <w:vAlign w:val="center"/>
          </w:tcPr>
          <w:p w14:paraId="5956209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428" w:type="pct"/>
            <w:tcBorders>
              <w:top w:val="single" w:color="000000" w:sz="4" w:space="0"/>
              <w:left w:val="single" w:color="000000" w:sz="4" w:space="0"/>
              <w:bottom w:val="single" w:color="000000" w:sz="4" w:space="0"/>
              <w:right w:val="single" w:color="000000" w:sz="4" w:space="0"/>
            </w:tcBorders>
            <w:noWrap w:val="0"/>
            <w:vAlign w:val="center"/>
          </w:tcPr>
          <w:p w14:paraId="536B50E4">
            <w:pPr>
              <w:jc w:val="center"/>
              <w:rPr>
                <w:rFonts w:hint="eastAsia" w:ascii="仿宋" w:hAnsi="仿宋" w:eastAsia="仿宋" w:cs="仿宋"/>
                <w:i w:val="0"/>
                <w:iCs w:val="0"/>
                <w:color w:val="000000"/>
                <w:sz w:val="21"/>
                <w:szCs w:val="21"/>
                <w:u w:val="none"/>
              </w:rPr>
            </w:pPr>
          </w:p>
        </w:tc>
      </w:tr>
      <w:tr w14:paraId="232EC4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827" w:type="pct"/>
            <w:gridSpan w:val="3"/>
            <w:tcBorders>
              <w:top w:val="single" w:color="000000" w:sz="4" w:space="0"/>
              <w:left w:val="single" w:color="000000" w:sz="4" w:space="0"/>
              <w:bottom w:val="single" w:color="000000" w:sz="4" w:space="0"/>
              <w:right w:val="nil"/>
            </w:tcBorders>
            <w:shd w:val="clear" w:color="auto" w:fill="FFFFFF"/>
            <w:noWrap w:val="0"/>
            <w:vAlign w:val="center"/>
          </w:tcPr>
          <w:p w14:paraId="272ACC2B">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合计</w:t>
            </w:r>
          </w:p>
        </w:tc>
        <w:tc>
          <w:tcPr>
            <w:tcW w:w="48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D98EDC">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28054</w:t>
            </w:r>
          </w:p>
        </w:tc>
        <w:tc>
          <w:tcPr>
            <w:tcW w:w="62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AD5ECC">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30848.73</w:t>
            </w:r>
          </w:p>
        </w:tc>
        <w:tc>
          <w:tcPr>
            <w:tcW w:w="29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12B30F">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54</w:t>
            </w:r>
          </w:p>
        </w:tc>
        <w:tc>
          <w:tcPr>
            <w:tcW w:w="26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4EE4CC">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2</w:t>
            </w:r>
          </w:p>
        </w:tc>
        <w:tc>
          <w:tcPr>
            <w:tcW w:w="35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A209BA">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2</w:t>
            </w:r>
          </w:p>
        </w:tc>
        <w:tc>
          <w:tcPr>
            <w:tcW w:w="29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392A4E">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18</w:t>
            </w:r>
          </w:p>
        </w:tc>
        <w:tc>
          <w:tcPr>
            <w:tcW w:w="41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737992">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13</w:t>
            </w:r>
          </w:p>
        </w:tc>
        <w:tc>
          <w:tcPr>
            <w:tcW w:w="428"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D9AFCD">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10</w:t>
            </w:r>
          </w:p>
        </w:tc>
      </w:tr>
    </w:tbl>
    <w:p w14:paraId="3E2E1E65">
      <w:pPr>
        <w:pStyle w:val="3"/>
        <w:widowControl/>
        <w:numPr>
          <w:ilvl w:val="0"/>
          <w:numId w:val="0"/>
        </w:numPr>
        <w:tabs>
          <w:tab w:val="left" w:pos="1566"/>
        </w:tabs>
        <w:ind w:left="0" w:leftChars="0" w:firstLine="482" w:firstLineChars="200"/>
        <w:rPr>
          <w:b/>
          <w:color w:val="0000FF"/>
          <w:highlight w:val="none"/>
        </w:rPr>
      </w:pPr>
      <w:r>
        <w:rPr>
          <w:rFonts w:hint="eastAsia" w:ascii="宋体" w:hAnsi="宋体" w:eastAsia="宋体" w:cs="宋体"/>
          <w:b/>
          <w:bCs/>
          <w:color w:val="0000FF"/>
          <w:kern w:val="44"/>
          <w:sz w:val="24"/>
          <w:szCs w:val="30"/>
        </w:rPr>
        <w:t>第五条</w:t>
      </w:r>
      <w:r>
        <w:rPr>
          <w:rFonts w:hint="eastAsia" w:cs="宋体"/>
          <w:b/>
          <w:bCs/>
          <w:color w:val="0000FF"/>
          <w:kern w:val="44"/>
          <w:sz w:val="24"/>
          <w:szCs w:val="30"/>
          <w:lang w:val="en-US" w:eastAsia="zh-CN"/>
        </w:rPr>
        <w:t xml:space="preserve">  </w:t>
      </w:r>
      <w:r>
        <w:rPr>
          <w:color w:val="0000FF"/>
        </w:rPr>
        <w:t>物业保障</w:t>
      </w:r>
      <w:r>
        <w:rPr>
          <w:color w:val="0000FF"/>
          <w:highlight w:val="none"/>
        </w:rPr>
        <w:t>服务岗位人员基本要求及用工约定</w:t>
      </w: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1783"/>
        <w:gridCol w:w="1379"/>
        <w:gridCol w:w="5171"/>
      </w:tblGrid>
      <w:tr w14:paraId="3C640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04" w:hRule="atLeast"/>
        </w:trPr>
        <w:tc>
          <w:tcPr>
            <w:tcW w:w="1783" w:type="dxa"/>
            <w:noWrap w:val="0"/>
            <w:vAlign w:val="center"/>
          </w:tcPr>
          <w:p w14:paraId="1EBF0CC6">
            <w:pPr>
              <w:pStyle w:val="9"/>
              <w:jc w:val="center"/>
              <w:rPr>
                <w:rFonts w:hint="eastAsia" w:ascii="仿宋" w:hAnsi="仿宋" w:eastAsia="仿宋" w:cs="仿宋"/>
                <w:b/>
                <w:bCs/>
                <w:i w:val="0"/>
                <w:iCs w:val="0"/>
                <w:color w:val="auto"/>
                <w:kern w:val="0"/>
                <w:sz w:val="28"/>
                <w:szCs w:val="28"/>
                <w:u w:val="none"/>
                <w:lang w:val="en-US" w:eastAsia="zh-CN" w:bidi="ar"/>
              </w:rPr>
            </w:pPr>
            <w:r>
              <w:rPr>
                <w:rFonts w:hint="eastAsia" w:eastAsiaTheme="minorEastAsia"/>
                <w:b/>
                <w:bCs/>
                <w:highlight w:val="none"/>
                <w:lang w:val="en-US" w:eastAsia="zh-CN"/>
              </w:rPr>
              <w:t>岗位</w:t>
            </w:r>
          </w:p>
        </w:tc>
        <w:tc>
          <w:tcPr>
            <w:tcW w:w="1379" w:type="dxa"/>
            <w:noWrap w:val="0"/>
            <w:vAlign w:val="center"/>
          </w:tcPr>
          <w:p w14:paraId="0B07CF46">
            <w:pPr>
              <w:pStyle w:val="9"/>
              <w:jc w:val="center"/>
              <w:rPr>
                <w:rFonts w:hint="eastAsia" w:ascii="仿宋" w:hAnsi="仿宋" w:eastAsia="仿宋" w:cs="仿宋"/>
                <w:b/>
                <w:bCs/>
                <w:i w:val="0"/>
                <w:iCs w:val="0"/>
                <w:color w:val="auto"/>
                <w:kern w:val="0"/>
                <w:sz w:val="28"/>
                <w:szCs w:val="28"/>
                <w:u w:val="none"/>
                <w:lang w:val="en-US" w:eastAsia="zh-CN" w:bidi="ar"/>
              </w:rPr>
            </w:pPr>
            <w:r>
              <w:rPr>
                <w:rFonts w:hint="eastAsia" w:eastAsiaTheme="minorEastAsia"/>
                <w:b/>
                <w:bCs/>
                <w:highlight w:val="none"/>
                <w:lang w:val="en-US" w:eastAsia="zh-CN"/>
              </w:rPr>
              <w:t>人数</w:t>
            </w:r>
          </w:p>
        </w:tc>
        <w:tc>
          <w:tcPr>
            <w:tcW w:w="5171" w:type="dxa"/>
            <w:noWrap w:val="0"/>
            <w:vAlign w:val="center"/>
          </w:tcPr>
          <w:p w14:paraId="4D8B4A8F">
            <w:pPr>
              <w:pStyle w:val="9"/>
              <w:jc w:val="center"/>
              <w:rPr>
                <w:rFonts w:hint="eastAsia" w:ascii="仿宋" w:hAnsi="仿宋" w:eastAsia="仿宋" w:cs="仿宋"/>
                <w:b/>
                <w:bCs/>
                <w:i w:val="0"/>
                <w:iCs w:val="0"/>
                <w:color w:val="auto"/>
                <w:kern w:val="0"/>
                <w:sz w:val="28"/>
                <w:szCs w:val="28"/>
                <w:u w:val="none"/>
                <w:lang w:val="en-US" w:eastAsia="zh-CN" w:bidi="ar"/>
              </w:rPr>
            </w:pPr>
            <w:r>
              <w:rPr>
                <w:rFonts w:hint="eastAsia" w:eastAsiaTheme="minorEastAsia"/>
                <w:b/>
                <w:bCs/>
                <w:highlight w:val="none"/>
                <w:lang w:val="en-US" w:eastAsia="zh-CN"/>
              </w:rPr>
              <w:t>工作资历要求</w:t>
            </w:r>
          </w:p>
        </w:tc>
      </w:tr>
      <w:tr w14:paraId="263CC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79" w:hRule="atLeast"/>
        </w:trPr>
        <w:tc>
          <w:tcPr>
            <w:tcW w:w="1783" w:type="dxa"/>
            <w:noWrap w:val="0"/>
            <w:vAlign w:val="center"/>
          </w:tcPr>
          <w:p w14:paraId="5CEFD68E">
            <w:pPr>
              <w:pStyle w:val="9"/>
              <w:jc w:val="center"/>
              <w:rPr>
                <w:rFonts w:hint="eastAsia" w:ascii="仿宋" w:hAnsi="仿宋" w:eastAsia="仿宋" w:cs="仿宋"/>
                <w:i w:val="0"/>
                <w:iCs w:val="0"/>
                <w:color w:val="auto"/>
                <w:kern w:val="0"/>
                <w:sz w:val="28"/>
                <w:szCs w:val="28"/>
                <w:u w:val="none"/>
                <w:lang w:val="en-US" w:eastAsia="zh-CN" w:bidi="ar"/>
              </w:rPr>
            </w:pPr>
            <w:r>
              <w:rPr>
                <w:rFonts w:hint="eastAsia" w:eastAsiaTheme="minorEastAsia"/>
                <w:highlight w:val="none"/>
                <w:lang w:val="en-US" w:eastAsia="zh-CN"/>
              </w:rPr>
              <w:t>管理人员</w:t>
            </w:r>
          </w:p>
        </w:tc>
        <w:tc>
          <w:tcPr>
            <w:tcW w:w="1379" w:type="dxa"/>
            <w:noWrap w:val="0"/>
            <w:vAlign w:val="center"/>
          </w:tcPr>
          <w:p w14:paraId="7929C661">
            <w:pPr>
              <w:pStyle w:val="9"/>
              <w:jc w:val="center"/>
              <w:rPr>
                <w:rFonts w:hint="eastAsia" w:ascii="仿宋" w:hAnsi="仿宋" w:eastAsia="仿宋" w:cs="仿宋"/>
                <w:i w:val="0"/>
                <w:iCs w:val="0"/>
                <w:color w:val="auto"/>
                <w:kern w:val="0"/>
                <w:sz w:val="28"/>
                <w:szCs w:val="28"/>
                <w:u w:val="none"/>
                <w:lang w:val="en-US" w:eastAsia="zh-CN" w:bidi="ar"/>
              </w:rPr>
            </w:pPr>
            <w:r>
              <w:rPr>
                <w:rFonts w:hint="eastAsia" w:eastAsiaTheme="minorEastAsia"/>
                <w:highlight w:val="none"/>
                <w:lang w:val="en-US" w:eastAsia="zh-CN"/>
              </w:rPr>
              <w:t>2</w:t>
            </w:r>
          </w:p>
        </w:tc>
        <w:tc>
          <w:tcPr>
            <w:tcW w:w="5171" w:type="dxa"/>
            <w:noWrap w:val="0"/>
            <w:vAlign w:val="center"/>
          </w:tcPr>
          <w:p w14:paraId="60A054DB">
            <w:pPr>
              <w:pStyle w:val="9"/>
              <w:jc w:val="left"/>
              <w:rPr>
                <w:rFonts w:hint="eastAsia" w:ascii="仿宋" w:hAnsi="仿宋" w:eastAsia="仿宋" w:cs="仿宋"/>
                <w:i w:val="0"/>
                <w:iCs w:val="0"/>
                <w:color w:val="auto"/>
                <w:kern w:val="0"/>
                <w:sz w:val="28"/>
                <w:szCs w:val="28"/>
                <w:u w:val="none"/>
                <w:lang w:val="en-US" w:eastAsia="zh-CN" w:bidi="ar"/>
              </w:rPr>
            </w:pPr>
            <w:r>
              <w:rPr>
                <w:rFonts w:hint="eastAsia" w:eastAsiaTheme="minorEastAsia"/>
                <w:highlight w:val="none"/>
                <w:lang w:val="en-US" w:eastAsia="zh-CN"/>
              </w:rPr>
              <w:t>具有大专或以上学历，从事行业5年以上同等职位的从业经验，形象</w:t>
            </w:r>
            <w:r>
              <w:rPr>
                <w:rFonts w:hint="eastAsia"/>
                <w:highlight w:val="none"/>
                <w:lang w:val="en-US" w:eastAsia="zh-CN"/>
              </w:rPr>
              <w:t>端庄</w:t>
            </w:r>
            <w:r>
              <w:rPr>
                <w:rFonts w:hint="eastAsia" w:eastAsiaTheme="minorEastAsia"/>
                <w:highlight w:val="none"/>
                <w:lang w:val="en-US" w:eastAsia="zh-CN"/>
              </w:rPr>
              <w:t>、服务综合素</w:t>
            </w:r>
            <w:r>
              <w:rPr>
                <w:rFonts w:hint="eastAsia" w:eastAsiaTheme="minorEastAsia"/>
                <w:color w:val="auto"/>
                <w:highlight w:val="none"/>
                <w:lang w:val="en-US" w:eastAsia="zh-CN"/>
              </w:rPr>
              <w:t>质</w:t>
            </w:r>
            <w:r>
              <w:rPr>
                <w:rFonts w:hint="eastAsia"/>
                <w:color w:val="auto"/>
                <w:highlight w:val="none"/>
                <w:lang w:val="en-US" w:eastAsia="zh-CN"/>
              </w:rPr>
              <w:t>符合甲方岗位</w:t>
            </w:r>
            <w:r>
              <w:rPr>
                <w:rFonts w:hint="eastAsia" w:eastAsiaTheme="minorEastAsia"/>
                <w:color w:val="auto"/>
                <w:highlight w:val="none"/>
                <w:lang w:val="en-US" w:eastAsia="zh-CN"/>
              </w:rPr>
              <w:t>要</w:t>
            </w:r>
            <w:r>
              <w:rPr>
                <w:rFonts w:hint="eastAsia"/>
                <w:color w:val="auto"/>
                <w:highlight w:val="none"/>
                <w:lang w:val="en-US" w:eastAsia="zh-CN"/>
              </w:rPr>
              <w:t>求</w:t>
            </w:r>
            <w:r>
              <w:rPr>
                <w:rFonts w:hint="eastAsia" w:eastAsiaTheme="minorEastAsia"/>
                <w:highlight w:val="none"/>
                <w:lang w:val="en-US" w:eastAsia="zh-CN"/>
              </w:rPr>
              <w:t>、具备较强管理和协调能力。</w:t>
            </w:r>
          </w:p>
        </w:tc>
      </w:tr>
      <w:tr w14:paraId="381C4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025" w:hRule="atLeast"/>
        </w:trPr>
        <w:tc>
          <w:tcPr>
            <w:tcW w:w="1783" w:type="dxa"/>
            <w:noWrap w:val="0"/>
            <w:vAlign w:val="center"/>
          </w:tcPr>
          <w:p w14:paraId="1798E285">
            <w:pPr>
              <w:pStyle w:val="9"/>
              <w:jc w:val="center"/>
              <w:rPr>
                <w:rFonts w:hint="eastAsia" w:ascii="仿宋" w:hAnsi="仿宋" w:eastAsia="仿宋" w:cs="仿宋"/>
                <w:i w:val="0"/>
                <w:iCs w:val="0"/>
                <w:color w:val="auto"/>
                <w:kern w:val="0"/>
                <w:sz w:val="28"/>
                <w:szCs w:val="28"/>
                <w:u w:val="none"/>
                <w:lang w:val="en-US" w:eastAsia="zh-CN" w:bidi="ar"/>
              </w:rPr>
            </w:pPr>
            <w:r>
              <w:rPr>
                <w:rFonts w:hint="eastAsia" w:eastAsiaTheme="minorEastAsia"/>
                <w:highlight w:val="none"/>
                <w:lang w:val="en-US" w:eastAsia="zh-CN"/>
              </w:rPr>
              <w:t>水电维修</w:t>
            </w:r>
          </w:p>
        </w:tc>
        <w:tc>
          <w:tcPr>
            <w:tcW w:w="1379" w:type="dxa"/>
            <w:noWrap w:val="0"/>
            <w:vAlign w:val="center"/>
          </w:tcPr>
          <w:p w14:paraId="7EC886BA">
            <w:pPr>
              <w:pStyle w:val="9"/>
              <w:jc w:val="center"/>
              <w:rPr>
                <w:rFonts w:hint="eastAsia" w:ascii="仿宋" w:hAnsi="仿宋" w:eastAsia="仿宋" w:cs="仿宋"/>
                <w:i w:val="0"/>
                <w:iCs w:val="0"/>
                <w:color w:val="auto"/>
                <w:kern w:val="0"/>
                <w:sz w:val="28"/>
                <w:szCs w:val="28"/>
                <w:u w:val="none"/>
                <w:lang w:val="en-US" w:eastAsia="zh-CN" w:bidi="ar"/>
              </w:rPr>
            </w:pPr>
            <w:r>
              <w:rPr>
                <w:rFonts w:hint="eastAsia" w:eastAsiaTheme="minorEastAsia"/>
                <w:highlight w:val="none"/>
                <w:lang w:val="en-US" w:eastAsia="zh-CN"/>
              </w:rPr>
              <w:t>2</w:t>
            </w:r>
          </w:p>
        </w:tc>
        <w:tc>
          <w:tcPr>
            <w:tcW w:w="5171" w:type="dxa"/>
            <w:noWrap w:val="0"/>
            <w:vAlign w:val="center"/>
          </w:tcPr>
          <w:p w14:paraId="432FF9DF">
            <w:pPr>
              <w:pStyle w:val="9"/>
              <w:jc w:val="left"/>
              <w:rPr>
                <w:rFonts w:hint="eastAsia" w:ascii="仿宋" w:hAnsi="仿宋" w:eastAsia="仿宋" w:cs="仿宋"/>
                <w:i w:val="0"/>
                <w:iCs w:val="0"/>
                <w:color w:val="auto"/>
                <w:kern w:val="0"/>
                <w:sz w:val="28"/>
                <w:szCs w:val="28"/>
                <w:u w:val="none"/>
                <w:lang w:val="en-US" w:eastAsia="zh-CN" w:bidi="ar"/>
              </w:rPr>
            </w:pPr>
            <w:r>
              <w:rPr>
                <w:rFonts w:hint="eastAsia" w:eastAsiaTheme="minorEastAsia"/>
                <w:highlight w:val="none"/>
                <w:lang w:val="en-US" w:eastAsia="zh-CN"/>
              </w:rPr>
              <w:t>需具备人社部门颁发的三级以上（含三级）维修电工证书，并经相关专业知识培训方可上岗操作。身体健康，具有适应岗位工作能力。</w:t>
            </w:r>
          </w:p>
        </w:tc>
      </w:tr>
      <w:tr w14:paraId="47F81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14" w:hRule="atLeast"/>
        </w:trPr>
        <w:tc>
          <w:tcPr>
            <w:tcW w:w="1783" w:type="dxa"/>
            <w:noWrap w:val="0"/>
            <w:vAlign w:val="center"/>
          </w:tcPr>
          <w:p w14:paraId="145400F9">
            <w:pPr>
              <w:pStyle w:val="9"/>
              <w:jc w:val="center"/>
              <w:rPr>
                <w:rFonts w:hint="eastAsia" w:ascii="仿宋" w:hAnsi="仿宋" w:eastAsia="仿宋" w:cs="仿宋"/>
                <w:i w:val="0"/>
                <w:iCs w:val="0"/>
                <w:color w:val="auto"/>
                <w:kern w:val="0"/>
                <w:sz w:val="28"/>
                <w:szCs w:val="28"/>
                <w:u w:val="none"/>
                <w:lang w:val="en-US" w:eastAsia="zh-CN" w:bidi="ar"/>
              </w:rPr>
            </w:pPr>
            <w:r>
              <w:rPr>
                <w:rFonts w:hint="eastAsia" w:eastAsiaTheme="minorEastAsia"/>
                <w:highlight w:val="none"/>
                <w:lang w:val="en-US" w:eastAsia="zh-CN"/>
              </w:rPr>
              <w:t>绿化养护</w:t>
            </w:r>
          </w:p>
        </w:tc>
        <w:tc>
          <w:tcPr>
            <w:tcW w:w="1379" w:type="dxa"/>
            <w:noWrap w:val="0"/>
            <w:vAlign w:val="center"/>
          </w:tcPr>
          <w:p w14:paraId="14933565">
            <w:pPr>
              <w:pStyle w:val="9"/>
              <w:jc w:val="center"/>
              <w:rPr>
                <w:rFonts w:hint="eastAsia" w:ascii="仿宋" w:hAnsi="仿宋" w:eastAsia="仿宋" w:cs="仿宋"/>
                <w:i w:val="0"/>
                <w:iCs w:val="0"/>
                <w:color w:val="auto"/>
                <w:kern w:val="0"/>
                <w:sz w:val="28"/>
                <w:szCs w:val="28"/>
                <w:u w:val="none"/>
                <w:lang w:val="en-US" w:eastAsia="zh-CN" w:bidi="ar"/>
              </w:rPr>
            </w:pPr>
            <w:r>
              <w:rPr>
                <w:rFonts w:hint="eastAsia" w:eastAsiaTheme="minorEastAsia"/>
                <w:highlight w:val="none"/>
                <w:lang w:val="en-US" w:eastAsia="zh-CN"/>
              </w:rPr>
              <w:t>13</w:t>
            </w:r>
          </w:p>
        </w:tc>
        <w:tc>
          <w:tcPr>
            <w:tcW w:w="5171" w:type="dxa"/>
            <w:noWrap w:val="0"/>
            <w:vAlign w:val="center"/>
          </w:tcPr>
          <w:p w14:paraId="735F08D2">
            <w:pPr>
              <w:pStyle w:val="9"/>
              <w:jc w:val="left"/>
              <w:rPr>
                <w:rFonts w:hint="eastAsia" w:ascii="仿宋" w:hAnsi="仿宋" w:eastAsia="仿宋" w:cs="仿宋"/>
                <w:i w:val="0"/>
                <w:iCs w:val="0"/>
                <w:color w:val="auto"/>
                <w:kern w:val="0"/>
                <w:sz w:val="28"/>
                <w:szCs w:val="28"/>
                <w:u w:val="none"/>
                <w:lang w:val="en-US" w:eastAsia="zh-CN" w:bidi="ar"/>
              </w:rPr>
            </w:pPr>
            <w:r>
              <w:rPr>
                <w:rFonts w:hint="eastAsia" w:eastAsiaTheme="minorEastAsia"/>
                <w:highlight w:val="none"/>
                <w:lang w:val="en-US" w:eastAsia="zh-CN"/>
              </w:rPr>
              <w:t>有2年以上绿化养护经验，身体健康，胜任本职工作。</w:t>
            </w:r>
          </w:p>
        </w:tc>
      </w:tr>
      <w:tr w14:paraId="7A142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43" w:hRule="atLeast"/>
        </w:trPr>
        <w:tc>
          <w:tcPr>
            <w:tcW w:w="1783" w:type="dxa"/>
            <w:noWrap w:val="0"/>
            <w:vAlign w:val="center"/>
          </w:tcPr>
          <w:p w14:paraId="4E6352AD">
            <w:pPr>
              <w:pStyle w:val="9"/>
              <w:jc w:val="center"/>
              <w:rPr>
                <w:rFonts w:hint="eastAsia" w:ascii="仿宋" w:hAnsi="仿宋" w:eastAsia="仿宋" w:cs="仿宋"/>
                <w:i w:val="0"/>
                <w:iCs w:val="0"/>
                <w:color w:val="auto"/>
                <w:kern w:val="0"/>
                <w:sz w:val="28"/>
                <w:szCs w:val="28"/>
                <w:u w:val="none"/>
                <w:lang w:val="en-US" w:eastAsia="zh-CN" w:bidi="ar"/>
              </w:rPr>
            </w:pPr>
            <w:r>
              <w:rPr>
                <w:rFonts w:hint="eastAsia" w:eastAsiaTheme="minorEastAsia"/>
                <w:highlight w:val="none"/>
                <w:lang w:val="en-US" w:eastAsia="zh-CN"/>
              </w:rPr>
              <w:t>保洁</w:t>
            </w:r>
          </w:p>
        </w:tc>
        <w:tc>
          <w:tcPr>
            <w:tcW w:w="1379" w:type="dxa"/>
            <w:noWrap w:val="0"/>
            <w:vAlign w:val="center"/>
          </w:tcPr>
          <w:p w14:paraId="169D43CC">
            <w:pPr>
              <w:pStyle w:val="9"/>
              <w:jc w:val="center"/>
              <w:rPr>
                <w:rFonts w:hint="eastAsia" w:ascii="仿宋" w:hAnsi="仿宋" w:eastAsia="仿宋" w:cs="仿宋"/>
                <w:i w:val="0"/>
                <w:iCs w:val="0"/>
                <w:color w:val="auto"/>
                <w:kern w:val="0"/>
                <w:sz w:val="28"/>
                <w:szCs w:val="28"/>
                <w:u w:val="none"/>
                <w:lang w:val="en-US" w:eastAsia="zh-CN" w:bidi="ar"/>
              </w:rPr>
            </w:pPr>
            <w:r>
              <w:rPr>
                <w:rFonts w:hint="eastAsia" w:eastAsiaTheme="minorEastAsia"/>
                <w:highlight w:val="none"/>
                <w:lang w:val="en-US" w:eastAsia="zh-CN"/>
              </w:rPr>
              <w:t>18</w:t>
            </w:r>
          </w:p>
        </w:tc>
        <w:tc>
          <w:tcPr>
            <w:tcW w:w="5171" w:type="dxa"/>
            <w:noWrap w:val="0"/>
            <w:vAlign w:val="center"/>
          </w:tcPr>
          <w:p w14:paraId="597B3AF6">
            <w:pPr>
              <w:pStyle w:val="9"/>
              <w:jc w:val="left"/>
              <w:rPr>
                <w:rFonts w:hint="eastAsia" w:ascii="仿宋" w:hAnsi="仿宋" w:eastAsia="仿宋" w:cs="仿宋"/>
                <w:i w:val="0"/>
                <w:iCs w:val="0"/>
                <w:color w:val="auto"/>
                <w:kern w:val="0"/>
                <w:sz w:val="28"/>
                <w:szCs w:val="28"/>
                <w:u w:val="none"/>
                <w:lang w:val="en-US" w:eastAsia="zh-CN" w:bidi="ar"/>
              </w:rPr>
            </w:pPr>
            <w:r>
              <w:rPr>
                <w:rFonts w:hint="eastAsia" w:eastAsiaTheme="minorEastAsia"/>
                <w:highlight w:val="none"/>
                <w:lang w:val="en-US" w:eastAsia="zh-CN"/>
              </w:rPr>
              <w:t>有2年以上保洁工作经验，身体健康，能胜任本职工作。</w:t>
            </w:r>
          </w:p>
        </w:tc>
      </w:tr>
    </w:tbl>
    <w:p w14:paraId="0101F1B2">
      <w:pPr>
        <w:pStyle w:val="4"/>
        <w:widowControl/>
        <w:numPr>
          <w:ilvl w:val="0"/>
          <w:numId w:val="1"/>
        </w:numPr>
        <w:tabs>
          <w:tab w:val="left" w:pos="1200"/>
        </w:tabs>
        <w:topLinePunct w:val="0"/>
        <w:ind w:left="0" w:leftChars="0" w:firstLine="480" w:firstLineChars="200"/>
        <w:rPr>
          <w:rFonts w:hint="eastAsia" w:ascii="宋体" w:hAnsi="宋体" w:eastAsia="宋体" w:cs="宋体"/>
          <w:b w:val="0"/>
          <w:sz w:val="24"/>
        </w:rPr>
      </w:pPr>
      <w:r>
        <w:rPr>
          <w:rFonts w:ascii="Times New Roman" w:hAnsi="Times New Roman" w:eastAsia="宋体" w:cs="Times New Roman"/>
          <w:b w:val="0"/>
          <w:color w:val="auto"/>
          <w:sz w:val="24"/>
          <w:highlight w:val="none"/>
        </w:rPr>
        <w:t>乙方应在本合同签订之日起</w:t>
      </w:r>
      <w:r>
        <w:rPr>
          <w:rFonts w:hint="eastAsia" w:cs="Times New Roman"/>
          <w:b w:val="0"/>
          <w:color w:val="auto"/>
          <w:sz w:val="24"/>
          <w:highlight w:val="none"/>
          <w:lang w:val="en-US" w:eastAsia="zh-CN"/>
        </w:rPr>
        <w:t>15</w:t>
      </w:r>
      <w:r>
        <w:rPr>
          <w:rFonts w:hint="eastAsia" w:cs="Times New Roman"/>
          <w:b w:val="0"/>
          <w:color w:val="auto"/>
          <w:sz w:val="24"/>
          <w:highlight w:val="none"/>
          <w:lang w:eastAsia="zh-CN"/>
        </w:rPr>
        <w:t>个工作日内完成</w:t>
      </w:r>
      <w:r>
        <w:rPr>
          <w:rFonts w:ascii="Times New Roman" w:hAnsi="Times New Roman" w:eastAsia="宋体" w:cs="Times New Roman"/>
          <w:sz w:val="24"/>
        </w:rPr>
        <w:t>对拟派所有员工</w:t>
      </w:r>
      <w:r>
        <w:rPr>
          <w:rFonts w:hint="eastAsia" w:cs="Times New Roman"/>
          <w:sz w:val="24"/>
          <w:lang w:val="en-US" w:eastAsia="zh-CN"/>
        </w:rPr>
        <w:t>的</w:t>
      </w:r>
      <w:r>
        <w:rPr>
          <w:rFonts w:ascii="Times New Roman" w:hAnsi="Times New Roman" w:eastAsia="宋体" w:cs="Times New Roman"/>
          <w:sz w:val="24"/>
        </w:rPr>
        <w:t>进行严格审查（提供无犯罪记录证明），确保人员政治可靠、身体健康、无不良嗜好</w:t>
      </w:r>
      <w:r>
        <w:rPr>
          <w:rFonts w:hint="eastAsia" w:cs="Times New Roman"/>
          <w:sz w:val="24"/>
          <w:lang w:eastAsia="zh-CN"/>
        </w:rPr>
        <w:t>，</w:t>
      </w:r>
      <w:r>
        <w:rPr>
          <w:rFonts w:hint="eastAsia" w:cs="Times New Roman"/>
          <w:sz w:val="24"/>
          <w:lang w:val="en-US" w:eastAsia="zh-CN"/>
        </w:rPr>
        <w:t>相关</w:t>
      </w:r>
      <w:r>
        <w:rPr>
          <w:rFonts w:ascii="Times New Roman" w:hAnsi="Times New Roman" w:eastAsia="宋体" w:cs="Times New Roman"/>
          <w:sz w:val="24"/>
        </w:rPr>
        <w:t>审查资料报甲方存档</w:t>
      </w:r>
      <w:r>
        <w:rPr>
          <w:rFonts w:hint="eastAsia" w:ascii="Times New Roman" w:hAnsi="Times New Roman" w:eastAsia="宋体" w:cs="Times New Roman"/>
          <w:sz w:val="24"/>
          <w:lang w:eastAsia="zh-CN"/>
        </w:rPr>
        <w:t>并经甲方审核通过后，相关人员方可上岗</w:t>
      </w:r>
      <w:r>
        <w:rPr>
          <w:rFonts w:ascii="Times New Roman" w:hAnsi="Times New Roman" w:eastAsia="宋体" w:cs="Times New Roman"/>
          <w:sz w:val="24"/>
        </w:rPr>
        <w:t>。甲方如发现不符合岗位基本要求或存在明显安全隐患的人员，有权要求限期更换。</w:t>
      </w:r>
    </w:p>
    <w:p w14:paraId="3AC26A1D">
      <w:pPr>
        <w:pStyle w:val="4"/>
        <w:numPr>
          <w:ilvl w:val="0"/>
          <w:numId w:val="1"/>
        </w:numPr>
        <w:tabs>
          <w:tab w:val="left" w:pos="1200"/>
        </w:tabs>
        <w:topLinePunct w:val="0"/>
        <w:ind w:left="0" w:leftChars="0" w:firstLine="480" w:firstLineChars="200"/>
        <w:rPr>
          <w:rFonts w:hint="eastAsia" w:ascii="宋体" w:hAnsi="宋体" w:eastAsia="宋体" w:cs="宋体"/>
          <w:b w:val="0"/>
          <w:sz w:val="24"/>
        </w:rPr>
      </w:pPr>
      <w:r>
        <w:rPr>
          <w:rFonts w:ascii="Times New Roman" w:hAnsi="Times New Roman" w:eastAsia="宋体" w:cs="Times New Roman"/>
          <w:sz w:val="24"/>
        </w:rPr>
        <w:t>乙方须依法与所有派驻甲方的员工签订书面劳动合同，按时足额缴纳社会保险和公积金，并承担自身作为用工主体的全部法律责任。甲方对此不承担任何形式的用工连带责任、垫付责任、补充责任或任何其他法律责任。</w:t>
      </w:r>
    </w:p>
    <w:p w14:paraId="7BA3615E">
      <w:pPr>
        <w:pStyle w:val="4"/>
        <w:widowControl/>
        <w:numPr>
          <w:ilvl w:val="0"/>
          <w:numId w:val="1"/>
        </w:numPr>
        <w:tabs>
          <w:tab w:val="left" w:pos="1200"/>
        </w:tabs>
        <w:topLinePunct w:val="0"/>
        <w:ind w:left="0" w:leftChars="0" w:firstLine="480" w:firstLineChars="200"/>
        <w:rPr>
          <w:rFonts w:hint="eastAsia" w:ascii="宋体" w:hAnsi="宋体" w:eastAsia="宋体" w:cs="宋体"/>
          <w:b w:val="0"/>
          <w:sz w:val="24"/>
        </w:rPr>
      </w:pPr>
      <w:r>
        <w:rPr>
          <w:rFonts w:ascii="Times New Roman" w:hAnsi="Times New Roman" w:eastAsia="宋体" w:cs="Times New Roman"/>
          <w:sz w:val="24"/>
        </w:rPr>
        <w:t>对于不符合岗位要求、违反规章制度或甲方管理规定的员工，甲方有权书面要求乙方在3个工作日内予以更换，乙方须按要求予以更换，确保服务不中断。</w:t>
      </w:r>
    </w:p>
    <w:p w14:paraId="044F8550">
      <w:pPr>
        <w:pStyle w:val="4"/>
        <w:numPr>
          <w:ilvl w:val="0"/>
          <w:numId w:val="1"/>
        </w:numPr>
        <w:tabs>
          <w:tab w:val="left" w:pos="1200"/>
        </w:tabs>
        <w:topLinePunct w:val="0"/>
        <w:ind w:left="0" w:leftChars="0" w:firstLine="480" w:firstLineChars="200"/>
        <w:rPr>
          <w:rFonts w:hint="eastAsia" w:ascii="宋体" w:hAnsi="宋体" w:eastAsia="宋体" w:cs="宋体"/>
          <w:b w:val="0"/>
          <w:sz w:val="24"/>
        </w:rPr>
      </w:pPr>
      <w:r>
        <w:rPr>
          <w:rFonts w:ascii="Times New Roman" w:hAnsi="Times New Roman" w:eastAsia="宋体" w:cs="Times New Roman"/>
          <w:sz w:val="24"/>
        </w:rPr>
        <w:t>乙方所有员工须严格遵守服务单位保密工作各项规定，不得泄露工作中获悉的服务单位内部信息、人员信息、工作安排等内容，不得将任何涉及服务单位的文件、资料带出服务场所。乙方应与员工签订保密协议，并报甲方备案。违反保密规定的，甲方有权立即终止合同并追究法律责任。乙方对其员工的保密行为承担全部责任，保密义务不受本合同终止或解除的限制，直至相关涉密信息不再属于秘密范畴为止。</w:t>
      </w:r>
    </w:p>
    <w:p w14:paraId="6D021FDD">
      <w:pPr>
        <w:pStyle w:val="4"/>
        <w:numPr>
          <w:ilvl w:val="0"/>
          <w:numId w:val="1"/>
        </w:numPr>
        <w:tabs>
          <w:tab w:val="left" w:pos="1200"/>
        </w:tabs>
        <w:topLinePunct w:val="0"/>
        <w:ind w:left="0" w:leftChars="0"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乙方及其员工因履行本合同获悉的甲方所有未公开信息，仅限用于本次合作项下履行服务义务使用，不得擅自复制、留存、向任何第三方泄露或用于其他任何用途。</w:t>
      </w:r>
    </w:p>
    <w:p w14:paraId="0461DD8D">
      <w:pPr>
        <w:pStyle w:val="3"/>
        <w:widowControl/>
        <w:numPr>
          <w:ilvl w:val="0"/>
          <w:numId w:val="0"/>
        </w:numPr>
        <w:tabs>
          <w:tab w:val="left" w:pos="1566"/>
        </w:tabs>
        <w:ind w:left="0" w:leftChars="0" w:firstLine="482" w:firstLineChars="200"/>
        <w:rPr>
          <w:b/>
          <w:color w:val="0000FF"/>
          <w:highlight w:val="none"/>
        </w:rPr>
      </w:pPr>
      <w:r>
        <w:rPr>
          <w:rFonts w:hint="eastAsia" w:ascii="宋体" w:hAnsi="宋体" w:eastAsia="宋体" w:cs="宋体"/>
          <w:b/>
          <w:bCs/>
          <w:color w:val="0000FF"/>
          <w:kern w:val="44"/>
          <w:sz w:val="24"/>
          <w:szCs w:val="30"/>
        </w:rPr>
        <w:t>第六条</w:t>
      </w:r>
      <w:r>
        <w:rPr>
          <w:rFonts w:hint="eastAsia" w:cs="宋体"/>
          <w:b/>
          <w:bCs/>
          <w:color w:val="0000FF"/>
          <w:kern w:val="44"/>
          <w:sz w:val="24"/>
          <w:szCs w:val="30"/>
          <w:lang w:val="en-US" w:eastAsia="zh-CN"/>
        </w:rPr>
        <w:t xml:space="preserve">  </w:t>
      </w:r>
      <w:r>
        <w:rPr>
          <w:color w:val="0000FF"/>
          <w:highlight w:val="none"/>
        </w:rPr>
        <w:t>物业保障服务内容</w:t>
      </w:r>
    </w:p>
    <w:p w14:paraId="4E288D17">
      <w:pPr>
        <w:pStyle w:val="4"/>
        <w:widowControl/>
        <w:ind w:left="0" w:leftChars="0" w:firstLine="480" w:firstLineChars="200"/>
        <w:rPr>
          <w:rFonts w:ascii="Times New Roman" w:hAnsi="Times New Roman" w:eastAsia="宋体" w:cs="Times New Roman"/>
          <w:color w:val="auto"/>
          <w:sz w:val="24"/>
          <w:highlight w:val="none"/>
        </w:rPr>
      </w:pPr>
      <w:r>
        <w:rPr>
          <w:rFonts w:ascii="Times New Roman" w:hAnsi="Times New Roman" w:eastAsia="宋体" w:cs="Times New Roman"/>
          <w:color w:val="auto"/>
          <w:sz w:val="24"/>
          <w:highlight w:val="none"/>
        </w:rPr>
        <w:t>本次物业保障服务覆盖范围包括第三支队机关、特警大队、派出所、博鳌办公点及万宁人民西路营区，具体服务内容如下：</w:t>
      </w:r>
    </w:p>
    <w:p w14:paraId="40633B3B">
      <w:pPr>
        <w:pStyle w:val="2"/>
        <w:keepNext w:val="0"/>
        <w:keepLines w:val="0"/>
        <w:widowControl/>
        <w:numPr>
          <w:ilvl w:val="0"/>
          <w:numId w:val="0"/>
        </w:numPr>
        <w:tabs>
          <w:tab w:val="left" w:pos="1204"/>
        </w:tabs>
        <w:topLinePunct w:val="0"/>
        <w:spacing w:before="120" w:beforeLines="-2147483648" w:beforeAutospacing="0" w:after="120" w:afterLines="-2147483648" w:afterAutospacing="0" w:line="360" w:lineRule="auto"/>
        <w:ind w:left="0" w:leftChars="0" w:firstLine="482" w:firstLineChars="200"/>
        <w:rPr>
          <w:rFonts w:hint="eastAsia" w:ascii="Times New Roman" w:hAnsi="Times New Roman" w:cs="Times New Roman"/>
          <w:kern w:val="0"/>
          <w:sz w:val="24"/>
          <w:szCs w:val="21"/>
          <w:highlight w:val="none"/>
          <w:lang w:bidi="ar-SA"/>
        </w:rPr>
      </w:pPr>
      <w:r>
        <w:rPr>
          <w:rFonts w:hint="eastAsia" w:ascii="Times New Roman" w:hAnsi="Times New Roman" w:eastAsia="宋体" w:cs="Times New Roman"/>
          <w:b/>
          <w:kern w:val="0"/>
          <w:sz w:val="24"/>
          <w:szCs w:val="21"/>
          <w:lang w:val="en-US" w:eastAsia="zh-CN" w:bidi="ar-SA"/>
        </w:rPr>
        <w:t>（一）</w:t>
      </w:r>
      <w:r>
        <w:rPr>
          <w:rFonts w:hint="default" w:ascii="Times New Roman" w:hAnsi="Times New Roman" w:cs="Times New Roman"/>
          <w:kern w:val="0"/>
          <w:sz w:val="24"/>
          <w:szCs w:val="21"/>
          <w:highlight w:val="none"/>
          <w:lang w:bidi="ar-SA"/>
        </w:rPr>
        <w:t>保洁服务</w:t>
      </w:r>
    </w:p>
    <w:p w14:paraId="7C9FAC9B">
      <w:pPr>
        <w:pStyle w:val="4"/>
        <w:widowControl/>
        <w:numPr>
          <w:ilvl w:val="0"/>
          <w:numId w:val="2"/>
        </w:numPr>
        <w:tabs>
          <w:tab w:val="left" w:pos="840"/>
        </w:tabs>
        <w:topLinePunct w:val="0"/>
        <w:ind w:left="0" w:leftChars="0" w:firstLine="480" w:firstLineChars="200"/>
        <w:rPr>
          <w:rFonts w:hint="eastAsia" w:ascii="宋体" w:hAnsi="宋体" w:eastAsia="宋体" w:cs="宋体"/>
          <w:b w:val="0"/>
          <w:color w:val="auto"/>
          <w:sz w:val="24"/>
          <w:highlight w:val="none"/>
        </w:rPr>
      </w:pPr>
      <w:r>
        <w:rPr>
          <w:rFonts w:ascii="Times New Roman" w:hAnsi="Times New Roman" w:eastAsia="宋体" w:cs="Times New Roman"/>
          <w:color w:val="auto"/>
          <w:sz w:val="24"/>
          <w:highlight w:val="none"/>
        </w:rPr>
        <w:t>公共区域保洁：公共道路、停车场、扶手栏杆、办公室、会议室、接待室、健身房、玻璃窗、玻璃幕墙</w:t>
      </w:r>
      <w:r>
        <w:rPr>
          <w:rFonts w:hint="eastAsia" w:cs="Times New Roman"/>
          <w:color w:val="auto"/>
          <w:sz w:val="24"/>
          <w:highlight w:val="none"/>
          <w:lang w:eastAsia="zh-CN"/>
        </w:rPr>
        <w:t>（</w:t>
      </w:r>
      <w:r>
        <w:rPr>
          <w:rFonts w:hint="eastAsia" w:cs="Times New Roman"/>
          <w:color w:val="auto"/>
          <w:sz w:val="24"/>
          <w:highlight w:val="none"/>
          <w:lang w:val="en-US" w:eastAsia="zh-CN"/>
        </w:rPr>
        <w:t>3米幕墙）</w:t>
      </w:r>
      <w:r>
        <w:rPr>
          <w:rFonts w:ascii="Times New Roman" w:hAnsi="Times New Roman" w:eastAsia="宋体" w:cs="Times New Roman"/>
          <w:color w:val="auto"/>
          <w:sz w:val="24"/>
          <w:highlight w:val="none"/>
        </w:rPr>
        <w:t>、卫生间、设施设备房、员工宿舍区公共楼道等所有公共区域的清洁保洁；</w:t>
      </w:r>
    </w:p>
    <w:p w14:paraId="216047C8">
      <w:pPr>
        <w:pStyle w:val="4"/>
        <w:widowControl/>
        <w:numPr>
          <w:ilvl w:val="0"/>
          <w:numId w:val="2"/>
        </w:numPr>
        <w:tabs>
          <w:tab w:val="left" w:pos="840"/>
        </w:tabs>
        <w:topLinePunct w:val="0"/>
        <w:ind w:left="0" w:leftChars="0" w:firstLine="480" w:firstLineChars="200"/>
        <w:rPr>
          <w:rFonts w:hint="eastAsia" w:ascii="宋体" w:hAnsi="宋体" w:eastAsia="宋体" w:cs="宋体"/>
          <w:b w:val="0"/>
          <w:color w:val="auto"/>
          <w:sz w:val="24"/>
          <w:highlight w:val="none"/>
        </w:rPr>
      </w:pPr>
      <w:r>
        <w:rPr>
          <w:rFonts w:ascii="Times New Roman" w:hAnsi="Times New Roman" w:eastAsia="宋体" w:cs="Times New Roman"/>
          <w:color w:val="auto"/>
          <w:sz w:val="24"/>
          <w:highlight w:val="none"/>
        </w:rPr>
        <w:t>专项清理：水沟、化粪池清理，四害消杀，水池清洗；</w:t>
      </w:r>
    </w:p>
    <w:p w14:paraId="09DA4568">
      <w:pPr>
        <w:pStyle w:val="4"/>
        <w:widowControl/>
        <w:numPr>
          <w:ilvl w:val="0"/>
          <w:numId w:val="2"/>
        </w:numPr>
        <w:tabs>
          <w:tab w:val="left" w:pos="840"/>
        </w:tabs>
        <w:topLinePunct w:val="0"/>
        <w:ind w:left="0" w:leftChars="0" w:firstLine="480" w:firstLineChars="200"/>
        <w:rPr>
          <w:rFonts w:hint="eastAsia" w:ascii="宋体" w:hAnsi="宋体" w:eastAsia="宋体" w:cs="宋体"/>
          <w:b w:val="0"/>
          <w:color w:val="auto"/>
          <w:sz w:val="24"/>
          <w:highlight w:val="none"/>
        </w:rPr>
      </w:pPr>
      <w:r>
        <w:rPr>
          <w:rFonts w:ascii="Times New Roman" w:hAnsi="Times New Roman" w:eastAsia="宋体" w:cs="Times New Roman"/>
          <w:color w:val="auto"/>
          <w:sz w:val="24"/>
          <w:highlight w:val="none"/>
        </w:rPr>
        <w:t>垃圾处理：负责所有垃圾的收集与清理，垃圾转运垃圾站所产生的相关费用均由甲方承担。</w:t>
      </w:r>
    </w:p>
    <w:p w14:paraId="38C783BB">
      <w:pPr>
        <w:pStyle w:val="2"/>
        <w:keepNext w:val="0"/>
        <w:keepLines w:val="0"/>
        <w:widowControl/>
        <w:numPr>
          <w:ilvl w:val="0"/>
          <w:numId w:val="0"/>
        </w:numPr>
        <w:tabs>
          <w:tab w:val="left" w:pos="1204"/>
        </w:tabs>
        <w:topLinePunct w:val="0"/>
        <w:spacing w:before="120" w:beforeLines="-2147483648" w:beforeAutospacing="0" w:after="120" w:afterLines="-2147483648" w:afterAutospacing="0" w:line="360" w:lineRule="auto"/>
        <w:ind w:left="0" w:leftChars="0" w:firstLine="482" w:firstLineChars="200"/>
        <w:rPr>
          <w:rFonts w:hint="eastAsia" w:ascii="Times New Roman" w:hAnsi="Times New Roman" w:cs="Times New Roman"/>
          <w:kern w:val="0"/>
          <w:sz w:val="24"/>
          <w:szCs w:val="21"/>
          <w:highlight w:val="none"/>
          <w:lang w:bidi="ar-SA"/>
        </w:rPr>
      </w:pPr>
      <w:r>
        <w:rPr>
          <w:rFonts w:hint="eastAsia" w:ascii="Times New Roman" w:hAnsi="Times New Roman" w:eastAsia="宋体" w:cs="Times New Roman"/>
          <w:b/>
          <w:kern w:val="0"/>
          <w:sz w:val="24"/>
          <w:szCs w:val="21"/>
          <w:lang w:val="en-US" w:eastAsia="zh-CN" w:bidi="ar-SA"/>
        </w:rPr>
        <w:t>（二）</w:t>
      </w:r>
      <w:r>
        <w:rPr>
          <w:rFonts w:hint="default" w:ascii="Times New Roman" w:hAnsi="Times New Roman" w:cs="Times New Roman"/>
          <w:kern w:val="0"/>
          <w:sz w:val="24"/>
          <w:szCs w:val="21"/>
          <w:highlight w:val="none"/>
          <w:lang w:bidi="ar-SA"/>
        </w:rPr>
        <w:t>绿化养护</w:t>
      </w:r>
    </w:p>
    <w:p w14:paraId="648A4967">
      <w:pPr>
        <w:pStyle w:val="4"/>
        <w:widowControl/>
        <w:numPr>
          <w:ilvl w:val="0"/>
          <w:numId w:val="3"/>
        </w:numPr>
        <w:tabs>
          <w:tab w:val="left" w:pos="840"/>
        </w:tabs>
        <w:topLinePunct w:val="0"/>
        <w:ind w:left="0" w:leftChars="0" w:firstLine="480" w:firstLineChars="200"/>
        <w:rPr>
          <w:rFonts w:hint="eastAsia" w:ascii="宋体" w:hAnsi="宋体" w:eastAsia="宋体" w:cs="宋体"/>
          <w:b w:val="0"/>
          <w:color w:val="auto"/>
          <w:sz w:val="24"/>
          <w:highlight w:val="none"/>
        </w:rPr>
      </w:pPr>
      <w:r>
        <w:rPr>
          <w:rFonts w:ascii="Times New Roman" w:hAnsi="Times New Roman" w:eastAsia="宋体" w:cs="Times New Roman"/>
          <w:color w:val="auto"/>
          <w:sz w:val="24"/>
          <w:highlight w:val="none"/>
        </w:rPr>
        <w:t>日常养护：落叶清扫、病虫害防治、浇水施肥、杂草清除、树木修剪定型。</w:t>
      </w:r>
    </w:p>
    <w:p w14:paraId="5922908B">
      <w:pPr>
        <w:pStyle w:val="4"/>
        <w:widowControl/>
        <w:numPr>
          <w:ilvl w:val="0"/>
          <w:numId w:val="3"/>
        </w:numPr>
        <w:tabs>
          <w:tab w:val="left" w:pos="840"/>
        </w:tabs>
        <w:topLinePunct w:val="0"/>
        <w:ind w:left="0" w:leftChars="0" w:firstLine="480" w:firstLineChars="200"/>
        <w:rPr>
          <w:rFonts w:hint="eastAsia" w:ascii="宋体" w:hAnsi="宋体" w:eastAsia="宋体" w:cs="宋体"/>
          <w:b w:val="0"/>
          <w:color w:val="auto"/>
          <w:sz w:val="24"/>
          <w:highlight w:val="none"/>
        </w:rPr>
      </w:pPr>
      <w:r>
        <w:rPr>
          <w:rFonts w:ascii="Times New Roman" w:hAnsi="Times New Roman" w:eastAsia="宋体" w:cs="Times New Roman"/>
          <w:color w:val="auto"/>
          <w:sz w:val="24"/>
          <w:highlight w:val="none"/>
        </w:rPr>
        <w:t>特殊防护：台风天气期间的树枝修剪及防护工作，防护所需的木条固定由甲方负责提供，乙方负责加固等工作。</w:t>
      </w:r>
    </w:p>
    <w:p w14:paraId="4268D8EA">
      <w:pPr>
        <w:pStyle w:val="4"/>
        <w:widowControl/>
        <w:numPr>
          <w:ilvl w:val="0"/>
          <w:numId w:val="3"/>
        </w:numPr>
        <w:tabs>
          <w:tab w:val="left" w:pos="840"/>
        </w:tabs>
        <w:topLinePunct w:val="0"/>
        <w:ind w:left="0" w:leftChars="0" w:firstLine="480" w:firstLineChars="200"/>
        <w:rPr>
          <w:rFonts w:hint="eastAsia" w:ascii="宋体" w:hAnsi="宋体" w:eastAsia="宋体" w:cs="宋体"/>
          <w:b w:val="0"/>
          <w:color w:val="auto"/>
          <w:sz w:val="24"/>
          <w:highlight w:val="none"/>
        </w:rPr>
      </w:pPr>
      <w:r>
        <w:rPr>
          <w:rFonts w:ascii="Times New Roman" w:hAnsi="Times New Roman" w:eastAsia="宋体" w:cs="Times New Roman"/>
          <w:color w:val="auto"/>
          <w:sz w:val="24"/>
          <w:highlight w:val="none"/>
        </w:rPr>
        <w:t>垃圾处理：养护过程中产生的垃圾收集与清理，垃圾转运垃圾站所产生的相关费用均由甲方承担。</w:t>
      </w:r>
    </w:p>
    <w:p w14:paraId="6CCF7686">
      <w:pPr>
        <w:pStyle w:val="2"/>
        <w:keepNext w:val="0"/>
        <w:keepLines w:val="0"/>
        <w:widowControl/>
        <w:numPr>
          <w:ilvl w:val="0"/>
          <w:numId w:val="0"/>
        </w:numPr>
        <w:tabs>
          <w:tab w:val="left" w:pos="1204"/>
        </w:tabs>
        <w:topLinePunct w:val="0"/>
        <w:spacing w:before="120" w:beforeLines="-2147483648" w:beforeAutospacing="0" w:after="120" w:afterLines="-2147483648" w:afterAutospacing="0" w:line="360" w:lineRule="auto"/>
        <w:ind w:left="0" w:leftChars="0" w:firstLine="482" w:firstLineChars="200"/>
        <w:rPr>
          <w:rFonts w:hint="eastAsia" w:ascii="Times New Roman" w:hAnsi="Times New Roman" w:cs="Times New Roman"/>
          <w:kern w:val="0"/>
          <w:sz w:val="24"/>
          <w:szCs w:val="21"/>
          <w:highlight w:val="none"/>
          <w:lang w:bidi="ar-SA"/>
        </w:rPr>
      </w:pPr>
      <w:r>
        <w:rPr>
          <w:rFonts w:hint="eastAsia" w:ascii="Times New Roman" w:hAnsi="Times New Roman" w:eastAsia="宋体" w:cs="Times New Roman"/>
          <w:b/>
          <w:kern w:val="0"/>
          <w:sz w:val="24"/>
          <w:szCs w:val="21"/>
          <w:lang w:val="en-US" w:eastAsia="zh-CN" w:bidi="ar-SA"/>
        </w:rPr>
        <w:t>（三）</w:t>
      </w:r>
      <w:r>
        <w:rPr>
          <w:rFonts w:hint="default" w:ascii="Times New Roman" w:hAnsi="Times New Roman" w:cs="Times New Roman"/>
          <w:kern w:val="0"/>
          <w:sz w:val="24"/>
          <w:szCs w:val="21"/>
          <w:highlight w:val="none"/>
          <w:lang w:bidi="ar-SA"/>
        </w:rPr>
        <w:t>水电维护</w:t>
      </w:r>
    </w:p>
    <w:p w14:paraId="3247A14B">
      <w:pPr>
        <w:pStyle w:val="4"/>
        <w:widowControl/>
        <w:numPr>
          <w:ilvl w:val="0"/>
          <w:numId w:val="4"/>
        </w:numPr>
        <w:tabs>
          <w:tab w:val="left" w:pos="840"/>
        </w:tabs>
        <w:topLinePunct w:val="0"/>
        <w:ind w:left="0" w:leftChars="0" w:firstLine="480" w:firstLineChars="200"/>
        <w:rPr>
          <w:rFonts w:hint="eastAsia" w:ascii="宋体" w:hAnsi="宋体" w:eastAsia="宋体" w:cs="宋体"/>
          <w:b w:val="0"/>
          <w:color w:val="auto"/>
          <w:sz w:val="24"/>
          <w:highlight w:val="none"/>
        </w:rPr>
      </w:pPr>
      <w:r>
        <w:rPr>
          <w:rFonts w:ascii="Times New Roman" w:hAnsi="Times New Roman" w:eastAsia="宋体" w:cs="Times New Roman"/>
          <w:color w:val="auto"/>
          <w:sz w:val="24"/>
          <w:highlight w:val="none"/>
        </w:rPr>
        <w:t>水电设施设备小修及日常维护，涵盖发电机、强弱电系统、高低压配电设备、消防设备、给排水设施等。维修所需配件由甲方负责提供，维修工具由乙方自行配备；</w:t>
      </w:r>
    </w:p>
    <w:p w14:paraId="3F8BB198">
      <w:pPr>
        <w:pStyle w:val="4"/>
        <w:widowControl/>
        <w:numPr>
          <w:ilvl w:val="0"/>
          <w:numId w:val="4"/>
        </w:numPr>
        <w:tabs>
          <w:tab w:val="left" w:pos="840"/>
        </w:tabs>
        <w:topLinePunct w:val="0"/>
        <w:ind w:left="0" w:leftChars="0" w:firstLine="480" w:firstLineChars="200"/>
        <w:rPr>
          <w:rFonts w:hint="eastAsia" w:ascii="宋体" w:hAnsi="宋体" w:eastAsia="宋体" w:cs="宋体"/>
          <w:b w:val="0"/>
          <w:color w:val="auto"/>
          <w:sz w:val="24"/>
          <w:highlight w:val="none"/>
        </w:rPr>
      </w:pPr>
      <w:r>
        <w:rPr>
          <w:rFonts w:ascii="Times New Roman" w:hAnsi="Times New Roman" w:eastAsia="宋体" w:cs="Times New Roman"/>
          <w:color w:val="auto"/>
          <w:sz w:val="24"/>
          <w:highlight w:val="none"/>
        </w:rPr>
        <w:t>当供水、供电、供气、电信等专业部门，在物业保障服务区域内对相关设施设备开展维修养护工作时，乙方需做好必要的协调、配合及监督管理工作；水电工程人员需熟悉掌握二路供电相关情况，确保供电保障到位。</w:t>
      </w:r>
    </w:p>
    <w:p w14:paraId="52CE6EFB">
      <w:pPr>
        <w:pStyle w:val="2"/>
        <w:keepNext w:val="0"/>
        <w:keepLines w:val="0"/>
        <w:widowControl/>
        <w:numPr>
          <w:ilvl w:val="0"/>
          <w:numId w:val="0"/>
        </w:numPr>
        <w:tabs>
          <w:tab w:val="left" w:pos="1204"/>
        </w:tabs>
        <w:topLinePunct w:val="0"/>
        <w:spacing w:before="120" w:beforeLines="-2147483648" w:beforeAutospacing="0" w:after="120" w:afterLines="-2147483648" w:afterAutospacing="0" w:line="360" w:lineRule="auto"/>
        <w:ind w:left="0" w:leftChars="0" w:firstLine="482" w:firstLineChars="200"/>
        <w:rPr>
          <w:rFonts w:hint="eastAsia" w:ascii="Times New Roman" w:hAnsi="Times New Roman" w:cs="Times New Roman"/>
          <w:kern w:val="0"/>
          <w:sz w:val="24"/>
          <w:szCs w:val="21"/>
          <w:highlight w:val="none"/>
          <w:lang w:bidi="ar-SA"/>
        </w:rPr>
      </w:pPr>
      <w:r>
        <w:rPr>
          <w:rFonts w:hint="eastAsia" w:ascii="Times New Roman" w:hAnsi="Times New Roman" w:eastAsia="宋体" w:cs="Times New Roman"/>
          <w:b/>
          <w:kern w:val="0"/>
          <w:sz w:val="24"/>
          <w:szCs w:val="21"/>
          <w:lang w:val="en-US" w:eastAsia="zh-CN" w:bidi="ar-SA"/>
        </w:rPr>
        <w:t>（四）</w:t>
      </w:r>
      <w:r>
        <w:rPr>
          <w:rFonts w:hint="default" w:ascii="Times New Roman" w:hAnsi="Times New Roman" w:cs="Times New Roman"/>
          <w:kern w:val="0"/>
          <w:sz w:val="24"/>
          <w:szCs w:val="21"/>
          <w:highlight w:val="none"/>
          <w:lang w:bidi="ar-SA"/>
        </w:rPr>
        <w:t>秩序维护</w:t>
      </w:r>
    </w:p>
    <w:p w14:paraId="360E35FC">
      <w:pPr>
        <w:pStyle w:val="4"/>
        <w:widowControl/>
        <w:ind w:left="0" w:leftChars="0" w:firstLine="480" w:firstLineChars="200"/>
        <w:rPr>
          <w:rFonts w:ascii="Times New Roman" w:hAnsi="Times New Roman" w:eastAsia="宋体" w:cs="Times New Roman"/>
          <w:color w:val="auto"/>
          <w:sz w:val="24"/>
          <w:highlight w:val="none"/>
        </w:rPr>
      </w:pPr>
      <w:r>
        <w:rPr>
          <w:rFonts w:ascii="Times New Roman" w:hAnsi="Times New Roman" w:eastAsia="宋体" w:cs="Times New Roman"/>
          <w:color w:val="auto"/>
          <w:sz w:val="24"/>
          <w:highlight w:val="none"/>
        </w:rPr>
        <w:t>具体覆盖第三支队机关办公区、特警大队及万宁人民西路营区的办公区，负责人员进出登记、大门秩序维护、停车场秩序维护以及安全巡视等。</w:t>
      </w:r>
    </w:p>
    <w:p w14:paraId="1997149A">
      <w:pPr>
        <w:pStyle w:val="3"/>
        <w:widowControl/>
        <w:numPr>
          <w:ilvl w:val="0"/>
          <w:numId w:val="0"/>
        </w:numPr>
        <w:tabs>
          <w:tab w:val="left" w:pos="1566"/>
        </w:tabs>
        <w:ind w:left="0" w:leftChars="0" w:firstLine="482" w:firstLineChars="200"/>
        <w:rPr>
          <w:b/>
          <w:color w:val="0000FF"/>
          <w:highlight w:val="none"/>
        </w:rPr>
      </w:pPr>
      <w:r>
        <w:rPr>
          <w:rFonts w:hint="eastAsia" w:ascii="宋体" w:hAnsi="宋体" w:eastAsia="宋体" w:cs="宋体"/>
          <w:b/>
          <w:bCs/>
          <w:color w:val="0000FF"/>
          <w:kern w:val="44"/>
          <w:sz w:val="24"/>
          <w:szCs w:val="30"/>
        </w:rPr>
        <w:t>第七条</w:t>
      </w:r>
      <w:r>
        <w:rPr>
          <w:rFonts w:hint="eastAsia" w:cs="宋体"/>
          <w:b/>
          <w:bCs/>
          <w:color w:val="0000FF"/>
          <w:kern w:val="44"/>
          <w:sz w:val="24"/>
          <w:szCs w:val="30"/>
          <w:lang w:val="en-US" w:eastAsia="zh-CN"/>
        </w:rPr>
        <w:t xml:space="preserve">  </w:t>
      </w:r>
      <w:r>
        <w:rPr>
          <w:color w:val="0000FF"/>
          <w:highlight w:val="none"/>
        </w:rPr>
        <w:t>工作要求与服务标准</w:t>
      </w:r>
    </w:p>
    <w:p w14:paraId="4A5ACD9B">
      <w:pPr>
        <w:pStyle w:val="2"/>
        <w:keepNext w:val="0"/>
        <w:keepLines w:val="0"/>
        <w:widowControl/>
        <w:numPr>
          <w:ilvl w:val="0"/>
          <w:numId w:val="0"/>
        </w:numPr>
        <w:tabs>
          <w:tab w:val="left" w:pos="1204"/>
        </w:tabs>
        <w:topLinePunct w:val="0"/>
        <w:spacing w:before="120" w:beforeLines="-2147483648" w:beforeAutospacing="0" w:after="120" w:afterLines="-2147483648" w:afterAutospacing="0" w:line="360" w:lineRule="auto"/>
        <w:ind w:left="0" w:leftChars="0" w:firstLine="482" w:firstLineChars="200"/>
        <w:rPr>
          <w:rFonts w:hint="eastAsia" w:ascii="Times New Roman" w:hAnsi="Times New Roman" w:cs="Times New Roman"/>
          <w:kern w:val="0"/>
          <w:sz w:val="24"/>
          <w:szCs w:val="21"/>
          <w:highlight w:val="none"/>
          <w:lang w:bidi="ar-SA"/>
        </w:rPr>
      </w:pPr>
      <w:r>
        <w:rPr>
          <w:rFonts w:hint="eastAsia" w:ascii="Times New Roman" w:hAnsi="Times New Roman" w:eastAsia="宋体" w:cs="Times New Roman"/>
          <w:b/>
          <w:kern w:val="0"/>
          <w:sz w:val="24"/>
          <w:szCs w:val="21"/>
          <w:lang w:val="en-US" w:eastAsia="zh-CN" w:bidi="ar-SA"/>
        </w:rPr>
        <w:t>（</w:t>
      </w:r>
      <w:r>
        <w:rPr>
          <w:rFonts w:hint="eastAsia" w:ascii="Times New Roman" w:hAnsi="Times New Roman" w:cs="Times New Roman"/>
          <w:b/>
          <w:kern w:val="0"/>
          <w:sz w:val="24"/>
          <w:szCs w:val="21"/>
          <w:lang w:val="en-US" w:eastAsia="zh-CN" w:bidi="ar-SA"/>
        </w:rPr>
        <w:t>一</w:t>
      </w:r>
      <w:r>
        <w:rPr>
          <w:rFonts w:hint="eastAsia" w:ascii="Times New Roman" w:hAnsi="Times New Roman" w:eastAsia="宋体" w:cs="Times New Roman"/>
          <w:b/>
          <w:kern w:val="0"/>
          <w:sz w:val="24"/>
          <w:szCs w:val="21"/>
          <w:lang w:val="en-US" w:eastAsia="zh-CN" w:bidi="ar-SA"/>
        </w:rPr>
        <w:t>）</w:t>
      </w:r>
      <w:r>
        <w:rPr>
          <w:rFonts w:hint="default" w:ascii="Times New Roman" w:hAnsi="Times New Roman" w:cs="Times New Roman"/>
          <w:kern w:val="0"/>
          <w:sz w:val="24"/>
          <w:szCs w:val="21"/>
          <w:highlight w:val="none"/>
          <w:lang w:bidi="ar-SA"/>
        </w:rPr>
        <w:t>卫生保洁服务工作要求与服务标准</w:t>
      </w:r>
    </w:p>
    <w:p w14:paraId="1020C586">
      <w:pPr>
        <w:pStyle w:val="4"/>
        <w:numPr>
          <w:ilvl w:val="0"/>
          <w:numId w:val="5"/>
        </w:numPr>
        <w:tabs>
          <w:tab w:val="left" w:pos="780"/>
          <w:tab w:val="clear" w:pos="210"/>
        </w:tabs>
        <w:ind w:left="0" w:leftChars="0" w:firstLine="480" w:firstLineChars="200"/>
        <w:rPr>
          <w:rFonts w:ascii="Times New Roman" w:hAnsi="Times New Roman" w:eastAsia="宋体" w:cs="Times New Roman"/>
          <w:b w:val="0"/>
          <w:sz w:val="24"/>
          <w:highlight w:val="none"/>
        </w:rPr>
      </w:pPr>
      <w:r>
        <w:rPr>
          <w:rFonts w:ascii="Times New Roman" w:hAnsi="Times New Roman" w:eastAsia="宋体" w:cs="Times New Roman"/>
          <w:sz w:val="24"/>
          <w:highlight w:val="none"/>
        </w:rPr>
        <w:t>公共区域保持清洁，地面无纸屑、烟头、杂物等废弃物。</w:t>
      </w:r>
    </w:p>
    <w:p w14:paraId="44AC1318">
      <w:pPr>
        <w:pStyle w:val="4"/>
        <w:numPr>
          <w:ilvl w:val="0"/>
          <w:numId w:val="5"/>
        </w:numPr>
        <w:tabs>
          <w:tab w:val="left" w:pos="780"/>
          <w:tab w:val="clear" w:pos="210"/>
        </w:tabs>
        <w:ind w:left="0" w:leftChars="0" w:firstLine="480" w:firstLineChars="200"/>
        <w:rPr>
          <w:rFonts w:ascii="Times New Roman" w:hAnsi="Times New Roman" w:eastAsia="宋体" w:cs="Times New Roman"/>
          <w:b w:val="0"/>
          <w:sz w:val="24"/>
          <w:highlight w:val="none"/>
        </w:rPr>
      </w:pPr>
      <w:r>
        <w:rPr>
          <w:rFonts w:ascii="Times New Roman" w:hAnsi="Times New Roman" w:eastAsia="宋体" w:cs="Times New Roman"/>
          <w:sz w:val="24"/>
          <w:highlight w:val="none"/>
        </w:rPr>
        <w:t>大厅地面、楼道走廊地面干爽洁净，无污渍、积水、杂物和灰尘；楼道扶手和栏杆干净无灰尘；屋顶、门框和墙壁无积尘和蜘蛛网。</w:t>
      </w:r>
    </w:p>
    <w:p w14:paraId="1AD266D0">
      <w:pPr>
        <w:pStyle w:val="4"/>
        <w:numPr>
          <w:ilvl w:val="0"/>
          <w:numId w:val="5"/>
        </w:numPr>
        <w:tabs>
          <w:tab w:val="left" w:pos="780"/>
          <w:tab w:val="clear" w:pos="210"/>
        </w:tabs>
        <w:ind w:left="0" w:leftChars="0" w:firstLine="480" w:firstLineChars="200"/>
        <w:rPr>
          <w:rFonts w:ascii="Times New Roman" w:hAnsi="Times New Roman" w:eastAsia="宋体" w:cs="Times New Roman"/>
          <w:b w:val="0"/>
          <w:sz w:val="24"/>
          <w:highlight w:val="none"/>
        </w:rPr>
      </w:pPr>
      <w:r>
        <w:rPr>
          <w:rFonts w:ascii="Times New Roman" w:hAnsi="Times New Roman" w:eastAsia="宋体" w:cs="Times New Roman"/>
          <w:sz w:val="24"/>
          <w:highlight w:val="none"/>
        </w:rPr>
        <w:t>垃圾日产日清，垃圾箱外表干净，无异味。</w:t>
      </w:r>
    </w:p>
    <w:p w14:paraId="16A8F7FE">
      <w:pPr>
        <w:pStyle w:val="4"/>
        <w:numPr>
          <w:ilvl w:val="0"/>
          <w:numId w:val="5"/>
        </w:numPr>
        <w:tabs>
          <w:tab w:val="left" w:pos="780"/>
          <w:tab w:val="clear" w:pos="210"/>
        </w:tabs>
        <w:ind w:left="0" w:leftChars="0" w:firstLine="480" w:firstLineChars="200"/>
        <w:rPr>
          <w:rFonts w:ascii="Times New Roman" w:hAnsi="Times New Roman" w:eastAsia="宋体" w:cs="Times New Roman"/>
          <w:b w:val="0"/>
          <w:sz w:val="24"/>
          <w:highlight w:val="none"/>
        </w:rPr>
      </w:pPr>
      <w:r>
        <w:rPr>
          <w:rFonts w:ascii="Times New Roman" w:hAnsi="Times New Roman" w:eastAsia="宋体" w:cs="Times New Roman"/>
          <w:sz w:val="24"/>
          <w:highlight w:val="none"/>
        </w:rPr>
        <w:t>卫生间空气清新、无污迹、无积水、无异味，下水道畅通。</w:t>
      </w:r>
    </w:p>
    <w:p w14:paraId="677C5F2F">
      <w:pPr>
        <w:pStyle w:val="4"/>
        <w:numPr>
          <w:ilvl w:val="0"/>
          <w:numId w:val="5"/>
        </w:numPr>
        <w:tabs>
          <w:tab w:val="left" w:pos="780"/>
          <w:tab w:val="clear" w:pos="210"/>
        </w:tabs>
        <w:ind w:left="0" w:leftChars="0" w:firstLine="480" w:firstLineChars="200"/>
        <w:rPr>
          <w:rFonts w:ascii="Times New Roman" w:hAnsi="Times New Roman" w:eastAsia="宋体" w:cs="Times New Roman"/>
          <w:b w:val="0"/>
          <w:sz w:val="24"/>
          <w:highlight w:val="none"/>
        </w:rPr>
      </w:pPr>
      <w:r>
        <w:rPr>
          <w:rFonts w:ascii="Times New Roman" w:hAnsi="Times New Roman" w:eastAsia="宋体" w:cs="Times New Roman"/>
          <w:sz w:val="24"/>
          <w:highlight w:val="none"/>
        </w:rPr>
        <w:t>排水管、下水道等室内外沟渠保持通畅；化粪池、沉沙井和水池无超量淤积，须定期清理、清运，确保正常使用。</w:t>
      </w:r>
    </w:p>
    <w:p w14:paraId="5DE31ABB">
      <w:pPr>
        <w:pStyle w:val="4"/>
        <w:numPr>
          <w:ilvl w:val="0"/>
          <w:numId w:val="5"/>
        </w:numPr>
        <w:tabs>
          <w:tab w:val="left" w:pos="780"/>
          <w:tab w:val="clear" w:pos="210"/>
        </w:tabs>
        <w:ind w:left="0" w:leftChars="0" w:firstLine="480" w:firstLineChars="200"/>
        <w:rPr>
          <w:rFonts w:ascii="Times New Roman" w:hAnsi="Times New Roman" w:eastAsia="宋体" w:cs="Times New Roman"/>
          <w:b w:val="0"/>
          <w:sz w:val="24"/>
          <w:highlight w:val="none"/>
        </w:rPr>
      </w:pPr>
      <w:r>
        <w:rPr>
          <w:rFonts w:ascii="Times New Roman" w:hAnsi="Times New Roman" w:eastAsia="宋体" w:cs="Times New Roman"/>
          <w:sz w:val="24"/>
          <w:highlight w:val="none"/>
        </w:rPr>
        <w:t>定期对所管理区域实施消毒和灭“四害”工作。</w:t>
      </w:r>
    </w:p>
    <w:p w14:paraId="0C545A36">
      <w:pPr>
        <w:pStyle w:val="4"/>
        <w:numPr>
          <w:ilvl w:val="0"/>
          <w:numId w:val="5"/>
        </w:numPr>
        <w:tabs>
          <w:tab w:val="left" w:pos="780"/>
          <w:tab w:val="clear" w:pos="210"/>
        </w:tabs>
        <w:ind w:left="0" w:leftChars="0" w:firstLine="480" w:firstLineChars="200"/>
        <w:rPr>
          <w:rFonts w:ascii="Times New Roman" w:hAnsi="Times New Roman" w:eastAsia="宋体" w:cs="Times New Roman"/>
          <w:b w:val="0"/>
          <w:sz w:val="24"/>
          <w:highlight w:val="none"/>
        </w:rPr>
      </w:pPr>
      <w:r>
        <w:rPr>
          <w:rFonts w:ascii="Times New Roman" w:hAnsi="Times New Roman" w:eastAsia="宋体" w:cs="Times New Roman"/>
          <w:sz w:val="24"/>
          <w:highlight w:val="none"/>
        </w:rPr>
        <w:t>服务时间为服务期内的周一至周日，每日上午7:30-11:30，下午14:30-17:30。乙方可依据公司内部规定，保障员工的休息权益。</w:t>
      </w:r>
    </w:p>
    <w:p w14:paraId="60067EBC">
      <w:pPr>
        <w:pStyle w:val="4"/>
        <w:numPr>
          <w:ilvl w:val="0"/>
          <w:numId w:val="5"/>
        </w:numPr>
        <w:tabs>
          <w:tab w:val="left" w:pos="780"/>
          <w:tab w:val="clear" w:pos="210"/>
        </w:tabs>
        <w:ind w:left="0" w:leftChars="0" w:firstLine="480" w:firstLineChars="200"/>
        <w:rPr>
          <w:rFonts w:ascii="Times New Roman" w:hAnsi="Times New Roman" w:eastAsia="宋体" w:cs="Times New Roman"/>
          <w:b w:val="0"/>
          <w:sz w:val="24"/>
          <w:highlight w:val="none"/>
        </w:rPr>
      </w:pPr>
      <w:r>
        <w:rPr>
          <w:rFonts w:ascii="Times New Roman" w:hAnsi="Times New Roman" w:eastAsia="宋体" w:cs="Times New Roman"/>
          <w:sz w:val="24"/>
          <w:highlight w:val="none"/>
        </w:rPr>
        <w:t>具体服务内容、工作要求与标准详见“表一”</w:t>
      </w:r>
    </w:p>
    <w:p w14:paraId="19DB70E2">
      <w:pPr>
        <w:pStyle w:val="12"/>
        <w:widowControl/>
        <w:ind w:left="0" w:leftChars="0" w:firstLine="0" w:firstLineChars="0"/>
        <w:outlineLvl w:val="9"/>
        <w:rPr>
          <w:highlight w:val="none"/>
        </w:rPr>
      </w:pPr>
      <w:r>
        <w:rPr>
          <w:highlight w:val="none"/>
        </w:rPr>
        <w:t>表一：办公区域卫生保洁服务内容、工作要求及标准区域</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9"/>
        <w:gridCol w:w="2418"/>
        <w:gridCol w:w="3054"/>
        <w:gridCol w:w="2131"/>
      </w:tblGrid>
      <w:tr w14:paraId="068E4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539" w:type="pct"/>
            <w:noWrap w:val="0"/>
            <w:vAlign w:val="center"/>
          </w:tcPr>
          <w:p w14:paraId="3EFADD57">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区域</w:t>
            </w:r>
          </w:p>
        </w:tc>
        <w:tc>
          <w:tcPr>
            <w:tcW w:w="1418" w:type="pct"/>
            <w:noWrap w:val="0"/>
            <w:vAlign w:val="center"/>
          </w:tcPr>
          <w:p w14:paraId="5FA63E34">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服务内容</w:t>
            </w:r>
          </w:p>
        </w:tc>
        <w:tc>
          <w:tcPr>
            <w:tcW w:w="1791" w:type="pct"/>
            <w:noWrap w:val="0"/>
            <w:vAlign w:val="center"/>
          </w:tcPr>
          <w:p w14:paraId="6AB531B4">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工作要求</w:t>
            </w:r>
          </w:p>
        </w:tc>
        <w:tc>
          <w:tcPr>
            <w:tcW w:w="1250" w:type="pct"/>
            <w:noWrap w:val="0"/>
            <w:vAlign w:val="center"/>
          </w:tcPr>
          <w:p w14:paraId="224469E0">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工作标准</w:t>
            </w:r>
          </w:p>
        </w:tc>
      </w:tr>
      <w:tr w14:paraId="47B7D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539" w:type="pct"/>
            <w:vMerge w:val="restart"/>
            <w:noWrap w:val="0"/>
            <w:vAlign w:val="center"/>
          </w:tcPr>
          <w:p w14:paraId="1FF3A553">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楼层走廊</w:t>
            </w:r>
          </w:p>
        </w:tc>
        <w:tc>
          <w:tcPr>
            <w:tcW w:w="1418" w:type="pct"/>
            <w:noWrap w:val="0"/>
            <w:vAlign w:val="center"/>
          </w:tcPr>
          <w:p w14:paraId="219D34D2">
            <w:pPr>
              <w:keepNext w:val="0"/>
              <w:keepLines w:val="0"/>
              <w:widowControl/>
              <w:suppressLineNumbers w:val="0"/>
              <w:jc w:val="left"/>
              <w:textAlignment w:val="center"/>
              <w:rPr>
                <w:rFonts w:hint="default"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大理石/瓷砖地面/地脚线</w:t>
            </w:r>
          </w:p>
        </w:tc>
        <w:tc>
          <w:tcPr>
            <w:tcW w:w="1791" w:type="pct"/>
            <w:noWrap w:val="0"/>
            <w:vAlign w:val="center"/>
          </w:tcPr>
          <w:p w14:paraId="4661C398">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每日全面清扫1次、拖洗1次，并做到随时保洁</w:t>
            </w:r>
          </w:p>
        </w:tc>
        <w:tc>
          <w:tcPr>
            <w:tcW w:w="1250" w:type="pct"/>
            <w:noWrap w:val="0"/>
            <w:vAlign w:val="center"/>
          </w:tcPr>
          <w:p w14:paraId="4D98473B">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干净、明亮、无杂物、无积尘、无污渍、无蜘蛛网。</w:t>
            </w:r>
          </w:p>
        </w:tc>
      </w:tr>
      <w:tr w14:paraId="5EAA1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539" w:type="pct"/>
            <w:vMerge w:val="continue"/>
            <w:noWrap w:val="0"/>
            <w:vAlign w:val="center"/>
          </w:tcPr>
          <w:p w14:paraId="591B6EA3">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p>
        </w:tc>
        <w:tc>
          <w:tcPr>
            <w:tcW w:w="1418" w:type="pct"/>
            <w:noWrap w:val="0"/>
            <w:vAlign w:val="center"/>
          </w:tcPr>
          <w:p w14:paraId="6F11AE22">
            <w:pPr>
              <w:keepNext w:val="0"/>
              <w:keepLines w:val="0"/>
              <w:widowControl/>
              <w:suppressLineNumbers w:val="0"/>
              <w:jc w:val="left"/>
              <w:textAlignment w:val="center"/>
              <w:rPr>
                <w:rFonts w:hint="default"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门/窗/窗台</w:t>
            </w:r>
          </w:p>
        </w:tc>
        <w:tc>
          <w:tcPr>
            <w:tcW w:w="1791" w:type="pct"/>
            <w:noWrap w:val="0"/>
            <w:vAlign w:val="center"/>
          </w:tcPr>
          <w:p w14:paraId="384F6C84">
            <w:pPr>
              <w:keepNext w:val="0"/>
              <w:keepLines w:val="0"/>
              <w:widowControl/>
              <w:suppressLineNumbers w:val="0"/>
              <w:jc w:val="left"/>
              <w:textAlignment w:val="center"/>
              <w:rPr>
                <w:rFonts w:hint="default"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每周深度清洁1次。有玻璃门的每周刮洗1次，并做到随时保洁。</w:t>
            </w:r>
          </w:p>
        </w:tc>
        <w:tc>
          <w:tcPr>
            <w:tcW w:w="1250" w:type="pct"/>
            <w:noWrap w:val="0"/>
            <w:vAlign w:val="center"/>
          </w:tcPr>
          <w:p w14:paraId="6C948D36">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光亮、无积尘、无污渍、无手印、无蜘蛛网、保持光亮洁净。</w:t>
            </w:r>
          </w:p>
        </w:tc>
      </w:tr>
      <w:tr w14:paraId="306F4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539" w:type="pct"/>
            <w:vMerge w:val="continue"/>
            <w:noWrap w:val="0"/>
            <w:vAlign w:val="center"/>
          </w:tcPr>
          <w:p w14:paraId="23CC4691">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p>
        </w:tc>
        <w:tc>
          <w:tcPr>
            <w:tcW w:w="1418" w:type="pct"/>
            <w:noWrap w:val="0"/>
            <w:vAlign w:val="center"/>
          </w:tcPr>
          <w:p w14:paraId="57225561">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天花板/灯饰/牌匾等</w:t>
            </w:r>
          </w:p>
        </w:tc>
        <w:tc>
          <w:tcPr>
            <w:tcW w:w="1791" w:type="pct"/>
            <w:noWrap w:val="0"/>
            <w:vAlign w:val="center"/>
          </w:tcPr>
          <w:p w14:paraId="1680C229">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每周掸尘1次，并做到随时保洁。</w:t>
            </w:r>
          </w:p>
        </w:tc>
        <w:tc>
          <w:tcPr>
            <w:tcW w:w="1250" w:type="pct"/>
            <w:noWrap w:val="0"/>
            <w:vAlign w:val="center"/>
          </w:tcPr>
          <w:p w14:paraId="2965D46E">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无积尘、无污渍、无蜘蛛网、目视无明显污迹。</w:t>
            </w:r>
          </w:p>
        </w:tc>
      </w:tr>
      <w:tr w14:paraId="2FFC4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539" w:type="pct"/>
            <w:vMerge w:val="continue"/>
            <w:noWrap w:val="0"/>
            <w:vAlign w:val="center"/>
          </w:tcPr>
          <w:p w14:paraId="4ED55C25">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p>
        </w:tc>
        <w:tc>
          <w:tcPr>
            <w:tcW w:w="1418" w:type="pct"/>
            <w:noWrap w:val="0"/>
            <w:vAlign w:val="center"/>
          </w:tcPr>
          <w:p w14:paraId="32889B9F">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墙壁</w:t>
            </w:r>
          </w:p>
        </w:tc>
        <w:tc>
          <w:tcPr>
            <w:tcW w:w="1791" w:type="pct"/>
            <w:noWrap w:val="0"/>
            <w:vAlign w:val="center"/>
          </w:tcPr>
          <w:p w14:paraId="748198E9">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随时保洁。</w:t>
            </w:r>
          </w:p>
        </w:tc>
        <w:tc>
          <w:tcPr>
            <w:tcW w:w="1250" w:type="pct"/>
            <w:noWrap w:val="0"/>
            <w:vAlign w:val="center"/>
          </w:tcPr>
          <w:p w14:paraId="17B586FD">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无积尘、无污渍、无蜘蛛网。</w:t>
            </w:r>
          </w:p>
        </w:tc>
      </w:tr>
      <w:tr w14:paraId="3A017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539" w:type="pct"/>
            <w:vMerge w:val="continue"/>
            <w:noWrap w:val="0"/>
            <w:vAlign w:val="center"/>
          </w:tcPr>
          <w:p w14:paraId="2EE713E8">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p>
        </w:tc>
        <w:tc>
          <w:tcPr>
            <w:tcW w:w="1418" w:type="pct"/>
            <w:noWrap w:val="0"/>
            <w:vAlign w:val="center"/>
          </w:tcPr>
          <w:p w14:paraId="40D325D3">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烟灰桶、垃圾桶</w:t>
            </w:r>
          </w:p>
        </w:tc>
        <w:tc>
          <w:tcPr>
            <w:tcW w:w="1791" w:type="pct"/>
            <w:noWrap w:val="0"/>
            <w:vAlign w:val="center"/>
          </w:tcPr>
          <w:p w14:paraId="50AA47DB">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每日保洁1次。</w:t>
            </w:r>
          </w:p>
        </w:tc>
        <w:tc>
          <w:tcPr>
            <w:tcW w:w="1250" w:type="pct"/>
            <w:noWrap w:val="0"/>
            <w:vAlign w:val="center"/>
          </w:tcPr>
          <w:p w14:paraId="75F25F46">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日产日清，无积尘、无污渍。</w:t>
            </w:r>
          </w:p>
        </w:tc>
      </w:tr>
      <w:tr w14:paraId="3A362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539" w:type="pct"/>
            <w:vMerge w:val="continue"/>
            <w:noWrap w:val="0"/>
            <w:vAlign w:val="center"/>
          </w:tcPr>
          <w:p w14:paraId="0004F8F1">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p>
        </w:tc>
        <w:tc>
          <w:tcPr>
            <w:tcW w:w="1418" w:type="pct"/>
            <w:noWrap w:val="0"/>
            <w:vAlign w:val="center"/>
          </w:tcPr>
          <w:p w14:paraId="02AB563D">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墙壁附属设施</w:t>
            </w:r>
          </w:p>
        </w:tc>
        <w:tc>
          <w:tcPr>
            <w:tcW w:w="1791" w:type="pct"/>
            <w:noWrap w:val="0"/>
            <w:vAlign w:val="center"/>
          </w:tcPr>
          <w:p w14:paraId="68E72481">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随时保洁，每周深度清洁1次。</w:t>
            </w:r>
          </w:p>
        </w:tc>
        <w:tc>
          <w:tcPr>
            <w:tcW w:w="1250" w:type="pct"/>
            <w:noWrap w:val="0"/>
            <w:vAlign w:val="center"/>
          </w:tcPr>
          <w:p w14:paraId="7FB18845">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无积尘，无污渍。</w:t>
            </w:r>
          </w:p>
        </w:tc>
      </w:tr>
      <w:tr w14:paraId="3D889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539" w:type="pct"/>
            <w:vMerge w:val="restart"/>
            <w:noWrap w:val="0"/>
            <w:vAlign w:val="center"/>
          </w:tcPr>
          <w:p w14:paraId="7A99FE78">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消防通道（楼梯）</w:t>
            </w:r>
          </w:p>
        </w:tc>
        <w:tc>
          <w:tcPr>
            <w:tcW w:w="1418" w:type="pct"/>
            <w:noWrap w:val="0"/>
            <w:vAlign w:val="center"/>
          </w:tcPr>
          <w:p w14:paraId="5A3C0384">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平台地面、踏步</w:t>
            </w:r>
          </w:p>
        </w:tc>
        <w:tc>
          <w:tcPr>
            <w:tcW w:w="1791" w:type="pct"/>
            <w:noWrap w:val="0"/>
            <w:vAlign w:val="center"/>
          </w:tcPr>
          <w:p w14:paraId="1B293372">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每日保洁1次，每周拖洗2次。</w:t>
            </w:r>
          </w:p>
        </w:tc>
        <w:tc>
          <w:tcPr>
            <w:tcW w:w="1250" w:type="pct"/>
            <w:noWrap w:val="0"/>
            <w:vAlign w:val="center"/>
          </w:tcPr>
          <w:p w14:paraId="5BBD40F4">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洁净、无灰尘、无污渍。</w:t>
            </w:r>
          </w:p>
        </w:tc>
      </w:tr>
      <w:tr w14:paraId="31C7B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539" w:type="pct"/>
            <w:vMerge w:val="continue"/>
            <w:noWrap w:val="0"/>
            <w:vAlign w:val="center"/>
          </w:tcPr>
          <w:p w14:paraId="1CA956A5">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p>
        </w:tc>
        <w:tc>
          <w:tcPr>
            <w:tcW w:w="1418" w:type="pct"/>
            <w:noWrap w:val="0"/>
            <w:vAlign w:val="center"/>
          </w:tcPr>
          <w:p w14:paraId="22F6E3B9">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扶手</w:t>
            </w:r>
          </w:p>
        </w:tc>
        <w:tc>
          <w:tcPr>
            <w:tcW w:w="1791" w:type="pct"/>
            <w:noWrap w:val="0"/>
            <w:vAlign w:val="center"/>
          </w:tcPr>
          <w:p w14:paraId="6E6622C5">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每周保洁3次。</w:t>
            </w:r>
          </w:p>
        </w:tc>
        <w:tc>
          <w:tcPr>
            <w:tcW w:w="1250" w:type="pct"/>
            <w:noWrap w:val="0"/>
            <w:vAlign w:val="center"/>
          </w:tcPr>
          <w:p w14:paraId="6A075F7F">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表面洁净、无灰尘、无污渍。</w:t>
            </w:r>
          </w:p>
        </w:tc>
      </w:tr>
      <w:tr w14:paraId="397FA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539" w:type="pct"/>
            <w:vMerge w:val="restart"/>
            <w:noWrap w:val="0"/>
            <w:vAlign w:val="center"/>
          </w:tcPr>
          <w:p w14:paraId="5B3BB9A5">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消防设备</w:t>
            </w:r>
          </w:p>
        </w:tc>
        <w:tc>
          <w:tcPr>
            <w:tcW w:w="1418" w:type="pct"/>
            <w:noWrap w:val="0"/>
            <w:vAlign w:val="center"/>
          </w:tcPr>
          <w:p w14:paraId="669FE44E">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灭火器</w:t>
            </w:r>
          </w:p>
        </w:tc>
        <w:tc>
          <w:tcPr>
            <w:tcW w:w="1791" w:type="pct"/>
            <w:noWrap w:val="0"/>
            <w:vAlign w:val="center"/>
          </w:tcPr>
          <w:p w14:paraId="4C6CF5DF">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每月保洁1次。</w:t>
            </w:r>
          </w:p>
        </w:tc>
        <w:tc>
          <w:tcPr>
            <w:tcW w:w="1250" w:type="pct"/>
            <w:noWrap w:val="0"/>
            <w:vAlign w:val="center"/>
          </w:tcPr>
          <w:p w14:paraId="18315262">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摆放整齐、无积尘、无污渍。</w:t>
            </w:r>
          </w:p>
        </w:tc>
      </w:tr>
      <w:tr w14:paraId="01A50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539" w:type="pct"/>
            <w:vMerge w:val="continue"/>
            <w:noWrap w:val="0"/>
            <w:vAlign w:val="center"/>
          </w:tcPr>
          <w:p w14:paraId="2D0A1077">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p>
        </w:tc>
        <w:tc>
          <w:tcPr>
            <w:tcW w:w="1418" w:type="pct"/>
            <w:noWrap w:val="0"/>
            <w:vAlign w:val="center"/>
          </w:tcPr>
          <w:p w14:paraId="2932A5A7">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消防栓箱内外</w:t>
            </w:r>
          </w:p>
        </w:tc>
        <w:tc>
          <w:tcPr>
            <w:tcW w:w="1791" w:type="pct"/>
            <w:noWrap w:val="0"/>
            <w:vAlign w:val="center"/>
          </w:tcPr>
          <w:p w14:paraId="5CE6D0F6">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每月保洁1次。</w:t>
            </w:r>
          </w:p>
        </w:tc>
        <w:tc>
          <w:tcPr>
            <w:tcW w:w="1250" w:type="pct"/>
            <w:noWrap w:val="0"/>
            <w:vAlign w:val="center"/>
          </w:tcPr>
          <w:p w14:paraId="5CAE55AA">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内外干净、无积尘、无污渍。</w:t>
            </w:r>
          </w:p>
        </w:tc>
      </w:tr>
      <w:tr w14:paraId="5495C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539" w:type="pct"/>
            <w:vMerge w:val="restart"/>
            <w:noWrap w:val="0"/>
            <w:vAlign w:val="center"/>
          </w:tcPr>
          <w:p w14:paraId="5D110878">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会议室</w:t>
            </w:r>
          </w:p>
        </w:tc>
        <w:tc>
          <w:tcPr>
            <w:tcW w:w="1418" w:type="pct"/>
            <w:noWrap w:val="0"/>
            <w:vAlign w:val="center"/>
          </w:tcPr>
          <w:p w14:paraId="3BC94B68">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门、墙壁、天花板、灯饰、牌匾等</w:t>
            </w:r>
          </w:p>
        </w:tc>
        <w:tc>
          <w:tcPr>
            <w:tcW w:w="1791" w:type="pct"/>
            <w:noWrap w:val="0"/>
            <w:vAlign w:val="center"/>
          </w:tcPr>
          <w:p w14:paraId="1F544737">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除每次会前以及会议后保洁外，每周保洁1次，并做到随时保洁。</w:t>
            </w:r>
          </w:p>
        </w:tc>
        <w:tc>
          <w:tcPr>
            <w:tcW w:w="1250" w:type="pct"/>
            <w:noWrap w:val="0"/>
            <w:vAlign w:val="center"/>
          </w:tcPr>
          <w:p w14:paraId="7BBBEFC2">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干净明亮、无积尘、无污渍。</w:t>
            </w:r>
          </w:p>
        </w:tc>
      </w:tr>
      <w:tr w14:paraId="2FA32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539" w:type="pct"/>
            <w:vMerge w:val="continue"/>
            <w:noWrap w:val="0"/>
            <w:vAlign w:val="center"/>
          </w:tcPr>
          <w:p w14:paraId="011558B5">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p>
        </w:tc>
        <w:tc>
          <w:tcPr>
            <w:tcW w:w="1418" w:type="pct"/>
            <w:noWrap w:val="0"/>
            <w:vAlign w:val="center"/>
          </w:tcPr>
          <w:p w14:paraId="3C2067B3">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会议台、桌椅、沙发</w:t>
            </w:r>
          </w:p>
        </w:tc>
        <w:tc>
          <w:tcPr>
            <w:tcW w:w="1791" w:type="pct"/>
            <w:noWrap w:val="0"/>
            <w:vAlign w:val="center"/>
          </w:tcPr>
          <w:p w14:paraId="0B89F772">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除每次会前以及会议后保洁外，每周擦洗1次，并做到随时保洁。</w:t>
            </w:r>
          </w:p>
        </w:tc>
        <w:tc>
          <w:tcPr>
            <w:tcW w:w="1250" w:type="pct"/>
            <w:noWrap w:val="0"/>
            <w:vAlign w:val="center"/>
          </w:tcPr>
          <w:p w14:paraId="55DB9AB9">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干净明亮、无积尘、无污渍。</w:t>
            </w:r>
          </w:p>
        </w:tc>
      </w:tr>
      <w:tr w14:paraId="7A1CB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539" w:type="pct"/>
            <w:vMerge w:val="continue"/>
            <w:noWrap w:val="0"/>
            <w:vAlign w:val="center"/>
          </w:tcPr>
          <w:p w14:paraId="21B19819">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p>
        </w:tc>
        <w:tc>
          <w:tcPr>
            <w:tcW w:w="1418" w:type="pct"/>
            <w:noWrap w:val="0"/>
            <w:vAlign w:val="center"/>
          </w:tcPr>
          <w:p w14:paraId="476DBB6E">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玻璃窗</w:t>
            </w:r>
          </w:p>
        </w:tc>
        <w:tc>
          <w:tcPr>
            <w:tcW w:w="1791" w:type="pct"/>
            <w:noWrap w:val="0"/>
            <w:vAlign w:val="center"/>
          </w:tcPr>
          <w:p w14:paraId="336E40A9">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每月保洁2次并进行刮洗，并做到随时保洁。</w:t>
            </w:r>
          </w:p>
        </w:tc>
        <w:tc>
          <w:tcPr>
            <w:tcW w:w="1250" w:type="pct"/>
            <w:noWrap w:val="0"/>
            <w:vAlign w:val="center"/>
          </w:tcPr>
          <w:p w14:paraId="0446396A">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干净明亮、无积尘、无污渍。</w:t>
            </w:r>
          </w:p>
        </w:tc>
      </w:tr>
      <w:tr w14:paraId="73AA8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539" w:type="pct"/>
            <w:vMerge w:val="continue"/>
            <w:noWrap w:val="0"/>
            <w:vAlign w:val="center"/>
          </w:tcPr>
          <w:p w14:paraId="1DD0E5F4">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p>
        </w:tc>
        <w:tc>
          <w:tcPr>
            <w:tcW w:w="1418" w:type="pct"/>
            <w:noWrap w:val="0"/>
            <w:vAlign w:val="center"/>
          </w:tcPr>
          <w:p w14:paraId="24F88534">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墙面</w:t>
            </w:r>
          </w:p>
        </w:tc>
        <w:tc>
          <w:tcPr>
            <w:tcW w:w="1791" w:type="pct"/>
            <w:noWrap w:val="0"/>
            <w:vAlign w:val="center"/>
          </w:tcPr>
          <w:p w14:paraId="2A8DFB96">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随时保洁。</w:t>
            </w:r>
          </w:p>
        </w:tc>
        <w:tc>
          <w:tcPr>
            <w:tcW w:w="1250" w:type="pct"/>
            <w:noWrap w:val="0"/>
            <w:vAlign w:val="center"/>
          </w:tcPr>
          <w:p w14:paraId="40D2FF68">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无积尘、无污渍。</w:t>
            </w:r>
          </w:p>
        </w:tc>
      </w:tr>
      <w:tr w14:paraId="7A5F7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539" w:type="pct"/>
            <w:vMerge w:val="continue"/>
            <w:noWrap w:val="0"/>
            <w:vAlign w:val="center"/>
          </w:tcPr>
          <w:p w14:paraId="0FEC69E9">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p>
        </w:tc>
        <w:tc>
          <w:tcPr>
            <w:tcW w:w="1418" w:type="pct"/>
            <w:noWrap w:val="0"/>
            <w:vAlign w:val="center"/>
          </w:tcPr>
          <w:p w14:paraId="61450356">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除每次会前以及会议后保洁外，做到随时保洁。</w:t>
            </w:r>
          </w:p>
        </w:tc>
        <w:tc>
          <w:tcPr>
            <w:tcW w:w="1791" w:type="pct"/>
            <w:noWrap w:val="0"/>
            <w:vAlign w:val="center"/>
          </w:tcPr>
          <w:p w14:paraId="1F00987F">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随时保洁。</w:t>
            </w:r>
          </w:p>
        </w:tc>
        <w:tc>
          <w:tcPr>
            <w:tcW w:w="1250" w:type="pct"/>
            <w:noWrap w:val="0"/>
            <w:vAlign w:val="center"/>
          </w:tcPr>
          <w:p w14:paraId="2D43C0B4">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干净明亮、无积尘、无污渍。</w:t>
            </w:r>
          </w:p>
        </w:tc>
      </w:tr>
      <w:tr w14:paraId="59185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539" w:type="pct"/>
            <w:vMerge w:val="restart"/>
            <w:noWrap w:val="0"/>
            <w:vAlign w:val="center"/>
          </w:tcPr>
          <w:p w14:paraId="28507F52">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洗手间</w:t>
            </w:r>
          </w:p>
        </w:tc>
        <w:tc>
          <w:tcPr>
            <w:tcW w:w="1418" w:type="pct"/>
            <w:noWrap w:val="0"/>
            <w:vAlign w:val="center"/>
          </w:tcPr>
          <w:p w14:paraId="79C8FC39">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理容镜、洗手台（池）</w:t>
            </w:r>
          </w:p>
        </w:tc>
        <w:tc>
          <w:tcPr>
            <w:tcW w:w="1791" w:type="pct"/>
            <w:noWrap w:val="0"/>
            <w:vAlign w:val="center"/>
          </w:tcPr>
          <w:p w14:paraId="1DD2F22E">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每日擦拭1次，并做到随时保洁。</w:t>
            </w:r>
          </w:p>
        </w:tc>
        <w:tc>
          <w:tcPr>
            <w:tcW w:w="1250" w:type="pct"/>
            <w:noWrap w:val="0"/>
            <w:vAlign w:val="center"/>
          </w:tcPr>
          <w:p w14:paraId="38D7E462">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光亮、目视无污迹、手试无积尘、无污渍。</w:t>
            </w:r>
          </w:p>
        </w:tc>
      </w:tr>
      <w:tr w14:paraId="7165C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539" w:type="pct"/>
            <w:vMerge w:val="continue"/>
            <w:noWrap w:val="0"/>
            <w:vAlign w:val="center"/>
          </w:tcPr>
          <w:p w14:paraId="096A8A82">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p>
        </w:tc>
        <w:tc>
          <w:tcPr>
            <w:tcW w:w="1418" w:type="pct"/>
            <w:noWrap w:val="0"/>
            <w:vAlign w:val="center"/>
          </w:tcPr>
          <w:p w14:paraId="1F8C71E9">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门</w:t>
            </w:r>
          </w:p>
        </w:tc>
        <w:tc>
          <w:tcPr>
            <w:tcW w:w="1791" w:type="pct"/>
            <w:noWrap w:val="0"/>
            <w:vAlign w:val="center"/>
          </w:tcPr>
          <w:p w14:paraId="7D97455C">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随时保洁。</w:t>
            </w:r>
          </w:p>
        </w:tc>
        <w:tc>
          <w:tcPr>
            <w:tcW w:w="1250" w:type="pct"/>
            <w:noWrap w:val="0"/>
            <w:vAlign w:val="center"/>
          </w:tcPr>
          <w:p w14:paraId="06370028">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无积尘、无污渍。</w:t>
            </w:r>
          </w:p>
        </w:tc>
      </w:tr>
      <w:tr w14:paraId="388E9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539" w:type="pct"/>
            <w:vMerge w:val="continue"/>
            <w:noWrap w:val="0"/>
            <w:vAlign w:val="center"/>
          </w:tcPr>
          <w:p w14:paraId="25CB0307">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p>
        </w:tc>
        <w:tc>
          <w:tcPr>
            <w:tcW w:w="1418" w:type="pct"/>
            <w:noWrap w:val="0"/>
            <w:vAlign w:val="center"/>
          </w:tcPr>
          <w:p w14:paraId="0A1A6977">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天花板、灯饰、牌</w:t>
            </w:r>
          </w:p>
        </w:tc>
        <w:tc>
          <w:tcPr>
            <w:tcW w:w="1791" w:type="pct"/>
            <w:noWrap w:val="0"/>
            <w:vAlign w:val="center"/>
          </w:tcPr>
          <w:p w14:paraId="67431946">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每周保洁1次，并做到随时保洁。</w:t>
            </w:r>
          </w:p>
        </w:tc>
        <w:tc>
          <w:tcPr>
            <w:tcW w:w="1250" w:type="pct"/>
            <w:noWrap w:val="0"/>
            <w:vAlign w:val="center"/>
          </w:tcPr>
          <w:p w14:paraId="20CBEDCC">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无积尘、无污渍，无蜘蛛网。</w:t>
            </w:r>
          </w:p>
        </w:tc>
      </w:tr>
      <w:tr w14:paraId="7F58E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539" w:type="pct"/>
            <w:vMerge w:val="continue"/>
            <w:noWrap w:val="0"/>
            <w:vAlign w:val="center"/>
          </w:tcPr>
          <w:p w14:paraId="2472C293">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p>
        </w:tc>
        <w:tc>
          <w:tcPr>
            <w:tcW w:w="1418" w:type="pct"/>
            <w:noWrap w:val="0"/>
            <w:vAlign w:val="center"/>
          </w:tcPr>
          <w:p w14:paraId="29D17C2C">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玻璃窗</w:t>
            </w:r>
          </w:p>
        </w:tc>
        <w:tc>
          <w:tcPr>
            <w:tcW w:w="1791" w:type="pct"/>
            <w:noWrap w:val="0"/>
            <w:vAlign w:val="center"/>
          </w:tcPr>
          <w:p w14:paraId="261C1D75">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每月刮洗1次，并做到随时保洁。</w:t>
            </w:r>
          </w:p>
        </w:tc>
        <w:tc>
          <w:tcPr>
            <w:tcW w:w="1250" w:type="pct"/>
            <w:noWrap w:val="0"/>
            <w:vAlign w:val="center"/>
          </w:tcPr>
          <w:p w14:paraId="3AFF697A">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光亮，无积尘、无污渍。</w:t>
            </w:r>
          </w:p>
        </w:tc>
      </w:tr>
      <w:tr w14:paraId="2F6B9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539" w:type="pct"/>
            <w:vMerge w:val="continue"/>
            <w:noWrap w:val="0"/>
            <w:vAlign w:val="center"/>
          </w:tcPr>
          <w:p w14:paraId="6DADE6B1">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p>
        </w:tc>
        <w:tc>
          <w:tcPr>
            <w:tcW w:w="1418" w:type="pct"/>
            <w:noWrap w:val="0"/>
            <w:vAlign w:val="center"/>
          </w:tcPr>
          <w:p w14:paraId="24C20F72">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厕位</w:t>
            </w:r>
          </w:p>
        </w:tc>
        <w:tc>
          <w:tcPr>
            <w:tcW w:w="1791" w:type="pct"/>
            <w:noWrap w:val="0"/>
            <w:vAlign w:val="center"/>
          </w:tcPr>
          <w:p w14:paraId="7B7C4B74">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每日冲洗2次，每月更换香球1次，并做到随时保洁。</w:t>
            </w:r>
          </w:p>
        </w:tc>
        <w:tc>
          <w:tcPr>
            <w:tcW w:w="1250" w:type="pct"/>
            <w:noWrap w:val="0"/>
            <w:vAlign w:val="center"/>
          </w:tcPr>
          <w:p w14:paraId="6A88B71C">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洁净，无污渍，无杂物，无积水，无异味。</w:t>
            </w:r>
          </w:p>
        </w:tc>
      </w:tr>
      <w:tr w14:paraId="4860F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539" w:type="pct"/>
            <w:vMerge w:val="continue"/>
            <w:noWrap w:val="0"/>
            <w:vAlign w:val="center"/>
          </w:tcPr>
          <w:p w14:paraId="338AFCB3">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p>
        </w:tc>
        <w:tc>
          <w:tcPr>
            <w:tcW w:w="1418" w:type="pct"/>
            <w:noWrap w:val="0"/>
            <w:vAlign w:val="center"/>
          </w:tcPr>
          <w:p w14:paraId="347FBF79">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小便池</w:t>
            </w:r>
          </w:p>
        </w:tc>
        <w:tc>
          <w:tcPr>
            <w:tcW w:w="1791" w:type="pct"/>
            <w:noWrap w:val="0"/>
            <w:vAlign w:val="center"/>
          </w:tcPr>
          <w:p w14:paraId="4DE4CEFA">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每日至少全面清扫2次，并做到随时保洁。</w:t>
            </w:r>
          </w:p>
        </w:tc>
        <w:tc>
          <w:tcPr>
            <w:tcW w:w="1250" w:type="pct"/>
            <w:noWrap w:val="0"/>
            <w:vAlign w:val="center"/>
          </w:tcPr>
          <w:p w14:paraId="3AF7F414">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洁净，无污渍，无杂物，无积水，无异味。</w:t>
            </w:r>
          </w:p>
        </w:tc>
      </w:tr>
      <w:tr w14:paraId="1D6BA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539" w:type="pct"/>
            <w:vMerge w:val="restart"/>
            <w:noWrap w:val="0"/>
            <w:vAlign w:val="center"/>
          </w:tcPr>
          <w:p w14:paraId="103B8E9F">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外环境</w:t>
            </w:r>
          </w:p>
        </w:tc>
        <w:tc>
          <w:tcPr>
            <w:tcW w:w="1418" w:type="pct"/>
            <w:noWrap w:val="0"/>
            <w:vAlign w:val="center"/>
          </w:tcPr>
          <w:p w14:paraId="1F9CA741">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垃圾桶</w:t>
            </w:r>
          </w:p>
        </w:tc>
        <w:tc>
          <w:tcPr>
            <w:tcW w:w="1791" w:type="pct"/>
            <w:noWrap w:val="0"/>
            <w:vAlign w:val="center"/>
          </w:tcPr>
          <w:p w14:paraId="3E89DE82">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每日清除1次，每周刷洗1次，并做到随时保洁。</w:t>
            </w:r>
          </w:p>
        </w:tc>
        <w:tc>
          <w:tcPr>
            <w:tcW w:w="1250" w:type="pct"/>
            <w:noWrap w:val="0"/>
            <w:vAlign w:val="center"/>
          </w:tcPr>
          <w:p w14:paraId="6C2B407C">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日产日洗，无积尘，无污渍。</w:t>
            </w:r>
          </w:p>
        </w:tc>
      </w:tr>
      <w:tr w14:paraId="4CB9E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539" w:type="pct"/>
            <w:vMerge w:val="continue"/>
            <w:noWrap w:val="0"/>
            <w:vAlign w:val="center"/>
          </w:tcPr>
          <w:p w14:paraId="73E18C28">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p>
        </w:tc>
        <w:tc>
          <w:tcPr>
            <w:tcW w:w="1418" w:type="pct"/>
            <w:noWrap w:val="0"/>
            <w:vAlign w:val="center"/>
          </w:tcPr>
          <w:p w14:paraId="697A15AD">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路面、停车厂</w:t>
            </w:r>
          </w:p>
        </w:tc>
        <w:tc>
          <w:tcPr>
            <w:tcW w:w="1791" w:type="pct"/>
            <w:noWrap w:val="0"/>
            <w:vAlign w:val="center"/>
          </w:tcPr>
          <w:p w14:paraId="6222CF5B">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每日至少全面清扫1次，并做到随时保洁。</w:t>
            </w:r>
          </w:p>
        </w:tc>
        <w:tc>
          <w:tcPr>
            <w:tcW w:w="1250" w:type="pct"/>
            <w:noWrap w:val="0"/>
            <w:vAlign w:val="center"/>
          </w:tcPr>
          <w:p w14:paraId="32172498">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无杂物，无积水，无严重污渍。</w:t>
            </w:r>
          </w:p>
        </w:tc>
      </w:tr>
      <w:tr w14:paraId="33B3E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539" w:type="pct"/>
            <w:vMerge w:val="continue"/>
            <w:noWrap w:val="0"/>
            <w:vAlign w:val="center"/>
          </w:tcPr>
          <w:p w14:paraId="0B74E8C7">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p>
        </w:tc>
        <w:tc>
          <w:tcPr>
            <w:tcW w:w="1418" w:type="pct"/>
            <w:noWrap w:val="0"/>
            <w:vAlign w:val="center"/>
          </w:tcPr>
          <w:p w14:paraId="14C050E5">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花池沿</w:t>
            </w:r>
          </w:p>
        </w:tc>
        <w:tc>
          <w:tcPr>
            <w:tcW w:w="1791" w:type="pct"/>
            <w:noWrap w:val="0"/>
            <w:vAlign w:val="center"/>
          </w:tcPr>
          <w:p w14:paraId="2AB6F701">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每日至少全面清扫1次，并做到随时保洁。</w:t>
            </w:r>
          </w:p>
        </w:tc>
        <w:tc>
          <w:tcPr>
            <w:tcW w:w="1250" w:type="pct"/>
            <w:noWrap w:val="0"/>
            <w:vAlign w:val="center"/>
          </w:tcPr>
          <w:p w14:paraId="0E7103A4">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无纸屑、烟头、树叶等杂物。</w:t>
            </w:r>
          </w:p>
        </w:tc>
      </w:tr>
      <w:tr w14:paraId="34D17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539" w:type="pct"/>
            <w:vMerge w:val="continue"/>
            <w:noWrap w:val="0"/>
            <w:vAlign w:val="center"/>
          </w:tcPr>
          <w:p w14:paraId="0F1E55C3">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p>
        </w:tc>
        <w:tc>
          <w:tcPr>
            <w:tcW w:w="1418" w:type="pct"/>
            <w:noWrap w:val="0"/>
            <w:vAlign w:val="center"/>
          </w:tcPr>
          <w:p w14:paraId="00053766">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水沟</w:t>
            </w:r>
          </w:p>
        </w:tc>
        <w:tc>
          <w:tcPr>
            <w:tcW w:w="1791" w:type="pct"/>
            <w:noWrap w:val="0"/>
            <w:vAlign w:val="center"/>
          </w:tcPr>
          <w:p w14:paraId="66F10AB0">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明沟每日清除1次，暗沟每季度清理1次。</w:t>
            </w:r>
          </w:p>
        </w:tc>
        <w:tc>
          <w:tcPr>
            <w:tcW w:w="1250" w:type="pct"/>
            <w:noWrap w:val="0"/>
            <w:vAlign w:val="center"/>
          </w:tcPr>
          <w:p w14:paraId="6200A778">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保持清洁，畅通无堵。</w:t>
            </w:r>
          </w:p>
        </w:tc>
      </w:tr>
      <w:tr w14:paraId="3BBE6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539" w:type="pct"/>
            <w:vMerge w:val="continue"/>
            <w:noWrap w:val="0"/>
            <w:vAlign w:val="center"/>
          </w:tcPr>
          <w:p w14:paraId="69D27010">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p>
        </w:tc>
        <w:tc>
          <w:tcPr>
            <w:tcW w:w="1418" w:type="pct"/>
            <w:noWrap w:val="0"/>
            <w:vAlign w:val="center"/>
          </w:tcPr>
          <w:p w14:paraId="1B2C0E96">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门岗房、电动门</w:t>
            </w:r>
          </w:p>
        </w:tc>
        <w:tc>
          <w:tcPr>
            <w:tcW w:w="1791" w:type="pct"/>
            <w:noWrap w:val="0"/>
            <w:vAlign w:val="center"/>
          </w:tcPr>
          <w:p w14:paraId="0EC692AE">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每日保洁1次</w:t>
            </w:r>
          </w:p>
        </w:tc>
        <w:tc>
          <w:tcPr>
            <w:tcW w:w="1250" w:type="pct"/>
            <w:noWrap w:val="0"/>
            <w:vAlign w:val="center"/>
          </w:tcPr>
          <w:p w14:paraId="3C0EC411">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无积尘、无污渍。</w:t>
            </w:r>
          </w:p>
        </w:tc>
      </w:tr>
      <w:tr w14:paraId="64775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539" w:type="pct"/>
            <w:vMerge w:val="continue"/>
            <w:noWrap w:val="0"/>
            <w:vAlign w:val="center"/>
          </w:tcPr>
          <w:p w14:paraId="2CD00896">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p>
        </w:tc>
        <w:tc>
          <w:tcPr>
            <w:tcW w:w="1418" w:type="pct"/>
            <w:noWrap w:val="0"/>
            <w:vAlign w:val="center"/>
          </w:tcPr>
          <w:p w14:paraId="1854CB0C">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二次供水池清洗</w:t>
            </w:r>
          </w:p>
        </w:tc>
        <w:tc>
          <w:tcPr>
            <w:tcW w:w="1791" w:type="pct"/>
            <w:noWrap w:val="0"/>
            <w:vAlign w:val="center"/>
          </w:tcPr>
          <w:p w14:paraId="1D559752">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每年清洗2次。</w:t>
            </w:r>
          </w:p>
        </w:tc>
        <w:tc>
          <w:tcPr>
            <w:tcW w:w="1250" w:type="pct"/>
            <w:noWrap w:val="0"/>
            <w:vAlign w:val="center"/>
          </w:tcPr>
          <w:p w14:paraId="2236E4D1">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水质达到国家饮用水标准。</w:t>
            </w:r>
          </w:p>
        </w:tc>
      </w:tr>
      <w:tr w14:paraId="5CD7F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539" w:type="pct"/>
            <w:vMerge w:val="continue"/>
            <w:noWrap w:val="0"/>
            <w:vAlign w:val="center"/>
          </w:tcPr>
          <w:p w14:paraId="559266F7">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p>
        </w:tc>
        <w:tc>
          <w:tcPr>
            <w:tcW w:w="1418" w:type="pct"/>
            <w:noWrap w:val="0"/>
            <w:vAlign w:val="center"/>
          </w:tcPr>
          <w:p w14:paraId="1203F17B">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化粪池</w:t>
            </w:r>
          </w:p>
        </w:tc>
        <w:tc>
          <w:tcPr>
            <w:tcW w:w="1791" w:type="pct"/>
            <w:noWrap w:val="0"/>
            <w:vAlign w:val="center"/>
          </w:tcPr>
          <w:p w14:paraId="7F7B000F">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每年清理1次。</w:t>
            </w:r>
          </w:p>
        </w:tc>
        <w:tc>
          <w:tcPr>
            <w:tcW w:w="1250" w:type="pct"/>
            <w:noWrap w:val="0"/>
            <w:vAlign w:val="center"/>
          </w:tcPr>
          <w:p w14:paraId="0842319E">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无堵塞、粪水无外溢。</w:t>
            </w:r>
          </w:p>
        </w:tc>
      </w:tr>
      <w:tr w14:paraId="30284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539" w:type="pct"/>
            <w:vMerge w:val="continue"/>
            <w:noWrap w:val="0"/>
            <w:vAlign w:val="center"/>
          </w:tcPr>
          <w:p w14:paraId="18927360">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p>
        </w:tc>
        <w:tc>
          <w:tcPr>
            <w:tcW w:w="1418" w:type="pct"/>
            <w:noWrap w:val="0"/>
            <w:vAlign w:val="center"/>
          </w:tcPr>
          <w:p w14:paraId="1091AF77">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管道</w:t>
            </w:r>
          </w:p>
        </w:tc>
        <w:tc>
          <w:tcPr>
            <w:tcW w:w="1791" w:type="pct"/>
            <w:noWrap w:val="0"/>
            <w:vAlign w:val="center"/>
          </w:tcPr>
          <w:p w14:paraId="17D2D9FA">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所有在用管道如出现堵塞现象，必须及时进行疏通。</w:t>
            </w:r>
          </w:p>
        </w:tc>
        <w:tc>
          <w:tcPr>
            <w:tcW w:w="1250" w:type="pct"/>
            <w:noWrap w:val="0"/>
            <w:vAlign w:val="center"/>
          </w:tcPr>
          <w:p w14:paraId="48BC69D2">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保证所有在用管道畅通。</w:t>
            </w:r>
          </w:p>
        </w:tc>
      </w:tr>
      <w:tr w14:paraId="0D898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539" w:type="pct"/>
            <w:vMerge w:val="continue"/>
            <w:noWrap w:val="0"/>
            <w:vAlign w:val="center"/>
          </w:tcPr>
          <w:p w14:paraId="508E0B70">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p>
        </w:tc>
        <w:tc>
          <w:tcPr>
            <w:tcW w:w="1418" w:type="pct"/>
            <w:noWrap w:val="0"/>
            <w:vAlign w:val="center"/>
          </w:tcPr>
          <w:p w14:paraId="3027AC0B">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楼顶</w:t>
            </w:r>
          </w:p>
        </w:tc>
        <w:tc>
          <w:tcPr>
            <w:tcW w:w="1791" w:type="pct"/>
            <w:noWrap w:val="0"/>
            <w:vAlign w:val="center"/>
          </w:tcPr>
          <w:p w14:paraId="61774250">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随时保洁。</w:t>
            </w:r>
          </w:p>
        </w:tc>
        <w:tc>
          <w:tcPr>
            <w:tcW w:w="1250" w:type="pct"/>
            <w:noWrap w:val="0"/>
            <w:vAlign w:val="center"/>
          </w:tcPr>
          <w:p w14:paraId="48C57851">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无垃圾、无堵塞。</w:t>
            </w:r>
          </w:p>
        </w:tc>
      </w:tr>
      <w:tr w14:paraId="1DD79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539" w:type="pct"/>
            <w:noWrap w:val="0"/>
            <w:vAlign w:val="center"/>
          </w:tcPr>
          <w:p w14:paraId="22ED5B9C">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其他</w:t>
            </w:r>
          </w:p>
        </w:tc>
        <w:tc>
          <w:tcPr>
            <w:tcW w:w="1418" w:type="pct"/>
            <w:noWrap w:val="0"/>
            <w:vAlign w:val="center"/>
          </w:tcPr>
          <w:p w14:paraId="62581DC2">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投诉处理</w:t>
            </w:r>
          </w:p>
        </w:tc>
        <w:tc>
          <w:tcPr>
            <w:tcW w:w="1791" w:type="pct"/>
            <w:noWrap w:val="0"/>
            <w:vAlign w:val="center"/>
          </w:tcPr>
          <w:p w14:paraId="17CD19CE">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投诉在1个工作日内响应，3个工作日内办结反馈。</w:t>
            </w:r>
          </w:p>
        </w:tc>
        <w:tc>
          <w:tcPr>
            <w:tcW w:w="1250" w:type="pct"/>
            <w:noWrap w:val="0"/>
            <w:vAlign w:val="center"/>
          </w:tcPr>
          <w:p w14:paraId="2ECC5914">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卫生保洁服务投诉应及时处理，并将处理结果反馈给业主。</w:t>
            </w:r>
          </w:p>
        </w:tc>
      </w:tr>
    </w:tbl>
    <w:p w14:paraId="6B740C28">
      <w:pPr>
        <w:pStyle w:val="2"/>
        <w:numPr>
          <w:ilvl w:val="0"/>
          <w:numId w:val="0"/>
        </w:numPr>
        <w:tabs>
          <w:tab w:val="left" w:pos="1364"/>
        </w:tabs>
        <w:topLinePunct w:val="0"/>
        <w:ind w:left="0" w:leftChars="0" w:firstLine="482" w:firstLineChars="200"/>
        <w:rPr>
          <w:rFonts w:hint="eastAsia" w:ascii="Times New Roman" w:hAnsi="Times New Roman" w:cs="Times New Roman"/>
          <w:kern w:val="0"/>
          <w:sz w:val="24"/>
          <w:szCs w:val="21"/>
          <w:highlight w:val="none"/>
          <w:lang w:bidi="ar-SA"/>
        </w:rPr>
      </w:pPr>
      <w:r>
        <w:rPr>
          <w:rFonts w:hint="eastAsia" w:ascii="Times New Roman" w:hAnsi="Times New Roman" w:eastAsia="宋体" w:cs="Times New Roman"/>
          <w:b/>
          <w:kern w:val="0"/>
          <w:sz w:val="24"/>
          <w:szCs w:val="21"/>
          <w:lang w:val="en-US" w:eastAsia="zh-CN" w:bidi="ar-SA"/>
        </w:rPr>
        <w:t>（</w:t>
      </w:r>
      <w:r>
        <w:rPr>
          <w:rFonts w:hint="eastAsia" w:ascii="Times New Roman" w:hAnsi="Times New Roman" w:cs="Times New Roman"/>
          <w:b/>
          <w:kern w:val="0"/>
          <w:sz w:val="24"/>
          <w:szCs w:val="21"/>
          <w:lang w:val="en-US" w:eastAsia="zh-CN" w:bidi="ar-SA"/>
        </w:rPr>
        <w:t>二</w:t>
      </w:r>
      <w:r>
        <w:rPr>
          <w:rFonts w:hint="eastAsia" w:ascii="Times New Roman" w:hAnsi="Times New Roman" w:eastAsia="宋体" w:cs="Times New Roman"/>
          <w:b/>
          <w:kern w:val="0"/>
          <w:sz w:val="24"/>
          <w:szCs w:val="21"/>
          <w:lang w:val="en-US" w:eastAsia="zh-CN" w:bidi="ar-SA"/>
        </w:rPr>
        <w:t>）</w:t>
      </w:r>
      <w:r>
        <w:rPr>
          <w:rFonts w:hint="default" w:ascii="Times New Roman" w:hAnsi="Times New Roman" w:cs="Times New Roman"/>
          <w:kern w:val="0"/>
          <w:sz w:val="24"/>
          <w:szCs w:val="21"/>
          <w:highlight w:val="none"/>
          <w:lang w:bidi="ar-SA"/>
        </w:rPr>
        <w:t>办公区公共秩序维护服务工作要求与服务标准</w:t>
      </w:r>
    </w:p>
    <w:p w14:paraId="06BF4065">
      <w:pPr>
        <w:pStyle w:val="4"/>
        <w:numPr>
          <w:ilvl w:val="0"/>
          <w:numId w:val="6"/>
        </w:numPr>
        <w:tabs>
          <w:tab w:val="left" w:pos="780"/>
          <w:tab w:val="clear" w:pos="210"/>
        </w:tabs>
        <w:ind w:left="0" w:leftChars="0" w:firstLine="480" w:firstLineChars="200"/>
        <w:rPr>
          <w:rFonts w:ascii="Times New Roman" w:hAnsi="Times New Roman" w:eastAsia="宋体" w:cs="Times New Roman"/>
          <w:b w:val="0"/>
          <w:sz w:val="24"/>
          <w:highlight w:val="none"/>
        </w:rPr>
      </w:pPr>
      <w:r>
        <w:rPr>
          <w:rFonts w:hint="eastAsia" w:ascii="Times New Roman" w:hAnsi="Times New Roman" w:eastAsia="宋体" w:cs="Times New Roman"/>
          <w:sz w:val="24"/>
          <w:highlight w:val="none"/>
        </w:rPr>
        <w:t>公共秩序维护人员（也称保安员）须确保24小时专人专职值班。专职值班的公共秩序维护人员，须安排持有公安机关核发的《保安员证》的人员上岗。</w:t>
      </w:r>
    </w:p>
    <w:p w14:paraId="1C18401D">
      <w:pPr>
        <w:pStyle w:val="4"/>
        <w:numPr>
          <w:ilvl w:val="0"/>
          <w:numId w:val="6"/>
        </w:numPr>
        <w:tabs>
          <w:tab w:val="left" w:pos="780"/>
          <w:tab w:val="clear" w:pos="210"/>
        </w:tabs>
        <w:ind w:left="0" w:leftChars="0" w:firstLine="480" w:firstLineChars="200"/>
        <w:rPr>
          <w:rFonts w:ascii="Times New Roman" w:hAnsi="Times New Roman" w:eastAsia="宋体" w:cs="Times New Roman"/>
          <w:b w:val="0"/>
          <w:sz w:val="24"/>
          <w:highlight w:val="none"/>
        </w:rPr>
      </w:pPr>
      <w:r>
        <w:rPr>
          <w:rFonts w:ascii="Times New Roman" w:hAnsi="Times New Roman" w:eastAsia="宋体" w:cs="Times New Roman"/>
          <w:sz w:val="24"/>
          <w:highlight w:val="none"/>
        </w:rPr>
        <w:t>做好进出办公区人员、车辆和物品验证、登记管理，建立外来人员、车辆登记管理制度。</w:t>
      </w:r>
    </w:p>
    <w:p w14:paraId="161D1865">
      <w:pPr>
        <w:pStyle w:val="4"/>
        <w:numPr>
          <w:ilvl w:val="0"/>
          <w:numId w:val="6"/>
        </w:numPr>
        <w:tabs>
          <w:tab w:val="left" w:pos="780"/>
          <w:tab w:val="clear" w:pos="210"/>
        </w:tabs>
        <w:ind w:left="0" w:leftChars="0" w:firstLine="480" w:firstLineChars="200"/>
        <w:rPr>
          <w:rFonts w:ascii="Times New Roman" w:hAnsi="Times New Roman" w:eastAsia="宋体" w:cs="Times New Roman"/>
          <w:b w:val="0"/>
          <w:sz w:val="24"/>
          <w:highlight w:val="none"/>
        </w:rPr>
      </w:pPr>
      <w:r>
        <w:rPr>
          <w:rFonts w:ascii="Times New Roman" w:hAnsi="Times New Roman" w:eastAsia="宋体" w:cs="Times New Roman"/>
          <w:sz w:val="24"/>
          <w:highlight w:val="none"/>
        </w:rPr>
        <w:t>督导办公区内车辆摆放整齐有序，确保道路畅通。</w:t>
      </w:r>
    </w:p>
    <w:p w14:paraId="1FA36DBA">
      <w:pPr>
        <w:pStyle w:val="4"/>
        <w:numPr>
          <w:ilvl w:val="0"/>
          <w:numId w:val="6"/>
        </w:numPr>
        <w:tabs>
          <w:tab w:val="left" w:pos="780"/>
          <w:tab w:val="clear" w:pos="210"/>
        </w:tabs>
        <w:ind w:left="0" w:leftChars="0" w:firstLine="480" w:firstLineChars="200"/>
        <w:rPr>
          <w:rFonts w:ascii="Times New Roman" w:hAnsi="Times New Roman" w:eastAsia="宋体" w:cs="Times New Roman"/>
          <w:b w:val="0"/>
          <w:sz w:val="24"/>
          <w:highlight w:val="none"/>
        </w:rPr>
      </w:pPr>
      <w:r>
        <w:rPr>
          <w:rFonts w:ascii="Times New Roman" w:hAnsi="Times New Roman" w:eastAsia="宋体" w:cs="Times New Roman"/>
          <w:sz w:val="24"/>
          <w:highlight w:val="none"/>
        </w:rPr>
        <w:t>按时交接班，坚守岗位，严禁空班、漏班、迟到、早退和擅离职守，不得酗酒、打牌、贻误值班工作，认真做好值班记录。</w:t>
      </w:r>
    </w:p>
    <w:p w14:paraId="54D32413">
      <w:pPr>
        <w:pStyle w:val="4"/>
        <w:numPr>
          <w:ilvl w:val="0"/>
          <w:numId w:val="6"/>
        </w:numPr>
        <w:tabs>
          <w:tab w:val="left" w:pos="780"/>
          <w:tab w:val="clear" w:pos="210"/>
        </w:tabs>
        <w:ind w:left="0" w:leftChars="0" w:firstLine="480" w:firstLineChars="200"/>
        <w:rPr>
          <w:rFonts w:ascii="Times New Roman" w:hAnsi="Times New Roman" w:eastAsia="宋体" w:cs="Times New Roman"/>
          <w:b w:val="0"/>
          <w:sz w:val="24"/>
          <w:highlight w:val="none"/>
        </w:rPr>
      </w:pPr>
      <w:r>
        <w:rPr>
          <w:rFonts w:ascii="Times New Roman" w:hAnsi="Times New Roman" w:eastAsia="宋体" w:cs="Times New Roman"/>
          <w:sz w:val="24"/>
          <w:highlight w:val="none"/>
        </w:rPr>
        <w:t>加强对办公区的巡查，确保办公区安全无事故，对可能的突发事件制定应急预案。</w:t>
      </w:r>
    </w:p>
    <w:p w14:paraId="30BFA55C">
      <w:pPr>
        <w:pStyle w:val="4"/>
        <w:numPr>
          <w:ilvl w:val="0"/>
          <w:numId w:val="6"/>
        </w:numPr>
        <w:tabs>
          <w:tab w:val="left" w:pos="780"/>
          <w:tab w:val="clear" w:pos="210"/>
        </w:tabs>
        <w:ind w:left="0" w:leftChars="0" w:firstLine="480" w:firstLineChars="200"/>
        <w:rPr>
          <w:rFonts w:ascii="Times New Roman" w:hAnsi="Times New Roman" w:eastAsia="宋体" w:cs="Times New Roman"/>
          <w:sz w:val="24"/>
          <w:highlight w:val="none"/>
        </w:rPr>
      </w:pPr>
      <w:r>
        <w:rPr>
          <w:rFonts w:ascii="Times New Roman" w:hAnsi="Times New Roman" w:eastAsia="宋体" w:cs="Times New Roman"/>
          <w:sz w:val="24"/>
          <w:highlight w:val="none"/>
        </w:rPr>
        <w:t>发现突发事件时，</w:t>
      </w:r>
      <w:r>
        <w:rPr>
          <w:rFonts w:hint="eastAsia" w:ascii="Times New Roman" w:hAnsi="Times New Roman" w:eastAsia="宋体" w:cs="Times New Roman"/>
          <w:sz w:val="24"/>
          <w:highlight w:val="none"/>
          <w:lang w:eastAsia="zh-CN"/>
        </w:rPr>
        <w:t>应第一时间</w:t>
      </w:r>
      <w:r>
        <w:rPr>
          <w:rFonts w:ascii="Times New Roman" w:hAnsi="Times New Roman" w:eastAsia="宋体" w:cs="Times New Roman"/>
          <w:sz w:val="24"/>
          <w:highlight w:val="none"/>
        </w:rPr>
        <w:t>向甲方</w:t>
      </w:r>
      <w:r>
        <w:rPr>
          <w:rFonts w:hint="eastAsia" w:ascii="Times New Roman" w:hAnsi="Times New Roman" w:eastAsia="宋体" w:cs="Times New Roman"/>
          <w:sz w:val="24"/>
          <w:highlight w:val="none"/>
          <w:lang w:eastAsia="zh-CN"/>
        </w:rPr>
        <w:t>指定联系人</w:t>
      </w:r>
      <w:r>
        <w:rPr>
          <w:rFonts w:ascii="Times New Roman" w:hAnsi="Times New Roman" w:eastAsia="宋体" w:cs="Times New Roman"/>
          <w:sz w:val="24"/>
          <w:highlight w:val="none"/>
        </w:rPr>
        <w:t>上报，并根据</w:t>
      </w:r>
      <w:r>
        <w:rPr>
          <w:rFonts w:hint="eastAsia" w:ascii="Times New Roman" w:hAnsi="Times New Roman" w:eastAsia="宋体" w:cs="Times New Roman"/>
          <w:sz w:val="24"/>
          <w:highlight w:val="none"/>
          <w:lang w:eastAsia="zh-CN"/>
        </w:rPr>
        <w:t>甲方事前认可的</w:t>
      </w:r>
      <w:r>
        <w:rPr>
          <w:rFonts w:ascii="Times New Roman" w:hAnsi="Times New Roman" w:eastAsia="宋体" w:cs="Times New Roman"/>
          <w:sz w:val="24"/>
          <w:highlight w:val="none"/>
        </w:rPr>
        <w:t>应急预案采取相应应急措施。</w:t>
      </w:r>
    </w:p>
    <w:p w14:paraId="01737A84">
      <w:pPr>
        <w:pStyle w:val="4"/>
        <w:numPr>
          <w:ilvl w:val="0"/>
          <w:numId w:val="6"/>
        </w:numPr>
        <w:tabs>
          <w:tab w:val="left" w:pos="780"/>
          <w:tab w:val="clear" w:pos="210"/>
        </w:tabs>
        <w:ind w:left="0" w:leftChars="0" w:firstLine="480" w:firstLineChars="200"/>
        <w:rPr>
          <w:rFonts w:ascii="Times New Roman" w:hAnsi="Times New Roman" w:eastAsia="宋体" w:cs="Times New Roman"/>
          <w:b w:val="0"/>
          <w:sz w:val="24"/>
          <w:highlight w:val="none"/>
        </w:rPr>
      </w:pPr>
      <w:r>
        <w:rPr>
          <w:rFonts w:ascii="Times New Roman" w:hAnsi="Times New Roman" w:eastAsia="宋体" w:cs="Times New Roman"/>
          <w:sz w:val="24"/>
          <w:highlight w:val="none"/>
        </w:rPr>
        <w:t>做好办公区防火、防盗、防灾（如水灾）等安全防范工作，协助记录照明故障、水管漏水等维修事项。</w:t>
      </w:r>
    </w:p>
    <w:p w14:paraId="6FE7418C">
      <w:pPr>
        <w:pStyle w:val="4"/>
        <w:numPr>
          <w:ilvl w:val="0"/>
          <w:numId w:val="6"/>
        </w:numPr>
        <w:tabs>
          <w:tab w:val="left" w:pos="780"/>
          <w:tab w:val="clear" w:pos="210"/>
        </w:tabs>
        <w:ind w:left="0" w:leftChars="0" w:firstLine="480" w:firstLineChars="200"/>
        <w:rPr>
          <w:rFonts w:ascii="Times New Roman" w:hAnsi="Times New Roman" w:eastAsia="宋体" w:cs="Times New Roman"/>
          <w:b w:val="0"/>
          <w:sz w:val="24"/>
          <w:highlight w:val="none"/>
        </w:rPr>
      </w:pPr>
      <w:r>
        <w:rPr>
          <w:rFonts w:ascii="Times New Roman" w:hAnsi="Times New Roman" w:eastAsia="宋体" w:cs="Times New Roman"/>
          <w:sz w:val="24"/>
          <w:highlight w:val="none"/>
        </w:rPr>
        <w:t>服务时间为服务期内的周一至周日，实行24小时值班制度。乙方可依据公司内部规定，保障员工的休息权益。乙方应通过合理的排班轮休制度，确保服务人员在每周轮班中至少获得连续24小时的休息时间，</w:t>
      </w:r>
    </w:p>
    <w:p w14:paraId="34CE9EAE">
      <w:pPr>
        <w:pStyle w:val="4"/>
        <w:numPr>
          <w:ilvl w:val="0"/>
          <w:numId w:val="6"/>
        </w:numPr>
        <w:tabs>
          <w:tab w:val="left" w:pos="780"/>
          <w:tab w:val="clear" w:pos="210"/>
        </w:tabs>
        <w:ind w:left="0" w:leftChars="0" w:firstLine="480" w:firstLineChars="200"/>
        <w:rPr>
          <w:rFonts w:ascii="Times New Roman" w:hAnsi="Times New Roman" w:eastAsia="宋体" w:cs="Times New Roman"/>
          <w:b w:val="0"/>
          <w:sz w:val="24"/>
          <w:highlight w:val="none"/>
        </w:rPr>
      </w:pPr>
      <w:r>
        <w:rPr>
          <w:rFonts w:ascii="Times New Roman" w:hAnsi="Times New Roman" w:eastAsia="宋体" w:cs="Times New Roman"/>
          <w:sz w:val="24"/>
          <w:highlight w:val="none"/>
        </w:rPr>
        <w:t>具体服务内容、工作要求及标准详见“表二”。</w:t>
      </w:r>
    </w:p>
    <w:p w14:paraId="29EDE390">
      <w:pPr>
        <w:pStyle w:val="12"/>
        <w:widowControl/>
        <w:ind w:left="0" w:leftChars="0" w:firstLine="0" w:firstLineChars="0"/>
        <w:outlineLvl w:val="9"/>
        <w:rPr>
          <w:highlight w:val="none"/>
        </w:rPr>
      </w:pPr>
      <w:r>
        <w:rPr>
          <w:highlight w:val="none"/>
        </w:rPr>
        <w:t>表二：办公区公共秩序维持服务内容、工作要求及标准</w:t>
      </w: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3"/>
        <w:gridCol w:w="1879"/>
        <w:gridCol w:w="3660"/>
        <w:gridCol w:w="2157"/>
      </w:tblGrid>
      <w:tr w14:paraId="38D7D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83" w:type="pct"/>
            <w:noWrap w:val="0"/>
            <w:vAlign w:val="center"/>
          </w:tcPr>
          <w:p w14:paraId="20B20770">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区域</w:t>
            </w:r>
          </w:p>
        </w:tc>
        <w:tc>
          <w:tcPr>
            <w:tcW w:w="1102" w:type="pct"/>
            <w:noWrap w:val="0"/>
            <w:vAlign w:val="center"/>
          </w:tcPr>
          <w:p w14:paraId="7250ED6E">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服务内容</w:t>
            </w:r>
          </w:p>
        </w:tc>
        <w:tc>
          <w:tcPr>
            <w:tcW w:w="2147" w:type="pct"/>
            <w:noWrap w:val="0"/>
            <w:vAlign w:val="center"/>
          </w:tcPr>
          <w:p w14:paraId="571DC55E">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工作要求</w:t>
            </w:r>
          </w:p>
        </w:tc>
        <w:tc>
          <w:tcPr>
            <w:tcW w:w="1265" w:type="pct"/>
            <w:noWrap w:val="0"/>
            <w:vAlign w:val="center"/>
          </w:tcPr>
          <w:p w14:paraId="22D52E30">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工作标准</w:t>
            </w:r>
          </w:p>
        </w:tc>
      </w:tr>
      <w:tr w14:paraId="24106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trPr>
        <w:tc>
          <w:tcPr>
            <w:tcW w:w="483" w:type="pct"/>
            <w:noWrap w:val="0"/>
            <w:vAlign w:val="center"/>
          </w:tcPr>
          <w:p w14:paraId="626BBA9F">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门岗</w:t>
            </w:r>
          </w:p>
        </w:tc>
        <w:tc>
          <w:tcPr>
            <w:tcW w:w="1102" w:type="pct"/>
            <w:noWrap w:val="0"/>
            <w:vAlign w:val="center"/>
          </w:tcPr>
          <w:p w14:paraId="6FBD6620">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人员、车辆和物品验证及登记管理</w:t>
            </w:r>
          </w:p>
        </w:tc>
        <w:tc>
          <w:tcPr>
            <w:tcW w:w="2147" w:type="pct"/>
            <w:noWrap w:val="0"/>
            <w:vAlign w:val="center"/>
          </w:tcPr>
          <w:p w14:paraId="1FC28C27">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每日24小时必须专人坐岗，确需暂时离岗，必须由巡护秩序员顶班坐岗。坐班时，要对所有进出人员、车辆和物品验证、登记管理。</w:t>
            </w:r>
          </w:p>
        </w:tc>
        <w:tc>
          <w:tcPr>
            <w:tcW w:w="1265" w:type="pct"/>
            <w:noWrap w:val="0"/>
            <w:vAlign w:val="center"/>
          </w:tcPr>
          <w:p w14:paraId="7778FD14">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无可疑人员、车辆及物品进入办公场所</w:t>
            </w:r>
          </w:p>
        </w:tc>
      </w:tr>
      <w:tr w14:paraId="2A5C9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483" w:type="pct"/>
            <w:vMerge w:val="restart"/>
            <w:noWrap w:val="0"/>
            <w:vAlign w:val="center"/>
          </w:tcPr>
          <w:p w14:paraId="43755EDB">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办公区</w:t>
            </w:r>
          </w:p>
        </w:tc>
        <w:tc>
          <w:tcPr>
            <w:tcW w:w="1102" w:type="pct"/>
            <w:noWrap w:val="0"/>
            <w:vAlign w:val="center"/>
          </w:tcPr>
          <w:p w14:paraId="0BA27407">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办公区安防巡查，以及防火、防灾等巡查</w:t>
            </w:r>
          </w:p>
        </w:tc>
        <w:tc>
          <w:tcPr>
            <w:tcW w:w="2147" w:type="pct"/>
            <w:noWrap w:val="0"/>
            <w:vAlign w:val="center"/>
          </w:tcPr>
          <w:p w14:paraId="5217A10E">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每日24小时进行不间断巡查，特别是对重点部位定时巡查，巡查时不留死角。</w:t>
            </w:r>
          </w:p>
        </w:tc>
        <w:tc>
          <w:tcPr>
            <w:tcW w:w="1265" w:type="pct"/>
            <w:noWrap w:val="0"/>
            <w:vAlign w:val="center"/>
          </w:tcPr>
          <w:p w14:paraId="329B4EC0">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未发生一般及以上安防事件、偷盗行为、火灾或其他灾害事件。</w:t>
            </w:r>
          </w:p>
        </w:tc>
      </w:tr>
      <w:tr w14:paraId="5EA58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483" w:type="pct"/>
            <w:vMerge w:val="continue"/>
            <w:noWrap w:val="0"/>
            <w:vAlign w:val="center"/>
          </w:tcPr>
          <w:p w14:paraId="2385BDD0">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p>
        </w:tc>
        <w:tc>
          <w:tcPr>
            <w:tcW w:w="1102" w:type="pct"/>
            <w:noWrap w:val="0"/>
            <w:vAlign w:val="center"/>
          </w:tcPr>
          <w:p w14:paraId="5A655FF8">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出入车辆秩序维护</w:t>
            </w:r>
          </w:p>
        </w:tc>
        <w:tc>
          <w:tcPr>
            <w:tcW w:w="2147" w:type="pct"/>
            <w:noWrap w:val="0"/>
            <w:vAlign w:val="center"/>
          </w:tcPr>
          <w:p w14:paraId="28CC6F65">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专职秩序维护员负责督导进出车辆顺利出入，摆放秩序整齐有序</w:t>
            </w:r>
          </w:p>
        </w:tc>
        <w:tc>
          <w:tcPr>
            <w:tcW w:w="1265" w:type="pct"/>
            <w:noWrap w:val="0"/>
            <w:vAlign w:val="center"/>
          </w:tcPr>
          <w:p w14:paraId="7C088854">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车辆出入与摆放有序。</w:t>
            </w:r>
          </w:p>
        </w:tc>
      </w:tr>
      <w:tr w14:paraId="6F3C5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483" w:type="pct"/>
            <w:vMerge w:val="continue"/>
            <w:noWrap w:val="0"/>
            <w:vAlign w:val="center"/>
          </w:tcPr>
          <w:p w14:paraId="5F9EC775">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p>
        </w:tc>
        <w:tc>
          <w:tcPr>
            <w:tcW w:w="1102" w:type="pct"/>
            <w:noWrap w:val="0"/>
            <w:vAlign w:val="center"/>
          </w:tcPr>
          <w:p w14:paraId="4300076E">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设施设备故障报告与协助维修</w:t>
            </w:r>
          </w:p>
        </w:tc>
        <w:tc>
          <w:tcPr>
            <w:tcW w:w="2147" w:type="pct"/>
            <w:noWrap w:val="0"/>
            <w:vAlign w:val="center"/>
          </w:tcPr>
          <w:p w14:paraId="327FCA00">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巡查时，发现公用设施设备故障及时报告，并协助水电工及时维修。</w:t>
            </w:r>
          </w:p>
        </w:tc>
        <w:tc>
          <w:tcPr>
            <w:tcW w:w="1265" w:type="pct"/>
            <w:noWrap w:val="0"/>
            <w:vAlign w:val="center"/>
          </w:tcPr>
          <w:p w14:paraId="3CF8B801">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保证办公及其他日常工作顺利进行。</w:t>
            </w:r>
          </w:p>
        </w:tc>
      </w:tr>
      <w:tr w14:paraId="38151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483" w:type="pct"/>
            <w:vMerge w:val="continue"/>
            <w:noWrap w:val="0"/>
            <w:vAlign w:val="center"/>
          </w:tcPr>
          <w:p w14:paraId="247899CD">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p>
        </w:tc>
        <w:tc>
          <w:tcPr>
            <w:tcW w:w="1102" w:type="pct"/>
            <w:noWrap w:val="0"/>
            <w:vAlign w:val="center"/>
          </w:tcPr>
          <w:p w14:paraId="231CACC4">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突发事件处置处理</w:t>
            </w:r>
          </w:p>
        </w:tc>
        <w:tc>
          <w:tcPr>
            <w:tcW w:w="2147" w:type="pct"/>
            <w:noWrap w:val="0"/>
            <w:vAlign w:val="center"/>
          </w:tcPr>
          <w:p w14:paraId="3C307214">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发现突发事件时，立即拨打110或119，并根据应急预案采取相应的应急措施。</w:t>
            </w:r>
          </w:p>
        </w:tc>
        <w:tc>
          <w:tcPr>
            <w:tcW w:w="1265" w:type="pct"/>
            <w:noWrap w:val="0"/>
            <w:vAlign w:val="center"/>
          </w:tcPr>
          <w:p w14:paraId="65CA0E4F">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突发事件及时妥善处置处理，不产生不良后果。</w:t>
            </w:r>
          </w:p>
        </w:tc>
      </w:tr>
      <w:tr w14:paraId="3DB61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483" w:type="pct"/>
            <w:vMerge w:val="restart"/>
            <w:noWrap w:val="0"/>
            <w:vAlign w:val="center"/>
          </w:tcPr>
          <w:p w14:paraId="0CFFF546">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服务需求响应</w:t>
            </w:r>
          </w:p>
        </w:tc>
        <w:tc>
          <w:tcPr>
            <w:tcW w:w="1102" w:type="pct"/>
            <w:noWrap w:val="0"/>
            <w:vAlign w:val="center"/>
          </w:tcPr>
          <w:p w14:paraId="3F81D504">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服务需求申报</w:t>
            </w:r>
          </w:p>
        </w:tc>
        <w:tc>
          <w:tcPr>
            <w:tcW w:w="2147" w:type="pct"/>
            <w:noWrap w:val="0"/>
            <w:vAlign w:val="center"/>
          </w:tcPr>
          <w:p w14:paraId="51E3E0AE">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接到服务需求申报时，必须立即做出响应。</w:t>
            </w:r>
          </w:p>
        </w:tc>
        <w:tc>
          <w:tcPr>
            <w:tcW w:w="1265" w:type="pct"/>
            <w:noWrap w:val="0"/>
            <w:vAlign w:val="center"/>
          </w:tcPr>
          <w:p w14:paraId="2612FFC3">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响应及时、服务到位。</w:t>
            </w:r>
          </w:p>
        </w:tc>
      </w:tr>
      <w:tr w14:paraId="664A3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trPr>
        <w:tc>
          <w:tcPr>
            <w:tcW w:w="483" w:type="pct"/>
            <w:vMerge w:val="continue"/>
            <w:noWrap w:val="0"/>
            <w:vAlign w:val="center"/>
          </w:tcPr>
          <w:p w14:paraId="4560C04A">
            <w:pPr>
              <w:keepNext w:val="0"/>
              <w:keepLines w:val="0"/>
              <w:widowControl/>
              <w:suppressLineNumbers w:val="0"/>
              <w:jc w:val="center"/>
              <w:textAlignment w:val="center"/>
              <w:rPr>
                <w:rFonts w:hint="eastAsia" w:ascii="仿宋" w:hAnsi="仿宋" w:eastAsia="仿宋" w:cs="仿宋"/>
                <w:b w:val="0"/>
                <w:i w:val="0"/>
                <w:iCs w:val="0"/>
                <w:color w:val="000000"/>
                <w:kern w:val="0"/>
                <w:sz w:val="24"/>
                <w:szCs w:val="24"/>
                <w:highlight w:val="none"/>
                <w:u w:val="none"/>
                <w:lang w:val="en-US" w:eastAsia="zh-CN" w:bidi="ar"/>
              </w:rPr>
            </w:pPr>
          </w:p>
        </w:tc>
        <w:tc>
          <w:tcPr>
            <w:tcW w:w="1102" w:type="pct"/>
            <w:noWrap w:val="0"/>
            <w:vAlign w:val="center"/>
          </w:tcPr>
          <w:p w14:paraId="1B3187F1">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投诉处理</w:t>
            </w:r>
          </w:p>
        </w:tc>
        <w:tc>
          <w:tcPr>
            <w:tcW w:w="2147" w:type="pct"/>
            <w:noWrap w:val="0"/>
            <w:vAlign w:val="center"/>
          </w:tcPr>
          <w:p w14:paraId="36B2468B">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投诉在1个工作日内响应，3个工作日内办结反馈。</w:t>
            </w:r>
          </w:p>
        </w:tc>
        <w:tc>
          <w:tcPr>
            <w:tcW w:w="1265" w:type="pct"/>
            <w:noWrap w:val="0"/>
            <w:vAlign w:val="center"/>
          </w:tcPr>
          <w:p w14:paraId="047B86A7">
            <w:pPr>
              <w:keepNext w:val="0"/>
              <w:keepLines w:val="0"/>
              <w:widowControl/>
              <w:suppressLineNumbers w:val="0"/>
              <w:jc w:val="left"/>
              <w:textAlignment w:val="center"/>
              <w:rPr>
                <w:rFonts w:hint="eastAsia" w:ascii="仿宋" w:hAnsi="仿宋" w:eastAsia="仿宋" w:cs="仿宋"/>
                <w:b w:val="0"/>
                <w:i w:val="0"/>
                <w:iCs w:val="0"/>
                <w:color w:val="000000"/>
                <w:kern w:val="0"/>
                <w:sz w:val="24"/>
                <w:szCs w:val="24"/>
                <w:highlight w:val="none"/>
                <w:u w:val="none"/>
                <w:lang w:val="en-US" w:eastAsia="zh-CN" w:bidi="ar"/>
              </w:rPr>
            </w:pPr>
            <w:r>
              <w:rPr>
                <w:rFonts w:hint="eastAsia" w:ascii="仿宋" w:hAnsi="仿宋" w:eastAsia="仿宋" w:cs="仿宋"/>
                <w:b w:val="0"/>
                <w:i w:val="0"/>
                <w:iCs w:val="0"/>
                <w:color w:val="000000"/>
                <w:kern w:val="0"/>
                <w:sz w:val="24"/>
                <w:szCs w:val="24"/>
                <w:highlight w:val="none"/>
                <w:u w:val="none"/>
                <w:lang w:val="en-US" w:eastAsia="zh-CN" w:bidi="ar"/>
              </w:rPr>
              <w:t>秩序维护服务投诉应及时处理，并将处理结果反馈给业主单位。</w:t>
            </w:r>
          </w:p>
        </w:tc>
      </w:tr>
    </w:tbl>
    <w:p w14:paraId="3B56108D">
      <w:pPr>
        <w:pStyle w:val="2"/>
        <w:numPr>
          <w:ilvl w:val="0"/>
          <w:numId w:val="0"/>
        </w:numPr>
        <w:tabs>
          <w:tab w:val="left" w:pos="1364"/>
        </w:tabs>
        <w:topLinePunct w:val="0"/>
        <w:ind w:left="0" w:leftChars="0" w:firstLine="482" w:firstLineChars="200"/>
        <w:rPr>
          <w:rFonts w:hint="eastAsia" w:ascii="Times New Roman" w:hAnsi="Times New Roman" w:cs="Times New Roman"/>
          <w:kern w:val="0"/>
          <w:sz w:val="24"/>
          <w:szCs w:val="21"/>
          <w:highlight w:val="none"/>
          <w:lang w:bidi="ar-SA"/>
        </w:rPr>
      </w:pPr>
      <w:r>
        <w:rPr>
          <w:rFonts w:hint="eastAsia" w:ascii="Times New Roman" w:hAnsi="Times New Roman" w:eastAsia="宋体" w:cs="Times New Roman"/>
          <w:b/>
          <w:kern w:val="0"/>
          <w:sz w:val="24"/>
          <w:szCs w:val="21"/>
          <w:lang w:val="en-US" w:eastAsia="zh-CN" w:bidi="ar-SA"/>
        </w:rPr>
        <w:t>（</w:t>
      </w:r>
      <w:r>
        <w:rPr>
          <w:rFonts w:hint="eastAsia" w:ascii="Times New Roman" w:hAnsi="Times New Roman" w:cs="Times New Roman"/>
          <w:b/>
          <w:kern w:val="0"/>
          <w:sz w:val="24"/>
          <w:szCs w:val="21"/>
          <w:lang w:val="en-US" w:eastAsia="zh-CN" w:bidi="ar-SA"/>
        </w:rPr>
        <w:t>三</w:t>
      </w:r>
      <w:r>
        <w:rPr>
          <w:rFonts w:hint="eastAsia" w:ascii="Times New Roman" w:hAnsi="Times New Roman" w:eastAsia="宋体" w:cs="Times New Roman"/>
          <w:b/>
          <w:kern w:val="0"/>
          <w:sz w:val="24"/>
          <w:szCs w:val="21"/>
          <w:lang w:val="en-US" w:eastAsia="zh-CN" w:bidi="ar-SA"/>
        </w:rPr>
        <w:t>）</w:t>
      </w:r>
      <w:r>
        <w:rPr>
          <w:rFonts w:hint="default" w:ascii="Times New Roman" w:hAnsi="Times New Roman" w:cs="Times New Roman"/>
          <w:kern w:val="0"/>
          <w:sz w:val="24"/>
          <w:szCs w:val="21"/>
          <w:highlight w:val="none"/>
          <w:lang w:bidi="ar-SA"/>
        </w:rPr>
        <w:t>水电设施设备系统日常维修养护及管理工作要求与服务标准</w:t>
      </w:r>
    </w:p>
    <w:p w14:paraId="47EF0A6D">
      <w:pPr>
        <w:pStyle w:val="4"/>
        <w:numPr>
          <w:ilvl w:val="0"/>
          <w:numId w:val="7"/>
        </w:numPr>
        <w:tabs>
          <w:tab w:val="left" w:pos="780"/>
          <w:tab w:val="clear" w:pos="210"/>
        </w:tabs>
        <w:ind w:left="0" w:leftChars="0" w:firstLine="480" w:firstLineChars="200"/>
        <w:rPr>
          <w:rFonts w:ascii="Times New Roman" w:hAnsi="Times New Roman" w:eastAsia="宋体" w:cs="Times New Roman"/>
          <w:b w:val="0"/>
          <w:sz w:val="24"/>
          <w:highlight w:val="none"/>
        </w:rPr>
      </w:pPr>
      <w:r>
        <w:rPr>
          <w:rFonts w:ascii="Times New Roman" w:hAnsi="Times New Roman" w:eastAsia="宋体" w:cs="Times New Roman"/>
          <w:sz w:val="24"/>
          <w:highlight w:val="none"/>
        </w:rPr>
        <w:t>定期检查办公区内共用部位、共用设施设备的运行状况及线路情况，并做好记录。</w:t>
      </w:r>
    </w:p>
    <w:p w14:paraId="021B3F5B">
      <w:pPr>
        <w:pStyle w:val="4"/>
        <w:numPr>
          <w:ilvl w:val="0"/>
          <w:numId w:val="7"/>
        </w:numPr>
        <w:tabs>
          <w:tab w:val="left" w:pos="780"/>
          <w:tab w:val="clear" w:pos="210"/>
        </w:tabs>
        <w:ind w:left="0" w:leftChars="0" w:firstLine="480" w:firstLineChars="200"/>
        <w:rPr>
          <w:rFonts w:ascii="Times New Roman" w:hAnsi="Times New Roman" w:eastAsia="宋体" w:cs="Times New Roman"/>
          <w:b w:val="0"/>
          <w:sz w:val="24"/>
          <w:highlight w:val="none"/>
        </w:rPr>
      </w:pPr>
      <w:r>
        <w:rPr>
          <w:rFonts w:ascii="Times New Roman" w:hAnsi="Times New Roman" w:eastAsia="宋体" w:cs="Times New Roman"/>
          <w:sz w:val="24"/>
          <w:highlight w:val="none"/>
        </w:rPr>
        <w:t>开展办公区内供电设备、线路及灯具、开关、用电设施的日常维护、更换和维修。</w:t>
      </w:r>
    </w:p>
    <w:p w14:paraId="677A3585">
      <w:pPr>
        <w:pStyle w:val="4"/>
        <w:numPr>
          <w:ilvl w:val="0"/>
          <w:numId w:val="7"/>
        </w:numPr>
        <w:tabs>
          <w:tab w:val="left" w:pos="780"/>
          <w:tab w:val="clear" w:pos="210"/>
        </w:tabs>
        <w:ind w:left="0" w:leftChars="0" w:firstLine="480" w:firstLineChars="200"/>
        <w:rPr>
          <w:rFonts w:ascii="Times New Roman" w:hAnsi="Times New Roman" w:eastAsia="宋体" w:cs="Times New Roman"/>
          <w:b w:val="0"/>
          <w:sz w:val="24"/>
          <w:highlight w:val="none"/>
        </w:rPr>
      </w:pPr>
      <w:r>
        <w:rPr>
          <w:rFonts w:ascii="Times New Roman" w:hAnsi="Times New Roman" w:eastAsia="宋体" w:cs="Times New Roman"/>
          <w:sz w:val="24"/>
          <w:highlight w:val="none"/>
        </w:rPr>
        <w:t>做好办公区内供（排）水管线及用（排）水设备的日常维护、更换和维修，确保供水畅通无渗漏，确保屋面、卫生间及区内场地排水畅通无堵塞。</w:t>
      </w:r>
    </w:p>
    <w:p w14:paraId="76364862">
      <w:pPr>
        <w:pStyle w:val="4"/>
        <w:numPr>
          <w:ilvl w:val="0"/>
          <w:numId w:val="7"/>
        </w:numPr>
        <w:tabs>
          <w:tab w:val="left" w:pos="780"/>
          <w:tab w:val="clear" w:pos="210"/>
        </w:tabs>
        <w:ind w:left="0" w:leftChars="0" w:firstLine="480" w:firstLineChars="200"/>
        <w:rPr>
          <w:rFonts w:ascii="Times New Roman" w:hAnsi="Times New Roman" w:eastAsia="宋体" w:cs="Times New Roman"/>
          <w:b w:val="0"/>
          <w:sz w:val="24"/>
          <w:highlight w:val="none"/>
        </w:rPr>
      </w:pPr>
      <w:r>
        <w:rPr>
          <w:rFonts w:ascii="Times New Roman" w:hAnsi="Times New Roman" w:eastAsia="宋体" w:cs="Times New Roman"/>
          <w:sz w:val="24"/>
          <w:highlight w:val="none"/>
        </w:rPr>
        <w:t>做好办公区亮化美化工程的日常维护管理。</w:t>
      </w:r>
    </w:p>
    <w:p w14:paraId="45FE6267">
      <w:pPr>
        <w:pStyle w:val="4"/>
        <w:numPr>
          <w:ilvl w:val="0"/>
          <w:numId w:val="7"/>
        </w:numPr>
        <w:tabs>
          <w:tab w:val="left" w:pos="780"/>
          <w:tab w:val="clear" w:pos="210"/>
        </w:tabs>
        <w:ind w:left="0" w:leftChars="0" w:firstLine="480" w:firstLineChars="200"/>
        <w:rPr>
          <w:rFonts w:ascii="Times New Roman" w:hAnsi="Times New Roman" w:eastAsia="宋体" w:cs="Times New Roman"/>
          <w:b w:val="0"/>
          <w:sz w:val="24"/>
          <w:highlight w:val="none"/>
        </w:rPr>
      </w:pPr>
      <w:r>
        <w:rPr>
          <w:rFonts w:ascii="Times New Roman" w:hAnsi="Times New Roman" w:eastAsia="宋体" w:cs="Times New Roman"/>
          <w:sz w:val="24"/>
          <w:highlight w:val="none"/>
        </w:rPr>
        <w:t>完成水电工范围内的其他工作。</w:t>
      </w:r>
    </w:p>
    <w:p w14:paraId="1A90B658">
      <w:pPr>
        <w:pStyle w:val="4"/>
        <w:numPr>
          <w:ilvl w:val="0"/>
          <w:numId w:val="7"/>
        </w:numPr>
        <w:tabs>
          <w:tab w:val="left" w:pos="780"/>
          <w:tab w:val="clear" w:pos="210"/>
        </w:tabs>
        <w:ind w:left="0" w:leftChars="0" w:firstLine="480" w:firstLineChars="200"/>
        <w:rPr>
          <w:rFonts w:ascii="Times New Roman" w:hAnsi="Times New Roman" w:eastAsia="宋体" w:cs="Times New Roman"/>
          <w:b w:val="0"/>
          <w:sz w:val="24"/>
          <w:highlight w:val="none"/>
        </w:rPr>
      </w:pPr>
      <w:r>
        <w:rPr>
          <w:rFonts w:ascii="Times New Roman" w:hAnsi="Times New Roman" w:eastAsia="宋体" w:cs="Times New Roman"/>
          <w:sz w:val="24"/>
          <w:highlight w:val="none"/>
        </w:rPr>
        <w:t>服务时间为服务期内的周一至周日，需根据服务单位的要求和实际需求及时响应并开展工作。对于重大突发险情，应在1小时内到达现场并开展维修维护工作。乙方可依据公司内部规定，保障员工的休息权益。</w:t>
      </w:r>
    </w:p>
    <w:p w14:paraId="12B34C93">
      <w:pPr>
        <w:pStyle w:val="4"/>
        <w:numPr>
          <w:ilvl w:val="0"/>
          <w:numId w:val="7"/>
        </w:numPr>
        <w:tabs>
          <w:tab w:val="left" w:pos="780"/>
          <w:tab w:val="clear" w:pos="210"/>
        </w:tabs>
        <w:ind w:left="0" w:leftChars="0" w:firstLine="480" w:firstLineChars="200"/>
        <w:rPr>
          <w:rFonts w:ascii="Times New Roman" w:hAnsi="Times New Roman" w:eastAsia="宋体" w:cs="Times New Roman"/>
          <w:b w:val="0"/>
          <w:sz w:val="24"/>
          <w:highlight w:val="none"/>
        </w:rPr>
      </w:pPr>
      <w:r>
        <w:rPr>
          <w:rFonts w:ascii="Times New Roman" w:hAnsi="Times New Roman" w:eastAsia="宋体" w:cs="Times New Roman"/>
          <w:sz w:val="24"/>
          <w:highlight w:val="none"/>
        </w:rPr>
        <w:t>具体管理内容、工作要求及标准详见“表三”。</w:t>
      </w:r>
    </w:p>
    <w:p w14:paraId="2E621844">
      <w:pPr>
        <w:pStyle w:val="12"/>
        <w:widowControl/>
        <w:ind w:left="0" w:leftChars="0" w:firstLine="0" w:firstLineChars="0"/>
        <w:outlineLvl w:val="9"/>
        <w:rPr>
          <w:highlight w:val="none"/>
        </w:rPr>
      </w:pPr>
      <w:r>
        <w:rPr>
          <w:highlight w:val="none"/>
        </w:rPr>
        <w:t>表三：水电设施设备系统日常维修养护具体管理内容、工作要求及标准</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8"/>
        <w:gridCol w:w="1722"/>
        <w:gridCol w:w="3780"/>
        <w:gridCol w:w="2132"/>
      </w:tblGrid>
      <w:tr w14:paraId="2EAEF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pct"/>
            <w:noWrap w:val="0"/>
            <w:vAlign w:val="top"/>
          </w:tcPr>
          <w:p w14:paraId="5EB0D101">
            <w:pPr>
              <w:keepNext w:val="0"/>
              <w:keepLines w:val="0"/>
              <w:widowControl/>
              <w:suppressLineNumbers w:val="0"/>
              <w:jc w:val="center"/>
              <w:textAlignment w:val="center"/>
              <w:rPr>
                <w:rFonts w:hint="eastAsia" w:ascii="仿宋" w:hAnsi="仿宋" w:eastAsia="仿宋" w:cs="仿宋"/>
                <w:b/>
                <w:bCs w:val="0"/>
                <w:i w:val="0"/>
                <w:iCs w:val="0"/>
                <w:color w:val="000000"/>
                <w:kern w:val="0"/>
                <w:sz w:val="24"/>
                <w:szCs w:val="24"/>
                <w:highlight w:val="none"/>
                <w:u w:val="none"/>
                <w:lang w:val="en-US" w:eastAsia="zh-CN" w:bidi="ar"/>
              </w:rPr>
            </w:pPr>
            <w:r>
              <w:rPr>
                <w:rFonts w:hint="eastAsia" w:ascii="仿宋" w:hAnsi="仿宋" w:eastAsia="仿宋" w:cs="仿宋"/>
                <w:b/>
                <w:bCs w:val="0"/>
                <w:i w:val="0"/>
                <w:iCs w:val="0"/>
                <w:color w:val="000000"/>
                <w:kern w:val="0"/>
                <w:sz w:val="24"/>
                <w:szCs w:val="24"/>
                <w:highlight w:val="none"/>
                <w:u w:val="none"/>
                <w:lang w:val="en-US" w:eastAsia="zh-CN" w:bidi="ar"/>
              </w:rPr>
              <w:t>区域</w:t>
            </w:r>
          </w:p>
        </w:tc>
        <w:tc>
          <w:tcPr>
            <w:tcW w:w="1010" w:type="pct"/>
            <w:noWrap w:val="0"/>
            <w:vAlign w:val="top"/>
          </w:tcPr>
          <w:p w14:paraId="54D7AFB6">
            <w:pPr>
              <w:keepNext w:val="0"/>
              <w:keepLines w:val="0"/>
              <w:widowControl/>
              <w:suppressLineNumbers w:val="0"/>
              <w:jc w:val="center"/>
              <w:textAlignment w:val="center"/>
              <w:rPr>
                <w:rFonts w:hint="eastAsia" w:ascii="仿宋" w:hAnsi="仿宋" w:eastAsia="仿宋" w:cs="仿宋"/>
                <w:b/>
                <w:bCs w:val="0"/>
                <w:i w:val="0"/>
                <w:iCs w:val="0"/>
                <w:color w:val="000000"/>
                <w:kern w:val="0"/>
                <w:sz w:val="24"/>
                <w:szCs w:val="24"/>
                <w:highlight w:val="none"/>
                <w:u w:val="none"/>
                <w:lang w:val="en-US" w:eastAsia="zh-CN" w:bidi="ar"/>
              </w:rPr>
            </w:pPr>
            <w:r>
              <w:rPr>
                <w:rFonts w:hint="eastAsia" w:ascii="仿宋" w:hAnsi="仿宋" w:eastAsia="仿宋" w:cs="仿宋"/>
                <w:b/>
                <w:bCs w:val="0"/>
                <w:i w:val="0"/>
                <w:iCs w:val="0"/>
                <w:color w:val="000000"/>
                <w:kern w:val="0"/>
                <w:sz w:val="24"/>
                <w:szCs w:val="24"/>
                <w:highlight w:val="none"/>
                <w:u w:val="none"/>
                <w:lang w:val="en-US" w:eastAsia="zh-CN" w:bidi="ar"/>
              </w:rPr>
              <w:t>服务内容</w:t>
            </w:r>
          </w:p>
        </w:tc>
        <w:tc>
          <w:tcPr>
            <w:tcW w:w="2217" w:type="pct"/>
            <w:noWrap w:val="0"/>
            <w:vAlign w:val="top"/>
          </w:tcPr>
          <w:p w14:paraId="4B189062">
            <w:pPr>
              <w:keepNext w:val="0"/>
              <w:keepLines w:val="0"/>
              <w:widowControl/>
              <w:suppressLineNumbers w:val="0"/>
              <w:jc w:val="center"/>
              <w:textAlignment w:val="center"/>
              <w:rPr>
                <w:rFonts w:hint="eastAsia" w:ascii="仿宋" w:hAnsi="仿宋" w:eastAsia="仿宋" w:cs="仿宋"/>
                <w:b/>
                <w:bCs w:val="0"/>
                <w:i w:val="0"/>
                <w:iCs w:val="0"/>
                <w:color w:val="000000"/>
                <w:kern w:val="0"/>
                <w:sz w:val="24"/>
                <w:szCs w:val="24"/>
                <w:highlight w:val="none"/>
                <w:u w:val="none"/>
                <w:lang w:val="en-US" w:eastAsia="zh-CN" w:bidi="ar"/>
              </w:rPr>
            </w:pPr>
            <w:r>
              <w:rPr>
                <w:rFonts w:hint="eastAsia" w:ascii="仿宋" w:hAnsi="仿宋" w:eastAsia="仿宋" w:cs="仿宋"/>
                <w:b/>
                <w:bCs w:val="0"/>
                <w:i w:val="0"/>
                <w:iCs w:val="0"/>
                <w:color w:val="000000"/>
                <w:kern w:val="0"/>
                <w:sz w:val="24"/>
                <w:szCs w:val="24"/>
                <w:highlight w:val="none"/>
                <w:u w:val="none"/>
                <w:lang w:val="en-US" w:eastAsia="zh-CN" w:bidi="ar"/>
              </w:rPr>
              <w:t>工作要求</w:t>
            </w:r>
          </w:p>
        </w:tc>
        <w:tc>
          <w:tcPr>
            <w:tcW w:w="1250" w:type="pct"/>
            <w:noWrap w:val="0"/>
            <w:vAlign w:val="top"/>
          </w:tcPr>
          <w:p w14:paraId="207D4801">
            <w:pPr>
              <w:keepNext w:val="0"/>
              <w:keepLines w:val="0"/>
              <w:widowControl/>
              <w:suppressLineNumbers w:val="0"/>
              <w:jc w:val="center"/>
              <w:textAlignment w:val="center"/>
              <w:rPr>
                <w:rFonts w:hint="eastAsia" w:ascii="仿宋" w:hAnsi="仿宋" w:eastAsia="仿宋" w:cs="仿宋"/>
                <w:b/>
                <w:bCs w:val="0"/>
                <w:i w:val="0"/>
                <w:iCs w:val="0"/>
                <w:color w:val="000000"/>
                <w:kern w:val="0"/>
                <w:sz w:val="24"/>
                <w:szCs w:val="24"/>
                <w:highlight w:val="none"/>
                <w:u w:val="none"/>
                <w:lang w:val="en-US" w:eastAsia="zh-CN" w:bidi="ar"/>
              </w:rPr>
            </w:pPr>
            <w:r>
              <w:rPr>
                <w:rFonts w:hint="eastAsia" w:ascii="仿宋" w:hAnsi="仿宋" w:eastAsia="仿宋" w:cs="仿宋"/>
                <w:b/>
                <w:bCs w:val="0"/>
                <w:i w:val="0"/>
                <w:iCs w:val="0"/>
                <w:color w:val="000000"/>
                <w:kern w:val="0"/>
                <w:sz w:val="24"/>
                <w:szCs w:val="24"/>
                <w:highlight w:val="none"/>
                <w:u w:val="none"/>
                <w:lang w:val="en-US" w:eastAsia="zh-CN" w:bidi="ar"/>
              </w:rPr>
              <w:t>工作标准</w:t>
            </w:r>
          </w:p>
        </w:tc>
      </w:tr>
      <w:tr w14:paraId="36F46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pct"/>
            <w:vMerge w:val="restart"/>
            <w:noWrap w:val="0"/>
            <w:vAlign w:val="center"/>
          </w:tcPr>
          <w:p w14:paraId="651F23AF">
            <w:pPr>
              <w:keepNext w:val="0"/>
              <w:keepLines w:val="0"/>
              <w:widowControl/>
              <w:suppressLineNumbers w:val="0"/>
              <w:jc w:val="both"/>
              <w:textAlignment w:val="center"/>
              <w:rPr>
                <w:rFonts w:hint="eastAsia" w:ascii="仿宋" w:hAnsi="仿宋" w:eastAsia="仿宋" w:cs="仿宋"/>
                <w:b/>
                <w:bCs w:val="0"/>
                <w:i w:val="0"/>
                <w:iCs w:val="0"/>
                <w:color w:val="000000"/>
                <w:kern w:val="0"/>
                <w:sz w:val="24"/>
                <w:szCs w:val="24"/>
                <w:highlight w:val="none"/>
                <w:u w:val="none"/>
                <w:lang w:val="en-US" w:eastAsia="zh-CN" w:bidi="ar"/>
              </w:rPr>
            </w:pPr>
            <w:r>
              <w:rPr>
                <w:rFonts w:hint="eastAsia" w:ascii="仿宋" w:hAnsi="仿宋" w:eastAsia="仿宋" w:cs="仿宋"/>
                <w:b/>
                <w:bCs w:val="0"/>
                <w:i w:val="0"/>
                <w:iCs w:val="0"/>
                <w:color w:val="000000"/>
                <w:kern w:val="0"/>
                <w:sz w:val="24"/>
                <w:szCs w:val="24"/>
                <w:highlight w:val="none"/>
                <w:u w:val="none"/>
                <w:lang w:val="en-US" w:eastAsia="zh-CN" w:bidi="ar"/>
              </w:rPr>
              <w:t>公共区域</w:t>
            </w:r>
          </w:p>
        </w:tc>
        <w:tc>
          <w:tcPr>
            <w:tcW w:w="1010" w:type="pct"/>
            <w:noWrap w:val="0"/>
            <w:vAlign w:val="center"/>
          </w:tcPr>
          <w:p w14:paraId="3B4B3564">
            <w:pPr>
              <w:keepNext w:val="0"/>
              <w:keepLines w:val="0"/>
              <w:widowControl/>
              <w:suppressLineNumbers w:val="0"/>
              <w:jc w:val="both"/>
              <w:textAlignment w:val="center"/>
              <w:rPr>
                <w:rFonts w:hint="eastAsia" w:ascii="仿宋" w:hAnsi="仿宋" w:eastAsia="仿宋" w:cs="仿宋"/>
                <w:b w:val="0"/>
                <w:bCs/>
                <w:i w:val="0"/>
                <w:iCs w:val="0"/>
                <w:color w:val="000000"/>
                <w:kern w:val="0"/>
                <w:sz w:val="24"/>
                <w:szCs w:val="24"/>
                <w:highlight w:val="none"/>
                <w:u w:val="none"/>
                <w:lang w:val="en-US" w:eastAsia="zh-CN" w:bidi="ar"/>
              </w:rPr>
            </w:pPr>
            <w:r>
              <w:rPr>
                <w:rFonts w:hint="eastAsia" w:ascii="仿宋" w:hAnsi="仿宋" w:eastAsia="仿宋" w:cs="仿宋"/>
                <w:b w:val="0"/>
                <w:bCs/>
                <w:i w:val="0"/>
                <w:iCs w:val="0"/>
                <w:color w:val="000000"/>
                <w:kern w:val="0"/>
                <w:sz w:val="24"/>
                <w:szCs w:val="24"/>
                <w:highlight w:val="none"/>
                <w:u w:val="none"/>
                <w:lang w:val="en-US" w:eastAsia="zh-CN" w:bidi="ar"/>
              </w:rPr>
              <w:t>消防设备器材</w:t>
            </w:r>
          </w:p>
        </w:tc>
        <w:tc>
          <w:tcPr>
            <w:tcW w:w="2217" w:type="pct"/>
            <w:noWrap w:val="0"/>
            <w:vAlign w:val="center"/>
          </w:tcPr>
          <w:p w14:paraId="5D08A688">
            <w:pPr>
              <w:keepNext w:val="0"/>
              <w:keepLines w:val="0"/>
              <w:widowControl/>
              <w:suppressLineNumbers w:val="0"/>
              <w:jc w:val="both"/>
              <w:textAlignment w:val="center"/>
              <w:rPr>
                <w:rFonts w:hint="eastAsia" w:ascii="仿宋" w:hAnsi="仿宋" w:eastAsia="仿宋" w:cs="仿宋"/>
                <w:b w:val="0"/>
                <w:bCs/>
                <w:i w:val="0"/>
                <w:iCs w:val="0"/>
                <w:color w:val="000000"/>
                <w:kern w:val="0"/>
                <w:sz w:val="24"/>
                <w:szCs w:val="24"/>
                <w:highlight w:val="none"/>
                <w:u w:val="none"/>
                <w:lang w:val="en-US" w:eastAsia="zh-CN" w:bidi="ar"/>
              </w:rPr>
            </w:pPr>
            <w:r>
              <w:rPr>
                <w:rFonts w:hint="eastAsia" w:ascii="仿宋" w:hAnsi="仿宋" w:eastAsia="仿宋" w:cs="仿宋"/>
                <w:b w:val="0"/>
                <w:bCs/>
                <w:i w:val="0"/>
                <w:iCs w:val="0"/>
                <w:color w:val="000000"/>
                <w:kern w:val="0"/>
                <w:sz w:val="24"/>
                <w:szCs w:val="24"/>
                <w:highlight w:val="none"/>
                <w:u w:val="none"/>
                <w:lang w:val="en-US" w:eastAsia="zh-CN" w:bidi="ar"/>
              </w:rPr>
              <w:t>随时检查，发现问题，立即维修或通知业主单位更换。</w:t>
            </w:r>
          </w:p>
        </w:tc>
        <w:tc>
          <w:tcPr>
            <w:tcW w:w="1250" w:type="pct"/>
            <w:noWrap w:val="0"/>
            <w:vAlign w:val="center"/>
          </w:tcPr>
          <w:p w14:paraId="4614695B">
            <w:pPr>
              <w:keepNext w:val="0"/>
              <w:keepLines w:val="0"/>
              <w:widowControl/>
              <w:suppressLineNumbers w:val="0"/>
              <w:jc w:val="both"/>
              <w:textAlignment w:val="center"/>
              <w:rPr>
                <w:rFonts w:hint="eastAsia" w:ascii="仿宋" w:hAnsi="仿宋" w:eastAsia="仿宋" w:cs="仿宋"/>
                <w:b w:val="0"/>
                <w:bCs/>
                <w:i w:val="0"/>
                <w:iCs w:val="0"/>
                <w:color w:val="000000"/>
                <w:kern w:val="0"/>
                <w:sz w:val="24"/>
                <w:szCs w:val="24"/>
                <w:highlight w:val="none"/>
                <w:u w:val="none"/>
                <w:lang w:val="en-US" w:eastAsia="zh-CN" w:bidi="ar"/>
              </w:rPr>
            </w:pPr>
            <w:r>
              <w:rPr>
                <w:rFonts w:hint="eastAsia" w:ascii="仿宋" w:hAnsi="仿宋" w:eastAsia="仿宋" w:cs="仿宋"/>
                <w:b w:val="0"/>
                <w:bCs/>
                <w:i w:val="0"/>
                <w:iCs w:val="0"/>
                <w:color w:val="000000"/>
                <w:kern w:val="0"/>
                <w:sz w:val="24"/>
                <w:szCs w:val="24"/>
                <w:highlight w:val="none"/>
                <w:u w:val="none"/>
                <w:lang w:val="en-US" w:eastAsia="zh-CN" w:bidi="ar"/>
              </w:rPr>
              <w:t>保持消防设备器材处于正常使用状态。</w:t>
            </w:r>
          </w:p>
        </w:tc>
      </w:tr>
      <w:tr w14:paraId="1D37E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pct"/>
            <w:vMerge w:val="continue"/>
            <w:noWrap w:val="0"/>
            <w:vAlign w:val="top"/>
          </w:tcPr>
          <w:p w14:paraId="38732F83">
            <w:pPr>
              <w:keepNext w:val="0"/>
              <w:keepLines w:val="0"/>
              <w:widowControl/>
              <w:suppressLineNumbers w:val="0"/>
              <w:jc w:val="center"/>
              <w:textAlignment w:val="center"/>
              <w:rPr>
                <w:rFonts w:hint="eastAsia" w:ascii="仿宋" w:hAnsi="仿宋" w:eastAsia="仿宋" w:cs="仿宋"/>
                <w:b/>
                <w:bCs w:val="0"/>
                <w:i w:val="0"/>
                <w:iCs w:val="0"/>
                <w:color w:val="000000"/>
                <w:kern w:val="0"/>
                <w:sz w:val="24"/>
                <w:szCs w:val="24"/>
                <w:highlight w:val="none"/>
                <w:u w:val="none"/>
                <w:lang w:val="en-US" w:eastAsia="zh-CN" w:bidi="ar"/>
              </w:rPr>
            </w:pPr>
          </w:p>
        </w:tc>
        <w:tc>
          <w:tcPr>
            <w:tcW w:w="1010" w:type="pct"/>
            <w:noWrap w:val="0"/>
            <w:vAlign w:val="center"/>
          </w:tcPr>
          <w:p w14:paraId="58DC7F00">
            <w:pPr>
              <w:keepNext w:val="0"/>
              <w:keepLines w:val="0"/>
              <w:widowControl/>
              <w:suppressLineNumbers w:val="0"/>
              <w:jc w:val="both"/>
              <w:textAlignment w:val="center"/>
              <w:rPr>
                <w:rFonts w:hint="eastAsia" w:ascii="仿宋" w:hAnsi="仿宋" w:eastAsia="仿宋" w:cs="仿宋"/>
                <w:b w:val="0"/>
                <w:bCs/>
                <w:i w:val="0"/>
                <w:iCs w:val="0"/>
                <w:color w:val="000000"/>
                <w:kern w:val="0"/>
                <w:sz w:val="24"/>
                <w:szCs w:val="24"/>
                <w:highlight w:val="none"/>
                <w:u w:val="none"/>
                <w:lang w:val="en-US" w:eastAsia="zh-CN" w:bidi="ar"/>
              </w:rPr>
            </w:pPr>
            <w:r>
              <w:rPr>
                <w:rFonts w:hint="eastAsia" w:ascii="仿宋" w:hAnsi="仿宋" w:eastAsia="仿宋" w:cs="仿宋"/>
                <w:b w:val="0"/>
                <w:bCs/>
                <w:i w:val="0"/>
                <w:iCs w:val="0"/>
                <w:color w:val="000000"/>
                <w:kern w:val="0"/>
                <w:sz w:val="24"/>
                <w:szCs w:val="24"/>
                <w:highlight w:val="none"/>
                <w:u w:val="none"/>
                <w:lang w:val="en-US" w:eastAsia="zh-CN" w:bidi="ar"/>
              </w:rPr>
              <w:t>供电及照明设备</w:t>
            </w:r>
          </w:p>
        </w:tc>
        <w:tc>
          <w:tcPr>
            <w:tcW w:w="2217" w:type="pct"/>
            <w:noWrap w:val="0"/>
            <w:vAlign w:val="center"/>
          </w:tcPr>
          <w:p w14:paraId="34D7BEC7">
            <w:pPr>
              <w:keepNext w:val="0"/>
              <w:keepLines w:val="0"/>
              <w:widowControl/>
              <w:suppressLineNumbers w:val="0"/>
              <w:jc w:val="both"/>
              <w:textAlignment w:val="center"/>
              <w:rPr>
                <w:rFonts w:hint="eastAsia" w:ascii="仿宋" w:hAnsi="仿宋" w:eastAsia="仿宋" w:cs="仿宋"/>
                <w:b w:val="0"/>
                <w:bCs/>
                <w:i w:val="0"/>
                <w:iCs w:val="0"/>
                <w:color w:val="000000"/>
                <w:kern w:val="0"/>
                <w:sz w:val="24"/>
                <w:szCs w:val="24"/>
                <w:highlight w:val="none"/>
                <w:u w:val="none"/>
                <w:lang w:val="en-US" w:eastAsia="zh-CN" w:bidi="ar"/>
              </w:rPr>
            </w:pPr>
            <w:r>
              <w:rPr>
                <w:rFonts w:hint="eastAsia" w:ascii="仿宋" w:hAnsi="仿宋" w:eastAsia="仿宋" w:cs="仿宋"/>
                <w:b w:val="0"/>
                <w:bCs/>
                <w:i w:val="0"/>
                <w:iCs w:val="0"/>
                <w:color w:val="000000"/>
                <w:kern w:val="0"/>
                <w:sz w:val="24"/>
                <w:szCs w:val="24"/>
                <w:highlight w:val="none"/>
                <w:u w:val="none"/>
                <w:lang w:val="en-US" w:eastAsia="zh-CN" w:bidi="ar"/>
              </w:rPr>
              <w:t>供电及照明系统线路及灯具必须做好日常维修维护，随坏随修，确保每周检查1次，发现问题，及时维修与更换，有完善的应急预案。</w:t>
            </w:r>
          </w:p>
        </w:tc>
        <w:tc>
          <w:tcPr>
            <w:tcW w:w="1250" w:type="pct"/>
            <w:noWrap w:val="0"/>
            <w:vAlign w:val="center"/>
          </w:tcPr>
          <w:p w14:paraId="3B11AEDA">
            <w:pPr>
              <w:keepNext w:val="0"/>
              <w:keepLines w:val="0"/>
              <w:widowControl/>
              <w:suppressLineNumbers w:val="0"/>
              <w:jc w:val="both"/>
              <w:textAlignment w:val="center"/>
              <w:rPr>
                <w:rFonts w:hint="eastAsia" w:ascii="仿宋" w:hAnsi="仿宋" w:eastAsia="仿宋" w:cs="仿宋"/>
                <w:b w:val="0"/>
                <w:bCs/>
                <w:i w:val="0"/>
                <w:iCs w:val="0"/>
                <w:color w:val="000000"/>
                <w:kern w:val="0"/>
                <w:sz w:val="24"/>
                <w:szCs w:val="24"/>
                <w:highlight w:val="none"/>
                <w:u w:val="none"/>
                <w:lang w:val="en-US" w:eastAsia="zh-CN" w:bidi="ar"/>
              </w:rPr>
            </w:pPr>
            <w:r>
              <w:rPr>
                <w:rFonts w:hint="eastAsia" w:ascii="仿宋" w:hAnsi="仿宋" w:eastAsia="仿宋" w:cs="仿宋"/>
                <w:b w:val="0"/>
                <w:bCs/>
                <w:i w:val="0"/>
                <w:iCs w:val="0"/>
                <w:color w:val="000000"/>
                <w:kern w:val="0"/>
                <w:sz w:val="24"/>
                <w:szCs w:val="24"/>
                <w:highlight w:val="none"/>
                <w:u w:val="none"/>
                <w:lang w:val="en-US" w:eastAsia="zh-CN" w:bidi="ar"/>
              </w:rPr>
              <w:t>保持供电系统及照明系统处于正常使用状态。</w:t>
            </w:r>
          </w:p>
        </w:tc>
      </w:tr>
      <w:tr w14:paraId="2486D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pct"/>
            <w:vMerge w:val="continue"/>
            <w:noWrap w:val="0"/>
            <w:vAlign w:val="top"/>
          </w:tcPr>
          <w:p w14:paraId="0ED62CFA">
            <w:pPr>
              <w:keepNext w:val="0"/>
              <w:keepLines w:val="0"/>
              <w:widowControl/>
              <w:suppressLineNumbers w:val="0"/>
              <w:jc w:val="center"/>
              <w:textAlignment w:val="center"/>
              <w:rPr>
                <w:rFonts w:hint="eastAsia" w:ascii="仿宋" w:hAnsi="仿宋" w:eastAsia="仿宋" w:cs="仿宋"/>
                <w:b/>
                <w:bCs w:val="0"/>
                <w:i w:val="0"/>
                <w:iCs w:val="0"/>
                <w:color w:val="000000"/>
                <w:kern w:val="0"/>
                <w:sz w:val="24"/>
                <w:szCs w:val="24"/>
                <w:highlight w:val="none"/>
                <w:u w:val="none"/>
                <w:lang w:val="en-US" w:eastAsia="zh-CN" w:bidi="ar"/>
              </w:rPr>
            </w:pPr>
          </w:p>
        </w:tc>
        <w:tc>
          <w:tcPr>
            <w:tcW w:w="1010" w:type="pct"/>
            <w:noWrap w:val="0"/>
            <w:vAlign w:val="center"/>
          </w:tcPr>
          <w:p w14:paraId="6AAF1CC3">
            <w:pPr>
              <w:keepNext w:val="0"/>
              <w:keepLines w:val="0"/>
              <w:widowControl/>
              <w:suppressLineNumbers w:val="0"/>
              <w:jc w:val="both"/>
              <w:textAlignment w:val="center"/>
              <w:rPr>
                <w:rFonts w:hint="eastAsia" w:ascii="仿宋" w:hAnsi="仿宋" w:eastAsia="仿宋" w:cs="仿宋"/>
                <w:b w:val="0"/>
                <w:bCs/>
                <w:i w:val="0"/>
                <w:iCs w:val="0"/>
                <w:color w:val="000000"/>
                <w:kern w:val="0"/>
                <w:sz w:val="24"/>
                <w:szCs w:val="24"/>
                <w:highlight w:val="none"/>
                <w:u w:val="none"/>
                <w:lang w:val="en-US" w:eastAsia="zh-CN" w:bidi="ar"/>
              </w:rPr>
            </w:pPr>
            <w:r>
              <w:rPr>
                <w:rFonts w:hint="eastAsia" w:ascii="仿宋" w:hAnsi="仿宋" w:eastAsia="仿宋" w:cs="仿宋"/>
                <w:b w:val="0"/>
                <w:bCs/>
                <w:i w:val="0"/>
                <w:iCs w:val="0"/>
                <w:color w:val="000000"/>
                <w:kern w:val="0"/>
                <w:sz w:val="24"/>
                <w:szCs w:val="24"/>
                <w:highlight w:val="none"/>
                <w:u w:val="none"/>
                <w:lang w:val="en-US" w:eastAsia="zh-CN" w:bidi="ar"/>
              </w:rPr>
              <w:t>隔热层、防水层、屋面</w:t>
            </w:r>
          </w:p>
        </w:tc>
        <w:tc>
          <w:tcPr>
            <w:tcW w:w="2217" w:type="pct"/>
            <w:noWrap w:val="0"/>
            <w:vAlign w:val="center"/>
          </w:tcPr>
          <w:p w14:paraId="4975F489">
            <w:pPr>
              <w:keepNext w:val="0"/>
              <w:keepLines w:val="0"/>
              <w:widowControl/>
              <w:suppressLineNumbers w:val="0"/>
              <w:jc w:val="both"/>
              <w:textAlignment w:val="center"/>
              <w:rPr>
                <w:rFonts w:hint="eastAsia" w:ascii="仿宋" w:hAnsi="仿宋" w:eastAsia="仿宋" w:cs="仿宋"/>
                <w:b w:val="0"/>
                <w:bCs/>
                <w:i w:val="0"/>
                <w:iCs w:val="0"/>
                <w:color w:val="000000"/>
                <w:kern w:val="0"/>
                <w:sz w:val="24"/>
                <w:szCs w:val="24"/>
                <w:highlight w:val="none"/>
                <w:u w:val="none"/>
                <w:lang w:val="en-US" w:eastAsia="zh-CN" w:bidi="ar"/>
              </w:rPr>
            </w:pPr>
            <w:r>
              <w:rPr>
                <w:rFonts w:hint="eastAsia" w:ascii="仿宋" w:hAnsi="仿宋" w:eastAsia="仿宋" w:cs="仿宋"/>
                <w:b w:val="0"/>
                <w:bCs/>
                <w:i w:val="0"/>
                <w:iCs w:val="0"/>
                <w:color w:val="000000"/>
                <w:kern w:val="0"/>
                <w:sz w:val="24"/>
                <w:szCs w:val="24"/>
                <w:highlight w:val="none"/>
                <w:u w:val="none"/>
                <w:lang w:val="en-US" w:eastAsia="zh-CN" w:bidi="ar"/>
              </w:rPr>
              <w:t>随时检查，发现问题，及时解决，解决不了的告知业主进行维修。</w:t>
            </w:r>
          </w:p>
        </w:tc>
        <w:tc>
          <w:tcPr>
            <w:tcW w:w="1250" w:type="pct"/>
            <w:noWrap w:val="0"/>
            <w:vAlign w:val="center"/>
          </w:tcPr>
          <w:p w14:paraId="670D78A8">
            <w:pPr>
              <w:keepNext w:val="0"/>
              <w:keepLines w:val="0"/>
              <w:widowControl/>
              <w:suppressLineNumbers w:val="0"/>
              <w:jc w:val="both"/>
              <w:textAlignment w:val="center"/>
              <w:rPr>
                <w:rFonts w:hint="eastAsia" w:ascii="仿宋" w:hAnsi="仿宋" w:eastAsia="仿宋" w:cs="仿宋"/>
                <w:b w:val="0"/>
                <w:bCs/>
                <w:i w:val="0"/>
                <w:iCs w:val="0"/>
                <w:color w:val="000000"/>
                <w:kern w:val="0"/>
                <w:sz w:val="24"/>
                <w:szCs w:val="24"/>
                <w:highlight w:val="none"/>
                <w:u w:val="none"/>
                <w:lang w:val="en-US" w:eastAsia="zh-CN" w:bidi="ar"/>
              </w:rPr>
            </w:pPr>
            <w:r>
              <w:rPr>
                <w:rFonts w:hint="eastAsia" w:ascii="仿宋" w:hAnsi="仿宋" w:eastAsia="仿宋" w:cs="仿宋"/>
                <w:b w:val="0"/>
                <w:bCs/>
                <w:i w:val="0"/>
                <w:iCs w:val="0"/>
                <w:color w:val="000000"/>
                <w:kern w:val="0"/>
                <w:sz w:val="24"/>
                <w:szCs w:val="24"/>
                <w:highlight w:val="none"/>
                <w:u w:val="none"/>
                <w:lang w:val="en-US" w:eastAsia="zh-CN" w:bidi="ar"/>
              </w:rPr>
              <w:t>隔热效果良好、无积水、无渗漏。</w:t>
            </w:r>
          </w:p>
        </w:tc>
      </w:tr>
      <w:tr w14:paraId="28DE2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pct"/>
            <w:vMerge w:val="continue"/>
            <w:noWrap w:val="0"/>
            <w:vAlign w:val="top"/>
          </w:tcPr>
          <w:p w14:paraId="072252D6">
            <w:pPr>
              <w:keepNext w:val="0"/>
              <w:keepLines w:val="0"/>
              <w:widowControl/>
              <w:suppressLineNumbers w:val="0"/>
              <w:jc w:val="center"/>
              <w:textAlignment w:val="center"/>
              <w:rPr>
                <w:rFonts w:hint="eastAsia" w:ascii="仿宋" w:hAnsi="仿宋" w:eastAsia="仿宋" w:cs="仿宋"/>
                <w:b/>
                <w:bCs w:val="0"/>
                <w:i w:val="0"/>
                <w:iCs w:val="0"/>
                <w:color w:val="000000"/>
                <w:kern w:val="0"/>
                <w:sz w:val="24"/>
                <w:szCs w:val="24"/>
                <w:highlight w:val="none"/>
                <w:u w:val="none"/>
                <w:lang w:val="en-US" w:eastAsia="zh-CN" w:bidi="ar"/>
              </w:rPr>
            </w:pPr>
          </w:p>
        </w:tc>
        <w:tc>
          <w:tcPr>
            <w:tcW w:w="1010" w:type="pct"/>
            <w:noWrap w:val="0"/>
            <w:vAlign w:val="center"/>
          </w:tcPr>
          <w:p w14:paraId="5993991D">
            <w:pPr>
              <w:keepNext w:val="0"/>
              <w:keepLines w:val="0"/>
              <w:widowControl/>
              <w:suppressLineNumbers w:val="0"/>
              <w:jc w:val="both"/>
              <w:textAlignment w:val="center"/>
              <w:rPr>
                <w:rFonts w:hint="eastAsia" w:ascii="仿宋" w:hAnsi="仿宋" w:eastAsia="仿宋" w:cs="仿宋"/>
                <w:b w:val="0"/>
                <w:bCs/>
                <w:i w:val="0"/>
                <w:iCs w:val="0"/>
                <w:color w:val="000000"/>
                <w:kern w:val="0"/>
                <w:sz w:val="24"/>
                <w:szCs w:val="24"/>
                <w:highlight w:val="none"/>
                <w:u w:val="none"/>
                <w:lang w:val="en-US" w:eastAsia="zh-CN" w:bidi="ar"/>
              </w:rPr>
            </w:pPr>
            <w:r>
              <w:rPr>
                <w:rFonts w:hint="eastAsia" w:ascii="仿宋" w:hAnsi="仿宋" w:eastAsia="仿宋" w:cs="仿宋"/>
                <w:b w:val="0"/>
                <w:bCs/>
                <w:i w:val="0"/>
                <w:iCs w:val="0"/>
                <w:color w:val="000000"/>
                <w:kern w:val="0"/>
                <w:sz w:val="24"/>
                <w:szCs w:val="24"/>
                <w:highlight w:val="none"/>
                <w:u w:val="none"/>
                <w:lang w:val="en-US" w:eastAsia="zh-CN" w:bidi="ar"/>
              </w:rPr>
              <w:t>防雷系统</w:t>
            </w:r>
          </w:p>
        </w:tc>
        <w:tc>
          <w:tcPr>
            <w:tcW w:w="2217" w:type="pct"/>
            <w:noWrap w:val="0"/>
            <w:vAlign w:val="center"/>
          </w:tcPr>
          <w:p w14:paraId="53140C4C">
            <w:pPr>
              <w:keepNext w:val="0"/>
              <w:keepLines w:val="0"/>
              <w:widowControl/>
              <w:suppressLineNumbers w:val="0"/>
              <w:jc w:val="both"/>
              <w:textAlignment w:val="center"/>
              <w:rPr>
                <w:rFonts w:hint="eastAsia" w:ascii="仿宋" w:hAnsi="仿宋" w:eastAsia="仿宋" w:cs="仿宋"/>
                <w:b w:val="0"/>
                <w:bCs/>
                <w:i w:val="0"/>
                <w:iCs w:val="0"/>
                <w:color w:val="000000"/>
                <w:kern w:val="0"/>
                <w:sz w:val="24"/>
                <w:szCs w:val="24"/>
                <w:highlight w:val="none"/>
                <w:u w:val="none"/>
                <w:lang w:val="en-US" w:eastAsia="zh-CN" w:bidi="ar"/>
              </w:rPr>
            </w:pPr>
            <w:r>
              <w:rPr>
                <w:rFonts w:hint="eastAsia" w:ascii="仿宋" w:hAnsi="仿宋" w:eastAsia="仿宋" w:cs="仿宋"/>
                <w:b w:val="0"/>
                <w:bCs/>
                <w:i w:val="0"/>
                <w:iCs w:val="0"/>
                <w:color w:val="000000"/>
                <w:kern w:val="0"/>
                <w:sz w:val="24"/>
                <w:szCs w:val="24"/>
                <w:highlight w:val="none"/>
                <w:u w:val="none"/>
                <w:lang w:val="en-US" w:eastAsia="zh-CN" w:bidi="ar"/>
              </w:rPr>
              <w:t>随时检查，发现问题，及时维修解决，解决不了的告知业主进行维修。</w:t>
            </w:r>
          </w:p>
        </w:tc>
        <w:tc>
          <w:tcPr>
            <w:tcW w:w="1250" w:type="pct"/>
            <w:noWrap w:val="0"/>
            <w:vAlign w:val="center"/>
          </w:tcPr>
          <w:p w14:paraId="77D180F0">
            <w:pPr>
              <w:keepNext w:val="0"/>
              <w:keepLines w:val="0"/>
              <w:widowControl/>
              <w:suppressLineNumbers w:val="0"/>
              <w:jc w:val="both"/>
              <w:textAlignment w:val="center"/>
              <w:rPr>
                <w:rFonts w:hint="eastAsia" w:ascii="仿宋" w:hAnsi="仿宋" w:eastAsia="仿宋" w:cs="仿宋"/>
                <w:b w:val="0"/>
                <w:bCs/>
                <w:i w:val="0"/>
                <w:iCs w:val="0"/>
                <w:color w:val="000000"/>
                <w:kern w:val="0"/>
                <w:sz w:val="24"/>
                <w:szCs w:val="24"/>
                <w:highlight w:val="none"/>
                <w:u w:val="none"/>
                <w:lang w:val="en-US" w:eastAsia="zh-CN" w:bidi="ar"/>
              </w:rPr>
            </w:pPr>
            <w:r>
              <w:rPr>
                <w:rFonts w:hint="eastAsia" w:ascii="仿宋" w:hAnsi="仿宋" w:eastAsia="仿宋" w:cs="仿宋"/>
                <w:b w:val="0"/>
                <w:bCs/>
                <w:i w:val="0"/>
                <w:iCs w:val="0"/>
                <w:color w:val="000000"/>
                <w:kern w:val="0"/>
                <w:sz w:val="24"/>
                <w:szCs w:val="24"/>
                <w:highlight w:val="none"/>
                <w:u w:val="none"/>
                <w:lang w:val="en-US" w:eastAsia="zh-CN" w:bidi="ar"/>
              </w:rPr>
              <w:t>保证防雷系统处于正常使用状态。</w:t>
            </w:r>
          </w:p>
        </w:tc>
      </w:tr>
      <w:tr w14:paraId="6A58A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pct"/>
            <w:noWrap w:val="0"/>
            <w:vAlign w:val="center"/>
          </w:tcPr>
          <w:p w14:paraId="0D492A9B">
            <w:pPr>
              <w:keepNext w:val="0"/>
              <w:keepLines w:val="0"/>
              <w:widowControl/>
              <w:suppressLineNumbers w:val="0"/>
              <w:jc w:val="center"/>
              <w:textAlignment w:val="center"/>
              <w:rPr>
                <w:rFonts w:hint="eastAsia" w:ascii="仿宋" w:hAnsi="仿宋" w:eastAsia="仿宋" w:cs="仿宋"/>
                <w:b/>
                <w:bCs w:val="0"/>
                <w:i w:val="0"/>
                <w:iCs w:val="0"/>
                <w:color w:val="000000"/>
                <w:kern w:val="0"/>
                <w:sz w:val="24"/>
                <w:szCs w:val="24"/>
                <w:highlight w:val="none"/>
                <w:u w:val="none"/>
                <w:lang w:val="en-US" w:eastAsia="zh-CN" w:bidi="ar"/>
              </w:rPr>
            </w:pPr>
            <w:r>
              <w:rPr>
                <w:rFonts w:hint="eastAsia" w:ascii="仿宋" w:hAnsi="仿宋" w:eastAsia="仿宋" w:cs="仿宋"/>
                <w:b/>
                <w:bCs w:val="0"/>
                <w:i w:val="0"/>
                <w:iCs w:val="0"/>
                <w:color w:val="000000"/>
                <w:kern w:val="0"/>
                <w:sz w:val="24"/>
                <w:szCs w:val="24"/>
                <w:highlight w:val="none"/>
                <w:u w:val="none"/>
                <w:lang w:val="en-US" w:eastAsia="zh-CN" w:bidi="ar"/>
              </w:rPr>
              <w:t>抗风防洪</w:t>
            </w:r>
          </w:p>
        </w:tc>
        <w:tc>
          <w:tcPr>
            <w:tcW w:w="1010" w:type="pct"/>
            <w:noWrap w:val="0"/>
            <w:vAlign w:val="center"/>
          </w:tcPr>
          <w:p w14:paraId="164D0BE4">
            <w:pPr>
              <w:keepNext w:val="0"/>
              <w:keepLines w:val="0"/>
              <w:widowControl/>
              <w:suppressLineNumbers w:val="0"/>
              <w:jc w:val="left"/>
              <w:textAlignment w:val="center"/>
              <w:rPr>
                <w:rFonts w:hint="eastAsia" w:ascii="仿宋" w:hAnsi="仿宋" w:eastAsia="仿宋" w:cs="仿宋"/>
                <w:b w:val="0"/>
                <w:bCs/>
                <w:i w:val="0"/>
                <w:iCs w:val="0"/>
                <w:color w:val="000000"/>
                <w:kern w:val="0"/>
                <w:sz w:val="24"/>
                <w:szCs w:val="24"/>
                <w:highlight w:val="none"/>
                <w:u w:val="none"/>
                <w:lang w:val="en-US" w:eastAsia="zh-CN" w:bidi="ar"/>
              </w:rPr>
            </w:pPr>
            <w:r>
              <w:rPr>
                <w:rFonts w:hint="eastAsia" w:ascii="仿宋" w:hAnsi="仿宋" w:eastAsia="仿宋" w:cs="仿宋"/>
                <w:b w:val="0"/>
                <w:bCs/>
                <w:i w:val="0"/>
                <w:iCs w:val="0"/>
                <w:color w:val="000000"/>
                <w:kern w:val="0"/>
                <w:sz w:val="24"/>
                <w:szCs w:val="24"/>
                <w:highlight w:val="none"/>
                <w:u w:val="none"/>
                <w:lang w:val="en-US" w:eastAsia="zh-CN" w:bidi="ar"/>
              </w:rPr>
              <w:t>抗风防洪</w:t>
            </w:r>
          </w:p>
        </w:tc>
        <w:tc>
          <w:tcPr>
            <w:tcW w:w="2217" w:type="pct"/>
            <w:noWrap w:val="0"/>
            <w:vAlign w:val="center"/>
          </w:tcPr>
          <w:p w14:paraId="54FDB62C">
            <w:pPr>
              <w:keepNext w:val="0"/>
              <w:keepLines w:val="0"/>
              <w:widowControl/>
              <w:suppressLineNumbers w:val="0"/>
              <w:jc w:val="left"/>
              <w:textAlignment w:val="center"/>
              <w:rPr>
                <w:rFonts w:hint="eastAsia" w:ascii="仿宋" w:hAnsi="仿宋" w:eastAsia="仿宋" w:cs="仿宋"/>
                <w:b w:val="0"/>
                <w:bCs/>
                <w:i w:val="0"/>
                <w:iCs w:val="0"/>
                <w:color w:val="000000"/>
                <w:kern w:val="0"/>
                <w:sz w:val="24"/>
                <w:szCs w:val="24"/>
                <w:highlight w:val="none"/>
                <w:u w:val="none"/>
                <w:lang w:val="en-US" w:eastAsia="zh-CN" w:bidi="ar"/>
              </w:rPr>
            </w:pPr>
            <w:r>
              <w:rPr>
                <w:rFonts w:hint="eastAsia" w:ascii="仿宋" w:hAnsi="仿宋" w:eastAsia="仿宋" w:cs="仿宋"/>
                <w:b w:val="0"/>
                <w:bCs/>
                <w:i w:val="0"/>
                <w:iCs w:val="0"/>
                <w:color w:val="000000"/>
                <w:kern w:val="0"/>
                <w:sz w:val="24"/>
                <w:szCs w:val="24"/>
                <w:highlight w:val="none"/>
                <w:u w:val="none"/>
                <w:lang w:val="en-US" w:eastAsia="zh-CN" w:bidi="ar"/>
              </w:rPr>
              <w:t>在每次台风暴雨来临之前，认真组织人力做好抗风防洪预防工作，并做好应急预案（期间必须确保物业管理人员在岗值守），及时排除险情。</w:t>
            </w:r>
          </w:p>
        </w:tc>
        <w:tc>
          <w:tcPr>
            <w:tcW w:w="1250" w:type="pct"/>
            <w:noWrap w:val="0"/>
            <w:vAlign w:val="center"/>
          </w:tcPr>
          <w:p w14:paraId="3C666BAF">
            <w:pPr>
              <w:keepNext w:val="0"/>
              <w:keepLines w:val="0"/>
              <w:widowControl/>
              <w:suppressLineNumbers w:val="0"/>
              <w:jc w:val="left"/>
              <w:textAlignment w:val="center"/>
              <w:rPr>
                <w:rFonts w:hint="eastAsia" w:ascii="仿宋" w:hAnsi="仿宋" w:eastAsia="仿宋" w:cs="仿宋"/>
                <w:b w:val="0"/>
                <w:bCs/>
                <w:i w:val="0"/>
                <w:iCs w:val="0"/>
                <w:color w:val="000000"/>
                <w:kern w:val="0"/>
                <w:sz w:val="24"/>
                <w:szCs w:val="24"/>
                <w:highlight w:val="none"/>
                <w:u w:val="none"/>
                <w:lang w:val="en-US" w:eastAsia="zh-CN" w:bidi="ar"/>
              </w:rPr>
            </w:pPr>
            <w:r>
              <w:rPr>
                <w:rFonts w:hint="eastAsia" w:ascii="仿宋" w:hAnsi="仿宋" w:eastAsia="仿宋" w:cs="仿宋"/>
                <w:b w:val="0"/>
                <w:bCs/>
                <w:i w:val="0"/>
                <w:iCs w:val="0"/>
                <w:color w:val="000000"/>
                <w:kern w:val="0"/>
                <w:sz w:val="24"/>
                <w:szCs w:val="24"/>
                <w:highlight w:val="none"/>
                <w:u w:val="none"/>
                <w:lang w:val="en-US" w:eastAsia="zh-CN" w:bidi="ar"/>
              </w:rPr>
              <w:t>确保办公区设备尤其是供电供水电梯等安全运行。</w:t>
            </w:r>
          </w:p>
        </w:tc>
      </w:tr>
      <w:tr w14:paraId="35D8A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pct"/>
            <w:vMerge w:val="restart"/>
            <w:noWrap w:val="0"/>
            <w:vAlign w:val="center"/>
          </w:tcPr>
          <w:p w14:paraId="65061C17">
            <w:pPr>
              <w:keepNext w:val="0"/>
              <w:keepLines w:val="0"/>
              <w:widowControl/>
              <w:suppressLineNumbers w:val="0"/>
              <w:jc w:val="center"/>
              <w:textAlignment w:val="center"/>
              <w:rPr>
                <w:rFonts w:hint="eastAsia" w:ascii="仿宋" w:hAnsi="仿宋" w:eastAsia="仿宋" w:cs="仿宋"/>
                <w:b/>
                <w:bCs w:val="0"/>
                <w:i w:val="0"/>
                <w:iCs w:val="0"/>
                <w:color w:val="000000"/>
                <w:kern w:val="0"/>
                <w:sz w:val="24"/>
                <w:szCs w:val="24"/>
                <w:highlight w:val="none"/>
                <w:u w:val="none"/>
                <w:lang w:val="en-US" w:eastAsia="zh-CN" w:bidi="ar"/>
              </w:rPr>
            </w:pPr>
            <w:r>
              <w:rPr>
                <w:rFonts w:hint="eastAsia" w:ascii="仿宋" w:hAnsi="仿宋" w:eastAsia="仿宋" w:cs="仿宋"/>
                <w:b/>
                <w:bCs w:val="0"/>
                <w:i w:val="0"/>
                <w:iCs w:val="0"/>
                <w:color w:val="000000"/>
                <w:kern w:val="0"/>
                <w:sz w:val="24"/>
                <w:szCs w:val="24"/>
                <w:highlight w:val="none"/>
                <w:u w:val="none"/>
                <w:lang w:val="en-US" w:eastAsia="zh-CN" w:bidi="ar"/>
              </w:rPr>
              <w:t>服务需求响应</w:t>
            </w:r>
          </w:p>
        </w:tc>
        <w:tc>
          <w:tcPr>
            <w:tcW w:w="1010" w:type="pct"/>
            <w:noWrap w:val="0"/>
            <w:vAlign w:val="center"/>
          </w:tcPr>
          <w:p w14:paraId="0A6BE39A">
            <w:pPr>
              <w:keepNext w:val="0"/>
              <w:keepLines w:val="0"/>
              <w:widowControl/>
              <w:suppressLineNumbers w:val="0"/>
              <w:jc w:val="both"/>
              <w:textAlignment w:val="center"/>
              <w:rPr>
                <w:rFonts w:hint="eastAsia" w:ascii="仿宋" w:hAnsi="仿宋" w:eastAsia="仿宋" w:cs="仿宋"/>
                <w:b w:val="0"/>
                <w:bCs/>
                <w:i w:val="0"/>
                <w:iCs w:val="0"/>
                <w:color w:val="000000"/>
                <w:kern w:val="0"/>
                <w:sz w:val="24"/>
                <w:szCs w:val="24"/>
                <w:highlight w:val="none"/>
                <w:u w:val="none"/>
                <w:lang w:val="en-US" w:eastAsia="zh-CN" w:bidi="ar"/>
              </w:rPr>
            </w:pPr>
            <w:r>
              <w:rPr>
                <w:rFonts w:hint="eastAsia" w:ascii="仿宋" w:hAnsi="仿宋" w:eastAsia="仿宋" w:cs="仿宋"/>
                <w:b w:val="0"/>
                <w:bCs/>
                <w:i w:val="0"/>
                <w:iCs w:val="0"/>
                <w:color w:val="000000"/>
                <w:kern w:val="0"/>
                <w:sz w:val="24"/>
                <w:szCs w:val="24"/>
                <w:highlight w:val="none"/>
                <w:u w:val="none"/>
                <w:lang w:val="en-US" w:eastAsia="zh-CN" w:bidi="ar"/>
              </w:rPr>
              <w:t>服务需求申报处理</w:t>
            </w:r>
          </w:p>
        </w:tc>
        <w:tc>
          <w:tcPr>
            <w:tcW w:w="2217" w:type="pct"/>
            <w:noWrap w:val="0"/>
            <w:vAlign w:val="center"/>
          </w:tcPr>
          <w:p w14:paraId="17B81364">
            <w:pPr>
              <w:keepNext w:val="0"/>
              <w:keepLines w:val="0"/>
              <w:widowControl/>
              <w:suppressLineNumbers w:val="0"/>
              <w:jc w:val="both"/>
              <w:textAlignment w:val="center"/>
              <w:rPr>
                <w:rFonts w:hint="eastAsia" w:ascii="仿宋" w:hAnsi="仿宋" w:eastAsia="仿宋" w:cs="仿宋"/>
                <w:b w:val="0"/>
                <w:bCs/>
                <w:i w:val="0"/>
                <w:iCs w:val="0"/>
                <w:color w:val="000000"/>
                <w:kern w:val="0"/>
                <w:sz w:val="24"/>
                <w:szCs w:val="24"/>
                <w:highlight w:val="none"/>
                <w:u w:val="none"/>
                <w:lang w:val="en-US" w:eastAsia="zh-CN" w:bidi="ar"/>
              </w:rPr>
            </w:pPr>
            <w:r>
              <w:rPr>
                <w:rFonts w:hint="eastAsia" w:ascii="仿宋" w:hAnsi="仿宋" w:eastAsia="仿宋" w:cs="仿宋"/>
                <w:b w:val="0"/>
                <w:bCs/>
                <w:i w:val="0"/>
                <w:iCs w:val="0"/>
                <w:color w:val="000000"/>
                <w:kern w:val="0"/>
                <w:sz w:val="24"/>
                <w:szCs w:val="24"/>
                <w:highlight w:val="none"/>
                <w:u w:val="none"/>
                <w:lang w:val="en-US" w:eastAsia="zh-CN" w:bidi="ar"/>
              </w:rPr>
              <w:t>接到服务申请后，及时响应，向服务单位告知处理时间，一般问题应在3个工作日内解决。</w:t>
            </w:r>
          </w:p>
        </w:tc>
        <w:tc>
          <w:tcPr>
            <w:tcW w:w="1250" w:type="pct"/>
            <w:noWrap w:val="0"/>
            <w:vAlign w:val="center"/>
          </w:tcPr>
          <w:p w14:paraId="2159AF43">
            <w:pPr>
              <w:keepNext w:val="0"/>
              <w:keepLines w:val="0"/>
              <w:widowControl/>
              <w:suppressLineNumbers w:val="0"/>
              <w:jc w:val="both"/>
              <w:textAlignment w:val="center"/>
              <w:rPr>
                <w:rFonts w:hint="eastAsia" w:ascii="仿宋" w:hAnsi="仿宋" w:eastAsia="仿宋" w:cs="仿宋"/>
                <w:b w:val="0"/>
                <w:bCs/>
                <w:i w:val="0"/>
                <w:iCs w:val="0"/>
                <w:color w:val="000000"/>
                <w:kern w:val="0"/>
                <w:sz w:val="24"/>
                <w:szCs w:val="24"/>
                <w:highlight w:val="none"/>
                <w:u w:val="none"/>
                <w:lang w:val="en-US" w:eastAsia="zh-CN" w:bidi="ar"/>
              </w:rPr>
            </w:pPr>
            <w:r>
              <w:rPr>
                <w:rFonts w:hint="eastAsia" w:ascii="仿宋" w:hAnsi="仿宋" w:eastAsia="仿宋" w:cs="仿宋"/>
                <w:b w:val="0"/>
                <w:bCs/>
                <w:i w:val="0"/>
                <w:iCs w:val="0"/>
                <w:color w:val="000000"/>
                <w:kern w:val="0"/>
                <w:sz w:val="24"/>
                <w:szCs w:val="24"/>
                <w:highlight w:val="none"/>
                <w:u w:val="none"/>
                <w:lang w:val="en-US" w:eastAsia="zh-CN" w:bidi="ar"/>
              </w:rPr>
              <w:t>接到设备维修服务需求及时相应。</w:t>
            </w:r>
          </w:p>
        </w:tc>
      </w:tr>
      <w:tr w14:paraId="3455D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pct"/>
            <w:vMerge w:val="continue"/>
            <w:noWrap w:val="0"/>
            <w:vAlign w:val="center"/>
          </w:tcPr>
          <w:p w14:paraId="0A7DD41E">
            <w:pPr>
              <w:keepNext w:val="0"/>
              <w:keepLines w:val="0"/>
              <w:widowControl/>
              <w:suppressLineNumbers w:val="0"/>
              <w:jc w:val="both"/>
              <w:textAlignment w:val="center"/>
              <w:rPr>
                <w:rFonts w:hint="eastAsia" w:ascii="仿宋" w:hAnsi="仿宋" w:eastAsia="仿宋" w:cs="仿宋"/>
                <w:b w:val="0"/>
                <w:bCs/>
                <w:i w:val="0"/>
                <w:iCs w:val="0"/>
                <w:color w:val="000000"/>
                <w:kern w:val="0"/>
                <w:sz w:val="24"/>
                <w:szCs w:val="24"/>
                <w:highlight w:val="none"/>
                <w:u w:val="none"/>
                <w:lang w:val="en-US" w:eastAsia="zh-CN" w:bidi="ar"/>
              </w:rPr>
            </w:pPr>
          </w:p>
        </w:tc>
        <w:tc>
          <w:tcPr>
            <w:tcW w:w="1010" w:type="pct"/>
            <w:noWrap w:val="0"/>
            <w:vAlign w:val="center"/>
          </w:tcPr>
          <w:p w14:paraId="70C7A52E">
            <w:pPr>
              <w:keepNext w:val="0"/>
              <w:keepLines w:val="0"/>
              <w:widowControl/>
              <w:suppressLineNumbers w:val="0"/>
              <w:jc w:val="both"/>
              <w:textAlignment w:val="center"/>
              <w:rPr>
                <w:rFonts w:hint="eastAsia" w:ascii="仿宋" w:hAnsi="仿宋" w:eastAsia="仿宋" w:cs="仿宋"/>
                <w:b w:val="0"/>
                <w:bCs/>
                <w:i w:val="0"/>
                <w:iCs w:val="0"/>
                <w:color w:val="000000"/>
                <w:kern w:val="0"/>
                <w:sz w:val="24"/>
                <w:szCs w:val="24"/>
                <w:highlight w:val="none"/>
                <w:u w:val="none"/>
                <w:lang w:val="en-US" w:eastAsia="zh-CN" w:bidi="ar"/>
              </w:rPr>
            </w:pPr>
            <w:r>
              <w:rPr>
                <w:rFonts w:hint="eastAsia" w:ascii="仿宋" w:hAnsi="仿宋" w:eastAsia="仿宋" w:cs="仿宋"/>
                <w:b w:val="0"/>
                <w:bCs/>
                <w:i w:val="0"/>
                <w:iCs w:val="0"/>
                <w:color w:val="000000"/>
                <w:kern w:val="0"/>
                <w:sz w:val="24"/>
                <w:szCs w:val="24"/>
                <w:highlight w:val="none"/>
                <w:u w:val="none"/>
                <w:lang w:val="en-US" w:eastAsia="zh-CN" w:bidi="ar"/>
              </w:rPr>
              <w:t>投诉处理</w:t>
            </w:r>
          </w:p>
        </w:tc>
        <w:tc>
          <w:tcPr>
            <w:tcW w:w="2217" w:type="pct"/>
            <w:noWrap w:val="0"/>
            <w:vAlign w:val="center"/>
          </w:tcPr>
          <w:p w14:paraId="0AC4AD7C">
            <w:pPr>
              <w:keepNext w:val="0"/>
              <w:keepLines w:val="0"/>
              <w:widowControl/>
              <w:suppressLineNumbers w:val="0"/>
              <w:jc w:val="both"/>
              <w:textAlignment w:val="center"/>
              <w:rPr>
                <w:rFonts w:hint="eastAsia" w:ascii="仿宋" w:hAnsi="仿宋" w:eastAsia="仿宋" w:cs="仿宋"/>
                <w:b w:val="0"/>
                <w:bCs/>
                <w:i w:val="0"/>
                <w:iCs w:val="0"/>
                <w:color w:val="000000"/>
                <w:kern w:val="0"/>
                <w:sz w:val="24"/>
                <w:szCs w:val="24"/>
                <w:highlight w:val="none"/>
                <w:u w:val="none"/>
                <w:lang w:val="en-US" w:eastAsia="zh-CN" w:bidi="ar"/>
              </w:rPr>
            </w:pPr>
            <w:r>
              <w:rPr>
                <w:rFonts w:hint="eastAsia" w:ascii="仿宋" w:hAnsi="仿宋" w:eastAsia="仿宋" w:cs="仿宋"/>
                <w:b w:val="0"/>
                <w:bCs/>
                <w:i w:val="0"/>
                <w:iCs w:val="0"/>
                <w:color w:val="000000"/>
                <w:kern w:val="0"/>
                <w:sz w:val="24"/>
                <w:szCs w:val="24"/>
                <w:highlight w:val="none"/>
                <w:u w:val="none"/>
                <w:lang w:val="en-US" w:eastAsia="zh-CN" w:bidi="ar"/>
              </w:rPr>
              <w:t>投诉在1个工作日内响应，3个工作日内办结反馈。</w:t>
            </w:r>
          </w:p>
        </w:tc>
        <w:tc>
          <w:tcPr>
            <w:tcW w:w="1250" w:type="pct"/>
            <w:noWrap w:val="0"/>
            <w:vAlign w:val="center"/>
          </w:tcPr>
          <w:p w14:paraId="5A1641D1">
            <w:pPr>
              <w:keepNext w:val="0"/>
              <w:keepLines w:val="0"/>
              <w:widowControl/>
              <w:suppressLineNumbers w:val="0"/>
              <w:jc w:val="both"/>
              <w:textAlignment w:val="center"/>
              <w:rPr>
                <w:rFonts w:hint="eastAsia" w:ascii="仿宋" w:hAnsi="仿宋" w:eastAsia="仿宋" w:cs="仿宋"/>
                <w:b w:val="0"/>
                <w:bCs/>
                <w:i w:val="0"/>
                <w:iCs w:val="0"/>
                <w:color w:val="000000"/>
                <w:kern w:val="0"/>
                <w:sz w:val="24"/>
                <w:szCs w:val="24"/>
                <w:highlight w:val="none"/>
                <w:u w:val="none"/>
                <w:lang w:val="en-US" w:eastAsia="zh-CN" w:bidi="ar"/>
              </w:rPr>
            </w:pPr>
            <w:r>
              <w:rPr>
                <w:rFonts w:hint="eastAsia" w:ascii="仿宋" w:hAnsi="仿宋" w:eastAsia="仿宋" w:cs="仿宋"/>
                <w:b w:val="0"/>
                <w:bCs/>
                <w:i w:val="0"/>
                <w:iCs w:val="0"/>
                <w:color w:val="000000"/>
                <w:kern w:val="0"/>
                <w:sz w:val="24"/>
                <w:szCs w:val="24"/>
                <w:highlight w:val="none"/>
                <w:u w:val="none"/>
                <w:lang w:val="en-US" w:eastAsia="zh-CN" w:bidi="ar"/>
              </w:rPr>
              <w:t>及时处理，并将处理结果反馈给业主单位。</w:t>
            </w:r>
          </w:p>
        </w:tc>
      </w:tr>
    </w:tbl>
    <w:p w14:paraId="3AA2CD58">
      <w:pPr>
        <w:pStyle w:val="2"/>
        <w:numPr>
          <w:ilvl w:val="0"/>
          <w:numId w:val="0"/>
        </w:numPr>
        <w:tabs>
          <w:tab w:val="left" w:pos="1364"/>
        </w:tabs>
        <w:topLinePunct w:val="0"/>
        <w:ind w:left="0" w:leftChars="0" w:firstLine="482" w:firstLineChars="200"/>
        <w:rPr>
          <w:rFonts w:hint="eastAsia" w:ascii="Times New Roman" w:hAnsi="Times New Roman" w:cs="Times New Roman"/>
          <w:kern w:val="0"/>
          <w:sz w:val="24"/>
          <w:szCs w:val="21"/>
          <w:highlight w:val="none"/>
          <w:lang w:bidi="ar-SA"/>
        </w:rPr>
      </w:pPr>
      <w:r>
        <w:rPr>
          <w:rFonts w:hint="eastAsia" w:ascii="Times New Roman" w:hAnsi="Times New Roman" w:eastAsia="宋体" w:cs="Times New Roman"/>
          <w:b/>
          <w:kern w:val="0"/>
          <w:sz w:val="24"/>
          <w:szCs w:val="21"/>
          <w:lang w:val="en-US" w:eastAsia="zh-CN" w:bidi="ar-SA"/>
        </w:rPr>
        <w:t>（</w:t>
      </w:r>
      <w:r>
        <w:rPr>
          <w:rFonts w:hint="eastAsia" w:ascii="Times New Roman" w:hAnsi="Times New Roman" w:cs="Times New Roman"/>
          <w:b/>
          <w:kern w:val="0"/>
          <w:sz w:val="24"/>
          <w:szCs w:val="21"/>
          <w:lang w:val="en-US" w:eastAsia="zh-CN" w:bidi="ar-SA"/>
        </w:rPr>
        <w:t>四</w:t>
      </w:r>
      <w:r>
        <w:rPr>
          <w:rFonts w:hint="eastAsia" w:ascii="Times New Roman" w:hAnsi="Times New Roman" w:eastAsia="宋体" w:cs="Times New Roman"/>
          <w:b/>
          <w:kern w:val="0"/>
          <w:sz w:val="24"/>
          <w:szCs w:val="21"/>
          <w:lang w:val="en-US" w:eastAsia="zh-CN" w:bidi="ar-SA"/>
        </w:rPr>
        <w:t>）</w:t>
      </w:r>
      <w:r>
        <w:rPr>
          <w:rFonts w:hint="default" w:ascii="Times New Roman" w:hAnsi="Times New Roman" w:cs="Times New Roman"/>
          <w:kern w:val="0"/>
          <w:sz w:val="24"/>
          <w:szCs w:val="21"/>
          <w:highlight w:val="none"/>
          <w:lang w:bidi="ar-SA"/>
        </w:rPr>
        <w:t>绿化养护服务工作要求与服务标准</w:t>
      </w:r>
    </w:p>
    <w:p w14:paraId="5A4A5070">
      <w:pPr>
        <w:pStyle w:val="4"/>
        <w:numPr>
          <w:ilvl w:val="0"/>
          <w:numId w:val="8"/>
        </w:numPr>
        <w:tabs>
          <w:tab w:val="left" w:pos="780"/>
          <w:tab w:val="clear" w:pos="210"/>
        </w:tabs>
        <w:ind w:left="0" w:leftChars="0" w:firstLine="480" w:firstLineChars="200"/>
        <w:rPr>
          <w:rFonts w:ascii="Times New Roman" w:hAnsi="Times New Roman" w:eastAsia="宋体" w:cs="Times New Roman"/>
          <w:b w:val="0"/>
          <w:sz w:val="24"/>
          <w:highlight w:val="none"/>
        </w:rPr>
      </w:pPr>
      <w:r>
        <w:rPr>
          <w:rFonts w:ascii="Times New Roman" w:hAnsi="Times New Roman" w:eastAsia="宋体" w:cs="Times New Roman"/>
          <w:sz w:val="24"/>
          <w:highlight w:val="none"/>
        </w:rPr>
        <w:t>树木长势保持良好，修剪及时。</w:t>
      </w:r>
    </w:p>
    <w:p w14:paraId="6A7C61C8">
      <w:pPr>
        <w:pStyle w:val="4"/>
        <w:numPr>
          <w:ilvl w:val="0"/>
          <w:numId w:val="8"/>
        </w:numPr>
        <w:tabs>
          <w:tab w:val="left" w:pos="780"/>
          <w:tab w:val="clear" w:pos="210"/>
        </w:tabs>
        <w:ind w:left="0" w:leftChars="0" w:firstLine="480" w:firstLineChars="200"/>
        <w:rPr>
          <w:rFonts w:ascii="Times New Roman" w:hAnsi="Times New Roman" w:eastAsia="宋体" w:cs="Times New Roman"/>
          <w:b w:val="0"/>
          <w:sz w:val="24"/>
          <w:highlight w:val="none"/>
        </w:rPr>
      </w:pPr>
      <w:r>
        <w:rPr>
          <w:rFonts w:ascii="Times New Roman" w:hAnsi="Times New Roman" w:eastAsia="宋体" w:cs="Times New Roman"/>
          <w:sz w:val="24"/>
          <w:highlight w:val="none"/>
        </w:rPr>
        <w:t>绿化带内无杂草、无污物杂物、无积水，清洁卫生。</w:t>
      </w:r>
    </w:p>
    <w:p w14:paraId="4F17532A">
      <w:pPr>
        <w:pStyle w:val="4"/>
        <w:numPr>
          <w:ilvl w:val="0"/>
          <w:numId w:val="8"/>
        </w:numPr>
        <w:tabs>
          <w:tab w:val="left" w:pos="780"/>
          <w:tab w:val="clear" w:pos="210"/>
        </w:tabs>
        <w:ind w:left="0" w:leftChars="0" w:firstLine="480" w:firstLineChars="200"/>
        <w:rPr>
          <w:rFonts w:ascii="Times New Roman" w:hAnsi="Times New Roman" w:eastAsia="宋体" w:cs="Times New Roman"/>
          <w:b w:val="0"/>
          <w:sz w:val="24"/>
          <w:highlight w:val="none"/>
        </w:rPr>
      </w:pPr>
      <w:r>
        <w:rPr>
          <w:rFonts w:ascii="Times New Roman" w:hAnsi="Times New Roman" w:eastAsia="宋体" w:cs="Times New Roman"/>
          <w:sz w:val="24"/>
          <w:highlight w:val="none"/>
        </w:rPr>
        <w:t>定期施肥、施药，确保绿化基本无病虫危害症状。</w:t>
      </w:r>
    </w:p>
    <w:p w14:paraId="3E4813F4">
      <w:pPr>
        <w:pStyle w:val="4"/>
        <w:numPr>
          <w:ilvl w:val="0"/>
          <w:numId w:val="8"/>
        </w:numPr>
        <w:tabs>
          <w:tab w:val="left" w:pos="780"/>
          <w:tab w:val="clear" w:pos="210"/>
        </w:tabs>
        <w:ind w:left="0" w:leftChars="0" w:firstLine="480" w:firstLineChars="200"/>
        <w:rPr>
          <w:rFonts w:ascii="Times New Roman" w:hAnsi="Times New Roman" w:eastAsia="宋体" w:cs="Times New Roman"/>
          <w:b w:val="0"/>
          <w:sz w:val="24"/>
          <w:highlight w:val="none"/>
        </w:rPr>
      </w:pPr>
      <w:r>
        <w:rPr>
          <w:rFonts w:ascii="Times New Roman" w:hAnsi="Times New Roman" w:eastAsia="宋体" w:cs="Times New Roman"/>
          <w:sz w:val="24"/>
          <w:highlight w:val="none"/>
        </w:rPr>
        <w:t>草坪生长旺盛，保持青绿、平整，无杂草。</w:t>
      </w:r>
    </w:p>
    <w:p w14:paraId="371A5AEC">
      <w:pPr>
        <w:pStyle w:val="4"/>
        <w:numPr>
          <w:ilvl w:val="0"/>
          <w:numId w:val="8"/>
        </w:numPr>
        <w:tabs>
          <w:tab w:val="left" w:pos="780"/>
          <w:tab w:val="clear" w:pos="210"/>
        </w:tabs>
        <w:ind w:left="0" w:leftChars="0" w:firstLine="480" w:firstLineChars="200"/>
        <w:rPr>
          <w:rFonts w:ascii="Times New Roman" w:hAnsi="Times New Roman" w:eastAsia="宋体" w:cs="Times New Roman"/>
          <w:b w:val="0"/>
          <w:sz w:val="24"/>
          <w:highlight w:val="none"/>
        </w:rPr>
      </w:pPr>
      <w:r>
        <w:rPr>
          <w:rFonts w:ascii="Times New Roman" w:hAnsi="Times New Roman" w:eastAsia="宋体" w:cs="Times New Roman"/>
          <w:sz w:val="24"/>
          <w:highlight w:val="none"/>
        </w:rPr>
        <w:t>服务时间为服务期内的周一至周日，每日上午7:30-11:30，下午14:30-17:30。乙方可依据公司内部规定，保障员工的休息权益。</w:t>
      </w:r>
    </w:p>
    <w:p w14:paraId="30C66DF0">
      <w:pPr>
        <w:pStyle w:val="4"/>
        <w:numPr>
          <w:ilvl w:val="0"/>
          <w:numId w:val="8"/>
        </w:numPr>
        <w:tabs>
          <w:tab w:val="left" w:pos="780"/>
          <w:tab w:val="clear" w:pos="210"/>
        </w:tabs>
        <w:ind w:left="0" w:leftChars="0" w:firstLine="480" w:firstLineChars="200"/>
        <w:rPr>
          <w:rFonts w:ascii="Times New Roman" w:hAnsi="Times New Roman" w:eastAsia="宋体" w:cs="Times New Roman"/>
          <w:b w:val="0"/>
          <w:sz w:val="24"/>
          <w:highlight w:val="none"/>
        </w:rPr>
      </w:pPr>
      <w:r>
        <w:rPr>
          <w:rFonts w:ascii="Times New Roman" w:hAnsi="Times New Roman" w:eastAsia="宋体" w:cs="Times New Roman"/>
          <w:sz w:val="24"/>
          <w:highlight w:val="none"/>
        </w:rPr>
        <w:t>具体服务内容、工作要求及标准详见“表四”。</w:t>
      </w:r>
    </w:p>
    <w:p w14:paraId="51DB99FE">
      <w:pPr>
        <w:pStyle w:val="12"/>
        <w:widowControl/>
        <w:ind w:left="0" w:leftChars="0" w:firstLine="0" w:firstLineChars="0"/>
        <w:outlineLvl w:val="9"/>
        <w:rPr>
          <w:highlight w:val="none"/>
        </w:rPr>
      </w:pPr>
      <w:r>
        <w:rPr>
          <w:highlight w:val="none"/>
        </w:rPr>
        <w:t>表四：绿化养护服务的服务内容、工作要求及工作标准</w:t>
      </w:r>
    </w:p>
    <w:tbl>
      <w:tblPr>
        <w:tblStyle w:val="7"/>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3"/>
        <w:gridCol w:w="1086"/>
        <w:gridCol w:w="2943"/>
        <w:gridCol w:w="3398"/>
      </w:tblGrid>
      <w:tr w14:paraId="1300B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641" w:type="pct"/>
            <w:noWrap w:val="0"/>
            <w:vAlign w:val="top"/>
          </w:tcPr>
          <w:p w14:paraId="08F3BB5B">
            <w:pPr>
              <w:keepNext w:val="0"/>
              <w:keepLines w:val="0"/>
              <w:widowControl/>
              <w:suppressLineNumbers w:val="0"/>
              <w:jc w:val="center"/>
              <w:textAlignment w:val="center"/>
              <w:rPr>
                <w:rFonts w:hint="eastAsia" w:ascii="仿宋" w:hAnsi="仿宋" w:eastAsia="仿宋" w:cs="仿宋"/>
                <w:b/>
                <w:bCs w:val="0"/>
                <w:i w:val="0"/>
                <w:iCs w:val="0"/>
                <w:color w:val="000000"/>
                <w:kern w:val="0"/>
                <w:sz w:val="24"/>
                <w:szCs w:val="24"/>
                <w:highlight w:val="none"/>
                <w:u w:val="none"/>
                <w:lang w:val="en-US" w:eastAsia="zh-CN" w:bidi="ar"/>
              </w:rPr>
            </w:pPr>
            <w:r>
              <w:rPr>
                <w:rFonts w:hint="eastAsia" w:ascii="仿宋" w:hAnsi="仿宋" w:eastAsia="仿宋" w:cs="仿宋"/>
                <w:b/>
                <w:bCs w:val="0"/>
                <w:i w:val="0"/>
                <w:iCs w:val="0"/>
                <w:color w:val="000000"/>
                <w:kern w:val="0"/>
                <w:sz w:val="24"/>
                <w:szCs w:val="24"/>
                <w:highlight w:val="none"/>
                <w:u w:val="none"/>
                <w:lang w:val="en-US" w:eastAsia="zh-CN" w:bidi="ar"/>
              </w:rPr>
              <w:t>区域</w:t>
            </w:r>
          </w:p>
        </w:tc>
        <w:tc>
          <w:tcPr>
            <w:tcW w:w="637" w:type="pct"/>
            <w:noWrap w:val="0"/>
            <w:vAlign w:val="top"/>
          </w:tcPr>
          <w:p w14:paraId="7D53F641">
            <w:pPr>
              <w:keepNext w:val="0"/>
              <w:keepLines w:val="0"/>
              <w:widowControl/>
              <w:suppressLineNumbers w:val="0"/>
              <w:jc w:val="center"/>
              <w:textAlignment w:val="center"/>
              <w:rPr>
                <w:rFonts w:hint="eastAsia" w:ascii="仿宋" w:hAnsi="仿宋" w:eastAsia="仿宋" w:cs="仿宋"/>
                <w:b/>
                <w:bCs w:val="0"/>
                <w:i w:val="0"/>
                <w:iCs w:val="0"/>
                <w:color w:val="000000"/>
                <w:kern w:val="0"/>
                <w:sz w:val="24"/>
                <w:szCs w:val="24"/>
                <w:highlight w:val="none"/>
                <w:u w:val="none"/>
                <w:lang w:val="en-US" w:eastAsia="zh-CN" w:bidi="ar"/>
              </w:rPr>
            </w:pPr>
            <w:r>
              <w:rPr>
                <w:rFonts w:hint="eastAsia" w:ascii="仿宋" w:hAnsi="仿宋" w:eastAsia="仿宋" w:cs="仿宋"/>
                <w:b/>
                <w:bCs w:val="0"/>
                <w:i w:val="0"/>
                <w:iCs w:val="0"/>
                <w:color w:val="000000"/>
                <w:kern w:val="0"/>
                <w:sz w:val="24"/>
                <w:szCs w:val="24"/>
                <w:highlight w:val="none"/>
                <w:u w:val="none"/>
                <w:lang w:val="en-US" w:eastAsia="zh-CN" w:bidi="ar"/>
              </w:rPr>
              <w:t>服务内容</w:t>
            </w:r>
          </w:p>
        </w:tc>
        <w:tc>
          <w:tcPr>
            <w:tcW w:w="1726" w:type="pct"/>
            <w:noWrap w:val="0"/>
            <w:vAlign w:val="top"/>
          </w:tcPr>
          <w:p w14:paraId="26A74408">
            <w:pPr>
              <w:keepNext w:val="0"/>
              <w:keepLines w:val="0"/>
              <w:widowControl/>
              <w:suppressLineNumbers w:val="0"/>
              <w:jc w:val="center"/>
              <w:textAlignment w:val="center"/>
              <w:rPr>
                <w:rFonts w:hint="eastAsia" w:ascii="仿宋" w:hAnsi="仿宋" w:eastAsia="仿宋" w:cs="仿宋"/>
                <w:b/>
                <w:bCs w:val="0"/>
                <w:i w:val="0"/>
                <w:iCs w:val="0"/>
                <w:color w:val="000000"/>
                <w:kern w:val="0"/>
                <w:sz w:val="24"/>
                <w:szCs w:val="24"/>
                <w:highlight w:val="none"/>
                <w:u w:val="none"/>
                <w:lang w:val="en-US" w:eastAsia="zh-CN" w:bidi="ar"/>
              </w:rPr>
            </w:pPr>
            <w:r>
              <w:rPr>
                <w:rFonts w:hint="eastAsia" w:ascii="仿宋" w:hAnsi="仿宋" w:eastAsia="仿宋" w:cs="仿宋"/>
                <w:b/>
                <w:bCs w:val="0"/>
                <w:i w:val="0"/>
                <w:iCs w:val="0"/>
                <w:color w:val="000000"/>
                <w:kern w:val="0"/>
                <w:sz w:val="24"/>
                <w:szCs w:val="24"/>
                <w:highlight w:val="none"/>
                <w:u w:val="none"/>
                <w:lang w:val="en-US" w:eastAsia="zh-CN" w:bidi="ar"/>
              </w:rPr>
              <w:t>工作要求</w:t>
            </w:r>
          </w:p>
        </w:tc>
        <w:tc>
          <w:tcPr>
            <w:tcW w:w="1993" w:type="pct"/>
            <w:noWrap w:val="0"/>
            <w:vAlign w:val="top"/>
          </w:tcPr>
          <w:p w14:paraId="55328C88">
            <w:pPr>
              <w:keepNext w:val="0"/>
              <w:keepLines w:val="0"/>
              <w:widowControl/>
              <w:suppressLineNumbers w:val="0"/>
              <w:jc w:val="center"/>
              <w:textAlignment w:val="center"/>
              <w:rPr>
                <w:rFonts w:hint="eastAsia" w:ascii="仿宋" w:hAnsi="仿宋" w:eastAsia="仿宋" w:cs="仿宋"/>
                <w:b/>
                <w:bCs w:val="0"/>
                <w:i w:val="0"/>
                <w:iCs w:val="0"/>
                <w:color w:val="000000"/>
                <w:kern w:val="0"/>
                <w:sz w:val="24"/>
                <w:szCs w:val="24"/>
                <w:highlight w:val="none"/>
                <w:u w:val="none"/>
                <w:lang w:val="en-US" w:eastAsia="zh-CN" w:bidi="ar"/>
              </w:rPr>
            </w:pPr>
            <w:r>
              <w:rPr>
                <w:rFonts w:hint="eastAsia" w:ascii="仿宋" w:hAnsi="仿宋" w:eastAsia="仿宋" w:cs="仿宋"/>
                <w:b/>
                <w:bCs w:val="0"/>
                <w:i w:val="0"/>
                <w:iCs w:val="0"/>
                <w:color w:val="000000"/>
                <w:kern w:val="0"/>
                <w:sz w:val="24"/>
                <w:szCs w:val="24"/>
                <w:highlight w:val="none"/>
                <w:u w:val="none"/>
                <w:lang w:val="en-US" w:eastAsia="zh-CN" w:bidi="ar"/>
              </w:rPr>
              <w:t>工作标准</w:t>
            </w:r>
          </w:p>
        </w:tc>
      </w:tr>
      <w:tr w14:paraId="1EDBC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pct"/>
            <w:vMerge w:val="restart"/>
            <w:noWrap w:val="0"/>
            <w:vAlign w:val="center"/>
          </w:tcPr>
          <w:p w14:paraId="75B351E3">
            <w:pPr>
              <w:keepNext w:val="0"/>
              <w:keepLines w:val="0"/>
              <w:widowControl/>
              <w:suppressLineNumbers w:val="0"/>
              <w:jc w:val="both"/>
              <w:textAlignment w:val="center"/>
              <w:rPr>
                <w:rFonts w:hint="eastAsia" w:ascii="仿宋" w:hAnsi="仿宋" w:eastAsia="仿宋" w:cs="仿宋"/>
                <w:b/>
                <w:bCs w:val="0"/>
                <w:i w:val="0"/>
                <w:iCs w:val="0"/>
                <w:color w:val="000000"/>
                <w:kern w:val="0"/>
                <w:sz w:val="24"/>
                <w:szCs w:val="24"/>
                <w:highlight w:val="none"/>
                <w:u w:val="none"/>
                <w:lang w:val="en-US" w:eastAsia="zh-CN" w:bidi="ar"/>
              </w:rPr>
            </w:pPr>
            <w:r>
              <w:rPr>
                <w:rFonts w:hint="eastAsia" w:ascii="仿宋" w:hAnsi="仿宋" w:eastAsia="仿宋" w:cs="仿宋"/>
                <w:b/>
                <w:bCs w:val="0"/>
                <w:i w:val="0"/>
                <w:iCs w:val="0"/>
                <w:color w:val="000000"/>
                <w:kern w:val="0"/>
                <w:sz w:val="24"/>
                <w:szCs w:val="24"/>
                <w:highlight w:val="none"/>
                <w:u w:val="none"/>
                <w:lang w:val="en-US" w:eastAsia="zh-CN" w:bidi="ar"/>
              </w:rPr>
              <w:t>公共绿化</w:t>
            </w:r>
          </w:p>
        </w:tc>
        <w:tc>
          <w:tcPr>
            <w:tcW w:w="637" w:type="pct"/>
            <w:noWrap w:val="0"/>
            <w:vAlign w:val="center"/>
          </w:tcPr>
          <w:p w14:paraId="10650EE2">
            <w:pPr>
              <w:keepNext w:val="0"/>
              <w:keepLines w:val="0"/>
              <w:widowControl/>
              <w:suppressLineNumbers w:val="0"/>
              <w:jc w:val="both"/>
              <w:textAlignment w:val="center"/>
              <w:rPr>
                <w:rFonts w:hint="eastAsia" w:ascii="仿宋" w:hAnsi="仿宋" w:eastAsia="仿宋" w:cs="仿宋"/>
                <w:b w:val="0"/>
                <w:bCs/>
                <w:i w:val="0"/>
                <w:iCs w:val="0"/>
                <w:color w:val="000000"/>
                <w:kern w:val="0"/>
                <w:sz w:val="24"/>
                <w:szCs w:val="24"/>
                <w:highlight w:val="none"/>
                <w:u w:val="none"/>
                <w:lang w:val="en-US" w:eastAsia="zh-CN" w:bidi="ar"/>
              </w:rPr>
            </w:pPr>
            <w:r>
              <w:rPr>
                <w:rFonts w:hint="eastAsia" w:ascii="仿宋" w:hAnsi="仿宋" w:eastAsia="仿宋" w:cs="仿宋"/>
                <w:b w:val="0"/>
                <w:bCs/>
                <w:i w:val="0"/>
                <w:iCs w:val="0"/>
                <w:color w:val="000000"/>
                <w:kern w:val="0"/>
                <w:sz w:val="24"/>
                <w:szCs w:val="24"/>
                <w:highlight w:val="none"/>
                <w:u w:val="none"/>
                <w:lang w:val="en-US" w:eastAsia="zh-CN" w:bidi="ar"/>
              </w:rPr>
              <w:t>绿地卫生管理</w:t>
            </w:r>
          </w:p>
        </w:tc>
        <w:tc>
          <w:tcPr>
            <w:tcW w:w="1726" w:type="pct"/>
            <w:noWrap w:val="0"/>
            <w:vAlign w:val="center"/>
          </w:tcPr>
          <w:p w14:paraId="36EED938">
            <w:pPr>
              <w:keepNext w:val="0"/>
              <w:keepLines w:val="0"/>
              <w:widowControl/>
              <w:suppressLineNumbers w:val="0"/>
              <w:jc w:val="both"/>
              <w:textAlignment w:val="center"/>
              <w:rPr>
                <w:rFonts w:hint="eastAsia" w:ascii="仿宋" w:hAnsi="仿宋" w:eastAsia="仿宋" w:cs="仿宋"/>
                <w:b w:val="0"/>
                <w:bCs/>
                <w:i w:val="0"/>
                <w:iCs w:val="0"/>
                <w:color w:val="000000"/>
                <w:kern w:val="0"/>
                <w:sz w:val="24"/>
                <w:szCs w:val="24"/>
                <w:highlight w:val="none"/>
                <w:u w:val="none"/>
                <w:lang w:val="en-US" w:eastAsia="zh-CN" w:bidi="ar"/>
              </w:rPr>
            </w:pPr>
            <w:r>
              <w:rPr>
                <w:rFonts w:hint="eastAsia" w:ascii="仿宋" w:hAnsi="仿宋" w:eastAsia="仿宋" w:cs="仿宋"/>
                <w:b w:val="0"/>
                <w:bCs/>
                <w:i w:val="0"/>
                <w:iCs w:val="0"/>
                <w:color w:val="000000"/>
                <w:kern w:val="0"/>
                <w:sz w:val="24"/>
                <w:szCs w:val="24"/>
                <w:highlight w:val="none"/>
                <w:u w:val="none"/>
                <w:lang w:val="en-US" w:eastAsia="zh-CN" w:bidi="ar"/>
              </w:rPr>
              <w:t>每日清扫1次。绿化生产垃圾（如：树枝、树叶、草沫等）重点地区路段能做到随产随清，其他地区和路段做到日产日清。</w:t>
            </w:r>
          </w:p>
        </w:tc>
        <w:tc>
          <w:tcPr>
            <w:tcW w:w="1993" w:type="pct"/>
            <w:noWrap w:val="0"/>
            <w:vAlign w:val="center"/>
          </w:tcPr>
          <w:p w14:paraId="058CF49B">
            <w:pPr>
              <w:keepNext w:val="0"/>
              <w:keepLines w:val="0"/>
              <w:widowControl/>
              <w:suppressLineNumbers w:val="0"/>
              <w:jc w:val="both"/>
              <w:textAlignment w:val="center"/>
              <w:rPr>
                <w:rFonts w:hint="eastAsia" w:ascii="仿宋" w:hAnsi="仿宋" w:eastAsia="仿宋" w:cs="仿宋"/>
                <w:b w:val="0"/>
                <w:bCs/>
                <w:i w:val="0"/>
                <w:iCs w:val="0"/>
                <w:color w:val="000000"/>
                <w:kern w:val="0"/>
                <w:sz w:val="24"/>
                <w:szCs w:val="24"/>
                <w:highlight w:val="none"/>
                <w:u w:val="none"/>
                <w:lang w:val="en-US" w:eastAsia="zh-CN" w:bidi="ar"/>
              </w:rPr>
            </w:pPr>
            <w:r>
              <w:rPr>
                <w:rFonts w:hint="eastAsia" w:ascii="仿宋" w:hAnsi="仿宋" w:eastAsia="仿宋" w:cs="仿宋"/>
                <w:b w:val="0"/>
                <w:bCs/>
                <w:i w:val="0"/>
                <w:iCs w:val="0"/>
                <w:color w:val="000000"/>
                <w:kern w:val="0"/>
                <w:sz w:val="24"/>
                <w:szCs w:val="24"/>
                <w:highlight w:val="none"/>
                <w:u w:val="none"/>
                <w:lang w:val="en-US" w:eastAsia="zh-CN" w:bidi="ar"/>
              </w:rPr>
              <w:t>整洁，无砖石瓦块，筐纸屑和塑料袋等废弃物。</w:t>
            </w:r>
          </w:p>
        </w:tc>
      </w:tr>
      <w:tr w14:paraId="37041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pct"/>
            <w:vMerge w:val="continue"/>
            <w:noWrap w:val="0"/>
            <w:vAlign w:val="center"/>
          </w:tcPr>
          <w:p w14:paraId="50C94E81">
            <w:pPr>
              <w:keepNext w:val="0"/>
              <w:keepLines w:val="0"/>
              <w:widowControl/>
              <w:suppressLineNumbers w:val="0"/>
              <w:jc w:val="both"/>
              <w:textAlignment w:val="center"/>
              <w:rPr>
                <w:rFonts w:hint="eastAsia" w:ascii="仿宋" w:hAnsi="仿宋" w:eastAsia="仿宋" w:cs="仿宋"/>
                <w:b/>
                <w:bCs w:val="0"/>
                <w:i w:val="0"/>
                <w:iCs w:val="0"/>
                <w:color w:val="000000"/>
                <w:kern w:val="0"/>
                <w:sz w:val="24"/>
                <w:szCs w:val="24"/>
                <w:highlight w:val="none"/>
                <w:u w:val="none"/>
                <w:lang w:val="en-US" w:eastAsia="zh-CN" w:bidi="ar"/>
              </w:rPr>
            </w:pPr>
          </w:p>
        </w:tc>
        <w:tc>
          <w:tcPr>
            <w:tcW w:w="637" w:type="pct"/>
            <w:noWrap w:val="0"/>
            <w:vAlign w:val="center"/>
          </w:tcPr>
          <w:p w14:paraId="23E49556">
            <w:pPr>
              <w:keepNext w:val="0"/>
              <w:keepLines w:val="0"/>
              <w:widowControl/>
              <w:suppressLineNumbers w:val="0"/>
              <w:jc w:val="both"/>
              <w:textAlignment w:val="center"/>
              <w:rPr>
                <w:rFonts w:hint="eastAsia" w:ascii="仿宋" w:hAnsi="仿宋" w:eastAsia="仿宋" w:cs="仿宋"/>
                <w:b w:val="0"/>
                <w:bCs/>
                <w:i w:val="0"/>
                <w:iCs w:val="0"/>
                <w:color w:val="000000"/>
                <w:kern w:val="0"/>
                <w:sz w:val="24"/>
                <w:szCs w:val="24"/>
                <w:highlight w:val="none"/>
                <w:u w:val="none"/>
                <w:lang w:val="en-US" w:eastAsia="zh-CN" w:bidi="ar"/>
              </w:rPr>
            </w:pPr>
            <w:r>
              <w:rPr>
                <w:rFonts w:hint="eastAsia" w:ascii="仿宋" w:hAnsi="仿宋" w:eastAsia="仿宋" w:cs="仿宋"/>
                <w:b w:val="0"/>
                <w:bCs/>
                <w:i w:val="0"/>
                <w:iCs w:val="0"/>
                <w:color w:val="000000"/>
                <w:kern w:val="0"/>
                <w:sz w:val="24"/>
                <w:szCs w:val="24"/>
                <w:highlight w:val="none"/>
                <w:u w:val="none"/>
                <w:lang w:val="en-US" w:eastAsia="zh-CN" w:bidi="ar"/>
              </w:rPr>
              <w:t>绿化养护</w:t>
            </w:r>
          </w:p>
        </w:tc>
        <w:tc>
          <w:tcPr>
            <w:tcW w:w="1726" w:type="pct"/>
            <w:noWrap w:val="0"/>
            <w:vAlign w:val="center"/>
          </w:tcPr>
          <w:p w14:paraId="5700E7DA">
            <w:pPr>
              <w:keepNext w:val="0"/>
              <w:keepLines w:val="0"/>
              <w:widowControl/>
              <w:suppressLineNumbers w:val="0"/>
              <w:jc w:val="both"/>
              <w:textAlignment w:val="center"/>
              <w:rPr>
                <w:rFonts w:hint="default" w:ascii="仿宋" w:hAnsi="仿宋" w:eastAsia="仿宋" w:cs="仿宋"/>
                <w:b w:val="0"/>
                <w:bCs/>
                <w:i w:val="0"/>
                <w:iCs w:val="0"/>
                <w:color w:val="000000"/>
                <w:kern w:val="0"/>
                <w:sz w:val="24"/>
                <w:szCs w:val="24"/>
                <w:highlight w:val="none"/>
                <w:u w:val="none"/>
                <w:lang w:val="en-US" w:eastAsia="zh-CN" w:bidi="ar"/>
              </w:rPr>
            </w:pPr>
            <w:r>
              <w:rPr>
                <w:rFonts w:hint="eastAsia" w:ascii="仿宋" w:hAnsi="仿宋" w:eastAsia="仿宋" w:cs="仿宋"/>
                <w:b w:val="0"/>
                <w:bCs/>
                <w:i w:val="0"/>
                <w:iCs w:val="0"/>
                <w:color w:val="000000"/>
                <w:kern w:val="0"/>
                <w:sz w:val="24"/>
                <w:szCs w:val="24"/>
                <w:highlight w:val="none"/>
                <w:u w:val="none"/>
                <w:lang w:val="en-US" w:eastAsia="zh-CN" w:bidi="ar"/>
              </w:rPr>
              <w:t>随时保持消除杂草，修剪枝干等。每月定期施肥施药1次。</w:t>
            </w:r>
          </w:p>
        </w:tc>
        <w:tc>
          <w:tcPr>
            <w:tcW w:w="1993" w:type="pct"/>
            <w:noWrap w:val="0"/>
            <w:vAlign w:val="center"/>
          </w:tcPr>
          <w:p w14:paraId="15BE1D7E">
            <w:pPr>
              <w:keepNext w:val="0"/>
              <w:keepLines w:val="0"/>
              <w:widowControl/>
              <w:suppressLineNumbers w:val="0"/>
              <w:jc w:val="both"/>
              <w:textAlignment w:val="center"/>
              <w:rPr>
                <w:rFonts w:hint="eastAsia" w:ascii="仿宋" w:hAnsi="仿宋" w:eastAsia="仿宋" w:cs="仿宋"/>
                <w:b w:val="0"/>
                <w:bCs/>
                <w:i w:val="0"/>
                <w:iCs w:val="0"/>
                <w:color w:val="000000"/>
                <w:kern w:val="0"/>
                <w:sz w:val="24"/>
                <w:szCs w:val="24"/>
                <w:highlight w:val="none"/>
                <w:u w:val="none"/>
                <w:lang w:val="en-US" w:eastAsia="zh-CN" w:bidi="ar"/>
              </w:rPr>
            </w:pPr>
            <w:r>
              <w:rPr>
                <w:rFonts w:hint="eastAsia" w:ascii="仿宋" w:hAnsi="仿宋" w:eastAsia="仿宋" w:cs="仿宋"/>
                <w:b w:val="0"/>
                <w:bCs/>
                <w:i w:val="0"/>
                <w:iCs w:val="0"/>
                <w:color w:val="000000"/>
                <w:kern w:val="0"/>
                <w:sz w:val="24"/>
                <w:szCs w:val="24"/>
                <w:highlight w:val="none"/>
                <w:u w:val="none"/>
                <w:lang w:val="en-US" w:eastAsia="zh-CN" w:bidi="ar"/>
              </w:rPr>
              <w:t>树木、草坪、花圃长势良好，无病害。</w:t>
            </w:r>
          </w:p>
        </w:tc>
      </w:tr>
      <w:tr w14:paraId="03CCF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pct"/>
            <w:vMerge w:val="continue"/>
            <w:noWrap w:val="0"/>
            <w:vAlign w:val="center"/>
          </w:tcPr>
          <w:p w14:paraId="206D0FFD">
            <w:pPr>
              <w:keepNext w:val="0"/>
              <w:keepLines w:val="0"/>
              <w:widowControl/>
              <w:suppressLineNumbers w:val="0"/>
              <w:jc w:val="both"/>
              <w:textAlignment w:val="center"/>
              <w:rPr>
                <w:rFonts w:hint="eastAsia" w:ascii="仿宋" w:hAnsi="仿宋" w:eastAsia="仿宋" w:cs="仿宋"/>
                <w:b/>
                <w:bCs w:val="0"/>
                <w:i w:val="0"/>
                <w:iCs w:val="0"/>
                <w:color w:val="000000"/>
                <w:kern w:val="0"/>
                <w:sz w:val="24"/>
                <w:szCs w:val="24"/>
                <w:highlight w:val="none"/>
                <w:u w:val="none"/>
                <w:lang w:val="en-US" w:eastAsia="zh-CN" w:bidi="ar"/>
              </w:rPr>
            </w:pPr>
          </w:p>
        </w:tc>
        <w:tc>
          <w:tcPr>
            <w:tcW w:w="637" w:type="pct"/>
            <w:noWrap w:val="0"/>
            <w:vAlign w:val="center"/>
          </w:tcPr>
          <w:p w14:paraId="29DD34BA">
            <w:pPr>
              <w:keepNext w:val="0"/>
              <w:keepLines w:val="0"/>
              <w:widowControl/>
              <w:suppressLineNumbers w:val="0"/>
              <w:jc w:val="both"/>
              <w:textAlignment w:val="center"/>
              <w:rPr>
                <w:rFonts w:hint="default" w:ascii="仿宋" w:hAnsi="仿宋" w:eastAsia="仿宋" w:cs="仿宋"/>
                <w:b w:val="0"/>
                <w:bCs/>
                <w:i w:val="0"/>
                <w:iCs w:val="0"/>
                <w:color w:val="000000"/>
                <w:kern w:val="0"/>
                <w:sz w:val="24"/>
                <w:szCs w:val="24"/>
                <w:highlight w:val="none"/>
                <w:u w:val="none"/>
                <w:lang w:val="en-US" w:eastAsia="zh-CN" w:bidi="ar"/>
              </w:rPr>
            </w:pPr>
            <w:r>
              <w:rPr>
                <w:rFonts w:hint="eastAsia" w:ascii="仿宋" w:hAnsi="仿宋" w:eastAsia="仿宋" w:cs="仿宋"/>
                <w:b w:val="0"/>
                <w:bCs/>
                <w:i w:val="0"/>
                <w:iCs w:val="0"/>
                <w:color w:val="000000"/>
                <w:kern w:val="0"/>
                <w:sz w:val="24"/>
                <w:szCs w:val="24"/>
                <w:highlight w:val="none"/>
                <w:u w:val="none"/>
                <w:lang w:val="en-US" w:eastAsia="zh-CN" w:bidi="ar"/>
              </w:rPr>
              <w:t>台风防护</w:t>
            </w:r>
          </w:p>
        </w:tc>
        <w:tc>
          <w:tcPr>
            <w:tcW w:w="1726" w:type="pct"/>
            <w:noWrap w:val="0"/>
            <w:vAlign w:val="center"/>
          </w:tcPr>
          <w:p w14:paraId="061F8DFB">
            <w:pPr>
              <w:keepNext w:val="0"/>
              <w:keepLines w:val="0"/>
              <w:widowControl/>
              <w:suppressLineNumbers w:val="0"/>
              <w:jc w:val="both"/>
              <w:textAlignment w:val="center"/>
              <w:rPr>
                <w:rFonts w:hint="default" w:ascii="仿宋" w:hAnsi="仿宋" w:eastAsia="仿宋" w:cs="仿宋"/>
                <w:b w:val="0"/>
                <w:bCs/>
                <w:i w:val="0"/>
                <w:iCs w:val="0"/>
                <w:color w:val="000000"/>
                <w:kern w:val="0"/>
                <w:sz w:val="24"/>
                <w:szCs w:val="24"/>
                <w:highlight w:val="none"/>
                <w:u w:val="none"/>
                <w:lang w:val="en-US" w:eastAsia="zh-CN" w:bidi="ar"/>
              </w:rPr>
            </w:pPr>
            <w:r>
              <w:rPr>
                <w:rFonts w:hint="eastAsia" w:ascii="仿宋" w:hAnsi="仿宋" w:eastAsia="仿宋" w:cs="仿宋"/>
                <w:b w:val="0"/>
                <w:bCs/>
                <w:i w:val="0"/>
                <w:iCs w:val="0"/>
                <w:color w:val="000000"/>
                <w:kern w:val="0"/>
                <w:sz w:val="24"/>
                <w:szCs w:val="24"/>
                <w:highlight w:val="none"/>
                <w:u w:val="none"/>
                <w:lang w:val="en-US" w:eastAsia="zh-CN" w:bidi="ar"/>
              </w:rPr>
              <w:t>台风来临前，需对树木灌木进行加固，并修剪高空树枝，最大限度降低台风对树木灌木造成的损害。</w:t>
            </w:r>
          </w:p>
        </w:tc>
        <w:tc>
          <w:tcPr>
            <w:tcW w:w="1993" w:type="pct"/>
            <w:noWrap w:val="0"/>
            <w:vAlign w:val="center"/>
          </w:tcPr>
          <w:p w14:paraId="60CED0CC">
            <w:pPr>
              <w:keepNext w:val="0"/>
              <w:keepLines w:val="0"/>
              <w:widowControl/>
              <w:suppressLineNumbers w:val="0"/>
              <w:jc w:val="both"/>
              <w:textAlignment w:val="center"/>
              <w:rPr>
                <w:rFonts w:hint="default" w:ascii="仿宋" w:hAnsi="仿宋" w:eastAsia="仿宋" w:cs="仿宋"/>
                <w:b w:val="0"/>
                <w:bCs/>
                <w:i w:val="0"/>
                <w:iCs w:val="0"/>
                <w:color w:val="000000"/>
                <w:kern w:val="0"/>
                <w:sz w:val="24"/>
                <w:szCs w:val="24"/>
                <w:highlight w:val="none"/>
                <w:u w:val="none"/>
                <w:lang w:val="en-US" w:eastAsia="zh-CN" w:bidi="ar"/>
              </w:rPr>
            </w:pPr>
            <w:r>
              <w:rPr>
                <w:rFonts w:hint="eastAsia" w:ascii="仿宋" w:hAnsi="仿宋" w:eastAsia="仿宋" w:cs="仿宋"/>
                <w:b w:val="0"/>
                <w:bCs/>
                <w:i w:val="0"/>
                <w:iCs w:val="0"/>
                <w:color w:val="000000"/>
                <w:kern w:val="0"/>
                <w:sz w:val="24"/>
                <w:szCs w:val="24"/>
                <w:highlight w:val="none"/>
                <w:u w:val="none"/>
                <w:lang w:val="en-US" w:eastAsia="zh-CN" w:bidi="ar"/>
              </w:rPr>
              <w:t>响应及时，处置高效，台风期间树木灌木固定到位。</w:t>
            </w:r>
          </w:p>
        </w:tc>
      </w:tr>
      <w:tr w14:paraId="3DE89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pct"/>
            <w:noWrap w:val="0"/>
            <w:vAlign w:val="center"/>
          </w:tcPr>
          <w:p w14:paraId="00E5A90C">
            <w:pPr>
              <w:keepNext w:val="0"/>
              <w:keepLines w:val="0"/>
              <w:widowControl/>
              <w:suppressLineNumbers w:val="0"/>
              <w:jc w:val="both"/>
              <w:textAlignment w:val="center"/>
              <w:rPr>
                <w:rFonts w:hint="eastAsia" w:ascii="仿宋" w:hAnsi="仿宋" w:eastAsia="仿宋" w:cs="仿宋"/>
                <w:b/>
                <w:bCs w:val="0"/>
                <w:i w:val="0"/>
                <w:iCs w:val="0"/>
                <w:color w:val="000000"/>
                <w:kern w:val="0"/>
                <w:sz w:val="24"/>
                <w:szCs w:val="24"/>
                <w:highlight w:val="none"/>
                <w:u w:val="none"/>
                <w:lang w:val="en-US" w:eastAsia="zh-CN" w:bidi="ar"/>
              </w:rPr>
            </w:pPr>
            <w:r>
              <w:rPr>
                <w:rFonts w:hint="eastAsia" w:ascii="仿宋" w:hAnsi="仿宋" w:eastAsia="仿宋" w:cs="仿宋"/>
                <w:b/>
                <w:bCs w:val="0"/>
                <w:i w:val="0"/>
                <w:iCs w:val="0"/>
                <w:color w:val="000000"/>
                <w:kern w:val="0"/>
                <w:sz w:val="24"/>
                <w:szCs w:val="24"/>
                <w:highlight w:val="none"/>
                <w:u w:val="none"/>
                <w:lang w:val="en-US" w:eastAsia="zh-CN" w:bidi="ar"/>
              </w:rPr>
              <w:t>服务需求响应</w:t>
            </w:r>
          </w:p>
        </w:tc>
        <w:tc>
          <w:tcPr>
            <w:tcW w:w="637" w:type="pct"/>
            <w:noWrap w:val="0"/>
            <w:vAlign w:val="center"/>
          </w:tcPr>
          <w:p w14:paraId="22CCC9EA">
            <w:pPr>
              <w:keepNext w:val="0"/>
              <w:keepLines w:val="0"/>
              <w:widowControl/>
              <w:suppressLineNumbers w:val="0"/>
              <w:jc w:val="both"/>
              <w:textAlignment w:val="center"/>
              <w:rPr>
                <w:rFonts w:hint="eastAsia" w:ascii="仿宋" w:hAnsi="仿宋" w:eastAsia="仿宋" w:cs="仿宋"/>
                <w:b w:val="0"/>
                <w:bCs/>
                <w:i w:val="0"/>
                <w:iCs w:val="0"/>
                <w:color w:val="000000"/>
                <w:kern w:val="0"/>
                <w:sz w:val="24"/>
                <w:szCs w:val="24"/>
                <w:highlight w:val="none"/>
                <w:u w:val="none"/>
                <w:lang w:val="en-US" w:eastAsia="zh-CN" w:bidi="ar"/>
              </w:rPr>
            </w:pPr>
            <w:r>
              <w:rPr>
                <w:rFonts w:hint="eastAsia" w:ascii="仿宋" w:hAnsi="仿宋" w:eastAsia="仿宋" w:cs="仿宋"/>
                <w:b w:val="0"/>
                <w:bCs/>
                <w:i w:val="0"/>
                <w:iCs w:val="0"/>
                <w:color w:val="000000"/>
                <w:kern w:val="0"/>
                <w:sz w:val="24"/>
                <w:szCs w:val="24"/>
                <w:highlight w:val="none"/>
                <w:u w:val="none"/>
                <w:lang w:val="en-US" w:eastAsia="zh-CN" w:bidi="ar"/>
              </w:rPr>
              <w:t>投诉处理</w:t>
            </w:r>
          </w:p>
        </w:tc>
        <w:tc>
          <w:tcPr>
            <w:tcW w:w="1726" w:type="pct"/>
            <w:noWrap w:val="0"/>
            <w:vAlign w:val="center"/>
          </w:tcPr>
          <w:p w14:paraId="7AAF67CC">
            <w:pPr>
              <w:keepNext w:val="0"/>
              <w:keepLines w:val="0"/>
              <w:widowControl/>
              <w:suppressLineNumbers w:val="0"/>
              <w:jc w:val="both"/>
              <w:textAlignment w:val="center"/>
              <w:rPr>
                <w:rFonts w:hint="eastAsia" w:ascii="仿宋" w:hAnsi="仿宋" w:eastAsia="仿宋" w:cs="仿宋"/>
                <w:b w:val="0"/>
                <w:bCs/>
                <w:i w:val="0"/>
                <w:iCs w:val="0"/>
                <w:color w:val="000000"/>
                <w:kern w:val="0"/>
                <w:sz w:val="24"/>
                <w:szCs w:val="24"/>
                <w:highlight w:val="none"/>
                <w:u w:val="none"/>
                <w:lang w:val="en-US" w:eastAsia="zh-CN" w:bidi="ar"/>
              </w:rPr>
            </w:pPr>
            <w:r>
              <w:rPr>
                <w:rFonts w:hint="eastAsia" w:ascii="仿宋" w:hAnsi="仿宋" w:eastAsia="仿宋" w:cs="仿宋"/>
                <w:b w:val="0"/>
                <w:bCs/>
                <w:i w:val="0"/>
                <w:iCs w:val="0"/>
                <w:color w:val="000000"/>
                <w:kern w:val="0"/>
                <w:sz w:val="24"/>
                <w:szCs w:val="24"/>
                <w:highlight w:val="none"/>
                <w:u w:val="none"/>
                <w:lang w:val="en-US" w:eastAsia="zh-CN" w:bidi="ar"/>
              </w:rPr>
              <w:t>投诉在1个工作日内响应，3个工作日内办结反馈。</w:t>
            </w:r>
          </w:p>
        </w:tc>
        <w:tc>
          <w:tcPr>
            <w:tcW w:w="1993" w:type="pct"/>
            <w:noWrap w:val="0"/>
            <w:vAlign w:val="center"/>
          </w:tcPr>
          <w:p w14:paraId="77F1C633">
            <w:pPr>
              <w:keepNext w:val="0"/>
              <w:keepLines w:val="0"/>
              <w:widowControl/>
              <w:suppressLineNumbers w:val="0"/>
              <w:jc w:val="both"/>
              <w:textAlignment w:val="center"/>
              <w:rPr>
                <w:rFonts w:hint="eastAsia" w:ascii="仿宋" w:hAnsi="仿宋" w:eastAsia="仿宋" w:cs="仿宋"/>
                <w:b w:val="0"/>
                <w:bCs/>
                <w:i w:val="0"/>
                <w:iCs w:val="0"/>
                <w:color w:val="000000"/>
                <w:kern w:val="0"/>
                <w:sz w:val="24"/>
                <w:szCs w:val="24"/>
                <w:highlight w:val="none"/>
                <w:u w:val="none"/>
                <w:lang w:val="en-US" w:eastAsia="zh-CN" w:bidi="ar"/>
              </w:rPr>
            </w:pPr>
            <w:r>
              <w:rPr>
                <w:rFonts w:hint="eastAsia" w:ascii="仿宋" w:hAnsi="仿宋" w:eastAsia="仿宋" w:cs="仿宋"/>
                <w:b w:val="0"/>
                <w:bCs/>
                <w:i w:val="0"/>
                <w:iCs w:val="0"/>
                <w:color w:val="000000"/>
                <w:kern w:val="0"/>
                <w:sz w:val="24"/>
                <w:szCs w:val="24"/>
                <w:highlight w:val="none"/>
                <w:u w:val="none"/>
                <w:lang w:val="en-US" w:eastAsia="zh-CN" w:bidi="ar"/>
              </w:rPr>
              <w:t>绿化服务投诉应及时处理，并将处理结果反馈给业主单位。</w:t>
            </w:r>
          </w:p>
        </w:tc>
      </w:tr>
    </w:tbl>
    <w:p w14:paraId="1074C6C6">
      <w:pPr>
        <w:pStyle w:val="2"/>
        <w:numPr>
          <w:ilvl w:val="0"/>
          <w:numId w:val="0"/>
        </w:numPr>
        <w:tabs>
          <w:tab w:val="left" w:pos="1364"/>
        </w:tabs>
        <w:topLinePunct w:val="0"/>
        <w:ind w:left="0" w:leftChars="0" w:firstLine="482" w:firstLineChars="200"/>
        <w:rPr>
          <w:rFonts w:hint="eastAsia" w:ascii="Times New Roman" w:hAnsi="Times New Roman" w:cs="Times New Roman"/>
          <w:kern w:val="0"/>
          <w:sz w:val="24"/>
          <w:szCs w:val="21"/>
          <w:highlight w:val="none"/>
          <w:lang w:bidi="ar-SA"/>
        </w:rPr>
      </w:pPr>
      <w:r>
        <w:rPr>
          <w:rFonts w:hint="eastAsia" w:ascii="Times New Roman" w:hAnsi="Times New Roman" w:eastAsia="宋体" w:cs="Times New Roman"/>
          <w:b/>
          <w:kern w:val="0"/>
          <w:sz w:val="24"/>
          <w:szCs w:val="21"/>
          <w:lang w:val="en-US" w:eastAsia="zh-CN" w:bidi="ar-SA"/>
        </w:rPr>
        <w:t>（</w:t>
      </w:r>
      <w:r>
        <w:rPr>
          <w:rFonts w:hint="eastAsia" w:ascii="Times New Roman" w:hAnsi="Times New Roman" w:cs="Times New Roman"/>
          <w:b/>
          <w:kern w:val="0"/>
          <w:sz w:val="24"/>
          <w:szCs w:val="21"/>
          <w:lang w:val="en-US" w:eastAsia="zh-CN" w:bidi="ar-SA"/>
        </w:rPr>
        <w:t>五</w:t>
      </w:r>
      <w:r>
        <w:rPr>
          <w:rFonts w:hint="eastAsia" w:ascii="Times New Roman" w:hAnsi="Times New Roman" w:eastAsia="宋体" w:cs="Times New Roman"/>
          <w:b/>
          <w:kern w:val="0"/>
          <w:sz w:val="24"/>
          <w:szCs w:val="21"/>
          <w:lang w:val="en-US" w:eastAsia="zh-CN" w:bidi="ar-SA"/>
        </w:rPr>
        <w:t>）</w:t>
      </w:r>
      <w:r>
        <w:rPr>
          <w:rFonts w:hint="default" w:ascii="Times New Roman" w:hAnsi="Times New Roman" w:cs="Times New Roman"/>
          <w:kern w:val="0"/>
          <w:sz w:val="24"/>
          <w:szCs w:val="21"/>
          <w:highlight w:val="none"/>
          <w:lang w:bidi="ar-SA"/>
        </w:rPr>
        <w:t>物业管理人员投诉与处理</w:t>
      </w:r>
    </w:p>
    <w:p w14:paraId="4E8F6E2E">
      <w:pPr>
        <w:pStyle w:val="4"/>
        <w:ind w:left="0" w:leftChars="0" w:firstLine="480" w:firstLineChars="200"/>
        <w:rPr>
          <w:rFonts w:ascii="Times New Roman" w:hAnsi="Times New Roman" w:eastAsia="宋体" w:cs="Times New Roman"/>
          <w:b w:val="0"/>
          <w:sz w:val="24"/>
          <w:highlight w:val="none"/>
        </w:rPr>
      </w:pPr>
      <w:r>
        <w:rPr>
          <w:rFonts w:ascii="Times New Roman" w:hAnsi="Times New Roman" w:eastAsia="宋体" w:cs="Times New Roman"/>
          <w:b w:val="0"/>
          <w:sz w:val="24"/>
          <w:highlight w:val="none"/>
        </w:rPr>
        <w:t>甲方设立物业管理人员投诉机制，针对管理人员履职不到位、服务态度恶劣、推诿扯皮、不作为或乱作为等行为，会以</w:t>
      </w:r>
      <w:r>
        <w:rPr>
          <w:rFonts w:hint="eastAsia" w:cs="Times New Roman"/>
          <w:b w:val="0"/>
          <w:sz w:val="24"/>
          <w:highlight w:val="none"/>
          <w:lang w:val="en-US" w:eastAsia="zh-CN"/>
        </w:rPr>
        <w:t>书面</w:t>
      </w:r>
      <w:r>
        <w:rPr>
          <w:rFonts w:ascii="Times New Roman" w:hAnsi="Times New Roman" w:eastAsia="宋体" w:cs="Times New Roman"/>
          <w:b w:val="0"/>
          <w:sz w:val="24"/>
          <w:highlight w:val="none"/>
        </w:rPr>
        <w:t>形式将情况反馈至乙方，乙方须在3个工作日内完成调查核实与处理，并以书面形式反馈处理结果。</w:t>
      </w:r>
    </w:p>
    <w:p w14:paraId="66ED508B">
      <w:pPr>
        <w:pStyle w:val="4"/>
        <w:ind w:left="0" w:leftChars="0" w:firstLine="480" w:firstLineChars="200"/>
        <w:rPr>
          <w:rFonts w:ascii="Times New Roman" w:hAnsi="Times New Roman" w:eastAsia="宋体" w:cs="Times New Roman"/>
          <w:b w:val="0"/>
          <w:sz w:val="24"/>
          <w:highlight w:val="none"/>
        </w:rPr>
      </w:pPr>
      <w:r>
        <w:rPr>
          <w:rFonts w:ascii="Times New Roman" w:hAnsi="Times New Roman" w:eastAsia="宋体" w:cs="Times New Roman"/>
          <w:b w:val="0"/>
          <w:sz w:val="24"/>
          <w:highlight w:val="none"/>
        </w:rPr>
        <w:t>物业管理人员若存在以下情形之一，甲方有权责令乙方限期整改，并要求其依据内部管理规定对相关人员予以处罚或更换：</w:t>
      </w:r>
    </w:p>
    <w:p w14:paraId="72717EB7">
      <w:pPr>
        <w:pStyle w:val="4"/>
        <w:numPr>
          <w:ilvl w:val="0"/>
          <w:numId w:val="9"/>
        </w:numPr>
        <w:tabs>
          <w:tab w:val="left" w:pos="1080"/>
        </w:tabs>
        <w:topLinePunct w:val="0"/>
        <w:ind w:left="0" w:leftChars="0" w:firstLine="480" w:firstLineChars="200"/>
        <w:rPr>
          <w:rFonts w:hint="eastAsia" w:ascii="宋体" w:hAnsi="宋体" w:eastAsia="宋体" w:cs="宋体"/>
          <w:b w:val="0"/>
          <w:sz w:val="24"/>
          <w:highlight w:val="none"/>
        </w:rPr>
      </w:pPr>
      <w:r>
        <w:rPr>
          <w:rFonts w:ascii="Times New Roman" w:hAnsi="Times New Roman" w:eastAsia="宋体" w:cs="Times New Roman"/>
          <w:b w:val="0"/>
          <w:sz w:val="24"/>
          <w:highlight w:val="none"/>
        </w:rPr>
        <w:t>服务态度恶劣、言语粗暴，或与工作人员发生争执；</w:t>
      </w:r>
    </w:p>
    <w:p w14:paraId="4C5C97B3">
      <w:pPr>
        <w:pStyle w:val="4"/>
        <w:numPr>
          <w:ilvl w:val="0"/>
          <w:numId w:val="9"/>
        </w:numPr>
        <w:tabs>
          <w:tab w:val="left" w:pos="1080"/>
        </w:tabs>
        <w:topLinePunct w:val="0"/>
        <w:ind w:left="0" w:leftChars="0" w:firstLine="480" w:firstLineChars="200"/>
        <w:rPr>
          <w:rFonts w:hint="eastAsia" w:ascii="宋体" w:hAnsi="宋体" w:eastAsia="宋体" w:cs="宋体"/>
          <w:b w:val="0"/>
          <w:sz w:val="24"/>
          <w:highlight w:val="none"/>
        </w:rPr>
      </w:pPr>
      <w:r>
        <w:rPr>
          <w:rFonts w:ascii="Times New Roman" w:hAnsi="Times New Roman" w:eastAsia="宋体" w:cs="Times New Roman"/>
          <w:b w:val="0"/>
          <w:sz w:val="24"/>
          <w:highlight w:val="none"/>
        </w:rPr>
        <w:t>工作推诿敷衍、长期不在岗，或出现脱岗、漏岗情况；</w:t>
      </w:r>
    </w:p>
    <w:p w14:paraId="3A9759A0">
      <w:pPr>
        <w:pStyle w:val="4"/>
        <w:numPr>
          <w:ilvl w:val="0"/>
          <w:numId w:val="9"/>
        </w:numPr>
        <w:tabs>
          <w:tab w:val="left" w:pos="1080"/>
        </w:tabs>
        <w:topLinePunct w:val="0"/>
        <w:ind w:left="0" w:leftChars="0" w:firstLine="480" w:firstLineChars="200"/>
        <w:rPr>
          <w:rFonts w:hint="eastAsia" w:ascii="宋体" w:hAnsi="宋体" w:eastAsia="宋体" w:cs="宋体"/>
          <w:b w:val="0"/>
          <w:sz w:val="24"/>
          <w:highlight w:val="none"/>
        </w:rPr>
      </w:pPr>
      <w:r>
        <w:rPr>
          <w:rFonts w:ascii="Times New Roman" w:hAnsi="Times New Roman" w:eastAsia="宋体" w:cs="Times New Roman"/>
          <w:b w:val="0"/>
          <w:sz w:val="24"/>
          <w:highlight w:val="none"/>
        </w:rPr>
        <w:t>泄露涉密信息、违反保密纪律；</w:t>
      </w:r>
    </w:p>
    <w:p w14:paraId="4C25147A">
      <w:pPr>
        <w:pStyle w:val="4"/>
        <w:numPr>
          <w:ilvl w:val="0"/>
          <w:numId w:val="9"/>
        </w:numPr>
        <w:tabs>
          <w:tab w:val="left" w:pos="1080"/>
        </w:tabs>
        <w:topLinePunct w:val="0"/>
        <w:ind w:left="0" w:leftChars="0" w:firstLine="480" w:firstLineChars="200"/>
        <w:rPr>
          <w:rFonts w:hint="eastAsia" w:ascii="宋体" w:hAnsi="宋体" w:eastAsia="宋体" w:cs="宋体"/>
          <w:b w:val="0"/>
          <w:sz w:val="24"/>
          <w:highlight w:val="none"/>
        </w:rPr>
      </w:pPr>
      <w:r>
        <w:rPr>
          <w:rFonts w:ascii="Times New Roman" w:hAnsi="Times New Roman" w:eastAsia="宋体" w:cs="Times New Roman"/>
          <w:b w:val="0"/>
          <w:sz w:val="24"/>
          <w:highlight w:val="none"/>
        </w:rPr>
        <w:t>因管理失职导致服务质量严重下降，或引发重大投诉、舆情事件；</w:t>
      </w:r>
    </w:p>
    <w:p w14:paraId="3DA5896A">
      <w:pPr>
        <w:pStyle w:val="4"/>
        <w:numPr>
          <w:ilvl w:val="0"/>
          <w:numId w:val="9"/>
        </w:numPr>
        <w:tabs>
          <w:tab w:val="left" w:pos="1080"/>
        </w:tabs>
        <w:topLinePunct w:val="0"/>
        <w:ind w:left="0" w:leftChars="0" w:firstLine="480" w:firstLineChars="200"/>
        <w:rPr>
          <w:rFonts w:hint="eastAsia" w:ascii="宋体" w:hAnsi="宋体" w:eastAsia="宋体" w:cs="宋体"/>
          <w:b w:val="0"/>
          <w:sz w:val="24"/>
          <w:highlight w:val="none"/>
        </w:rPr>
      </w:pPr>
      <w:r>
        <w:rPr>
          <w:rFonts w:ascii="Times New Roman" w:hAnsi="Times New Roman" w:eastAsia="宋体" w:cs="Times New Roman"/>
          <w:b w:val="0"/>
          <w:sz w:val="24"/>
          <w:highlight w:val="none"/>
        </w:rPr>
        <w:t>其他违反甲方规章制度及合同约定的行为。</w:t>
      </w:r>
    </w:p>
    <w:p w14:paraId="7A0A8AF6">
      <w:pPr>
        <w:pStyle w:val="3"/>
        <w:widowControl/>
        <w:numPr>
          <w:ilvl w:val="0"/>
          <w:numId w:val="0"/>
        </w:numPr>
        <w:tabs>
          <w:tab w:val="left" w:pos="1566"/>
        </w:tabs>
        <w:ind w:left="0" w:leftChars="0" w:firstLine="482" w:firstLineChars="200"/>
        <w:rPr>
          <w:b/>
        </w:rPr>
      </w:pPr>
      <w:r>
        <w:rPr>
          <w:rFonts w:hint="eastAsia" w:ascii="宋体" w:hAnsi="宋体" w:eastAsia="宋体" w:cs="宋体"/>
          <w:b/>
          <w:bCs/>
          <w:color w:val="0000FF"/>
          <w:kern w:val="44"/>
          <w:sz w:val="24"/>
          <w:szCs w:val="30"/>
        </w:rPr>
        <w:t>第</w:t>
      </w:r>
      <w:r>
        <w:rPr>
          <w:rFonts w:hint="eastAsia" w:cs="宋体"/>
          <w:b/>
          <w:bCs/>
          <w:color w:val="0000FF"/>
          <w:kern w:val="44"/>
          <w:sz w:val="24"/>
          <w:szCs w:val="30"/>
          <w:lang w:val="en-US" w:eastAsia="zh-CN"/>
        </w:rPr>
        <w:t>八</w:t>
      </w:r>
      <w:r>
        <w:rPr>
          <w:rFonts w:hint="eastAsia" w:ascii="宋体" w:hAnsi="宋体" w:eastAsia="宋体" w:cs="宋体"/>
          <w:b/>
          <w:bCs/>
          <w:color w:val="0000FF"/>
          <w:kern w:val="44"/>
          <w:sz w:val="24"/>
          <w:szCs w:val="30"/>
        </w:rPr>
        <w:t>条</w:t>
      </w:r>
      <w:r>
        <w:rPr>
          <w:rFonts w:hint="eastAsia" w:cs="宋体"/>
          <w:b/>
          <w:bCs/>
          <w:color w:val="0000FF"/>
          <w:kern w:val="44"/>
          <w:sz w:val="24"/>
          <w:szCs w:val="30"/>
          <w:lang w:val="en-US" w:eastAsia="zh-CN"/>
        </w:rPr>
        <w:t xml:space="preserve">  </w:t>
      </w:r>
      <w:r>
        <w:rPr>
          <w:color w:val="0000FF"/>
        </w:rPr>
        <w:t>物业管理服务费</w:t>
      </w:r>
    </w:p>
    <w:p w14:paraId="56E191EC">
      <w:pPr>
        <w:pStyle w:val="4"/>
        <w:widowControl/>
        <w:ind w:left="0" w:leftChars="0" w:firstLine="480" w:firstLineChars="200"/>
        <w:rPr>
          <w:rFonts w:ascii="Times New Roman" w:hAnsi="Times New Roman" w:eastAsia="宋体" w:cs="Times New Roman"/>
          <w:b w:val="0"/>
          <w:color w:val="auto"/>
          <w:sz w:val="24"/>
          <w:highlight w:val="none"/>
        </w:rPr>
      </w:pPr>
      <w:r>
        <w:rPr>
          <w:rFonts w:ascii="Times New Roman" w:hAnsi="Times New Roman" w:eastAsia="宋体" w:cs="Times New Roman"/>
          <w:b w:val="0"/>
          <w:color w:val="auto"/>
          <w:sz w:val="24"/>
          <w:highlight w:val="none"/>
        </w:rPr>
        <w:t>本项目合同总金额为人民币</w:t>
      </w:r>
      <w:r>
        <w:rPr>
          <w:rFonts w:ascii="Times New Roman" w:hAnsi="Times New Roman" w:eastAsia="宋体" w:cs="Times New Roman"/>
          <w:b w:val="0"/>
          <w:color w:val="auto"/>
          <w:sz w:val="24"/>
          <w:highlight w:val="none"/>
          <w:u w:val="single"/>
        </w:rPr>
        <w:t xml:space="preserve">          </w:t>
      </w:r>
      <w:r>
        <w:rPr>
          <w:rFonts w:ascii="Times New Roman" w:hAnsi="Times New Roman" w:eastAsia="宋体" w:cs="Times New Roman"/>
          <w:b w:val="0"/>
          <w:color w:val="auto"/>
          <w:sz w:val="24"/>
          <w:highlight w:val="none"/>
        </w:rPr>
        <w:t>元/年（大写：</w:t>
      </w:r>
      <w:r>
        <w:rPr>
          <w:rFonts w:ascii="Times New Roman" w:hAnsi="Times New Roman" w:eastAsia="宋体" w:cs="Times New Roman"/>
          <w:b w:val="0"/>
          <w:color w:val="auto"/>
          <w:sz w:val="24"/>
          <w:highlight w:val="none"/>
          <w:u w:val="single"/>
        </w:rPr>
        <w:t xml:space="preserve">        </w:t>
      </w:r>
      <w:r>
        <w:rPr>
          <w:rFonts w:ascii="Times New Roman" w:hAnsi="Times New Roman" w:eastAsia="宋体" w:cs="Times New Roman"/>
          <w:b w:val="0"/>
          <w:color w:val="auto"/>
          <w:sz w:val="24"/>
          <w:highlight w:val="none"/>
        </w:rPr>
        <w:t>），每月物业管理服务费为人民币：</w:t>
      </w:r>
      <w:r>
        <w:rPr>
          <w:rFonts w:ascii="Times New Roman" w:hAnsi="Times New Roman" w:eastAsia="宋体" w:cs="Times New Roman"/>
          <w:b w:val="0"/>
          <w:color w:val="auto"/>
          <w:sz w:val="24"/>
          <w:highlight w:val="none"/>
          <w:u w:val="single"/>
        </w:rPr>
        <w:t xml:space="preserve">         </w:t>
      </w:r>
      <w:r>
        <w:rPr>
          <w:rFonts w:ascii="Times New Roman" w:hAnsi="Times New Roman" w:eastAsia="宋体" w:cs="Times New Roman"/>
          <w:b w:val="0"/>
          <w:color w:val="auto"/>
          <w:sz w:val="24"/>
          <w:highlight w:val="none"/>
        </w:rPr>
        <w:t>元/月（大写：</w:t>
      </w:r>
      <w:r>
        <w:rPr>
          <w:rFonts w:ascii="Times New Roman" w:hAnsi="Times New Roman" w:eastAsia="宋体" w:cs="Times New Roman"/>
          <w:b w:val="0"/>
          <w:color w:val="auto"/>
          <w:sz w:val="24"/>
          <w:highlight w:val="none"/>
          <w:u w:val="single"/>
        </w:rPr>
        <w:t xml:space="preserve">        </w:t>
      </w:r>
      <w:r>
        <w:rPr>
          <w:rFonts w:ascii="Times New Roman" w:hAnsi="Times New Roman" w:eastAsia="宋体" w:cs="Times New Roman"/>
          <w:b w:val="0"/>
          <w:color w:val="auto"/>
          <w:sz w:val="24"/>
          <w:highlight w:val="none"/>
        </w:rPr>
        <w:t>）。</w:t>
      </w:r>
    </w:p>
    <w:p w14:paraId="78FA6B21">
      <w:pPr>
        <w:pStyle w:val="4"/>
        <w:widowControl/>
        <w:numPr>
          <w:ilvl w:val="0"/>
          <w:numId w:val="0"/>
        </w:numPr>
        <w:tabs>
          <w:tab w:val="left" w:pos="1200"/>
        </w:tabs>
        <w:topLinePunct w:val="0"/>
        <w:ind w:left="0" w:leftChars="0" w:firstLine="480" w:firstLineChars="200"/>
        <w:rPr>
          <w:rFonts w:hint="eastAsia" w:ascii="宋体" w:hAnsi="宋体" w:eastAsia="宋体" w:cs="宋体"/>
          <w:b w:val="0"/>
          <w:color w:val="auto"/>
          <w:sz w:val="24"/>
          <w:highlight w:val="none"/>
        </w:rPr>
      </w:pPr>
      <w:r>
        <w:rPr>
          <w:rFonts w:hint="eastAsia" w:ascii="宋体" w:hAnsi="宋体" w:eastAsia="宋体" w:cs="宋体"/>
          <w:b w:val="0"/>
          <w:color w:val="auto"/>
          <w:sz w:val="24"/>
        </w:rPr>
        <w:t>（一）</w:t>
      </w:r>
      <w:r>
        <w:rPr>
          <w:rFonts w:ascii="Times New Roman" w:hAnsi="Times New Roman" w:eastAsia="宋体" w:cs="Times New Roman"/>
          <w:b w:val="0"/>
          <w:color w:val="auto"/>
          <w:sz w:val="24"/>
          <w:highlight w:val="none"/>
        </w:rPr>
        <w:t>乙方对本物业实行包干制，对物业人员进行管理，自负盈亏。</w:t>
      </w:r>
    </w:p>
    <w:p w14:paraId="1F365E22">
      <w:pPr>
        <w:pStyle w:val="4"/>
        <w:numPr>
          <w:ilvl w:val="0"/>
          <w:numId w:val="0"/>
        </w:numPr>
        <w:tabs>
          <w:tab w:val="left" w:pos="1200"/>
        </w:tabs>
        <w:topLinePunct w:val="0"/>
        <w:ind w:left="0" w:leftChars="0" w:firstLine="482" w:firstLineChars="200"/>
        <w:rPr>
          <w:rFonts w:hint="eastAsia" w:ascii="宋体" w:hAnsi="宋体" w:eastAsia="宋体" w:cs="宋体"/>
          <w:b/>
          <w:sz w:val="24"/>
          <w:highlight w:val="none"/>
        </w:rPr>
      </w:pPr>
      <w:r>
        <w:rPr>
          <w:rFonts w:hint="eastAsia" w:ascii="宋体" w:hAnsi="宋体" w:eastAsia="宋体" w:cs="宋体"/>
          <w:b/>
          <w:sz w:val="24"/>
        </w:rPr>
        <w:t>（二）</w:t>
      </w:r>
      <w:r>
        <w:rPr>
          <w:rFonts w:ascii="Times New Roman" w:hAnsi="Times New Roman" w:eastAsia="宋体" w:cs="Times New Roman"/>
          <w:b/>
          <w:sz w:val="24"/>
          <w:highlight w:val="none"/>
        </w:rPr>
        <w:t>服务费用构成</w:t>
      </w:r>
    </w:p>
    <w:p w14:paraId="24B24C77">
      <w:pPr>
        <w:pStyle w:val="4"/>
        <w:numPr>
          <w:ilvl w:val="0"/>
          <w:numId w:val="10"/>
        </w:numPr>
        <w:tabs>
          <w:tab w:val="left" w:pos="840"/>
        </w:tabs>
        <w:topLinePunct w:val="0"/>
        <w:ind w:left="0" w:leftChars="0" w:firstLine="480" w:firstLineChars="200"/>
        <w:rPr>
          <w:rFonts w:hint="eastAsia" w:ascii="宋体" w:hAnsi="宋体" w:eastAsia="宋体" w:cs="宋体"/>
          <w:b w:val="0"/>
          <w:sz w:val="24"/>
          <w:highlight w:val="none"/>
        </w:rPr>
      </w:pPr>
      <w:r>
        <w:rPr>
          <w:rFonts w:ascii="Times New Roman" w:hAnsi="Times New Roman" w:eastAsia="宋体" w:cs="Times New Roman"/>
          <w:sz w:val="24"/>
          <w:highlight w:val="none"/>
        </w:rPr>
        <w:t>人员相关费用：所有物业工作人员的工资、社会保险、住房公积金、高温补贴、用餐补贴、服装费、工会费。</w:t>
      </w:r>
    </w:p>
    <w:p w14:paraId="2462FC37">
      <w:pPr>
        <w:pStyle w:val="4"/>
        <w:numPr>
          <w:ilvl w:val="0"/>
          <w:numId w:val="10"/>
        </w:numPr>
        <w:tabs>
          <w:tab w:val="left" w:pos="840"/>
        </w:tabs>
        <w:topLinePunct w:val="0"/>
        <w:ind w:left="0" w:leftChars="0" w:firstLine="480" w:firstLineChars="200"/>
        <w:rPr>
          <w:rFonts w:hint="eastAsia" w:ascii="宋体" w:hAnsi="宋体" w:eastAsia="宋体" w:cs="宋体"/>
          <w:b w:val="0"/>
          <w:sz w:val="24"/>
          <w:highlight w:val="none"/>
        </w:rPr>
      </w:pPr>
      <w:r>
        <w:rPr>
          <w:rFonts w:ascii="Times New Roman" w:hAnsi="Times New Roman" w:eastAsia="宋体" w:cs="Times New Roman"/>
          <w:sz w:val="24"/>
          <w:highlight w:val="none"/>
        </w:rPr>
        <w:t>物资及工具费用：</w:t>
      </w:r>
      <w:r>
        <w:rPr>
          <w:rFonts w:ascii="Times New Roman" w:hAnsi="Times New Roman" w:eastAsia="宋体" w:cs="Times New Roman"/>
          <w:b/>
          <w:sz w:val="24"/>
          <w:highlight w:val="none"/>
        </w:rPr>
        <w:t>保洁易耗费</w:t>
      </w:r>
      <w:r>
        <w:rPr>
          <w:rFonts w:ascii="Times New Roman" w:hAnsi="Times New Roman" w:eastAsia="宋体" w:cs="Times New Roman"/>
          <w:sz w:val="24"/>
          <w:highlight w:val="none"/>
        </w:rPr>
        <w:t>（含金丝大扫把、室内扫把套装、扫帚、簸箕、垃圾车套装、清洁布、拖把、厕纸、洗手液、消毒水、洁厕精、马桶刷、厕所香薰、花露水、地板清洁剂、钢丝球、垃圾桶（小型）、垃圾桶（大型）、垃圾袋、玻璃刮刀、玻璃清洁剂、天花板长柄扫把、除锈剂、清洁手套、清洁铲子、空气清新剂、多功能缝隙刷子、清洁喷壶、草耙、黑旋风、青苔清洁剂等）；</w:t>
      </w:r>
      <w:r>
        <w:rPr>
          <w:rFonts w:ascii="Times New Roman" w:hAnsi="Times New Roman" w:eastAsia="宋体" w:cs="Times New Roman"/>
          <w:b/>
          <w:sz w:val="24"/>
          <w:highlight w:val="none"/>
        </w:rPr>
        <w:t>绿化物料费</w:t>
      </w:r>
      <w:r>
        <w:rPr>
          <w:rFonts w:ascii="Times New Roman" w:hAnsi="Times New Roman" w:eastAsia="宋体" w:cs="Times New Roman"/>
          <w:sz w:val="24"/>
          <w:highlight w:val="none"/>
        </w:rPr>
        <w:t>（含复合肥、生根剂、驱虫药、树干涂白、蚂蚁药等）；</w:t>
      </w:r>
      <w:r>
        <w:rPr>
          <w:rFonts w:ascii="Times New Roman" w:hAnsi="Times New Roman" w:eastAsia="宋体" w:cs="Times New Roman"/>
          <w:b/>
          <w:sz w:val="24"/>
          <w:highlight w:val="none"/>
        </w:rPr>
        <w:t>四害防治费</w:t>
      </w:r>
      <w:r>
        <w:rPr>
          <w:rFonts w:ascii="Times New Roman" w:hAnsi="Times New Roman" w:eastAsia="宋体" w:cs="Times New Roman"/>
          <w:sz w:val="24"/>
          <w:highlight w:val="none"/>
        </w:rPr>
        <w:t>（含下水道防鼠网、老鼠药、灭蚊药、白蚁药、驱蛇粉、蟑螂药等）；</w:t>
      </w:r>
      <w:r>
        <w:rPr>
          <w:rFonts w:ascii="Times New Roman" w:hAnsi="Times New Roman" w:eastAsia="宋体" w:cs="Times New Roman"/>
          <w:b/>
          <w:sz w:val="24"/>
          <w:highlight w:val="none"/>
        </w:rPr>
        <w:t>运维工具费</w:t>
      </w:r>
      <w:r>
        <w:rPr>
          <w:rFonts w:ascii="Times New Roman" w:hAnsi="Times New Roman" w:eastAsia="宋体" w:cs="Times New Roman"/>
          <w:sz w:val="24"/>
          <w:highlight w:val="none"/>
        </w:rPr>
        <w:t>（含高压农药喷雾器、铝合金梯、切割机、冲击钻、五金工具、打草机、打草绳、打草刀、伸缩割刀、园艺小铲子、油动高枝剪、油锯、手工锯、锄头、镰刀、大花枝剪、绿篱机、防汛沙袋、巡逻手电、雨衣、水鞋、砍柴刀、水管及运维中所使用的润滑油、机油、汽油、汽油桶等费用）；</w:t>
      </w:r>
      <w:r>
        <w:rPr>
          <w:rFonts w:ascii="Times New Roman" w:hAnsi="Times New Roman" w:eastAsia="宋体" w:cs="Times New Roman"/>
          <w:b/>
          <w:sz w:val="24"/>
          <w:highlight w:val="none"/>
        </w:rPr>
        <w:t>其他费用</w:t>
      </w:r>
      <w:r>
        <w:rPr>
          <w:rFonts w:ascii="Times New Roman" w:hAnsi="Times New Roman" w:eastAsia="宋体" w:cs="Times New Roman"/>
          <w:sz w:val="24"/>
          <w:highlight w:val="none"/>
        </w:rPr>
        <w:t>（含水池清洗及消毒、化粪池清理等）。涉及高枝修剪、路灯灯泡更换等高空作业所需的云梯车，由甲方负责提供；维修水电所需的水龙头、淋浴喷头、</w:t>
      </w:r>
      <w:r>
        <w:rPr>
          <w:rFonts w:hint="eastAsia" w:ascii="仿宋" w:hAnsi="仿宋" w:eastAsia="仿宋" w:cs="仿宋"/>
          <w:sz w:val="24"/>
          <w:highlight w:val="none"/>
        </w:rPr>
        <w:t>PPR</w:t>
      </w:r>
      <w:r>
        <w:rPr>
          <w:rFonts w:ascii="Times New Roman" w:hAnsi="Times New Roman" w:eastAsia="宋体" w:cs="Times New Roman"/>
          <w:sz w:val="24"/>
          <w:highlight w:val="none"/>
        </w:rPr>
        <w:t>水管、软管等所有五金配件由甲方提供，维修工具由乙方负责；</w:t>
      </w:r>
      <w:r>
        <w:rPr>
          <w:rFonts w:ascii="Times New Roman" w:hAnsi="Times New Roman" w:eastAsia="宋体" w:cs="Times New Roman"/>
          <w:b w:val="0"/>
          <w:sz w:val="24"/>
          <w:highlight w:val="none"/>
        </w:rPr>
        <w:t>开展保洁、绿化及维修等工作产生的水费、电费，均由甲方承担。</w:t>
      </w:r>
    </w:p>
    <w:p w14:paraId="3B73E665">
      <w:pPr>
        <w:pStyle w:val="4"/>
        <w:widowControl/>
        <w:numPr>
          <w:ilvl w:val="0"/>
          <w:numId w:val="10"/>
        </w:numPr>
        <w:tabs>
          <w:tab w:val="left" w:pos="840"/>
        </w:tabs>
        <w:topLinePunct w:val="0"/>
        <w:ind w:left="0" w:leftChars="0" w:firstLine="480" w:firstLineChars="200"/>
        <w:rPr>
          <w:rFonts w:hint="eastAsia" w:ascii="宋体" w:hAnsi="宋体" w:eastAsia="宋体" w:cs="宋体"/>
          <w:b w:val="0"/>
          <w:color w:val="auto"/>
          <w:sz w:val="24"/>
          <w:highlight w:val="none"/>
        </w:rPr>
      </w:pPr>
      <w:r>
        <w:rPr>
          <w:rFonts w:ascii="Times New Roman" w:hAnsi="Times New Roman" w:eastAsia="宋体" w:cs="Times New Roman"/>
          <w:b w:val="0"/>
          <w:sz w:val="24"/>
          <w:highlight w:val="none"/>
        </w:rPr>
        <w:t>费用涵盖乙方对员工的培训费、管理费、运营费、利润、税金，以及为完成本项目所需的其他一切费用。</w:t>
      </w:r>
    </w:p>
    <w:p w14:paraId="3FCA93AF">
      <w:pPr>
        <w:pStyle w:val="4"/>
        <w:numPr>
          <w:ilvl w:val="0"/>
          <w:numId w:val="0"/>
        </w:numPr>
        <w:tabs>
          <w:tab w:val="left" w:pos="1200"/>
        </w:tabs>
        <w:topLinePunct w:val="0"/>
        <w:ind w:left="0" w:leftChars="0" w:firstLine="480" w:firstLineChars="200"/>
        <w:rPr>
          <w:rFonts w:hint="eastAsia" w:ascii="宋体" w:hAnsi="宋体" w:eastAsia="宋体" w:cs="宋体"/>
          <w:b w:val="0"/>
          <w:color w:val="auto"/>
          <w:sz w:val="24"/>
          <w:highlight w:val="yellow"/>
        </w:rPr>
      </w:pPr>
      <w:r>
        <w:rPr>
          <w:rFonts w:hint="eastAsia" w:ascii="宋体" w:hAnsi="宋体" w:eastAsia="宋体" w:cs="宋体"/>
          <w:b w:val="0"/>
          <w:color w:val="auto"/>
          <w:sz w:val="24"/>
        </w:rPr>
        <w:t>（三）</w:t>
      </w:r>
      <w:r>
        <w:rPr>
          <w:rFonts w:ascii="Times New Roman" w:hAnsi="Times New Roman" w:eastAsia="宋体" w:cs="Times New Roman"/>
          <w:b w:val="0"/>
          <w:color w:val="auto"/>
          <w:sz w:val="24"/>
          <w:highlight w:val="none"/>
        </w:rPr>
        <w:t>甲方</w:t>
      </w:r>
      <w:r>
        <w:rPr>
          <w:rFonts w:ascii="Times New Roman" w:hAnsi="Times New Roman" w:eastAsia="宋体" w:cs="Times New Roman"/>
          <w:sz w:val="24"/>
          <w:highlight w:val="none"/>
        </w:rPr>
        <w:t>的房屋主体及建筑工程类维修养护工作由甲方负责，乙方不承担此项责任。房屋、设施、设备及公共场地日常维修维护所需材料，需由乙方呈报甲方同意后，由甲方提供材料，乙方方可开展维修维护工作。乙方不承担工程机电的大、中修任务，但需与甲方沟通并提供实施方案供其参考，以配合甲方后续开展大、中修项目的采购工作。</w:t>
      </w:r>
    </w:p>
    <w:p w14:paraId="6119DF27">
      <w:pPr>
        <w:pStyle w:val="3"/>
        <w:widowControl/>
        <w:numPr>
          <w:ilvl w:val="0"/>
          <w:numId w:val="0"/>
        </w:numPr>
        <w:tabs>
          <w:tab w:val="left" w:pos="1566"/>
        </w:tabs>
        <w:ind w:left="0" w:leftChars="0" w:firstLine="482" w:firstLineChars="200"/>
        <w:rPr>
          <w:b/>
          <w:color w:val="0000FF"/>
          <w:highlight w:val="none"/>
        </w:rPr>
      </w:pPr>
      <w:r>
        <w:rPr>
          <w:rFonts w:hint="eastAsia" w:ascii="宋体" w:hAnsi="宋体" w:eastAsia="宋体" w:cs="宋体"/>
          <w:b/>
          <w:bCs/>
          <w:color w:val="0000FF"/>
          <w:kern w:val="44"/>
          <w:sz w:val="24"/>
          <w:szCs w:val="30"/>
        </w:rPr>
        <w:t>第</w:t>
      </w:r>
      <w:r>
        <w:rPr>
          <w:rFonts w:hint="eastAsia" w:cs="宋体"/>
          <w:b/>
          <w:bCs/>
          <w:color w:val="0000FF"/>
          <w:kern w:val="44"/>
          <w:sz w:val="24"/>
          <w:szCs w:val="30"/>
          <w:lang w:val="en-US" w:eastAsia="zh-CN"/>
        </w:rPr>
        <w:t>九</w:t>
      </w:r>
      <w:r>
        <w:rPr>
          <w:rFonts w:hint="eastAsia" w:ascii="宋体" w:hAnsi="宋体" w:eastAsia="宋体" w:cs="宋体"/>
          <w:b/>
          <w:bCs/>
          <w:color w:val="0000FF"/>
          <w:kern w:val="44"/>
          <w:sz w:val="24"/>
          <w:szCs w:val="30"/>
        </w:rPr>
        <w:t>条</w:t>
      </w:r>
      <w:r>
        <w:rPr>
          <w:rFonts w:hint="eastAsia" w:cs="宋体"/>
          <w:b/>
          <w:bCs/>
          <w:color w:val="0000FF"/>
          <w:kern w:val="44"/>
          <w:sz w:val="24"/>
          <w:szCs w:val="30"/>
          <w:lang w:val="en-US" w:eastAsia="zh-CN"/>
        </w:rPr>
        <w:t xml:space="preserve">  </w:t>
      </w:r>
      <w:r>
        <w:rPr>
          <w:color w:val="0000FF"/>
          <w:u w:val="none"/>
        </w:rPr>
        <w:t>验收与</w:t>
      </w:r>
      <w:r>
        <w:rPr>
          <w:color w:val="0000FF"/>
          <w:highlight w:val="none"/>
        </w:rPr>
        <w:t>付款</w:t>
      </w:r>
    </w:p>
    <w:p w14:paraId="41969055">
      <w:pPr>
        <w:pStyle w:val="4"/>
        <w:widowControl/>
        <w:ind w:left="0" w:leftChars="0" w:firstLine="480" w:firstLineChars="200"/>
        <w:rPr>
          <w:rFonts w:ascii="Times New Roman" w:hAnsi="Times New Roman" w:eastAsia="宋体" w:cs="Times New Roman"/>
          <w:b w:val="0"/>
          <w:color w:val="auto"/>
          <w:sz w:val="24"/>
          <w:highlight w:val="none"/>
        </w:rPr>
      </w:pPr>
      <w:r>
        <w:rPr>
          <w:rFonts w:ascii="Times New Roman" w:hAnsi="Times New Roman" w:eastAsia="宋体" w:cs="Times New Roman"/>
          <w:b w:val="0"/>
          <w:color w:val="auto"/>
          <w:sz w:val="24"/>
          <w:highlight w:val="none"/>
        </w:rPr>
        <w:t>乙方需于每月30日前，向甲方各服务点发放当月《物业保障服务量化考核测评表》（详见附件1），由各服务点填写后用于对其服务质量的量化考核；并应于次月5日前将考核结果汇总报送至甲方处。</w:t>
      </w:r>
      <w:r>
        <w:rPr>
          <w:rFonts w:hint="eastAsia" w:ascii="Times New Roman" w:hAnsi="Times New Roman" w:eastAsia="宋体" w:cs="Times New Roman"/>
          <w:b w:val="0"/>
          <w:color w:val="auto"/>
          <w:sz w:val="24"/>
          <w:highlight w:val="none"/>
        </w:rPr>
        <w:t>乙方逾期未按约定报送考核汇总结果的，甲方有权直接依据各服务点提交的《物业保障服务量化考核测评表》核算当月考核分值，乙方对此无异议。</w:t>
      </w:r>
    </w:p>
    <w:p w14:paraId="2F51B4C9">
      <w:pPr>
        <w:pStyle w:val="4"/>
        <w:widowControl/>
        <w:ind w:left="0" w:leftChars="0" w:firstLine="480" w:firstLineChars="200"/>
        <w:rPr>
          <w:rFonts w:ascii="Times New Roman" w:hAnsi="Times New Roman" w:eastAsia="宋体" w:cs="Times New Roman"/>
          <w:b w:val="0"/>
          <w:color w:val="auto"/>
          <w:sz w:val="24"/>
          <w:highlight w:val="none"/>
        </w:rPr>
      </w:pPr>
      <w:r>
        <w:rPr>
          <w:rFonts w:ascii="Times New Roman" w:hAnsi="Times New Roman" w:eastAsia="宋体" w:cs="Times New Roman"/>
          <w:b w:val="0"/>
          <w:color w:val="auto"/>
          <w:sz w:val="24"/>
          <w:highlight w:val="none"/>
        </w:rPr>
        <w:t>甲方将根据各服务点的量化考核结果，取平均值分值，该平均值分值将与服务费支付挂钩。</w:t>
      </w:r>
    </w:p>
    <w:p w14:paraId="472A3036">
      <w:pPr>
        <w:pStyle w:val="4"/>
        <w:widowControl/>
        <w:ind w:left="0" w:leftChars="0" w:firstLine="480" w:firstLineChars="200"/>
        <w:rPr>
          <w:rFonts w:ascii="Times New Roman" w:hAnsi="Times New Roman" w:eastAsia="宋体" w:cs="Times New Roman"/>
          <w:b w:val="0"/>
          <w:color w:val="auto"/>
          <w:sz w:val="24"/>
          <w:highlight w:val="none"/>
        </w:rPr>
      </w:pPr>
      <w:r>
        <w:rPr>
          <w:rFonts w:ascii="Times New Roman" w:hAnsi="Times New Roman" w:eastAsia="宋体" w:cs="Times New Roman"/>
          <w:b w:val="0"/>
          <w:color w:val="auto"/>
          <w:sz w:val="24"/>
          <w:highlight w:val="none"/>
        </w:rPr>
        <w:t>乙方如对各服务点的量化考核评价结果有异议，可在收到通知后3个工作日内书面申请复评，由甲方组织乙方和有异议的服务点共同复核，复核结果为最终结果。</w:t>
      </w:r>
      <w:r>
        <w:rPr>
          <w:rFonts w:hint="eastAsia" w:ascii="Times New Roman" w:hAnsi="Times New Roman" w:eastAsia="宋体" w:cs="Times New Roman"/>
          <w:b w:val="0"/>
          <w:color w:val="auto"/>
          <w:sz w:val="24"/>
          <w:highlight w:val="none"/>
        </w:rPr>
        <w:t>乙方逾期未提交复评申请的，视为其完全认可当期考核结果。</w:t>
      </w:r>
    </w:p>
    <w:p w14:paraId="766D0D1F">
      <w:pPr>
        <w:pStyle w:val="4"/>
        <w:widowControl/>
        <w:ind w:left="0" w:leftChars="0" w:firstLine="480" w:firstLineChars="200"/>
        <w:rPr>
          <w:rFonts w:ascii="Times New Roman" w:hAnsi="Times New Roman" w:eastAsia="宋体" w:cs="Times New Roman"/>
          <w:b w:val="0"/>
          <w:color w:val="auto"/>
          <w:sz w:val="24"/>
          <w:highlight w:val="none"/>
        </w:rPr>
      </w:pPr>
      <w:r>
        <w:rPr>
          <w:rFonts w:ascii="Times New Roman" w:hAnsi="Times New Roman" w:eastAsia="宋体" w:cs="Times New Roman"/>
          <w:b w:val="0"/>
          <w:color w:val="auto"/>
          <w:sz w:val="24"/>
          <w:highlight w:val="none"/>
        </w:rPr>
        <w:t>考核采用总分100分制，以100分为基准进行扣分考评。其中，各服务点考评分数汇总后平均值分值90分（含）以上为优秀，80分（含）至89分为称职，80分以下为不合格。当月考核平均值分值低于80分的，甲方将书面通知乙方限期整改，乙方须在5个工作日内完成整改</w:t>
      </w:r>
      <w:r>
        <w:rPr>
          <w:rFonts w:hint="eastAsia" w:ascii="Times New Roman" w:hAnsi="Times New Roman" w:eastAsia="宋体" w:cs="Times New Roman"/>
          <w:b w:val="0"/>
          <w:color w:val="auto"/>
          <w:sz w:val="24"/>
          <w:highlight w:val="none"/>
        </w:rPr>
        <w:t>，整改期满经甲方验收仍不合格的，甲方有权额外扣除当月服务费的10%作为违约金</w:t>
      </w:r>
      <w:r>
        <w:rPr>
          <w:rFonts w:ascii="Times New Roman" w:hAnsi="Times New Roman" w:eastAsia="宋体" w:cs="Times New Roman"/>
          <w:b w:val="0"/>
          <w:color w:val="auto"/>
          <w:sz w:val="24"/>
          <w:highlight w:val="none"/>
        </w:rPr>
        <w:t>。</w:t>
      </w:r>
    </w:p>
    <w:p w14:paraId="7DB91F4F">
      <w:pPr>
        <w:pStyle w:val="4"/>
        <w:widowControl/>
        <w:ind w:left="0" w:leftChars="0" w:firstLine="480" w:firstLineChars="200"/>
        <w:rPr>
          <w:rFonts w:ascii="Times New Roman" w:hAnsi="Times New Roman" w:eastAsia="宋体" w:cs="Times New Roman"/>
          <w:b w:val="0"/>
          <w:color w:val="auto"/>
          <w:sz w:val="24"/>
          <w:highlight w:val="none"/>
        </w:rPr>
      </w:pPr>
      <w:r>
        <w:rPr>
          <w:rFonts w:ascii="Times New Roman" w:hAnsi="Times New Roman" w:eastAsia="宋体" w:cs="Times New Roman"/>
          <w:b w:val="0"/>
          <w:color w:val="auto"/>
          <w:sz w:val="24"/>
          <w:highlight w:val="none"/>
        </w:rPr>
        <w:t>当月考核平均值分值低于80分的，当月应付服务费按以下公式结算：</w:t>
      </w:r>
    </w:p>
    <w:p w14:paraId="6388267D">
      <w:pPr>
        <w:pStyle w:val="4"/>
        <w:widowControl/>
        <w:ind w:left="0" w:leftChars="0" w:firstLine="480" w:firstLineChars="200"/>
        <w:rPr>
          <w:rFonts w:ascii="Times New Roman" w:hAnsi="Times New Roman" w:eastAsia="宋体" w:cs="Times New Roman"/>
          <w:b w:val="0"/>
          <w:color w:val="auto"/>
          <w:sz w:val="24"/>
          <w:highlight w:val="none"/>
        </w:rPr>
      </w:pPr>
      <w:r>
        <w:rPr>
          <w:rFonts w:ascii="Times New Roman" w:hAnsi="Times New Roman" w:eastAsia="宋体" w:cs="Times New Roman"/>
          <w:b w:val="0"/>
          <w:color w:val="auto"/>
          <w:sz w:val="24"/>
          <w:highlight w:val="none"/>
        </w:rPr>
        <w:t>实际支付金额=合同月服务费×（考核得分/100）</w:t>
      </w:r>
    </w:p>
    <w:p w14:paraId="323BE98F">
      <w:pPr>
        <w:pStyle w:val="4"/>
        <w:widowControl/>
        <w:ind w:left="0" w:leftChars="0" w:firstLine="480" w:firstLineChars="200"/>
        <w:rPr>
          <w:rFonts w:ascii="Times New Roman" w:hAnsi="Times New Roman" w:eastAsia="宋体" w:cs="Times New Roman"/>
          <w:b w:val="0"/>
          <w:color w:val="auto"/>
          <w:sz w:val="24"/>
          <w:highlight w:val="none"/>
        </w:rPr>
      </w:pPr>
      <w:r>
        <w:rPr>
          <w:rFonts w:ascii="Times New Roman" w:hAnsi="Times New Roman" w:eastAsia="宋体" w:cs="Times New Roman"/>
          <w:b w:val="0"/>
          <w:color w:val="auto"/>
          <w:sz w:val="24"/>
          <w:highlight w:val="none"/>
        </w:rPr>
        <w:t>（示例：得分为80分，则支付月服务费的80%；得分68分，则支付月服务费的68%）</w:t>
      </w:r>
    </w:p>
    <w:p w14:paraId="292E613D">
      <w:pPr>
        <w:pStyle w:val="4"/>
        <w:widowControl/>
        <w:ind w:left="0" w:leftChars="0" w:firstLine="480" w:firstLineChars="200"/>
        <w:rPr>
          <w:rFonts w:ascii="Times New Roman" w:hAnsi="Times New Roman" w:eastAsia="宋体" w:cs="Times New Roman"/>
          <w:b w:val="0"/>
          <w:color w:val="auto"/>
          <w:sz w:val="24"/>
          <w:highlight w:val="none"/>
        </w:rPr>
      </w:pPr>
      <w:r>
        <w:rPr>
          <w:rFonts w:ascii="Times New Roman" w:hAnsi="Times New Roman" w:eastAsia="宋体" w:cs="Times New Roman"/>
          <w:b w:val="0"/>
          <w:color w:val="auto"/>
          <w:sz w:val="24"/>
          <w:highlight w:val="none"/>
        </w:rPr>
        <w:t>若乙方一年内累计三次考核平均值低于80分，甲方有权解除合同。</w:t>
      </w:r>
    </w:p>
    <w:p w14:paraId="5E28027F">
      <w:pPr>
        <w:pStyle w:val="4"/>
        <w:widowControl/>
        <w:ind w:left="0" w:leftChars="0" w:firstLine="480" w:firstLineChars="200"/>
        <w:rPr>
          <w:rFonts w:ascii="Times New Roman" w:hAnsi="Times New Roman" w:eastAsia="宋体" w:cs="Times New Roman"/>
          <w:b w:val="0"/>
          <w:color w:val="auto"/>
          <w:sz w:val="24"/>
          <w:highlight w:val="none"/>
        </w:rPr>
      </w:pPr>
      <w:r>
        <w:rPr>
          <w:rFonts w:ascii="Times New Roman" w:hAnsi="Times New Roman" w:eastAsia="宋体" w:cs="Times New Roman"/>
          <w:b w:val="0"/>
          <w:color w:val="auto"/>
          <w:sz w:val="24"/>
          <w:highlight w:val="none"/>
        </w:rPr>
        <w:t>乙方在合同履行期间，如因政府调整最低工资标准、社保基数等政策导致人工成本上涨且涨幅超出其投标时可合理预判范围的，乙方应提供官方政策文件、真实成本上涨凭证等完整证明材料，经甲方审核确认后，双方可就服务费调整事宜协商，协商一致签订补充协议后方可调整服务费。</w:t>
      </w:r>
    </w:p>
    <w:p w14:paraId="7AFF8C80">
      <w:pPr>
        <w:pStyle w:val="4"/>
        <w:widowControl/>
        <w:ind w:left="0" w:leftChars="0" w:firstLine="480" w:firstLineChars="200"/>
        <w:rPr>
          <w:rFonts w:ascii="Times New Roman" w:hAnsi="Times New Roman" w:eastAsia="宋体" w:cs="Times New Roman"/>
          <w:b w:val="0"/>
          <w:color w:val="auto"/>
          <w:sz w:val="24"/>
          <w:highlight w:val="none"/>
        </w:rPr>
      </w:pPr>
      <w:r>
        <w:rPr>
          <w:rFonts w:hint="eastAsia" w:ascii="Times New Roman" w:hAnsi="Times New Roman" w:eastAsia="宋体" w:cs="Times New Roman"/>
          <w:b w:val="0"/>
          <w:color w:val="auto"/>
          <w:sz w:val="24"/>
          <w:highlight w:val="none"/>
        </w:rPr>
        <w:t>乙方于每月考核结果确认后7个工作日内，向甲方开具对应金额的合法有效的增值税发票，甲方收到发票并核对无误、确认乙方当月服务符合合同约定标准后3个工作日内支付当月服务费。</w:t>
      </w:r>
    </w:p>
    <w:p w14:paraId="2445F17A">
      <w:pPr>
        <w:pStyle w:val="4"/>
        <w:widowControl/>
        <w:ind w:left="0" w:leftChars="0" w:firstLine="480" w:firstLineChars="200"/>
        <w:rPr>
          <w:rFonts w:ascii="Times New Roman" w:hAnsi="Times New Roman" w:eastAsia="宋体" w:cs="Times New Roman"/>
          <w:strike w:val="0"/>
          <w:dstrike w:val="0"/>
          <w:color w:val="auto"/>
          <w:sz w:val="24"/>
          <w:highlight w:val="none"/>
        </w:rPr>
      </w:pPr>
      <w:r>
        <w:rPr>
          <w:rFonts w:ascii="Times New Roman" w:hAnsi="Times New Roman" w:eastAsia="宋体" w:cs="Times New Roman"/>
          <w:strike w:val="0"/>
          <w:dstrike w:val="0"/>
          <w:color w:val="auto"/>
          <w:sz w:val="24"/>
          <w:highlight w:val="none"/>
        </w:rPr>
        <w:t>乙方指定的收款帐户为：</w:t>
      </w:r>
    </w:p>
    <w:p w14:paraId="2B04E593">
      <w:pPr>
        <w:pStyle w:val="4"/>
        <w:widowControl/>
        <w:ind w:left="0" w:leftChars="0" w:firstLine="480" w:firstLineChars="200"/>
        <w:rPr>
          <w:rFonts w:ascii="Times New Roman" w:hAnsi="Times New Roman" w:eastAsia="宋体" w:cs="Times New Roman"/>
          <w:b/>
          <w:i w:val="0"/>
          <w:strike w:val="0"/>
          <w:dstrike w:val="0"/>
          <w:color w:val="auto"/>
          <w:sz w:val="24"/>
        </w:rPr>
      </w:pPr>
      <w:r>
        <w:rPr>
          <w:rFonts w:ascii="Times New Roman" w:hAnsi="Times New Roman" w:eastAsia="宋体" w:cs="Times New Roman"/>
          <w:strike w:val="0"/>
          <w:dstrike w:val="0"/>
          <w:color w:val="auto"/>
          <w:sz w:val="24"/>
          <w:highlight w:val="none"/>
        </w:rPr>
        <w:t>开户名称：</w:t>
      </w:r>
      <w:r>
        <w:rPr>
          <w:rFonts w:ascii="Times New Roman" w:hAnsi="Times New Roman" w:eastAsia="宋体" w:cs="Times New Roman"/>
          <w:b/>
          <w:i w:val="0"/>
          <w:strike w:val="0"/>
          <w:dstrike w:val="0"/>
          <w:color w:val="auto"/>
          <w:sz w:val="24"/>
          <w:u w:val="single"/>
        </w:rPr>
        <w:t xml:space="preserve">                </w:t>
      </w:r>
    </w:p>
    <w:p w14:paraId="106972BD">
      <w:pPr>
        <w:pStyle w:val="4"/>
        <w:widowControl/>
        <w:ind w:left="0" w:leftChars="0" w:firstLine="480" w:firstLineChars="200"/>
        <w:rPr>
          <w:rFonts w:ascii="Times New Roman" w:hAnsi="Times New Roman" w:eastAsia="宋体" w:cs="Times New Roman"/>
          <w:strike w:val="0"/>
          <w:dstrike w:val="0"/>
          <w:color w:val="auto"/>
          <w:sz w:val="24"/>
          <w:highlight w:val="none"/>
        </w:rPr>
      </w:pPr>
      <w:r>
        <w:rPr>
          <w:rFonts w:ascii="Times New Roman" w:hAnsi="Times New Roman" w:eastAsia="宋体" w:cs="Times New Roman"/>
          <w:strike w:val="0"/>
          <w:dstrike w:val="0"/>
          <w:color w:val="auto"/>
          <w:sz w:val="24"/>
          <w:highlight w:val="none"/>
        </w:rPr>
        <w:t>开户银⾏：</w:t>
      </w:r>
      <w:r>
        <w:rPr>
          <w:rFonts w:ascii="Times New Roman" w:hAnsi="Times New Roman" w:eastAsia="宋体" w:cs="Times New Roman"/>
          <w:b/>
          <w:i w:val="0"/>
          <w:strike w:val="0"/>
          <w:dstrike w:val="0"/>
          <w:color w:val="auto"/>
          <w:sz w:val="24"/>
          <w:u w:val="single"/>
        </w:rPr>
        <w:t xml:space="preserve">                            </w:t>
      </w:r>
    </w:p>
    <w:p w14:paraId="5C5FECC1">
      <w:pPr>
        <w:pStyle w:val="4"/>
        <w:widowControl/>
        <w:ind w:left="0" w:leftChars="0" w:firstLine="480" w:firstLineChars="200"/>
        <w:rPr>
          <w:rFonts w:ascii="Times New Roman" w:hAnsi="Times New Roman" w:eastAsia="宋体" w:cs="Times New Roman"/>
          <w:sz w:val="24"/>
        </w:rPr>
      </w:pPr>
      <w:r>
        <w:rPr>
          <w:rFonts w:ascii="Times New Roman" w:hAnsi="Times New Roman" w:eastAsia="宋体" w:cs="Times New Roman"/>
          <w:strike w:val="0"/>
          <w:dstrike w:val="0"/>
          <w:color w:val="auto"/>
          <w:sz w:val="24"/>
          <w:highlight w:val="none"/>
        </w:rPr>
        <w:t>银⾏账号：</w:t>
      </w:r>
      <w:r>
        <w:rPr>
          <w:rFonts w:ascii="Times New Roman" w:hAnsi="Times New Roman" w:eastAsia="宋体" w:cs="Times New Roman"/>
          <w:b/>
          <w:i w:val="0"/>
          <w:strike w:val="0"/>
          <w:dstrike w:val="0"/>
          <w:color w:val="auto"/>
          <w:sz w:val="24"/>
          <w:u w:val="single"/>
        </w:rPr>
        <w:t xml:space="preserve">              </w:t>
      </w:r>
    </w:p>
    <w:p w14:paraId="29D3E343">
      <w:pPr>
        <w:pStyle w:val="3"/>
        <w:widowControl/>
        <w:numPr>
          <w:ilvl w:val="0"/>
          <w:numId w:val="0"/>
        </w:numPr>
        <w:tabs>
          <w:tab w:val="left" w:pos="1566"/>
        </w:tabs>
        <w:ind w:left="0" w:leftChars="0" w:firstLine="482" w:firstLineChars="200"/>
        <w:rPr>
          <w:b/>
          <w:color w:val="0000FF"/>
          <w:u w:val="none"/>
        </w:rPr>
      </w:pPr>
      <w:r>
        <w:rPr>
          <w:rFonts w:hint="eastAsia" w:ascii="宋体" w:hAnsi="宋体" w:eastAsia="宋体" w:cs="宋体"/>
          <w:b/>
          <w:bCs/>
          <w:color w:val="0000FF"/>
          <w:kern w:val="44"/>
          <w:sz w:val="24"/>
          <w:szCs w:val="30"/>
        </w:rPr>
        <w:t>第</w:t>
      </w:r>
      <w:r>
        <w:rPr>
          <w:rFonts w:hint="eastAsia" w:cs="宋体"/>
          <w:b/>
          <w:bCs/>
          <w:color w:val="0000FF"/>
          <w:kern w:val="44"/>
          <w:sz w:val="24"/>
          <w:szCs w:val="30"/>
          <w:lang w:val="en-US" w:eastAsia="zh-CN"/>
        </w:rPr>
        <w:t>十</w:t>
      </w:r>
      <w:r>
        <w:rPr>
          <w:rFonts w:hint="eastAsia" w:ascii="宋体" w:hAnsi="宋体" w:eastAsia="宋体" w:cs="宋体"/>
          <w:b/>
          <w:bCs/>
          <w:color w:val="0000FF"/>
          <w:kern w:val="44"/>
          <w:sz w:val="24"/>
          <w:szCs w:val="30"/>
        </w:rPr>
        <w:t>条</w:t>
      </w:r>
      <w:r>
        <w:rPr>
          <w:rFonts w:hint="eastAsia" w:cs="宋体"/>
          <w:b/>
          <w:bCs/>
          <w:color w:val="0000FF"/>
          <w:kern w:val="44"/>
          <w:sz w:val="24"/>
          <w:szCs w:val="30"/>
          <w:lang w:val="en-US" w:eastAsia="zh-CN"/>
        </w:rPr>
        <w:t xml:space="preserve">  </w:t>
      </w:r>
      <w:r>
        <w:rPr>
          <w:color w:val="0000FF"/>
          <w:u w:val="none"/>
        </w:rPr>
        <w:t>委托管理期限</w:t>
      </w:r>
    </w:p>
    <w:p w14:paraId="2491EEE4">
      <w:pPr>
        <w:pStyle w:val="4"/>
        <w:widowControl/>
        <w:numPr>
          <w:ilvl w:val="0"/>
          <w:numId w:val="0"/>
        </w:numPr>
        <w:tabs>
          <w:tab w:val="left" w:pos="780"/>
        </w:tabs>
        <w:ind w:left="0" w:leftChars="0" w:firstLine="480" w:firstLineChars="200"/>
        <w:rPr>
          <w:rFonts w:ascii="Times New Roman" w:hAnsi="Times New Roman" w:eastAsia="宋体" w:cs="Times New Roman"/>
          <w:b w:val="0"/>
          <w:color w:val="auto"/>
          <w:sz w:val="24"/>
          <w:highlight w:val="none"/>
        </w:rPr>
      </w:pPr>
      <w:r>
        <w:rPr>
          <w:rFonts w:hint="default" w:ascii="Times New Roman" w:hAnsi="Times New Roman" w:eastAsia="宋体" w:cs="Times New Roman"/>
          <w:b w:val="0"/>
          <w:color w:val="auto"/>
          <w:sz w:val="24"/>
        </w:rPr>
        <w:t>1.</w:t>
      </w:r>
      <w:r>
        <w:rPr>
          <w:rFonts w:ascii="Times New Roman" w:hAnsi="Times New Roman" w:eastAsia="宋体" w:cs="Times New Roman"/>
          <w:b w:val="0"/>
          <w:color w:val="auto"/>
          <w:sz w:val="24"/>
          <w:highlight w:val="none"/>
        </w:rPr>
        <w:t>本合同首期服务期限 1 年，自____年__月__日起至____年__月__日止；</w:t>
      </w:r>
    </w:p>
    <w:p w14:paraId="31E61B11">
      <w:pPr>
        <w:pStyle w:val="4"/>
        <w:widowControl/>
        <w:numPr>
          <w:ilvl w:val="0"/>
          <w:numId w:val="0"/>
        </w:numPr>
        <w:tabs>
          <w:tab w:val="left" w:pos="780"/>
        </w:tabs>
        <w:ind w:left="0" w:leftChars="0" w:firstLine="480" w:firstLineChars="200"/>
        <w:rPr>
          <w:rFonts w:ascii="Times New Roman" w:hAnsi="Times New Roman" w:eastAsia="宋体" w:cs="Times New Roman"/>
          <w:b w:val="0"/>
          <w:color w:val="auto"/>
          <w:sz w:val="24"/>
          <w:highlight w:val="none"/>
        </w:rPr>
      </w:pPr>
      <w:r>
        <w:rPr>
          <w:rFonts w:hint="default" w:ascii="Times New Roman" w:hAnsi="Times New Roman" w:eastAsia="宋体" w:cs="Times New Roman"/>
          <w:b w:val="0"/>
          <w:color w:val="auto"/>
          <w:sz w:val="24"/>
        </w:rPr>
        <w:t>2.</w:t>
      </w:r>
      <w:r>
        <w:rPr>
          <w:rFonts w:ascii="Times New Roman" w:hAnsi="Times New Roman" w:eastAsia="宋体" w:cs="Times New Roman"/>
          <w:b w:val="0"/>
          <w:color w:val="auto"/>
          <w:sz w:val="24"/>
          <w:highlight w:val="none"/>
        </w:rPr>
        <w:t>合同实行一年一签模式，年度考核平均分≥80分方可续签，续签仅限1次，续签期限1年；首期合同期满前</w:t>
      </w:r>
      <w:r>
        <w:rPr>
          <w:rFonts w:hint="eastAsia" w:ascii="Times New Roman" w:hAnsi="Times New Roman" w:eastAsia="宋体" w:cs="Times New Roman"/>
          <w:b w:val="0"/>
          <w:color w:val="auto"/>
          <w:sz w:val="24"/>
          <w:highlight w:val="none"/>
        </w:rPr>
        <w:t>30日</w:t>
      </w:r>
      <w:r>
        <w:rPr>
          <w:rFonts w:ascii="Times New Roman" w:hAnsi="Times New Roman" w:eastAsia="宋体" w:cs="Times New Roman"/>
          <w:b w:val="0"/>
          <w:color w:val="auto"/>
          <w:sz w:val="24"/>
          <w:highlight w:val="none"/>
        </w:rPr>
        <w:t>，甲方依据全年月度考核综合结果出具续签评估意见，确定是否续签；若考核不合格，本合同到期自动终止，乙方须按期完成人员撤离、工作交接。</w:t>
      </w:r>
    </w:p>
    <w:p w14:paraId="367167B7">
      <w:pPr>
        <w:pStyle w:val="3"/>
        <w:widowControl/>
        <w:numPr>
          <w:ilvl w:val="0"/>
          <w:numId w:val="0"/>
        </w:numPr>
        <w:tabs>
          <w:tab w:val="left" w:pos="1566"/>
        </w:tabs>
        <w:ind w:left="0" w:leftChars="0" w:firstLine="482" w:firstLineChars="200"/>
        <w:rPr>
          <w:b/>
          <w:color w:val="0000FF"/>
        </w:rPr>
      </w:pPr>
      <w:r>
        <w:rPr>
          <w:rFonts w:hint="eastAsia" w:ascii="宋体" w:hAnsi="宋体" w:eastAsia="宋体" w:cs="宋体"/>
          <w:b/>
          <w:bCs/>
          <w:color w:val="0000FF"/>
          <w:kern w:val="44"/>
          <w:sz w:val="24"/>
          <w:szCs w:val="30"/>
        </w:rPr>
        <w:t>第十</w:t>
      </w:r>
      <w:r>
        <w:rPr>
          <w:rFonts w:hint="eastAsia" w:cs="宋体"/>
          <w:b/>
          <w:bCs/>
          <w:color w:val="0000FF"/>
          <w:kern w:val="44"/>
          <w:sz w:val="24"/>
          <w:szCs w:val="30"/>
          <w:lang w:val="en-US" w:eastAsia="zh-CN"/>
        </w:rPr>
        <w:t>一</w:t>
      </w:r>
      <w:r>
        <w:rPr>
          <w:rFonts w:hint="eastAsia" w:ascii="宋体" w:hAnsi="宋体" w:eastAsia="宋体" w:cs="宋体"/>
          <w:b/>
          <w:bCs/>
          <w:color w:val="0000FF"/>
          <w:kern w:val="44"/>
          <w:sz w:val="24"/>
          <w:szCs w:val="30"/>
        </w:rPr>
        <w:t>条</w:t>
      </w:r>
      <w:r>
        <w:rPr>
          <w:rFonts w:hint="eastAsia" w:cs="宋体"/>
          <w:b/>
          <w:bCs/>
          <w:color w:val="0000FF"/>
          <w:kern w:val="44"/>
          <w:sz w:val="24"/>
          <w:szCs w:val="30"/>
          <w:lang w:val="en-US" w:eastAsia="zh-CN"/>
        </w:rPr>
        <w:t xml:space="preserve">  </w:t>
      </w:r>
      <w:r>
        <w:rPr>
          <w:color w:val="0000FF"/>
        </w:rPr>
        <w:t>甲方权利与义务</w:t>
      </w:r>
    </w:p>
    <w:p w14:paraId="09BBBCC6">
      <w:pPr>
        <w:pStyle w:val="4"/>
        <w:widowControl/>
        <w:numPr>
          <w:ilvl w:val="0"/>
          <w:numId w:val="0"/>
        </w:numPr>
        <w:tabs>
          <w:tab w:val="left" w:pos="1200"/>
        </w:tabs>
        <w:topLinePunct w:val="0"/>
        <w:ind w:left="0" w:leftChars="0" w:firstLine="480" w:firstLineChars="200"/>
        <w:rPr>
          <w:rFonts w:ascii="Times New Roman" w:hAnsi="Times New Roman" w:eastAsia="宋体" w:cs="Times New Roman"/>
          <w:b w:val="0"/>
          <w:color w:val="auto"/>
          <w:sz w:val="24"/>
          <w:highlight w:val="none"/>
        </w:rPr>
      </w:pPr>
      <w:r>
        <w:rPr>
          <w:rFonts w:hint="eastAsia" w:ascii="Times New Roman" w:hAnsi="Times New Roman" w:eastAsia="宋体" w:cs="Times New Roman"/>
          <w:b w:val="0"/>
          <w:color w:val="auto"/>
          <w:sz w:val="24"/>
        </w:rPr>
        <w:t>（一）</w:t>
      </w:r>
      <w:r>
        <w:rPr>
          <w:rFonts w:ascii="Times New Roman" w:hAnsi="Times New Roman" w:eastAsia="宋体" w:cs="Times New Roman"/>
          <w:b w:val="0"/>
          <w:color w:val="auto"/>
          <w:sz w:val="24"/>
          <w:highlight w:val="none"/>
        </w:rPr>
        <w:t>督促乙方拟定物业管理规章制度。</w:t>
      </w:r>
    </w:p>
    <w:p w14:paraId="554071A8">
      <w:pPr>
        <w:pStyle w:val="4"/>
        <w:widowControl/>
        <w:numPr>
          <w:ilvl w:val="0"/>
          <w:numId w:val="0"/>
        </w:numPr>
        <w:tabs>
          <w:tab w:val="left" w:pos="1200"/>
        </w:tabs>
        <w:topLinePunct w:val="0"/>
        <w:ind w:left="0" w:leftChars="0" w:firstLine="480" w:firstLineChars="200"/>
        <w:rPr>
          <w:rFonts w:ascii="Times New Roman" w:hAnsi="Times New Roman" w:eastAsia="宋体" w:cs="Times New Roman"/>
          <w:b w:val="0"/>
          <w:color w:val="auto"/>
          <w:sz w:val="24"/>
          <w:highlight w:val="none"/>
        </w:rPr>
      </w:pPr>
      <w:r>
        <w:rPr>
          <w:rFonts w:hint="eastAsia" w:ascii="Times New Roman" w:hAnsi="Times New Roman" w:eastAsia="宋体" w:cs="Times New Roman"/>
          <w:b w:val="0"/>
          <w:color w:val="auto"/>
          <w:sz w:val="24"/>
        </w:rPr>
        <w:t>（二）</w:t>
      </w:r>
      <w:r>
        <w:rPr>
          <w:rFonts w:ascii="Times New Roman" w:hAnsi="Times New Roman" w:eastAsia="宋体" w:cs="Times New Roman"/>
          <w:b w:val="0"/>
          <w:color w:val="auto"/>
          <w:sz w:val="24"/>
          <w:highlight w:val="none"/>
        </w:rPr>
        <w:t>检查监督乙方服务工作的实施及制度的执行情况，定期检查或抽查乙方各项服务质量情况，定期组织考核，提出相应整改意见并监督乙方完成。</w:t>
      </w:r>
    </w:p>
    <w:p w14:paraId="6279B89E">
      <w:pPr>
        <w:pStyle w:val="4"/>
        <w:widowControl/>
        <w:numPr>
          <w:ilvl w:val="0"/>
          <w:numId w:val="0"/>
        </w:numPr>
        <w:tabs>
          <w:tab w:val="left" w:pos="1200"/>
        </w:tabs>
        <w:topLinePunct w:val="0"/>
        <w:ind w:left="0" w:leftChars="0" w:firstLine="480" w:firstLineChars="200"/>
        <w:rPr>
          <w:rFonts w:ascii="Times New Roman" w:hAnsi="Times New Roman" w:eastAsia="宋体" w:cs="Times New Roman"/>
          <w:b w:val="0"/>
          <w:color w:val="auto"/>
          <w:sz w:val="24"/>
          <w:highlight w:val="none"/>
        </w:rPr>
      </w:pPr>
      <w:r>
        <w:rPr>
          <w:rFonts w:hint="eastAsia" w:ascii="Times New Roman" w:hAnsi="Times New Roman" w:eastAsia="宋体" w:cs="Times New Roman"/>
          <w:b w:val="0"/>
          <w:color w:val="auto"/>
          <w:sz w:val="24"/>
        </w:rPr>
        <w:t>（三）</w:t>
      </w:r>
      <w:r>
        <w:rPr>
          <w:rFonts w:ascii="Times New Roman" w:hAnsi="Times New Roman" w:eastAsia="宋体" w:cs="Times New Roman"/>
          <w:b w:val="0"/>
          <w:color w:val="auto"/>
          <w:sz w:val="24"/>
          <w:highlight w:val="none"/>
        </w:rPr>
        <w:t>对乙方关于物业管理服务区内的安全防范隐患报告，甲方应及时答复和制定改进措施。</w:t>
      </w:r>
    </w:p>
    <w:p w14:paraId="052F81C2">
      <w:pPr>
        <w:pStyle w:val="4"/>
        <w:widowControl/>
        <w:numPr>
          <w:ilvl w:val="0"/>
          <w:numId w:val="0"/>
        </w:numPr>
        <w:tabs>
          <w:tab w:val="left" w:pos="1200"/>
        </w:tabs>
        <w:topLinePunct w:val="0"/>
        <w:ind w:left="0" w:leftChars="0" w:firstLine="480" w:firstLineChars="200"/>
        <w:rPr>
          <w:rFonts w:ascii="Times New Roman" w:hAnsi="Times New Roman" w:eastAsia="宋体" w:cs="Times New Roman"/>
          <w:b w:val="0"/>
          <w:color w:val="auto"/>
          <w:sz w:val="24"/>
          <w:highlight w:val="none"/>
        </w:rPr>
      </w:pPr>
      <w:r>
        <w:rPr>
          <w:rFonts w:hint="eastAsia" w:ascii="Times New Roman" w:hAnsi="Times New Roman" w:eastAsia="宋体" w:cs="Times New Roman"/>
          <w:b w:val="0"/>
          <w:color w:val="auto"/>
          <w:sz w:val="24"/>
        </w:rPr>
        <w:t>（四）</w:t>
      </w:r>
      <w:r>
        <w:rPr>
          <w:rFonts w:ascii="Times New Roman" w:hAnsi="Times New Roman" w:eastAsia="宋体" w:cs="Times New Roman"/>
          <w:b w:val="0"/>
          <w:color w:val="auto"/>
          <w:sz w:val="24"/>
          <w:highlight w:val="none"/>
        </w:rPr>
        <w:t>向乙方无偿提供经装修能正常使用的管理用房和保洁绿化、水电工生活用房及存放设备、材料的仓库。</w:t>
      </w:r>
    </w:p>
    <w:p w14:paraId="5BD40EE5">
      <w:pPr>
        <w:pStyle w:val="4"/>
        <w:widowControl/>
        <w:numPr>
          <w:ilvl w:val="0"/>
          <w:numId w:val="0"/>
        </w:numPr>
        <w:tabs>
          <w:tab w:val="left" w:pos="1200"/>
        </w:tabs>
        <w:topLinePunct w:val="0"/>
        <w:ind w:left="0" w:leftChars="0" w:firstLine="480" w:firstLineChars="200"/>
        <w:rPr>
          <w:rFonts w:ascii="Times New Roman" w:hAnsi="Times New Roman" w:eastAsia="宋体" w:cs="Times New Roman"/>
          <w:b w:val="0"/>
          <w:color w:val="auto"/>
          <w:sz w:val="24"/>
          <w:highlight w:val="none"/>
        </w:rPr>
      </w:pPr>
      <w:r>
        <w:rPr>
          <w:rFonts w:hint="eastAsia" w:ascii="Times New Roman" w:hAnsi="Times New Roman" w:eastAsia="宋体" w:cs="Times New Roman"/>
          <w:b w:val="0"/>
          <w:color w:val="auto"/>
          <w:sz w:val="24"/>
        </w:rPr>
        <w:t>（五）</w:t>
      </w:r>
      <w:r>
        <w:rPr>
          <w:rFonts w:ascii="Times New Roman" w:hAnsi="Times New Roman" w:eastAsia="宋体" w:cs="Times New Roman"/>
          <w:b w:val="0"/>
          <w:color w:val="auto"/>
          <w:sz w:val="24"/>
          <w:highlight w:val="none"/>
        </w:rPr>
        <w:t>负责收集、整理物业管理所需全部竣工图纸、档案、资料复印等，向乙方移交。</w:t>
      </w:r>
    </w:p>
    <w:p w14:paraId="59F2AA75">
      <w:pPr>
        <w:pStyle w:val="4"/>
        <w:widowControl/>
        <w:numPr>
          <w:ilvl w:val="0"/>
          <w:numId w:val="0"/>
        </w:numPr>
        <w:tabs>
          <w:tab w:val="left" w:pos="1200"/>
        </w:tabs>
        <w:topLinePunct w:val="0"/>
        <w:ind w:left="0" w:leftChars="0" w:firstLine="480" w:firstLineChars="200"/>
        <w:rPr>
          <w:rFonts w:ascii="Times New Roman" w:hAnsi="Times New Roman" w:eastAsia="宋体" w:cs="Times New Roman"/>
          <w:b w:val="0"/>
          <w:color w:val="auto"/>
          <w:sz w:val="24"/>
          <w:highlight w:val="none"/>
        </w:rPr>
      </w:pPr>
      <w:r>
        <w:rPr>
          <w:rFonts w:hint="eastAsia" w:ascii="Times New Roman" w:hAnsi="Times New Roman" w:eastAsia="宋体" w:cs="Times New Roman"/>
          <w:b w:val="0"/>
          <w:color w:val="auto"/>
          <w:sz w:val="24"/>
        </w:rPr>
        <w:t>（六）</w:t>
      </w:r>
      <w:r>
        <w:rPr>
          <w:rFonts w:ascii="Times New Roman" w:hAnsi="Times New Roman" w:eastAsia="宋体" w:cs="Times New Roman"/>
          <w:b w:val="0"/>
          <w:color w:val="auto"/>
          <w:sz w:val="24"/>
          <w:highlight w:val="none"/>
        </w:rPr>
        <w:t>协助乙方做好物业保障管理工作和宣传教育、文化活动。</w:t>
      </w:r>
    </w:p>
    <w:p w14:paraId="24B354FD">
      <w:pPr>
        <w:pStyle w:val="4"/>
        <w:widowControl/>
        <w:numPr>
          <w:ilvl w:val="0"/>
          <w:numId w:val="0"/>
        </w:numPr>
        <w:tabs>
          <w:tab w:val="left" w:pos="1200"/>
        </w:tabs>
        <w:topLinePunct w:val="0"/>
        <w:ind w:left="0" w:leftChars="0" w:firstLine="480" w:firstLineChars="200"/>
        <w:rPr>
          <w:rFonts w:ascii="Times New Roman" w:hAnsi="Times New Roman" w:eastAsia="宋体" w:cs="Times New Roman"/>
          <w:b w:val="0"/>
          <w:color w:val="auto"/>
          <w:sz w:val="24"/>
          <w:highlight w:val="none"/>
        </w:rPr>
      </w:pPr>
      <w:r>
        <w:rPr>
          <w:rFonts w:hint="eastAsia" w:ascii="Times New Roman" w:hAnsi="Times New Roman" w:eastAsia="宋体" w:cs="Times New Roman"/>
          <w:b w:val="0"/>
          <w:color w:val="auto"/>
          <w:sz w:val="24"/>
        </w:rPr>
        <w:t>（七）</w:t>
      </w:r>
      <w:r>
        <w:rPr>
          <w:rFonts w:ascii="Times New Roman" w:hAnsi="Times New Roman" w:eastAsia="宋体" w:cs="Times New Roman"/>
          <w:b w:val="0"/>
          <w:color w:val="auto"/>
          <w:sz w:val="24"/>
          <w:highlight w:val="none"/>
        </w:rPr>
        <w:t>提供乙方工作所需要的水、电。</w:t>
      </w:r>
    </w:p>
    <w:p w14:paraId="08B88E60">
      <w:pPr>
        <w:pStyle w:val="4"/>
        <w:widowControl/>
        <w:numPr>
          <w:ilvl w:val="0"/>
          <w:numId w:val="0"/>
        </w:numPr>
        <w:tabs>
          <w:tab w:val="left" w:pos="1200"/>
        </w:tabs>
        <w:topLinePunct w:val="0"/>
        <w:ind w:left="0" w:leftChars="0" w:firstLine="480" w:firstLineChars="200"/>
        <w:rPr>
          <w:rFonts w:ascii="Times New Roman" w:hAnsi="Times New Roman" w:eastAsia="宋体" w:cs="Times New Roman"/>
          <w:b w:val="0"/>
          <w:color w:val="auto"/>
          <w:sz w:val="24"/>
          <w:highlight w:val="none"/>
        </w:rPr>
      </w:pPr>
      <w:r>
        <w:rPr>
          <w:rFonts w:hint="eastAsia" w:ascii="Times New Roman" w:hAnsi="Times New Roman" w:eastAsia="宋体" w:cs="Times New Roman"/>
          <w:b w:val="0"/>
          <w:color w:val="auto"/>
          <w:sz w:val="24"/>
        </w:rPr>
        <w:t>（八）</w:t>
      </w:r>
      <w:r>
        <w:rPr>
          <w:rFonts w:ascii="Times New Roman" w:hAnsi="Times New Roman" w:eastAsia="宋体" w:cs="Times New Roman"/>
          <w:b w:val="0"/>
          <w:color w:val="auto"/>
          <w:sz w:val="24"/>
          <w:highlight w:val="none"/>
        </w:rPr>
        <w:t>国家法律法规和地方性政策规定由甲方承担的其他责任。</w:t>
      </w:r>
    </w:p>
    <w:p w14:paraId="1A266709">
      <w:pPr>
        <w:pStyle w:val="3"/>
        <w:widowControl/>
        <w:numPr>
          <w:ilvl w:val="0"/>
          <w:numId w:val="0"/>
        </w:numPr>
        <w:tabs>
          <w:tab w:val="left" w:pos="1566"/>
        </w:tabs>
        <w:ind w:left="0" w:leftChars="0" w:firstLine="482" w:firstLineChars="200"/>
        <w:rPr>
          <w:b/>
          <w:color w:val="0000FF"/>
        </w:rPr>
      </w:pPr>
      <w:r>
        <w:rPr>
          <w:rFonts w:hint="eastAsia" w:ascii="宋体" w:hAnsi="宋体" w:eastAsia="宋体" w:cs="宋体"/>
          <w:b/>
          <w:bCs/>
          <w:color w:val="0000FF"/>
          <w:kern w:val="44"/>
          <w:sz w:val="24"/>
          <w:szCs w:val="30"/>
        </w:rPr>
        <w:t>第十</w:t>
      </w:r>
      <w:r>
        <w:rPr>
          <w:rFonts w:hint="eastAsia" w:cs="宋体"/>
          <w:b/>
          <w:bCs/>
          <w:color w:val="0000FF"/>
          <w:kern w:val="44"/>
          <w:sz w:val="24"/>
          <w:szCs w:val="30"/>
          <w:lang w:val="en-US" w:eastAsia="zh-CN"/>
        </w:rPr>
        <w:t>二</w:t>
      </w:r>
      <w:r>
        <w:rPr>
          <w:rFonts w:hint="eastAsia" w:ascii="宋体" w:hAnsi="宋体" w:eastAsia="宋体" w:cs="宋体"/>
          <w:b/>
          <w:bCs/>
          <w:color w:val="0000FF"/>
          <w:kern w:val="44"/>
          <w:sz w:val="24"/>
          <w:szCs w:val="30"/>
        </w:rPr>
        <w:t>条</w:t>
      </w:r>
      <w:r>
        <w:rPr>
          <w:rFonts w:hint="eastAsia" w:cs="宋体"/>
          <w:b/>
          <w:bCs/>
          <w:color w:val="0000FF"/>
          <w:kern w:val="44"/>
          <w:sz w:val="24"/>
          <w:szCs w:val="30"/>
          <w:lang w:val="en-US" w:eastAsia="zh-CN"/>
        </w:rPr>
        <w:t xml:space="preserve">  </w:t>
      </w:r>
      <w:r>
        <w:rPr>
          <w:color w:val="0000FF"/>
        </w:rPr>
        <w:t>乙方权利与义务</w:t>
      </w:r>
    </w:p>
    <w:p w14:paraId="43BB4340">
      <w:pPr>
        <w:pStyle w:val="4"/>
        <w:widowControl/>
        <w:numPr>
          <w:ilvl w:val="0"/>
          <w:numId w:val="0"/>
        </w:numPr>
        <w:tabs>
          <w:tab w:val="left" w:pos="1200"/>
        </w:tabs>
        <w:topLinePunct w:val="0"/>
        <w:ind w:left="0" w:leftChars="0" w:firstLine="480" w:firstLineChars="200"/>
        <w:rPr>
          <w:rFonts w:ascii="Times New Roman" w:hAnsi="Times New Roman" w:eastAsia="宋体" w:cs="Times New Roman"/>
          <w:b w:val="0"/>
          <w:color w:val="auto"/>
          <w:sz w:val="24"/>
          <w:highlight w:val="none"/>
        </w:rPr>
      </w:pPr>
      <w:r>
        <w:rPr>
          <w:rFonts w:hint="eastAsia" w:ascii="Times New Roman" w:hAnsi="Times New Roman" w:eastAsia="宋体" w:cs="Times New Roman"/>
          <w:b w:val="0"/>
          <w:color w:val="auto"/>
          <w:sz w:val="24"/>
        </w:rPr>
        <w:t>（一）</w:t>
      </w:r>
      <w:r>
        <w:rPr>
          <w:rFonts w:ascii="Times New Roman" w:hAnsi="Times New Roman" w:eastAsia="宋体" w:cs="Times New Roman"/>
          <w:b w:val="0"/>
          <w:color w:val="auto"/>
          <w:sz w:val="24"/>
          <w:highlight w:val="none"/>
        </w:rPr>
        <w:t>根据有关法律法规及本合同的约定提供管理服务，负责制订物业管理服务规范和物业管理制度；负责编制设施、设备、绿化等的年度维修养护计划并组织实施。</w:t>
      </w:r>
    </w:p>
    <w:p w14:paraId="359DFCDA">
      <w:pPr>
        <w:pStyle w:val="4"/>
        <w:widowControl/>
        <w:numPr>
          <w:ilvl w:val="0"/>
          <w:numId w:val="0"/>
        </w:numPr>
        <w:tabs>
          <w:tab w:val="left" w:pos="1200"/>
        </w:tabs>
        <w:topLinePunct w:val="0"/>
        <w:ind w:left="0" w:leftChars="0" w:firstLine="480" w:firstLineChars="200"/>
        <w:rPr>
          <w:rFonts w:ascii="Times New Roman" w:hAnsi="Times New Roman" w:eastAsia="宋体" w:cs="Times New Roman"/>
          <w:b w:val="0"/>
          <w:color w:val="auto"/>
          <w:sz w:val="24"/>
          <w:highlight w:val="none"/>
        </w:rPr>
      </w:pPr>
      <w:r>
        <w:rPr>
          <w:rFonts w:hint="eastAsia" w:ascii="Times New Roman" w:hAnsi="Times New Roman" w:eastAsia="宋体" w:cs="Times New Roman"/>
          <w:b w:val="0"/>
          <w:color w:val="auto"/>
          <w:sz w:val="24"/>
        </w:rPr>
        <w:t>（二）</w:t>
      </w:r>
      <w:r>
        <w:rPr>
          <w:rFonts w:hint="eastAsia" w:ascii="Times New Roman" w:hAnsi="Times New Roman" w:eastAsia="宋体" w:cs="Times New Roman"/>
          <w:b w:val="0"/>
          <w:color w:val="auto"/>
          <w:sz w:val="24"/>
          <w:highlight w:val="none"/>
        </w:rPr>
        <w:t>乙方按经双方确认的委托管理事项及要求和服务标准向甲方提供清洁保洁、绿化养护、机电维护维修及房屋建筑物、构筑物维修养护等物业保障服务。乙方在合同服务期间，不得将本合同项下权利义务全部或部分转让给第三方，不得将本合同项下服务内容转包、分包或委托第三方实际履行。</w:t>
      </w:r>
    </w:p>
    <w:p w14:paraId="0ADB99C0">
      <w:pPr>
        <w:pStyle w:val="4"/>
        <w:widowControl/>
        <w:numPr>
          <w:ilvl w:val="0"/>
          <w:numId w:val="0"/>
        </w:numPr>
        <w:tabs>
          <w:tab w:val="left" w:pos="1200"/>
        </w:tabs>
        <w:topLinePunct w:val="0"/>
        <w:ind w:left="0" w:leftChars="0" w:firstLine="480" w:firstLineChars="200"/>
        <w:rPr>
          <w:rFonts w:ascii="Times New Roman" w:hAnsi="Times New Roman" w:eastAsia="宋体" w:cs="Times New Roman"/>
          <w:b w:val="0"/>
          <w:color w:val="auto"/>
          <w:sz w:val="24"/>
          <w:highlight w:val="none"/>
        </w:rPr>
      </w:pPr>
      <w:r>
        <w:rPr>
          <w:rFonts w:hint="eastAsia" w:ascii="Times New Roman" w:hAnsi="Times New Roman" w:eastAsia="宋体" w:cs="Times New Roman"/>
          <w:b w:val="0"/>
          <w:color w:val="auto"/>
          <w:sz w:val="24"/>
        </w:rPr>
        <w:t>（三）</w:t>
      </w:r>
      <w:r>
        <w:rPr>
          <w:rFonts w:ascii="Times New Roman" w:hAnsi="Times New Roman" w:eastAsia="宋体" w:cs="Times New Roman"/>
          <w:b w:val="0"/>
          <w:color w:val="auto"/>
          <w:sz w:val="24"/>
          <w:highlight w:val="none"/>
        </w:rPr>
        <w:t>乙方负责教育和管理派驻本物业的人员，严格遵守甲方各项规章制度，保持甲方良好的环境和秩序，协助维护财物安全，未经甲方相关负责人许可，不得擅自使用、移动有关物品，爱护派驻单位的财物，节约用水、用电，注意言谈举止，讲究礼节礼貌，以维护甲方良好形象。</w:t>
      </w:r>
    </w:p>
    <w:p w14:paraId="2A710A18">
      <w:pPr>
        <w:pStyle w:val="4"/>
        <w:widowControl/>
        <w:numPr>
          <w:ilvl w:val="0"/>
          <w:numId w:val="0"/>
        </w:numPr>
        <w:tabs>
          <w:tab w:val="left" w:pos="1200"/>
        </w:tabs>
        <w:topLinePunct w:val="0"/>
        <w:ind w:left="0" w:leftChars="0" w:firstLine="480" w:firstLineChars="200"/>
        <w:rPr>
          <w:rFonts w:ascii="Times New Roman" w:hAnsi="Times New Roman" w:eastAsia="宋体" w:cs="Times New Roman"/>
          <w:b w:val="0"/>
          <w:color w:val="auto"/>
          <w:sz w:val="24"/>
          <w:highlight w:val="none"/>
        </w:rPr>
      </w:pPr>
      <w:r>
        <w:rPr>
          <w:rFonts w:hint="eastAsia" w:ascii="Times New Roman" w:hAnsi="Times New Roman" w:eastAsia="宋体" w:cs="Times New Roman"/>
          <w:b w:val="0"/>
          <w:color w:val="auto"/>
          <w:sz w:val="24"/>
        </w:rPr>
        <w:t>（四）</w:t>
      </w:r>
      <w:r>
        <w:rPr>
          <w:rFonts w:hint="eastAsia" w:ascii="Times New Roman" w:hAnsi="Times New Roman" w:eastAsia="宋体" w:cs="Times New Roman"/>
          <w:b w:val="0"/>
          <w:color w:val="auto"/>
          <w:sz w:val="24"/>
          <w:highlight w:val="none"/>
        </w:rPr>
        <w:t>乙方应保证本项目合同约定的服务人员总人数足额在岗为甲方提供服务。若出现人员缺岗情形，乙方应在3个工作日内补齐缺岗人员，缺岗期间乙方应采取临时措施保障服务不中断。</w:t>
      </w:r>
    </w:p>
    <w:p w14:paraId="4D39445E">
      <w:pPr>
        <w:pStyle w:val="4"/>
        <w:widowControl/>
        <w:numPr>
          <w:ilvl w:val="0"/>
          <w:numId w:val="0"/>
        </w:numPr>
        <w:tabs>
          <w:tab w:val="left" w:pos="1200"/>
        </w:tabs>
        <w:topLinePunct w:val="0"/>
        <w:ind w:left="0" w:leftChars="0" w:firstLine="480" w:firstLineChars="200"/>
        <w:rPr>
          <w:rFonts w:ascii="Times New Roman" w:hAnsi="Times New Roman" w:eastAsia="宋体" w:cs="Times New Roman"/>
          <w:b w:val="0"/>
          <w:color w:val="auto"/>
          <w:sz w:val="24"/>
          <w:highlight w:val="none"/>
        </w:rPr>
      </w:pPr>
      <w:r>
        <w:rPr>
          <w:rFonts w:hint="eastAsia" w:ascii="Times New Roman" w:hAnsi="Times New Roman" w:eastAsia="宋体" w:cs="Times New Roman"/>
          <w:b w:val="0"/>
          <w:color w:val="auto"/>
          <w:sz w:val="24"/>
        </w:rPr>
        <w:t>（五）</w:t>
      </w:r>
      <w:r>
        <w:rPr>
          <w:rFonts w:ascii="Times New Roman" w:hAnsi="Times New Roman" w:eastAsia="宋体" w:cs="Times New Roman"/>
          <w:b w:val="0"/>
          <w:color w:val="auto"/>
          <w:sz w:val="24"/>
          <w:highlight w:val="none"/>
        </w:rPr>
        <w:t>对甲方的公用设施不得擅自占用和改变使用功能，如需在本物业内改、扩建或完善配套项目，须经甲方同意批准后方可实施。</w:t>
      </w:r>
    </w:p>
    <w:p w14:paraId="46C2420A">
      <w:pPr>
        <w:pStyle w:val="4"/>
        <w:widowControl/>
        <w:numPr>
          <w:ilvl w:val="0"/>
          <w:numId w:val="0"/>
        </w:numPr>
        <w:tabs>
          <w:tab w:val="left" w:pos="1200"/>
        </w:tabs>
        <w:topLinePunct w:val="0"/>
        <w:ind w:left="0" w:leftChars="0" w:firstLine="480" w:firstLineChars="200"/>
        <w:rPr>
          <w:rFonts w:ascii="Times New Roman" w:hAnsi="Times New Roman" w:eastAsia="宋体" w:cs="Times New Roman"/>
          <w:b w:val="0"/>
          <w:color w:val="auto"/>
          <w:sz w:val="24"/>
          <w:highlight w:val="none"/>
        </w:rPr>
      </w:pPr>
      <w:r>
        <w:rPr>
          <w:rFonts w:hint="eastAsia" w:ascii="Times New Roman" w:hAnsi="Times New Roman" w:eastAsia="宋体" w:cs="Times New Roman"/>
          <w:b w:val="0"/>
          <w:color w:val="auto"/>
          <w:sz w:val="24"/>
        </w:rPr>
        <w:t>（六）</w:t>
      </w:r>
      <w:r>
        <w:rPr>
          <w:rFonts w:ascii="Times New Roman" w:hAnsi="Times New Roman" w:eastAsia="宋体" w:cs="Times New Roman"/>
          <w:b w:val="0"/>
          <w:color w:val="auto"/>
          <w:sz w:val="24"/>
          <w:highlight w:val="none"/>
        </w:rPr>
        <w:t>协助甲方做好收集、整理物业管理所需全部竣工图纸、档案、资料。</w:t>
      </w:r>
    </w:p>
    <w:p w14:paraId="5DF28504">
      <w:pPr>
        <w:pStyle w:val="4"/>
        <w:widowControl/>
        <w:numPr>
          <w:ilvl w:val="0"/>
          <w:numId w:val="0"/>
        </w:numPr>
        <w:tabs>
          <w:tab w:val="left" w:pos="1200"/>
        </w:tabs>
        <w:topLinePunct w:val="0"/>
        <w:ind w:left="0" w:leftChars="0" w:firstLine="480" w:firstLineChars="200"/>
        <w:rPr>
          <w:rFonts w:ascii="Times New Roman" w:hAnsi="Times New Roman" w:eastAsia="宋体" w:cs="Times New Roman"/>
          <w:b w:val="0"/>
          <w:color w:val="auto"/>
          <w:sz w:val="24"/>
          <w:highlight w:val="none"/>
        </w:rPr>
      </w:pPr>
      <w:r>
        <w:rPr>
          <w:rFonts w:hint="eastAsia" w:ascii="Times New Roman" w:hAnsi="Times New Roman" w:eastAsia="宋体" w:cs="Times New Roman"/>
          <w:b w:val="0"/>
          <w:color w:val="auto"/>
          <w:sz w:val="24"/>
        </w:rPr>
        <w:t>（七）</w:t>
      </w:r>
      <w:r>
        <w:rPr>
          <w:rFonts w:ascii="Times New Roman" w:hAnsi="Times New Roman" w:eastAsia="宋体" w:cs="Times New Roman"/>
          <w:b w:val="0"/>
          <w:color w:val="auto"/>
          <w:sz w:val="24"/>
          <w:highlight w:val="none"/>
        </w:rPr>
        <w:t>对发生在执勤区域内的刑事案件、治安案件和灾害事故，乙方应及时处理并报告甲方和当地公安机关，采取措施保护案发现场，协助公安机关侦查各类治安、刑事案件，依法妥善处理责任范围内的其他突发事件。</w:t>
      </w:r>
    </w:p>
    <w:p w14:paraId="7053CC18">
      <w:pPr>
        <w:pStyle w:val="4"/>
        <w:widowControl/>
        <w:numPr>
          <w:ilvl w:val="0"/>
          <w:numId w:val="0"/>
        </w:numPr>
        <w:tabs>
          <w:tab w:val="left" w:pos="1200"/>
        </w:tabs>
        <w:topLinePunct w:val="0"/>
        <w:ind w:left="0" w:leftChars="0" w:firstLine="480" w:firstLineChars="200"/>
        <w:rPr>
          <w:rFonts w:ascii="Times New Roman" w:hAnsi="Times New Roman" w:eastAsia="宋体" w:cs="Times New Roman"/>
          <w:b w:val="0"/>
          <w:color w:val="auto"/>
          <w:sz w:val="24"/>
          <w:highlight w:val="none"/>
        </w:rPr>
      </w:pPr>
      <w:r>
        <w:rPr>
          <w:rFonts w:hint="eastAsia" w:ascii="Times New Roman" w:hAnsi="Times New Roman" w:eastAsia="宋体" w:cs="Times New Roman"/>
          <w:b w:val="0"/>
          <w:color w:val="auto"/>
          <w:sz w:val="24"/>
        </w:rPr>
        <w:t>（八）</w:t>
      </w:r>
      <w:r>
        <w:rPr>
          <w:rFonts w:ascii="Times New Roman" w:hAnsi="Times New Roman" w:eastAsia="宋体" w:cs="Times New Roman"/>
          <w:b w:val="0"/>
          <w:color w:val="auto"/>
          <w:sz w:val="24"/>
          <w:highlight w:val="none"/>
        </w:rPr>
        <w:t>乙方应落实防火、防盗、防破坏等安全防范措施，发现责任区域内的安全隐患，及时报告甲方并协助予以处理。</w:t>
      </w:r>
    </w:p>
    <w:p w14:paraId="3D0ED575">
      <w:pPr>
        <w:pStyle w:val="4"/>
        <w:widowControl/>
        <w:numPr>
          <w:ilvl w:val="0"/>
          <w:numId w:val="0"/>
        </w:numPr>
        <w:tabs>
          <w:tab w:val="left" w:pos="1200"/>
        </w:tabs>
        <w:topLinePunct w:val="0"/>
        <w:ind w:left="0" w:leftChars="0" w:firstLine="480" w:firstLineChars="200"/>
        <w:rPr>
          <w:rFonts w:ascii="Times New Roman" w:hAnsi="Times New Roman" w:eastAsia="宋体" w:cs="Times New Roman"/>
          <w:b w:val="0"/>
          <w:color w:val="auto"/>
          <w:sz w:val="24"/>
          <w:highlight w:val="none"/>
        </w:rPr>
      </w:pPr>
      <w:r>
        <w:rPr>
          <w:rFonts w:hint="eastAsia" w:ascii="Times New Roman" w:hAnsi="Times New Roman" w:eastAsia="宋体" w:cs="Times New Roman"/>
          <w:b w:val="0"/>
          <w:color w:val="auto"/>
          <w:sz w:val="24"/>
        </w:rPr>
        <w:t>（九）</w:t>
      </w:r>
      <w:r>
        <w:rPr>
          <w:rFonts w:ascii="Times New Roman" w:hAnsi="Times New Roman" w:eastAsia="宋体" w:cs="Times New Roman"/>
          <w:b w:val="0"/>
          <w:color w:val="auto"/>
          <w:sz w:val="24"/>
          <w:highlight w:val="none"/>
        </w:rPr>
        <w:t>乙方员工在甲方工作期间发生工伤事故，乙方应在国家及地方规定时间内按工伤认定程序提出工伤申请，除社会保险机构按政策规定支付外，其他费用由乙方承担。甲方应配合乙方提供证明材料。</w:t>
      </w:r>
    </w:p>
    <w:p w14:paraId="66B4A53E">
      <w:pPr>
        <w:pStyle w:val="4"/>
        <w:widowControl/>
        <w:numPr>
          <w:ilvl w:val="0"/>
          <w:numId w:val="0"/>
        </w:numPr>
        <w:tabs>
          <w:tab w:val="left" w:pos="1200"/>
        </w:tabs>
        <w:topLinePunct w:val="0"/>
        <w:ind w:left="0" w:leftChars="0" w:firstLine="480" w:firstLineChars="200"/>
        <w:rPr>
          <w:rFonts w:ascii="Times New Roman" w:hAnsi="Times New Roman" w:eastAsia="宋体" w:cs="Times New Roman"/>
          <w:b w:val="0"/>
          <w:color w:val="auto"/>
          <w:sz w:val="24"/>
          <w:highlight w:val="none"/>
        </w:rPr>
      </w:pPr>
      <w:r>
        <w:rPr>
          <w:rFonts w:hint="eastAsia" w:ascii="Times New Roman" w:hAnsi="Times New Roman" w:eastAsia="宋体" w:cs="Times New Roman"/>
          <w:b w:val="0"/>
          <w:color w:val="auto"/>
          <w:sz w:val="24"/>
        </w:rPr>
        <w:t>（十）</w:t>
      </w:r>
      <w:r>
        <w:rPr>
          <w:rFonts w:ascii="Times New Roman" w:hAnsi="Times New Roman" w:eastAsia="宋体" w:cs="Times New Roman"/>
          <w:b w:val="0"/>
          <w:color w:val="auto"/>
          <w:sz w:val="24"/>
          <w:highlight w:val="none"/>
        </w:rPr>
        <w:t>乙方服务人员在工作期间因违法或重大过失给甲方造成重大损失的，乙方应承担相应法律及经济责任。</w:t>
      </w:r>
    </w:p>
    <w:p w14:paraId="19E750CB">
      <w:pPr>
        <w:pStyle w:val="4"/>
        <w:widowControl/>
        <w:numPr>
          <w:ilvl w:val="0"/>
          <w:numId w:val="0"/>
        </w:numPr>
        <w:tabs>
          <w:tab w:val="left" w:pos="1200"/>
        </w:tabs>
        <w:topLinePunct w:val="0"/>
        <w:ind w:left="0" w:leftChars="0" w:firstLine="480" w:firstLineChars="200"/>
        <w:rPr>
          <w:rFonts w:ascii="Times New Roman" w:hAnsi="Times New Roman" w:eastAsia="宋体" w:cs="Times New Roman"/>
          <w:b w:val="0"/>
          <w:color w:val="auto"/>
          <w:sz w:val="24"/>
          <w:highlight w:val="none"/>
        </w:rPr>
      </w:pPr>
      <w:r>
        <w:rPr>
          <w:rFonts w:hint="eastAsia" w:ascii="Times New Roman" w:hAnsi="Times New Roman" w:eastAsia="宋体" w:cs="Times New Roman"/>
          <w:b w:val="0"/>
          <w:color w:val="auto"/>
          <w:sz w:val="24"/>
        </w:rPr>
        <w:t>（十一）</w:t>
      </w:r>
      <w:r>
        <w:rPr>
          <w:rFonts w:ascii="Times New Roman" w:hAnsi="Times New Roman" w:eastAsia="宋体" w:cs="Times New Roman"/>
          <w:b w:val="0"/>
          <w:color w:val="auto"/>
          <w:sz w:val="24"/>
          <w:highlight w:val="none"/>
        </w:rPr>
        <w:t>乙方需加强与甲方沟通与协作，自觉接受甲方的监督，广泛听取、接受甲方的建议和意见，了解和熟悉服务事项的实际情况，不得损害甲方的利益，无条件支持和配合甲方的工作。</w:t>
      </w:r>
    </w:p>
    <w:p w14:paraId="5C93B84C">
      <w:pPr>
        <w:pStyle w:val="4"/>
        <w:widowControl/>
        <w:numPr>
          <w:ilvl w:val="0"/>
          <w:numId w:val="0"/>
        </w:numPr>
        <w:tabs>
          <w:tab w:val="left" w:pos="1200"/>
        </w:tabs>
        <w:topLinePunct w:val="0"/>
        <w:ind w:left="0" w:leftChars="0" w:firstLine="480" w:firstLineChars="200"/>
        <w:rPr>
          <w:rFonts w:ascii="Times New Roman" w:hAnsi="Times New Roman" w:eastAsia="宋体" w:cs="Times New Roman"/>
          <w:b w:val="0"/>
          <w:color w:val="auto"/>
          <w:sz w:val="24"/>
          <w:highlight w:val="none"/>
        </w:rPr>
      </w:pPr>
      <w:r>
        <w:rPr>
          <w:rFonts w:hint="eastAsia" w:ascii="Times New Roman" w:hAnsi="Times New Roman" w:eastAsia="宋体" w:cs="Times New Roman"/>
          <w:b w:val="0"/>
          <w:color w:val="auto"/>
          <w:sz w:val="24"/>
        </w:rPr>
        <w:t>（十二）</w:t>
      </w:r>
      <w:r>
        <w:rPr>
          <w:rFonts w:ascii="Times New Roman" w:hAnsi="Times New Roman" w:eastAsia="宋体" w:cs="Times New Roman"/>
          <w:b w:val="0"/>
          <w:color w:val="auto"/>
          <w:sz w:val="24"/>
          <w:highlight w:val="none"/>
        </w:rPr>
        <w:t>本合同项下的服务时间，涵盖服务期限内全部周末及法定节假日。乙方应保证其服务人员对服务工作的各项时间安排。</w:t>
      </w:r>
    </w:p>
    <w:p w14:paraId="08A33602">
      <w:pPr>
        <w:pStyle w:val="4"/>
        <w:widowControl/>
        <w:numPr>
          <w:ilvl w:val="0"/>
          <w:numId w:val="0"/>
        </w:numPr>
        <w:tabs>
          <w:tab w:val="left" w:pos="1200"/>
        </w:tabs>
        <w:topLinePunct w:val="0"/>
        <w:ind w:left="0" w:leftChars="0" w:firstLine="480" w:firstLineChars="200"/>
        <w:rPr>
          <w:rFonts w:ascii="Times New Roman" w:hAnsi="Times New Roman" w:eastAsia="宋体" w:cs="Times New Roman"/>
          <w:b w:val="0"/>
          <w:color w:val="auto"/>
          <w:sz w:val="24"/>
          <w:highlight w:val="none"/>
        </w:rPr>
      </w:pPr>
      <w:r>
        <w:rPr>
          <w:rFonts w:hint="eastAsia" w:ascii="Times New Roman" w:hAnsi="Times New Roman" w:eastAsia="宋体" w:cs="Times New Roman"/>
          <w:b w:val="0"/>
          <w:color w:val="auto"/>
          <w:sz w:val="24"/>
        </w:rPr>
        <w:t>（十三）</w:t>
      </w:r>
      <w:r>
        <w:rPr>
          <w:rFonts w:ascii="Times New Roman" w:hAnsi="Times New Roman" w:eastAsia="宋体" w:cs="Times New Roman"/>
          <w:b w:val="0"/>
          <w:color w:val="auto"/>
          <w:sz w:val="24"/>
          <w:highlight w:val="none"/>
        </w:rPr>
        <w:t>本合同期满，乙方应向甲方移交本物业管理有关图纸、档案和资料。</w:t>
      </w:r>
    </w:p>
    <w:p w14:paraId="0FBFCAF5">
      <w:pPr>
        <w:pStyle w:val="4"/>
        <w:widowControl/>
        <w:numPr>
          <w:ilvl w:val="0"/>
          <w:numId w:val="0"/>
        </w:numPr>
        <w:tabs>
          <w:tab w:val="left" w:pos="1200"/>
        </w:tabs>
        <w:topLinePunct w:val="0"/>
        <w:ind w:left="0" w:leftChars="0" w:firstLine="480" w:firstLineChars="200"/>
        <w:rPr>
          <w:rFonts w:ascii="Times New Roman" w:hAnsi="Times New Roman" w:eastAsia="宋体" w:cs="Times New Roman"/>
          <w:b w:val="0"/>
          <w:color w:val="auto"/>
          <w:sz w:val="24"/>
          <w:highlight w:val="none"/>
        </w:rPr>
      </w:pPr>
      <w:r>
        <w:rPr>
          <w:rFonts w:hint="eastAsia" w:ascii="Times New Roman" w:hAnsi="Times New Roman" w:eastAsia="宋体" w:cs="Times New Roman"/>
          <w:b w:val="0"/>
          <w:color w:val="auto"/>
          <w:sz w:val="24"/>
        </w:rPr>
        <w:t>（十四）</w:t>
      </w:r>
      <w:r>
        <w:rPr>
          <w:rFonts w:ascii="Times New Roman" w:hAnsi="Times New Roman" w:eastAsia="宋体" w:cs="Times New Roman"/>
          <w:b w:val="0"/>
          <w:color w:val="auto"/>
          <w:sz w:val="24"/>
          <w:highlight w:val="none"/>
        </w:rPr>
        <w:t>乙方应对其派遣的服务人员进行保密培训，在服务过程中所获悉的与甲方有关的信息应予以保密。保密义务期限为长期。</w:t>
      </w:r>
    </w:p>
    <w:p w14:paraId="16338022">
      <w:pPr>
        <w:pStyle w:val="3"/>
        <w:widowControl/>
        <w:numPr>
          <w:ilvl w:val="0"/>
          <w:numId w:val="0"/>
        </w:numPr>
        <w:tabs>
          <w:tab w:val="left" w:pos="1566"/>
        </w:tabs>
        <w:ind w:left="0" w:leftChars="0" w:firstLine="482" w:firstLineChars="200"/>
        <w:rPr>
          <w:b/>
          <w:color w:val="0000FF"/>
        </w:rPr>
      </w:pPr>
      <w:r>
        <w:rPr>
          <w:rFonts w:hint="eastAsia" w:ascii="宋体" w:hAnsi="宋体" w:eastAsia="宋体" w:cs="宋体"/>
          <w:b/>
          <w:bCs/>
          <w:color w:val="0000FF"/>
          <w:kern w:val="44"/>
          <w:sz w:val="24"/>
          <w:szCs w:val="30"/>
        </w:rPr>
        <w:t>第十</w:t>
      </w:r>
      <w:r>
        <w:rPr>
          <w:rFonts w:hint="eastAsia" w:cs="宋体"/>
          <w:b/>
          <w:bCs/>
          <w:color w:val="0000FF"/>
          <w:kern w:val="44"/>
          <w:sz w:val="24"/>
          <w:szCs w:val="30"/>
          <w:lang w:val="en-US" w:eastAsia="zh-CN"/>
        </w:rPr>
        <w:t>三</w:t>
      </w:r>
      <w:r>
        <w:rPr>
          <w:rFonts w:hint="eastAsia" w:ascii="宋体" w:hAnsi="宋体" w:eastAsia="宋体" w:cs="宋体"/>
          <w:b/>
          <w:bCs/>
          <w:color w:val="0000FF"/>
          <w:kern w:val="44"/>
          <w:sz w:val="24"/>
          <w:szCs w:val="30"/>
        </w:rPr>
        <w:t>条</w:t>
      </w:r>
      <w:r>
        <w:rPr>
          <w:rFonts w:hint="eastAsia" w:cs="宋体"/>
          <w:b/>
          <w:bCs/>
          <w:color w:val="0000FF"/>
          <w:kern w:val="44"/>
          <w:sz w:val="24"/>
          <w:szCs w:val="30"/>
          <w:lang w:val="en-US" w:eastAsia="zh-CN"/>
        </w:rPr>
        <w:t xml:space="preserve">  </w:t>
      </w:r>
      <w:r>
        <w:rPr>
          <w:color w:val="0000FF"/>
        </w:rPr>
        <w:t>免责条款</w:t>
      </w:r>
    </w:p>
    <w:p w14:paraId="6CD4E885">
      <w:pPr>
        <w:pStyle w:val="2"/>
        <w:numPr>
          <w:ilvl w:val="0"/>
          <w:numId w:val="0"/>
        </w:numPr>
        <w:tabs>
          <w:tab w:val="left" w:pos="1364"/>
        </w:tabs>
        <w:topLinePunct w:val="0"/>
        <w:ind w:left="0" w:leftChars="0" w:firstLine="482" w:firstLineChars="200"/>
        <w:rPr>
          <w:rFonts w:hint="eastAsia" w:ascii="Times New Roman" w:hAnsi="Times New Roman" w:cs="Times New Roman"/>
          <w:kern w:val="0"/>
          <w:sz w:val="24"/>
          <w:szCs w:val="21"/>
          <w:highlight w:val="none"/>
          <w:lang w:bidi="ar-SA"/>
        </w:rPr>
      </w:pPr>
      <w:r>
        <w:rPr>
          <w:rFonts w:hint="eastAsia" w:ascii="Times New Roman" w:hAnsi="Times New Roman" w:eastAsia="宋体" w:cs="Times New Roman"/>
          <w:b/>
          <w:kern w:val="0"/>
          <w:sz w:val="24"/>
          <w:szCs w:val="21"/>
          <w:lang w:val="en-US" w:eastAsia="zh-CN" w:bidi="ar-SA"/>
        </w:rPr>
        <w:t>（</w:t>
      </w:r>
      <w:r>
        <w:rPr>
          <w:rFonts w:hint="eastAsia" w:ascii="Times New Roman" w:hAnsi="Times New Roman" w:cs="Times New Roman"/>
          <w:b/>
          <w:kern w:val="0"/>
          <w:sz w:val="24"/>
          <w:szCs w:val="21"/>
          <w:lang w:val="en-US" w:eastAsia="zh-CN" w:bidi="ar-SA"/>
        </w:rPr>
        <w:t>一</w:t>
      </w:r>
      <w:r>
        <w:rPr>
          <w:rFonts w:hint="eastAsia" w:ascii="Times New Roman" w:hAnsi="Times New Roman" w:eastAsia="宋体" w:cs="Times New Roman"/>
          <w:b/>
          <w:kern w:val="0"/>
          <w:sz w:val="24"/>
          <w:szCs w:val="21"/>
          <w:lang w:val="en-US" w:eastAsia="zh-CN" w:bidi="ar-SA"/>
        </w:rPr>
        <w:t>）</w:t>
      </w:r>
      <w:r>
        <w:rPr>
          <w:rFonts w:hint="default" w:ascii="Times New Roman" w:hAnsi="Times New Roman" w:cs="Times New Roman"/>
          <w:kern w:val="0"/>
          <w:sz w:val="24"/>
          <w:szCs w:val="21"/>
          <w:highlight w:val="none"/>
          <w:lang w:bidi="ar-SA"/>
        </w:rPr>
        <w:t>用工主体与全部责任归属</w:t>
      </w:r>
    </w:p>
    <w:p w14:paraId="470DE0BF">
      <w:pPr>
        <w:pStyle w:val="4"/>
        <w:widowControl/>
        <w:ind w:left="0" w:leftChars="0" w:firstLine="480" w:firstLineChars="200"/>
        <w:rPr>
          <w:rFonts w:ascii="Times New Roman" w:hAnsi="Times New Roman" w:eastAsia="宋体" w:cs="Times New Roman"/>
          <w:sz w:val="24"/>
        </w:rPr>
      </w:pPr>
      <w:r>
        <w:rPr>
          <w:rFonts w:ascii="Times New Roman" w:hAnsi="Times New Roman" w:eastAsia="宋体" w:cs="Times New Roman"/>
          <w:sz w:val="24"/>
        </w:rPr>
        <w:t>乙方作为独立法人，为本项目唯一法定用工主体，应依据《中华人民共和国民法典》《中华人民共和国劳动法》《中华人民共和国劳动合同法》等相关法律法规，独立承担项目服务全过程的全部用工责任及运营成本。相关费用包含但不限于服务人员工资、社会保险、住房公积金、用餐补贴、服装费、工会费、培训费、运营费、管理费、利润、税金，以及完成本项目所需的其他各项杂费。因乙方用工管理、薪酬发放、社保缴纳、费用结算等事项引发的劳务纠纷、劳动仲裁、民事诉讼、行政查处及一切衍生责任，均由乙方全权承担，甲方人不承担任何直接、连带、补充或垫付责任。</w:t>
      </w:r>
    </w:p>
    <w:p w14:paraId="610E6E1D">
      <w:pPr>
        <w:pStyle w:val="2"/>
        <w:numPr>
          <w:ilvl w:val="0"/>
          <w:numId w:val="0"/>
        </w:numPr>
        <w:tabs>
          <w:tab w:val="left" w:pos="1364"/>
        </w:tabs>
        <w:topLinePunct w:val="0"/>
        <w:ind w:left="0" w:leftChars="0" w:firstLine="482" w:firstLineChars="200"/>
        <w:rPr>
          <w:rFonts w:hint="eastAsia" w:ascii="Times New Roman" w:hAnsi="Times New Roman" w:cs="Times New Roman"/>
          <w:kern w:val="0"/>
          <w:sz w:val="24"/>
          <w:szCs w:val="21"/>
          <w:highlight w:val="none"/>
          <w:lang w:bidi="ar-SA"/>
        </w:rPr>
      </w:pPr>
      <w:r>
        <w:rPr>
          <w:rFonts w:hint="eastAsia" w:ascii="Times New Roman" w:hAnsi="Times New Roman" w:eastAsia="宋体" w:cs="Times New Roman"/>
          <w:b/>
          <w:kern w:val="0"/>
          <w:sz w:val="24"/>
          <w:szCs w:val="21"/>
          <w:lang w:val="en-US" w:eastAsia="zh-CN" w:bidi="ar-SA"/>
        </w:rPr>
        <w:t>（</w:t>
      </w:r>
      <w:r>
        <w:rPr>
          <w:rFonts w:hint="eastAsia" w:ascii="Times New Roman" w:hAnsi="Times New Roman" w:cs="Times New Roman"/>
          <w:b/>
          <w:kern w:val="0"/>
          <w:sz w:val="24"/>
          <w:szCs w:val="21"/>
          <w:lang w:val="en-US" w:eastAsia="zh-CN" w:bidi="ar-SA"/>
        </w:rPr>
        <w:t>二</w:t>
      </w:r>
      <w:r>
        <w:rPr>
          <w:rFonts w:hint="eastAsia" w:ascii="Times New Roman" w:hAnsi="Times New Roman" w:eastAsia="宋体" w:cs="Times New Roman"/>
          <w:b/>
          <w:kern w:val="0"/>
          <w:sz w:val="24"/>
          <w:szCs w:val="21"/>
          <w:lang w:val="en-US" w:eastAsia="zh-CN" w:bidi="ar-SA"/>
        </w:rPr>
        <w:t>）</w:t>
      </w:r>
      <w:r>
        <w:rPr>
          <w:rFonts w:hint="default" w:ascii="Times New Roman" w:hAnsi="Times New Roman" w:cs="Times New Roman"/>
          <w:kern w:val="0"/>
          <w:sz w:val="24"/>
          <w:szCs w:val="21"/>
          <w:highlight w:val="none"/>
          <w:lang w:bidi="ar-SA"/>
        </w:rPr>
        <w:t>合规经营承诺</w:t>
      </w:r>
    </w:p>
    <w:p w14:paraId="135D8675">
      <w:pPr>
        <w:pStyle w:val="4"/>
        <w:widowControl/>
        <w:ind w:left="0" w:leftChars="0" w:firstLine="480" w:firstLineChars="200"/>
        <w:rPr>
          <w:rFonts w:ascii="Times New Roman" w:hAnsi="Times New Roman" w:eastAsia="宋体" w:cs="Times New Roman"/>
          <w:sz w:val="24"/>
        </w:rPr>
      </w:pPr>
      <w:r>
        <w:rPr>
          <w:rFonts w:ascii="Times New Roman" w:hAnsi="Times New Roman" w:eastAsia="宋体" w:cs="Times New Roman"/>
          <w:sz w:val="24"/>
        </w:rPr>
        <w:t>乙方承诺具备本项目所需的全部合法服务资质与独立用工能力，严格禁止挂靠、转包、违法分包、无资质经营等违规行为。若因乙方违规经营、管理不当引发欠薪、用工纠纷、行政处罚及各类经济、法律责任，均由乙方自行全额清偿并独立承担，与甲方人无关，甲方人不承担任何兜底及连带责任。</w:t>
      </w:r>
    </w:p>
    <w:p w14:paraId="6E4D277F">
      <w:pPr>
        <w:pStyle w:val="2"/>
        <w:numPr>
          <w:ilvl w:val="0"/>
          <w:numId w:val="0"/>
        </w:numPr>
        <w:tabs>
          <w:tab w:val="left" w:pos="1364"/>
        </w:tabs>
        <w:topLinePunct w:val="0"/>
        <w:ind w:left="0" w:leftChars="0" w:firstLine="482" w:firstLineChars="200"/>
        <w:rPr>
          <w:rFonts w:hint="eastAsia" w:ascii="Times New Roman" w:hAnsi="Times New Roman" w:cs="Times New Roman"/>
          <w:kern w:val="0"/>
          <w:sz w:val="24"/>
          <w:szCs w:val="21"/>
          <w:highlight w:val="none"/>
          <w:lang w:bidi="ar-SA"/>
        </w:rPr>
      </w:pPr>
      <w:r>
        <w:rPr>
          <w:rFonts w:hint="eastAsia" w:ascii="Times New Roman" w:hAnsi="Times New Roman" w:cs="Times New Roman"/>
          <w:kern w:val="0"/>
          <w:sz w:val="24"/>
          <w:szCs w:val="21"/>
          <w:highlight w:val="none"/>
          <w:lang w:val="en-US" w:eastAsia="zh-CN" w:bidi="ar-SA"/>
        </w:rPr>
        <w:t>（三）</w:t>
      </w:r>
      <w:r>
        <w:rPr>
          <w:rFonts w:hint="default" w:ascii="Times New Roman" w:hAnsi="Times New Roman" w:cs="Times New Roman"/>
          <w:kern w:val="0"/>
          <w:sz w:val="24"/>
          <w:szCs w:val="21"/>
          <w:highlight w:val="none"/>
          <w:lang w:bidi="ar-SA"/>
        </w:rPr>
        <w:t>合同服务费界定及甲方人权责边界</w:t>
      </w:r>
    </w:p>
    <w:p w14:paraId="3A338E77">
      <w:pPr>
        <w:pStyle w:val="4"/>
        <w:widowControl/>
        <w:ind w:left="0" w:leftChars="0" w:firstLine="480" w:firstLineChars="200"/>
        <w:rPr>
          <w:rFonts w:ascii="Times New Roman" w:hAnsi="Times New Roman" w:eastAsia="宋体" w:cs="Times New Roman"/>
          <w:sz w:val="24"/>
        </w:rPr>
      </w:pPr>
      <w:r>
        <w:rPr>
          <w:rFonts w:ascii="Times New Roman" w:hAnsi="Times New Roman" w:eastAsia="宋体" w:cs="Times New Roman"/>
          <w:sz w:val="24"/>
        </w:rPr>
        <w:t>本合同约定的项目服务费为包干总价，已足额涵盖乙方完成本项目服务所需的全部人员、运营、管理、税费等所有成本及收益。甲方人仅承担按合同约定时间、金额、方式足额支付服务费的义务，无义务直接向乙方任何在岗员工支付薪酬、补贴及其他款项，亦不介入乙方内部用工管理、人员调配、薪酬核算、费用缴纳等内部事务。乙方与其员工、合作方之间的一切争议及法律风险，均由乙方自行承担。</w:t>
      </w:r>
    </w:p>
    <w:p w14:paraId="6BA6B8A6">
      <w:pPr>
        <w:pStyle w:val="2"/>
        <w:numPr>
          <w:ilvl w:val="0"/>
          <w:numId w:val="0"/>
        </w:numPr>
        <w:tabs>
          <w:tab w:val="left" w:pos="1364"/>
        </w:tabs>
        <w:topLinePunct w:val="0"/>
        <w:ind w:left="0" w:leftChars="0" w:firstLine="482" w:firstLineChars="200"/>
        <w:rPr>
          <w:rFonts w:hint="eastAsia" w:ascii="Times New Roman" w:hAnsi="Times New Roman" w:cs="Times New Roman"/>
          <w:kern w:val="0"/>
          <w:sz w:val="24"/>
          <w:szCs w:val="21"/>
          <w:highlight w:val="none"/>
          <w:lang w:bidi="ar-SA"/>
        </w:rPr>
      </w:pPr>
      <w:r>
        <w:rPr>
          <w:rFonts w:hint="eastAsia" w:ascii="Times New Roman" w:hAnsi="Times New Roman" w:cs="Times New Roman"/>
          <w:kern w:val="0"/>
          <w:sz w:val="24"/>
          <w:szCs w:val="21"/>
          <w:highlight w:val="none"/>
          <w:lang w:val="en-US" w:eastAsia="zh-CN" w:bidi="ar-SA"/>
        </w:rPr>
        <w:t>（四）</w:t>
      </w:r>
      <w:r>
        <w:rPr>
          <w:rFonts w:hint="default" w:ascii="Times New Roman" w:hAnsi="Times New Roman" w:cs="Times New Roman"/>
          <w:kern w:val="0"/>
          <w:sz w:val="24"/>
          <w:szCs w:val="21"/>
          <w:highlight w:val="none"/>
          <w:lang w:bidi="ar-SA"/>
        </w:rPr>
        <w:t>责任转嫁禁止约定</w:t>
      </w:r>
    </w:p>
    <w:p w14:paraId="1BA88A05">
      <w:pPr>
        <w:pStyle w:val="4"/>
        <w:widowControl/>
        <w:ind w:left="0" w:leftChars="0" w:firstLine="480" w:firstLineChars="200"/>
        <w:rPr>
          <w:rFonts w:ascii="Times New Roman" w:hAnsi="Times New Roman" w:eastAsia="宋体" w:cs="Times New Roman"/>
          <w:sz w:val="24"/>
        </w:rPr>
      </w:pPr>
      <w:r>
        <w:rPr>
          <w:rFonts w:ascii="Times New Roman" w:hAnsi="Times New Roman" w:eastAsia="宋体" w:cs="Times New Roman"/>
          <w:sz w:val="24"/>
        </w:rPr>
        <w:t>除甲方人无正当理由逾期支付服务费且经乙方书面催告后仍拒不履行付款义务的情形外，乙方不得因自身资金短缺、经营亏损、内部管理失误、外部纠纷等任何自身原因，将欠薪、违约、赔偿等责任转嫁至甲方人，不得要求甲方人垫付、代偿、补充赔偿或承担任何连带责任。</w:t>
      </w:r>
    </w:p>
    <w:p w14:paraId="739346E1">
      <w:pPr>
        <w:pStyle w:val="2"/>
        <w:numPr>
          <w:ilvl w:val="0"/>
          <w:numId w:val="0"/>
        </w:numPr>
        <w:tabs>
          <w:tab w:val="left" w:pos="1364"/>
        </w:tabs>
        <w:topLinePunct w:val="0"/>
        <w:ind w:left="0" w:leftChars="0" w:firstLine="482" w:firstLineChars="200"/>
        <w:rPr>
          <w:rFonts w:hint="eastAsia" w:ascii="Times New Roman" w:hAnsi="Times New Roman" w:cs="Times New Roman"/>
          <w:kern w:val="0"/>
          <w:sz w:val="24"/>
          <w:szCs w:val="21"/>
          <w:highlight w:val="none"/>
          <w:lang w:bidi="ar-SA"/>
        </w:rPr>
      </w:pPr>
      <w:r>
        <w:rPr>
          <w:rFonts w:hint="eastAsia" w:ascii="Times New Roman" w:hAnsi="Times New Roman" w:cs="Times New Roman"/>
          <w:kern w:val="0"/>
          <w:sz w:val="24"/>
          <w:szCs w:val="21"/>
          <w:highlight w:val="none"/>
          <w:lang w:val="en-US" w:eastAsia="zh-CN" w:bidi="ar-SA"/>
        </w:rPr>
        <w:t>（五）</w:t>
      </w:r>
      <w:r>
        <w:rPr>
          <w:rFonts w:hint="default" w:ascii="Times New Roman" w:hAnsi="Times New Roman" w:cs="Times New Roman"/>
          <w:kern w:val="0"/>
          <w:sz w:val="24"/>
          <w:szCs w:val="21"/>
          <w:highlight w:val="none"/>
          <w:lang w:bidi="ar-SA"/>
        </w:rPr>
        <w:t>政策性变更免责约定</w:t>
      </w:r>
    </w:p>
    <w:p w14:paraId="29DEDDCC">
      <w:pPr>
        <w:pStyle w:val="4"/>
        <w:widowControl/>
        <w:ind w:left="0" w:leftChars="0" w:firstLine="480" w:firstLineChars="200"/>
        <w:rPr>
          <w:rFonts w:ascii="Times New Roman" w:hAnsi="Times New Roman" w:eastAsia="宋体" w:cs="Times New Roman"/>
          <w:sz w:val="24"/>
        </w:rPr>
      </w:pPr>
      <w:r>
        <w:rPr>
          <w:rFonts w:ascii="Times New Roman" w:hAnsi="Times New Roman" w:eastAsia="宋体" w:cs="Times New Roman"/>
          <w:sz w:val="24"/>
        </w:rPr>
        <w:t>若因甲方人发生体制改革、机构撤并、职能调整等政策性重大变动，导致本项目无法继续实施、合同履行基础丧失，且继续履行将损害国家利益、社会公共利益的，</w:t>
      </w:r>
      <w:r>
        <w:rPr>
          <w:rFonts w:hint="eastAsia" w:ascii="Times New Roman" w:hAnsi="Times New Roman" w:eastAsia="宋体" w:cs="Times New Roman"/>
          <w:sz w:val="24"/>
        </w:rPr>
        <w:t>甲方人有权单方终止本合同。</w:t>
      </w:r>
      <w:r>
        <w:rPr>
          <w:rFonts w:ascii="Times New Roman" w:hAnsi="Times New Roman" w:eastAsia="宋体" w:cs="Times New Roman"/>
          <w:sz w:val="24"/>
        </w:rPr>
        <w:t>双方互不追究违约责任，仅按乙方实际履约进度据实结算费用，甲方人无需承担合同提前终止产生的任何赔偿、补偿及其他法律责任。</w:t>
      </w:r>
    </w:p>
    <w:p w14:paraId="59ED902D">
      <w:pPr>
        <w:pStyle w:val="3"/>
        <w:widowControl/>
        <w:numPr>
          <w:ilvl w:val="0"/>
          <w:numId w:val="0"/>
        </w:numPr>
        <w:tabs>
          <w:tab w:val="left" w:pos="1566"/>
        </w:tabs>
        <w:ind w:left="0" w:leftChars="0" w:firstLine="482" w:firstLineChars="200"/>
        <w:rPr>
          <w:b/>
          <w:color w:val="0000FF"/>
        </w:rPr>
      </w:pPr>
      <w:r>
        <w:rPr>
          <w:rFonts w:hint="eastAsia" w:ascii="宋体" w:hAnsi="宋体" w:eastAsia="宋体" w:cs="宋体"/>
          <w:b/>
          <w:bCs/>
          <w:color w:val="0000FF"/>
          <w:kern w:val="44"/>
          <w:sz w:val="24"/>
          <w:szCs w:val="30"/>
        </w:rPr>
        <w:t>第十四条</w:t>
      </w:r>
      <w:r>
        <w:rPr>
          <w:rFonts w:hint="eastAsia" w:cs="宋体"/>
          <w:b/>
          <w:bCs/>
          <w:color w:val="0000FF"/>
          <w:kern w:val="44"/>
          <w:sz w:val="24"/>
          <w:szCs w:val="30"/>
          <w:lang w:val="en-US" w:eastAsia="zh-CN"/>
        </w:rPr>
        <w:t xml:space="preserve">  </w:t>
      </w:r>
      <w:r>
        <w:rPr>
          <w:color w:val="0000FF"/>
        </w:rPr>
        <w:t>人员维稳及舆情责任条款</w:t>
      </w:r>
    </w:p>
    <w:p w14:paraId="12677F7D">
      <w:pPr>
        <w:pStyle w:val="4"/>
        <w:widowControl/>
        <w:numPr>
          <w:ilvl w:val="0"/>
          <w:numId w:val="11"/>
        </w:numPr>
        <w:tabs>
          <w:tab w:val="left" w:pos="1200"/>
        </w:tabs>
        <w:topLinePunct w:val="0"/>
        <w:ind w:left="0" w:leftChars="0" w:firstLine="480" w:firstLineChars="200"/>
        <w:rPr>
          <w:rFonts w:ascii="Times New Roman" w:hAnsi="Times New Roman" w:eastAsia="宋体" w:cs="Times New Roman"/>
          <w:b w:val="0"/>
          <w:color w:val="auto"/>
          <w:sz w:val="24"/>
          <w:highlight w:val="none"/>
        </w:rPr>
      </w:pPr>
      <w:r>
        <w:rPr>
          <w:rFonts w:ascii="Times New Roman" w:hAnsi="Times New Roman" w:eastAsia="宋体" w:cs="Times New Roman"/>
          <w:b w:val="0"/>
          <w:color w:val="auto"/>
          <w:sz w:val="24"/>
          <w:highlight w:val="none"/>
        </w:rPr>
        <w:t>因乙方自身拖欠员工工资、引发劳资纠纷、内部管理不善等原因，导致其所属工作人员在第三支队办公区域及反走私综合执法站办公区内发生聚集、围堵、滋事、吵闹、上访、缠访等扰乱正常办公秩序、公共秩序的行为，乙方须第一时间派员到场全权处置，妥善化解矛盾、劝离相关人员，并承担由此产生的全部处置责任及费用。</w:t>
      </w:r>
    </w:p>
    <w:p w14:paraId="48B77B25">
      <w:pPr>
        <w:pStyle w:val="4"/>
        <w:widowControl/>
        <w:numPr>
          <w:ilvl w:val="0"/>
          <w:numId w:val="11"/>
        </w:numPr>
        <w:tabs>
          <w:tab w:val="left" w:pos="1200"/>
        </w:tabs>
        <w:topLinePunct w:val="0"/>
        <w:ind w:left="0" w:leftChars="0" w:firstLine="480" w:firstLineChars="200"/>
        <w:rPr>
          <w:rFonts w:ascii="Times New Roman" w:hAnsi="Times New Roman" w:eastAsia="宋体" w:cs="Times New Roman"/>
          <w:b w:val="0"/>
          <w:color w:val="auto"/>
          <w:sz w:val="24"/>
          <w:highlight w:val="none"/>
        </w:rPr>
      </w:pPr>
      <w:r>
        <w:rPr>
          <w:rFonts w:ascii="Times New Roman" w:hAnsi="Times New Roman" w:eastAsia="宋体" w:cs="Times New Roman"/>
          <w:b w:val="0"/>
          <w:color w:val="auto"/>
          <w:sz w:val="24"/>
          <w:highlight w:val="none"/>
        </w:rPr>
        <w:t>对存在过激行为、严重影响甲方正常工作及单位形象的服务人员，乙方须立即予以清退或辞退，杜绝同类问题重复发生。</w:t>
      </w:r>
    </w:p>
    <w:p w14:paraId="25D70513">
      <w:pPr>
        <w:pStyle w:val="4"/>
        <w:widowControl/>
        <w:numPr>
          <w:ilvl w:val="0"/>
          <w:numId w:val="11"/>
        </w:numPr>
        <w:tabs>
          <w:tab w:val="left" w:pos="1200"/>
        </w:tabs>
        <w:topLinePunct w:val="0"/>
        <w:ind w:left="0" w:leftChars="0" w:firstLine="480" w:firstLineChars="200"/>
        <w:rPr>
          <w:rFonts w:ascii="Times New Roman" w:hAnsi="Times New Roman" w:eastAsia="宋体" w:cs="Times New Roman"/>
          <w:b w:val="0"/>
          <w:color w:val="auto"/>
          <w:sz w:val="24"/>
          <w:highlight w:val="none"/>
        </w:rPr>
      </w:pPr>
      <w:r>
        <w:rPr>
          <w:rFonts w:ascii="Times New Roman" w:hAnsi="Times New Roman" w:eastAsia="宋体" w:cs="Times New Roman"/>
          <w:b w:val="0"/>
          <w:color w:val="auto"/>
          <w:sz w:val="24"/>
          <w:highlight w:val="none"/>
        </w:rPr>
        <w:t>若因乙方发生劳资纠纷、人员滋事等行为，造成社会重大负面舆情、甲方声誉受损等后果，视为乙方严重违约。乙方须承担由此给甲方造成的全部直接损失、间接损失及善后费用，包括但不限于处置维稳费用、舆情处置费、诉讼费、律师费、名誉损失费等产生的一切费用。</w:t>
      </w:r>
    </w:p>
    <w:p w14:paraId="7CB58BA5">
      <w:pPr>
        <w:pStyle w:val="4"/>
        <w:widowControl/>
        <w:numPr>
          <w:ilvl w:val="0"/>
          <w:numId w:val="11"/>
        </w:numPr>
        <w:tabs>
          <w:tab w:val="left" w:pos="1200"/>
        </w:tabs>
        <w:topLinePunct w:val="0"/>
        <w:ind w:left="0" w:leftChars="0" w:firstLine="480" w:firstLineChars="200"/>
        <w:rPr>
          <w:rFonts w:ascii="Times New Roman" w:hAnsi="Times New Roman" w:eastAsia="宋体" w:cs="Times New Roman"/>
          <w:b w:val="0"/>
          <w:color w:val="auto"/>
          <w:sz w:val="24"/>
          <w:highlight w:val="none"/>
        </w:rPr>
      </w:pPr>
      <w:r>
        <w:rPr>
          <w:rFonts w:ascii="Times New Roman" w:hAnsi="Times New Roman" w:eastAsia="宋体" w:cs="Times New Roman"/>
          <w:b w:val="0"/>
          <w:color w:val="auto"/>
          <w:sz w:val="24"/>
          <w:highlight w:val="none"/>
        </w:rPr>
        <w:t>甲方人有权视情节轻重，向乙方下发书面整改通知，乙方逾期未整改或整改不到位的，甲方人有权单方解除本政府甲方合同，由此产生的一切责任和损失均由乙方自行承担，甲方人不承担任何赔偿、补偿或法律责任。</w:t>
      </w:r>
    </w:p>
    <w:p w14:paraId="0523F5C4">
      <w:pPr>
        <w:pStyle w:val="3"/>
        <w:widowControl/>
        <w:numPr>
          <w:ilvl w:val="0"/>
          <w:numId w:val="0"/>
        </w:numPr>
        <w:tabs>
          <w:tab w:val="left" w:pos="1566"/>
        </w:tabs>
        <w:ind w:left="0" w:leftChars="0" w:firstLine="482" w:firstLineChars="200"/>
        <w:rPr>
          <w:b/>
          <w:color w:val="0000FF"/>
        </w:rPr>
      </w:pPr>
      <w:r>
        <w:rPr>
          <w:rFonts w:hint="eastAsia" w:ascii="宋体" w:hAnsi="宋体" w:eastAsia="宋体" w:cs="宋体"/>
          <w:b/>
          <w:bCs/>
          <w:color w:val="0000FF"/>
          <w:kern w:val="44"/>
          <w:sz w:val="24"/>
          <w:szCs w:val="30"/>
        </w:rPr>
        <w:t>第十</w:t>
      </w:r>
      <w:r>
        <w:rPr>
          <w:rFonts w:hint="eastAsia" w:cs="宋体"/>
          <w:b/>
          <w:bCs/>
          <w:color w:val="0000FF"/>
          <w:kern w:val="44"/>
          <w:sz w:val="24"/>
          <w:szCs w:val="30"/>
          <w:lang w:val="en-US" w:eastAsia="zh-CN"/>
        </w:rPr>
        <w:t>五</w:t>
      </w:r>
      <w:r>
        <w:rPr>
          <w:rFonts w:hint="eastAsia" w:ascii="宋体" w:hAnsi="宋体" w:eastAsia="宋体" w:cs="宋体"/>
          <w:b/>
          <w:bCs/>
          <w:color w:val="0000FF"/>
          <w:kern w:val="44"/>
          <w:sz w:val="24"/>
          <w:szCs w:val="30"/>
        </w:rPr>
        <w:t>条</w:t>
      </w:r>
      <w:r>
        <w:rPr>
          <w:rFonts w:hint="eastAsia" w:cs="宋体"/>
          <w:b/>
          <w:bCs/>
          <w:color w:val="0000FF"/>
          <w:kern w:val="44"/>
          <w:sz w:val="24"/>
          <w:szCs w:val="30"/>
          <w:lang w:val="en-US" w:eastAsia="zh-CN"/>
        </w:rPr>
        <w:t xml:space="preserve">  </w:t>
      </w:r>
      <w:r>
        <w:rPr>
          <w:color w:val="0000FF"/>
        </w:rPr>
        <w:t>本项目转让和分包约定</w:t>
      </w:r>
    </w:p>
    <w:p w14:paraId="192D187F">
      <w:pPr>
        <w:pStyle w:val="4"/>
        <w:widowControl/>
        <w:ind w:left="0" w:leftChars="0" w:firstLine="480" w:firstLineChars="200"/>
        <w:rPr>
          <w:rFonts w:ascii="Times New Roman" w:hAnsi="Times New Roman" w:eastAsia="宋体" w:cs="Times New Roman"/>
          <w:b w:val="0"/>
          <w:color w:val="auto"/>
          <w:sz w:val="24"/>
          <w:highlight w:val="none"/>
        </w:rPr>
      </w:pPr>
      <w:r>
        <w:rPr>
          <w:rFonts w:ascii="Times New Roman" w:hAnsi="Times New Roman" w:eastAsia="宋体" w:cs="Times New Roman"/>
          <w:b w:val="0"/>
          <w:color w:val="auto"/>
          <w:sz w:val="24"/>
          <w:highlight w:val="none"/>
        </w:rPr>
        <w:t>乙方不得转包或将本项目各项义务肢解后分包。否则，甲方有权解除合同并将乙方违约行为报送本级政府甲方和市场监督管理部门，提请列入政府甲方严重违法失信行为记录名单、市场监督管理严重失信名单。</w:t>
      </w:r>
    </w:p>
    <w:p w14:paraId="6BA13A72">
      <w:pPr>
        <w:pStyle w:val="4"/>
        <w:widowControl/>
        <w:ind w:left="0" w:leftChars="0" w:firstLine="480" w:firstLineChars="200"/>
        <w:rPr>
          <w:rFonts w:ascii="Times New Roman" w:hAnsi="Times New Roman" w:eastAsia="宋体" w:cs="Times New Roman"/>
          <w:b w:val="0"/>
          <w:color w:val="auto"/>
          <w:sz w:val="24"/>
          <w:highlight w:val="none"/>
        </w:rPr>
      </w:pPr>
      <w:r>
        <w:rPr>
          <w:rFonts w:hint="eastAsia" w:ascii="Times New Roman" w:hAnsi="Times New Roman" w:eastAsia="宋体" w:cs="Times New Roman"/>
          <w:b w:val="0"/>
          <w:color w:val="auto"/>
          <w:sz w:val="24"/>
          <w:highlight w:val="none"/>
        </w:rPr>
        <w:t>乙方不得委托任何无资质的第三方或个人提供本合同项下的服务，否则视为违法分包，甲方有权按照本合同第十五条约定追究乙方违约责任。</w:t>
      </w:r>
    </w:p>
    <w:p w14:paraId="236E5EC9">
      <w:pPr>
        <w:pStyle w:val="3"/>
        <w:numPr>
          <w:ilvl w:val="0"/>
          <w:numId w:val="0"/>
        </w:numPr>
        <w:tabs>
          <w:tab w:val="left" w:pos="1566"/>
        </w:tabs>
        <w:ind w:left="0" w:leftChars="0" w:firstLine="482" w:firstLineChars="200"/>
        <w:rPr>
          <w:b/>
          <w:color w:val="0000FF"/>
          <w:highlight w:val="none"/>
        </w:rPr>
      </w:pPr>
      <w:r>
        <w:rPr>
          <w:rFonts w:hint="eastAsia" w:ascii="宋体" w:hAnsi="宋体" w:eastAsia="宋体" w:cs="宋体"/>
          <w:b/>
          <w:bCs/>
          <w:color w:val="0000FF"/>
          <w:kern w:val="44"/>
          <w:sz w:val="24"/>
          <w:szCs w:val="30"/>
        </w:rPr>
        <w:t>第十</w:t>
      </w:r>
      <w:r>
        <w:rPr>
          <w:rFonts w:hint="eastAsia" w:cs="宋体"/>
          <w:b/>
          <w:bCs/>
          <w:color w:val="0000FF"/>
          <w:kern w:val="44"/>
          <w:sz w:val="24"/>
          <w:szCs w:val="30"/>
          <w:lang w:val="en-US" w:eastAsia="zh-CN"/>
        </w:rPr>
        <w:t>六</w:t>
      </w:r>
      <w:r>
        <w:rPr>
          <w:rFonts w:hint="eastAsia" w:ascii="宋体" w:hAnsi="宋体" w:eastAsia="宋体" w:cs="宋体"/>
          <w:b/>
          <w:bCs/>
          <w:color w:val="0000FF"/>
          <w:kern w:val="44"/>
          <w:sz w:val="24"/>
          <w:szCs w:val="30"/>
        </w:rPr>
        <w:t>条</w:t>
      </w:r>
      <w:r>
        <w:rPr>
          <w:rFonts w:hint="eastAsia" w:cs="宋体"/>
          <w:b/>
          <w:bCs/>
          <w:color w:val="0000FF"/>
          <w:kern w:val="44"/>
          <w:sz w:val="24"/>
          <w:szCs w:val="30"/>
          <w:lang w:val="en-US" w:eastAsia="zh-CN"/>
        </w:rPr>
        <w:t xml:space="preserve">  </w:t>
      </w:r>
      <w:r>
        <w:rPr>
          <w:color w:val="0000FF"/>
          <w:highlight w:val="none"/>
        </w:rPr>
        <w:t>合同终止与违约责任</w:t>
      </w:r>
    </w:p>
    <w:p w14:paraId="44EFC420">
      <w:pPr>
        <w:pStyle w:val="2"/>
        <w:numPr>
          <w:ilvl w:val="0"/>
          <w:numId w:val="0"/>
        </w:numPr>
        <w:tabs>
          <w:tab w:val="left" w:pos="1364"/>
        </w:tabs>
        <w:topLinePunct w:val="0"/>
        <w:ind w:left="0" w:leftChars="0" w:firstLine="482" w:firstLineChars="200"/>
        <w:rPr>
          <w:rFonts w:hint="eastAsia" w:ascii="Times New Roman" w:hAnsi="Times New Roman" w:cs="Times New Roman"/>
          <w:kern w:val="0"/>
          <w:sz w:val="24"/>
          <w:szCs w:val="21"/>
          <w:highlight w:val="none"/>
          <w:lang w:bidi="ar-SA"/>
        </w:rPr>
      </w:pPr>
      <w:r>
        <w:rPr>
          <w:rFonts w:hint="eastAsia" w:ascii="Times New Roman" w:hAnsi="Times New Roman" w:cs="Times New Roman"/>
          <w:kern w:val="0"/>
          <w:sz w:val="24"/>
          <w:szCs w:val="21"/>
          <w:highlight w:val="none"/>
          <w:lang w:val="en-US" w:eastAsia="zh-CN" w:bidi="ar-SA"/>
        </w:rPr>
        <w:t>（一）</w:t>
      </w:r>
      <w:r>
        <w:rPr>
          <w:rFonts w:hint="default" w:ascii="Times New Roman" w:hAnsi="Times New Roman" w:cs="Times New Roman"/>
          <w:kern w:val="0"/>
          <w:sz w:val="24"/>
          <w:szCs w:val="21"/>
          <w:highlight w:val="none"/>
          <w:lang w:bidi="ar-SA"/>
        </w:rPr>
        <w:t>因安全事故终止</w:t>
      </w:r>
    </w:p>
    <w:p w14:paraId="5C675BE4">
      <w:pPr>
        <w:pStyle w:val="4"/>
        <w:ind w:left="0" w:leftChars="0" w:firstLine="480" w:firstLineChars="200"/>
        <w:rPr>
          <w:rFonts w:ascii="Times New Roman" w:hAnsi="Times New Roman" w:eastAsia="宋体" w:cs="Times New Roman"/>
          <w:sz w:val="24"/>
          <w:highlight w:val="none"/>
        </w:rPr>
      </w:pPr>
      <w:r>
        <w:rPr>
          <w:rFonts w:hint="eastAsia" w:ascii="Times New Roman" w:hAnsi="Times New Roman" w:eastAsia="宋体" w:cs="Times New Roman"/>
          <w:sz w:val="24"/>
          <w:highlight w:val="none"/>
        </w:rPr>
        <w:t>若因乙方其员工原因导致安全事故（包括但不限于火灾、触电等情形）无论发生次数，甲方有权立即单方解除合同，扣除乙方当月全部服务费作为违约金，并要求乙方承担全部损失及相应的民事、刑事责任，违约金不足以覆盖损失的，乙方应补足差额。乙方需在甲方发出赔偿通知后3个工作日内足额支付违约金及赔偿款，逾期未支付的，甲方有权直接从应付未付的服务费中予以抵扣。甲方不承担任何因上述事故产生的赔偿、补偿或法律责任。</w:t>
      </w:r>
    </w:p>
    <w:p w14:paraId="225A3558">
      <w:pPr>
        <w:pStyle w:val="2"/>
        <w:numPr>
          <w:ilvl w:val="0"/>
          <w:numId w:val="0"/>
        </w:numPr>
        <w:tabs>
          <w:tab w:val="left" w:pos="1364"/>
        </w:tabs>
        <w:topLinePunct w:val="0"/>
        <w:ind w:left="0" w:leftChars="0" w:firstLine="482" w:firstLineChars="200"/>
        <w:rPr>
          <w:rFonts w:hint="eastAsia" w:ascii="Times New Roman" w:hAnsi="Times New Roman" w:cs="Times New Roman"/>
          <w:kern w:val="0"/>
          <w:sz w:val="24"/>
          <w:szCs w:val="21"/>
          <w:highlight w:val="none"/>
          <w:lang w:bidi="ar-SA"/>
        </w:rPr>
      </w:pPr>
      <w:r>
        <w:rPr>
          <w:rFonts w:hint="eastAsia" w:ascii="Times New Roman" w:hAnsi="Times New Roman" w:cs="Times New Roman"/>
          <w:kern w:val="0"/>
          <w:sz w:val="24"/>
          <w:szCs w:val="21"/>
          <w:highlight w:val="none"/>
          <w:lang w:val="en-US" w:eastAsia="zh-CN" w:bidi="ar-SA"/>
        </w:rPr>
        <w:t>（二）</w:t>
      </w:r>
      <w:r>
        <w:rPr>
          <w:rFonts w:hint="default" w:ascii="Times New Roman" w:hAnsi="Times New Roman" w:cs="Times New Roman"/>
          <w:kern w:val="0"/>
          <w:sz w:val="24"/>
          <w:szCs w:val="21"/>
          <w:highlight w:val="none"/>
          <w:lang w:bidi="ar-SA"/>
        </w:rPr>
        <w:t>机构改革撤并终止</w:t>
      </w:r>
    </w:p>
    <w:p w14:paraId="5F4F5A92">
      <w:pPr>
        <w:pStyle w:val="4"/>
        <w:ind w:left="0" w:leftChars="0" w:firstLine="480" w:firstLineChars="200"/>
        <w:rPr>
          <w:rFonts w:ascii="Times New Roman" w:hAnsi="Times New Roman" w:eastAsia="宋体" w:cs="Times New Roman"/>
          <w:sz w:val="24"/>
          <w:highlight w:val="none"/>
        </w:rPr>
      </w:pPr>
      <w:r>
        <w:rPr>
          <w:rFonts w:ascii="Times New Roman" w:hAnsi="Times New Roman" w:eastAsia="宋体" w:cs="Times New Roman"/>
          <w:sz w:val="24"/>
          <w:highlight w:val="none"/>
        </w:rPr>
        <w:t>因甲方发生体制改革、机构撤并、职能调整等政策性重大变化，致使项目无法继续实施的情形</w:t>
      </w:r>
      <w:r>
        <w:rPr>
          <w:rFonts w:hint="eastAsia" w:ascii="Times New Roman" w:hAnsi="Times New Roman" w:eastAsia="宋体" w:cs="Times New Roman"/>
          <w:sz w:val="24"/>
          <w:highlight w:val="none"/>
        </w:rPr>
        <w:t>，甲方有权单方解除合同。</w:t>
      </w:r>
      <w:r>
        <w:rPr>
          <w:rFonts w:ascii="Times New Roman" w:hAnsi="Times New Roman" w:eastAsia="宋体" w:cs="Times New Roman"/>
          <w:sz w:val="24"/>
          <w:highlight w:val="none"/>
        </w:rPr>
        <w:t>。</w:t>
      </w:r>
    </w:p>
    <w:p w14:paraId="3007C197">
      <w:pPr>
        <w:pStyle w:val="2"/>
        <w:numPr>
          <w:ilvl w:val="0"/>
          <w:numId w:val="0"/>
        </w:numPr>
        <w:tabs>
          <w:tab w:val="left" w:pos="1364"/>
        </w:tabs>
        <w:topLinePunct w:val="0"/>
        <w:ind w:left="0" w:leftChars="0" w:firstLine="482" w:firstLineChars="200"/>
        <w:rPr>
          <w:rFonts w:hint="eastAsia" w:ascii="Times New Roman" w:hAnsi="Times New Roman" w:cs="Times New Roman"/>
          <w:kern w:val="0"/>
          <w:sz w:val="24"/>
          <w:szCs w:val="21"/>
          <w:highlight w:val="none"/>
          <w:lang w:bidi="ar-SA"/>
        </w:rPr>
      </w:pPr>
      <w:r>
        <w:rPr>
          <w:rFonts w:hint="eastAsia" w:ascii="Times New Roman" w:hAnsi="Times New Roman" w:cs="Times New Roman"/>
          <w:kern w:val="0"/>
          <w:sz w:val="24"/>
          <w:szCs w:val="21"/>
          <w:highlight w:val="none"/>
          <w:lang w:val="en-US" w:eastAsia="zh-CN" w:bidi="ar-SA"/>
        </w:rPr>
        <w:t>（三）</w:t>
      </w:r>
      <w:r>
        <w:rPr>
          <w:rFonts w:hint="default" w:ascii="Times New Roman" w:hAnsi="Times New Roman" w:cs="Times New Roman"/>
          <w:kern w:val="0"/>
          <w:sz w:val="24"/>
          <w:szCs w:val="21"/>
          <w:highlight w:val="none"/>
          <w:lang w:bidi="ar-SA"/>
        </w:rPr>
        <w:t>其他违约情形</w:t>
      </w:r>
    </w:p>
    <w:p w14:paraId="43BD56AA">
      <w:pPr>
        <w:pStyle w:val="4"/>
        <w:ind w:left="0" w:leftChars="0" w:firstLine="480" w:firstLineChars="200"/>
        <w:rPr>
          <w:rFonts w:ascii="Times New Roman" w:hAnsi="Times New Roman" w:eastAsia="宋体" w:cs="Times New Roman"/>
          <w:sz w:val="24"/>
          <w:highlight w:val="none"/>
        </w:rPr>
      </w:pPr>
      <w:r>
        <w:rPr>
          <w:rFonts w:ascii="Times New Roman" w:hAnsi="Times New Roman" w:eastAsia="宋体" w:cs="Times New Roman"/>
          <w:sz w:val="24"/>
          <w:highlight w:val="none"/>
        </w:rPr>
        <w:t>乙方有下列情形之一的，甲方有权书面通知解除合同：</w:t>
      </w:r>
    </w:p>
    <w:p w14:paraId="78DDFB2E">
      <w:pPr>
        <w:pStyle w:val="4"/>
        <w:numPr>
          <w:ilvl w:val="0"/>
          <w:numId w:val="12"/>
        </w:numPr>
        <w:tabs>
          <w:tab w:val="left" w:pos="780"/>
          <w:tab w:val="clear" w:pos="210"/>
        </w:tabs>
        <w:ind w:left="0" w:leftChars="0" w:firstLine="480" w:firstLineChars="200"/>
        <w:rPr>
          <w:rFonts w:ascii="Times New Roman" w:hAnsi="Times New Roman" w:eastAsia="宋体" w:cs="Times New Roman"/>
          <w:b w:val="0"/>
          <w:sz w:val="24"/>
          <w:highlight w:val="none"/>
        </w:rPr>
      </w:pPr>
      <w:r>
        <w:rPr>
          <w:rFonts w:ascii="Times New Roman" w:hAnsi="Times New Roman" w:eastAsia="宋体" w:cs="Times New Roman"/>
          <w:sz w:val="24"/>
          <w:highlight w:val="none"/>
        </w:rPr>
        <w:t>擅自将服务转包、分包；</w:t>
      </w:r>
    </w:p>
    <w:p w14:paraId="7B149C29">
      <w:pPr>
        <w:pStyle w:val="4"/>
        <w:numPr>
          <w:ilvl w:val="0"/>
          <w:numId w:val="12"/>
        </w:numPr>
        <w:tabs>
          <w:tab w:val="left" w:pos="780"/>
          <w:tab w:val="clear" w:pos="210"/>
        </w:tabs>
        <w:ind w:left="0" w:leftChars="0" w:firstLine="480" w:firstLineChars="200"/>
        <w:rPr>
          <w:rFonts w:ascii="Times New Roman" w:hAnsi="Times New Roman" w:eastAsia="宋体" w:cs="Times New Roman"/>
          <w:b w:val="0"/>
          <w:sz w:val="24"/>
          <w:highlight w:val="none"/>
        </w:rPr>
      </w:pPr>
      <w:r>
        <w:rPr>
          <w:rFonts w:ascii="Times New Roman" w:hAnsi="Times New Roman" w:eastAsia="宋体" w:cs="Times New Roman"/>
          <w:sz w:val="24"/>
          <w:highlight w:val="none"/>
        </w:rPr>
        <w:t>未按约定配备足额服务人员或频繁更换员工导致服务质量受影响；</w:t>
      </w:r>
    </w:p>
    <w:p w14:paraId="0BE677CC">
      <w:pPr>
        <w:pStyle w:val="4"/>
        <w:numPr>
          <w:ilvl w:val="0"/>
          <w:numId w:val="12"/>
        </w:numPr>
        <w:tabs>
          <w:tab w:val="left" w:pos="780"/>
          <w:tab w:val="clear" w:pos="210"/>
        </w:tabs>
        <w:ind w:left="0" w:leftChars="0" w:firstLine="480" w:firstLineChars="200"/>
        <w:rPr>
          <w:rFonts w:ascii="Times New Roman" w:hAnsi="Times New Roman" w:eastAsia="宋体" w:cs="Times New Roman"/>
          <w:b w:val="0"/>
          <w:sz w:val="24"/>
          <w:highlight w:val="none"/>
        </w:rPr>
      </w:pPr>
      <w:r>
        <w:rPr>
          <w:rFonts w:ascii="Times New Roman" w:hAnsi="Times New Roman" w:eastAsia="宋体" w:cs="Times New Roman"/>
          <w:sz w:val="24"/>
          <w:highlight w:val="none"/>
        </w:rPr>
        <w:t>收到甲方发出的书面整改要求后，无正当理由拒绝整改或拖延整改，累计超过两次的；</w:t>
      </w:r>
    </w:p>
    <w:p w14:paraId="36A5B57E">
      <w:pPr>
        <w:pStyle w:val="4"/>
        <w:numPr>
          <w:ilvl w:val="0"/>
          <w:numId w:val="12"/>
        </w:numPr>
        <w:tabs>
          <w:tab w:val="left" w:pos="780"/>
          <w:tab w:val="clear" w:pos="210"/>
        </w:tabs>
        <w:ind w:left="0" w:leftChars="0" w:firstLine="480" w:firstLineChars="200"/>
        <w:rPr>
          <w:rFonts w:ascii="Times New Roman" w:hAnsi="Times New Roman" w:eastAsia="宋体" w:cs="Times New Roman"/>
          <w:b w:val="0"/>
          <w:sz w:val="24"/>
          <w:highlight w:val="none"/>
        </w:rPr>
      </w:pPr>
      <w:r>
        <w:rPr>
          <w:rFonts w:ascii="Times New Roman" w:hAnsi="Times New Roman" w:eastAsia="宋体" w:cs="Times New Roman"/>
          <w:sz w:val="24"/>
          <w:highlight w:val="none"/>
        </w:rPr>
        <w:t>违反保密义务，泄露甲方任何内部信息；</w:t>
      </w:r>
    </w:p>
    <w:p w14:paraId="2DF747A2">
      <w:pPr>
        <w:pStyle w:val="4"/>
        <w:numPr>
          <w:ilvl w:val="0"/>
          <w:numId w:val="12"/>
        </w:numPr>
        <w:tabs>
          <w:tab w:val="left" w:pos="780"/>
          <w:tab w:val="clear" w:pos="210"/>
        </w:tabs>
        <w:ind w:left="0" w:leftChars="0" w:firstLine="480" w:firstLineChars="200"/>
        <w:rPr>
          <w:rFonts w:ascii="Times New Roman" w:hAnsi="Times New Roman" w:eastAsia="宋体" w:cs="Times New Roman"/>
          <w:b w:val="0"/>
          <w:sz w:val="24"/>
          <w:highlight w:val="none"/>
        </w:rPr>
      </w:pPr>
      <w:r>
        <w:rPr>
          <w:rFonts w:ascii="Times New Roman" w:hAnsi="Times New Roman" w:eastAsia="宋体" w:cs="Times New Roman"/>
          <w:sz w:val="24"/>
          <w:highlight w:val="none"/>
        </w:rPr>
        <w:t>因乙方的过错导致群体性事件或产生重大负面影响；</w:t>
      </w:r>
    </w:p>
    <w:p w14:paraId="56875DD3">
      <w:pPr>
        <w:pStyle w:val="4"/>
        <w:numPr>
          <w:ilvl w:val="0"/>
          <w:numId w:val="12"/>
        </w:numPr>
        <w:tabs>
          <w:tab w:val="left" w:pos="780"/>
          <w:tab w:val="clear" w:pos="210"/>
        </w:tabs>
        <w:ind w:left="0" w:leftChars="0" w:firstLine="480" w:firstLineChars="200"/>
        <w:rPr>
          <w:rFonts w:ascii="Times New Roman" w:hAnsi="Times New Roman" w:eastAsia="宋体" w:cs="Times New Roman"/>
          <w:b w:val="0"/>
          <w:sz w:val="24"/>
          <w:highlight w:val="none"/>
        </w:rPr>
      </w:pPr>
      <w:r>
        <w:rPr>
          <w:rFonts w:ascii="Times New Roman" w:hAnsi="Times New Roman" w:eastAsia="宋体" w:cs="Times New Roman"/>
          <w:sz w:val="24"/>
          <w:highlight w:val="none"/>
        </w:rPr>
        <w:t>法律规定的其他根本违约情形。</w:t>
      </w:r>
    </w:p>
    <w:p w14:paraId="1CADF3D4">
      <w:pPr>
        <w:pStyle w:val="2"/>
        <w:numPr>
          <w:ilvl w:val="0"/>
          <w:numId w:val="0"/>
        </w:numPr>
        <w:tabs>
          <w:tab w:val="left" w:pos="1364"/>
        </w:tabs>
        <w:topLinePunct w:val="0"/>
        <w:ind w:left="0" w:leftChars="0" w:firstLine="482" w:firstLineChars="200"/>
        <w:rPr>
          <w:rFonts w:hint="eastAsia" w:ascii="Times New Roman" w:hAnsi="Times New Roman" w:cs="Times New Roman"/>
          <w:kern w:val="0"/>
          <w:sz w:val="24"/>
          <w:szCs w:val="21"/>
          <w:highlight w:val="none"/>
          <w:lang w:bidi="ar-SA"/>
        </w:rPr>
      </w:pPr>
      <w:r>
        <w:rPr>
          <w:rFonts w:hint="eastAsia" w:ascii="Times New Roman" w:hAnsi="Times New Roman" w:cs="Times New Roman"/>
          <w:kern w:val="0"/>
          <w:sz w:val="24"/>
          <w:szCs w:val="21"/>
          <w:highlight w:val="none"/>
          <w:lang w:val="en-US" w:eastAsia="zh-CN" w:bidi="ar-SA"/>
        </w:rPr>
        <w:t>（四）</w:t>
      </w:r>
      <w:r>
        <w:rPr>
          <w:rFonts w:hint="default" w:ascii="Times New Roman" w:hAnsi="Times New Roman" w:cs="Times New Roman"/>
          <w:kern w:val="0"/>
          <w:sz w:val="24"/>
          <w:szCs w:val="21"/>
          <w:highlight w:val="none"/>
          <w:lang w:bidi="ar-SA"/>
        </w:rPr>
        <w:t>解除后果</w:t>
      </w:r>
    </w:p>
    <w:p w14:paraId="47284D6D">
      <w:pPr>
        <w:pStyle w:val="4"/>
        <w:ind w:left="0" w:leftChars="0" w:firstLine="480" w:firstLineChars="200"/>
        <w:rPr>
          <w:rFonts w:ascii="Times New Roman" w:hAnsi="Times New Roman" w:eastAsia="宋体" w:cs="Times New Roman"/>
          <w:sz w:val="24"/>
          <w:highlight w:val="none"/>
        </w:rPr>
      </w:pPr>
      <w:r>
        <w:rPr>
          <w:rFonts w:hint="eastAsia" w:ascii="Times New Roman" w:hAnsi="Times New Roman" w:eastAsia="宋体" w:cs="Times New Roman"/>
          <w:sz w:val="24"/>
          <w:highlight w:val="none"/>
        </w:rPr>
        <w:t>合同解除后，乙方应于3日内完成人员撤离及工作交接，乙方撤离时不得损坏甲方所有的设施设备、办公物品，如有损坏，甲方有权直接从应付未付费用中扣除对应损失金额，不足部分有权向乙方追偿，甲方仅支付截至合同解除之日乙方实际服务天数对应的费用（按考核结果折算）。甲方不承担任何因合同解除产生的赔偿、补偿或其他法律责任。乙方逾期未完成撤离交接的，每逾期1日应向甲方支付相当于月服务费5%的违约金，且甲方有权采取清场措施，由此产生的全部费用由乙方承担。乙方须就其违约行为向甲方赔偿全部损失。</w:t>
      </w:r>
    </w:p>
    <w:p w14:paraId="4B0EAD52">
      <w:pPr>
        <w:pStyle w:val="2"/>
        <w:numPr>
          <w:ilvl w:val="0"/>
          <w:numId w:val="0"/>
        </w:numPr>
        <w:tabs>
          <w:tab w:val="left" w:pos="1364"/>
        </w:tabs>
        <w:topLinePunct w:val="0"/>
        <w:ind w:left="0" w:leftChars="0" w:firstLine="482" w:firstLineChars="200"/>
        <w:rPr>
          <w:rFonts w:hint="eastAsia" w:ascii="Times New Roman" w:hAnsi="Times New Roman" w:cs="Times New Roman"/>
          <w:kern w:val="0"/>
          <w:sz w:val="24"/>
          <w:szCs w:val="21"/>
          <w:highlight w:val="none"/>
          <w:lang w:bidi="ar-SA"/>
        </w:rPr>
      </w:pPr>
      <w:r>
        <w:rPr>
          <w:rFonts w:hint="eastAsia" w:ascii="Times New Roman" w:hAnsi="Times New Roman" w:cs="Times New Roman"/>
          <w:kern w:val="0"/>
          <w:sz w:val="24"/>
          <w:szCs w:val="21"/>
          <w:highlight w:val="none"/>
          <w:lang w:val="en-US" w:eastAsia="zh-CN" w:bidi="ar-SA"/>
        </w:rPr>
        <w:t>（五）</w:t>
      </w:r>
      <w:r>
        <w:rPr>
          <w:rFonts w:hint="default" w:ascii="Times New Roman" w:hAnsi="Times New Roman" w:cs="Times New Roman"/>
          <w:kern w:val="0"/>
          <w:sz w:val="24"/>
          <w:szCs w:val="21"/>
          <w:highlight w:val="none"/>
          <w:lang w:bidi="ar-SA"/>
        </w:rPr>
        <w:t>不可抗力</w:t>
      </w:r>
    </w:p>
    <w:p w14:paraId="67F5C9FB">
      <w:pPr>
        <w:pStyle w:val="4"/>
        <w:ind w:left="0" w:leftChars="0" w:firstLine="480" w:firstLineChars="200"/>
        <w:rPr>
          <w:rFonts w:ascii="Times New Roman" w:hAnsi="Times New Roman" w:eastAsia="宋体" w:cs="Times New Roman"/>
          <w:b w:val="0"/>
          <w:color w:val="auto"/>
          <w:sz w:val="24"/>
          <w:highlight w:val="none"/>
        </w:rPr>
      </w:pPr>
      <w:r>
        <w:rPr>
          <w:rFonts w:ascii="Times New Roman" w:hAnsi="Times New Roman" w:eastAsia="宋体" w:cs="Times New Roman"/>
          <w:sz w:val="24"/>
          <w:highlight w:val="none"/>
        </w:rPr>
        <w:t>因不可抗力导致合同无法履行的，双方互不承担违约责任，但双方均应及时履行通知义务，并采取合理措施避免损失扩大。</w:t>
      </w:r>
    </w:p>
    <w:p w14:paraId="167E634F">
      <w:pPr>
        <w:pStyle w:val="3"/>
        <w:widowControl/>
        <w:numPr>
          <w:ilvl w:val="0"/>
          <w:numId w:val="0"/>
        </w:numPr>
        <w:tabs>
          <w:tab w:val="left" w:pos="1566"/>
        </w:tabs>
        <w:ind w:left="0" w:leftChars="0" w:firstLine="482" w:firstLineChars="200"/>
        <w:rPr>
          <w:b/>
          <w:color w:val="0000FF"/>
        </w:rPr>
      </w:pPr>
      <w:r>
        <w:rPr>
          <w:rFonts w:hint="eastAsia" w:ascii="宋体" w:hAnsi="宋体" w:eastAsia="宋体" w:cs="宋体"/>
          <w:b/>
          <w:bCs/>
          <w:color w:val="0000FF"/>
          <w:kern w:val="44"/>
          <w:sz w:val="24"/>
          <w:szCs w:val="30"/>
        </w:rPr>
        <w:t>第十</w:t>
      </w:r>
      <w:r>
        <w:rPr>
          <w:rFonts w:hint="eastAsia" w:cs="宋体"/>
          <w:b/>
          <w:bCs/>
          <w:color w:val="0000FF"/>
          <w:kern w:val="44"/>
          <w:sz w:val="24"/>
          <w:szCs w:val="30"/>
          <w:lang w:val="en-US" w:eastAsia="zh-CN"/>
        </w:rPr>
        <w:t>七</w:t>
      </w:r>
      <w:r>
        <w:rPr>
          <w:rFonts w:hint="eastAsia" w:ascii="宋体" w:hAnsi="宋体" w:eastAsia="宋体" w:cs="宋体"/>
          <w:b/>
          <w:bCs/>
          <w:color w:val="0000FF"/>
          <w:kern w:val="44"/>
          <w:sz w:val="24"/>
          <w:szCs w:val="30"/>
        </w:rPr>
        <w:t>条</w:t>
      </w:r>
      <w:r>
        <w:rPr>
          <w:rFonts w:hint="eastAsia" w:cs="宋体"/>
          <w:b/>
          <w:bCs/>
          <w:color w:val="0000FF"/>
          <w:kern w:val="44"/>
          <w:sz w:val="24"/>
          <w:szCs w:val="30"/>
          <w:lang w:val="en-US" w:eastAsia="zh-CN"/>
        </w:rPr>
        <w:t xml:space="preserve">  </w:t>
      </w:r>
      <w:r>
        <w:rPr>
          <w:color w:val="0000FF"/>
        </w:rPr>
        <w:t>争议解决</w:t>
      </w:r>
    </w:p>
    <w:p w14:paraId="4DD06913">
      <w:pPr>
        <w:pStyle w:val="4"/>
        <w:widowControl/>
        <w:ind w:left="0" w:leftChars="0" w:firstLine="480" w:firstLineChars="200"/>
        <w:rPr>
          <w:rFonts w:ascii="Times New Roman" w:hAnsi="Times New Roman" w:eastAsia="宋体" w:cs="Times New Roman"/>
          <w:b w:val="0"/>
          <w:color w:val="FF0000"/>
          <w:sz w:val="24"/>
          <w:highlight w:val="none"/>
        </w:rPr>
      </w:pPr>
      <w:r>
        <w:rPr>
          <w:rFonts w:ascii="Times New Roman" w:hAnsi="Times New Roman" w:eastAsia="宋体" w:cs="Times New Roman"/>
          <w:b w:val="0"/>
          <w:color w:val="auto"/>
          <w:sz w:val="24"/>
          <w:highlight w:val="none"/>
        </w:rPr>
        <w:t>本合同履行争议及未尽事宜，甲乙双方另行友好协商解决；如协商不能解决，双方均可向甲方所在地人民法院起诉。</w:t>
      </w:r>
    </w:p>
    <w:p w14:paraId="0430F16C">
      <w:pPr>
        <w:pStyle w:val="3"/>
        <w:widowControl/>
        <w:numPr>
          <w:ilvl w:val="0"/>
          <w:numId w:val="0"/>
        </w:numPr>
        <w:tabs>
          <w:tab w:val="left" w:pos="1566"/>
        </w:tabs>
        <w:ind w:left="0" w:leftChars="0" w:firstLine="482" w:firstLineChars="200"/>
        <w:rPr>
          <w:b/>
          <w:color w:val="0000FF"/>
        </w:rPr>
      </w:pPr>
      <w:r>
        <w:rPr>
          <w:rFonts w:hint="eastAsia" w:ascii="宋体" w:hAnsi="宋体" w:eastAsia="宋体" w:cs="宋体"/>
          <w:b/>
          <w:bCs/>
          <w:color w:val="0000FF"/>
          <w:kern w:val="44"/>
          <w:sz w:val="24"/>
          <w:szCs w:val="30"/>
        </w:rPr>
        <w:t>第十</w:t>
      </w:r>
      <w:r>
        <w:rPr>
          <w:rFonts w:hint="eastAsia" w:cs="宋体"/>
          <w:b/>
          <w:bCs/>
          <w:color w:val="0000FF"/>
          <w:kern w:val="44"/>
          <w:sz w:val="24"/>
          <w:szCs w:val="30"/>
          <w:lang w:val="en-US" w:eastAsia="zh-CN"/>
        </w:rPr>
        <w:t>八</w:t>
      </w:r>
      <w:r>
        <w:rPr>
          <w:rFonts w:hint="eastAsia" w:ascii="宋体" w:hAnsi="宋体" w:eastAsia="宋体" w:cs="宋体"/>
          <w:b/>
          <w:bCs/>
          <w:color w:val="0000FF"/>
          <w:kern w:val="44"/>
          <w:sz w:val="24"/>
          <w:szCs w:val="30"/>
        </w:rPr>
        <w:t>条</w:t>
      </w:r>
      <w:r>
        <w:rPr>
          <w:rFonts w:hint="eastAsia" w:cs="宋体"/>
          <w:b/>
          <w:bCs/>
          <w:color w:val="0000FF"/>
          <w:kern w:val="44"/>
          <w:sz w:val="24"/>
          <w:szCs w:val="30"/>
          <w:lang w:val="en-US" w:eastAsia="zh-CN"/>
        </w:rPr>
        <w:t xml:space="preserve">  </w:t>
      </w:r>
      <w:r>
        <w:rPr>
          <w:color w:val="0000FF"/>
        </w:rPr>
        <w:t>合同生效</w:t>
      </w:r>
    </w:p>
    <w:p w14:paraId="7BDAAB06">
      <w:pPr>
        <w:pStyle w:val="4"/>
        <w:widowControl/>
        <w:ind w:left="0" w:leftChars="0" w:firstLine="480" w:firstLineChars="200"/>
        <w:rPr>
          <w:rFonts w:ascii="Times New Roman" w:hAnsi="Times New Roman" w:eastAsia="宋体" w:cs="Times New Roman"/>
          <w:b w:val="0"/>
          <w:color w:val="auto"/>
          <w:sz w:val="24"/>
          <w:highlight w:val="none"/>
        </w:rPr>
      </w:pPr>
      <w:r>
        <w:rPr>
          <w:rFonts w:ascii="Times New Roman" w:hAnsi="Times New Roman" w:eastAsia="宋体" w:cs="Times New Roman"/>
          <w:b w:val="0"/>
          <w:color w:val="auto"/>
          <w:sz w:val="24"/>
          <w:highlight w:val="none"/>
        </w:rPr>
        <w:t>本合同自甲方与乙方双方法定代表人或其授权代理人签字并加盖公章之日起生效。本合同一式</w:t>
      </w:r>
      <w:r>
        <w:rPr>
          <w:rFonts w:hint="eastAsia" w:cs="Times New Roman"/>
          <w:b w:val="0"/>
          <w:color w:val="auto"/>
          <w:sz w:val="24"/>
          <w:highlight w:val="none"/>
          <w:u w:val="single"/>
          <w:lang w:val="en-US" w:eastAsia="zh-CN"/>
        </w:rPr>
        <w:t>柒</w:t>
      </w:r>
      <w:r>
        <w:rPr>
          <w:rFonts w:ascii="Times New Roman" w:hAnsi="Times New Roman" w:eastAsia="宋体" w:cs="Times New Roman"/>
          <w:b w:val="0"/>
          <w:color w:val="auto"/>
          <w:sz w:val="24"/>
          <w:highlight w:val="none"/>
        </w:rPr>
        <w:t>份，甲方执</w:t>
      </w:r>
      <w:r>
        <w:rPr>
          <w:rFonts w:hint="eastAsia" w:cs="Times New Roman"/>
          <w:b w:val="0"/>
          <w:color w:val="auto"/>
          <w:sz w:val="24"/>
          <w:highlight w:val="none"/>
          <w:u w:val="single"/>
          <w:lang w:val="en-US" w:eastAsia="zh-CN"/>
        </w:rPr>
        <w:t>肆</w:t>
      </w:r>
      <w:r>
        <w:rPr>
          <w:rFonts w:ascii="Times New Roman" w:hAnsi="Times New Roman" w:eastAsia="宋体" w:cs="Times New Roman"/>
          <w:b w:val="0"/>
          <w:color w:val="auto"/>
          <w:sz w:val="24"/>
          <w:highlight w:val="none"/>
          <w:u w:val="none"/>
        </w:rPr>
        <w:t>份，</w:t>
      </w:r>
      <w:r>
        <w:rPr>
          <w:rFonts w:ascii="Times New Roman" w:hAnsi="Times New Roman" w:eastAsia="宋体" w:cs="Times New Roman"/>
          <w:b w:val="0"/>
          <w:color w:val="auto"/>
          <w:sz w:val="24"/>
          <w:highlight w:val="none"/>
        </w:rPr>
        <w:t>乙方执</w:t>
      </w:r>
      <w:r>
        <w:rPr>
          <w:rFonts w:ascii="Times New Roman" w:hAnsi="Times New Roman" w:eastAsia="宋体" w:cs="Times New Roman"/>
          <w:b w:val="0"/>
          <w:color w:val="auto"/>
          <w:sz w:val="24"/>
          <w:highlight w:val="none"/>
          <w:u w:val="single"/>
        </w:rPr>
        <w:t>贰</w:t>
      </w:r>
      <w:r>
        <w:rPr>
          <w:rFonts w:ascii="Times New Roman" w:hAnsi="Times New Roman" w:eastAsia="宋体" w:cs="Times New Roman"/>
          <w:b w:val="0"/>
          <w:color w:val="auto"/>
          <w:sz w:val="24"/>
          <w:highlight w:val="none"/>
        </w:rPr>
        <w:t>份，</w:t>
      </w:r>
      <w:r>
        <w:rPr>
          <w:rFonts w:hint="eastAsia" w:cs="Times New Roman"/>
          <w:b w:val="0"/>
          <w:color w:val="auto"/>
          <w:sz w:val="24"/>
          <w:highlight w:val="none"/>
          <w:lang w:val="en-US" w:eastAsia="zh-CN"/>
        </w:rPr>
        <w:t>集采机构</w:t>
      </w:r>
      <w:r>
        <w:rPr>
          <w:rFonts w:ascii="Times New Roman" w:hAnsi="Times New Roman" w:eastAsia="宋体" w:cs="Times New Roman"/>
          <w:b w:val="0"/>
          <w:color w:val="auto"/>
          <w:sz w:val="24"/>
          <w:highlight w:val="none"/>
        </w:rPr>
        <w:t>执</w:t>
      </w:r>
      <w:r>
        <w:rPr>
          <w:rFonts w:ascii="Times New Roman" w:hAnsi="Times New Roman" w:eastAsia="宋体" w:cs="Times New Roman"/>
          <w:b w:val="0"/>
          <w:color w:val="auto"/>
          <w:sz w:val="24"/>
          <w:highlight w:val="none"/>
          <w:u w:val="single"/>
        </w:rPr>
        <w:t>壹</w:t>
      </w:r>
      <w:r>
        <w:rPr>
          <w:rFonts w:ascii="Times New Roman" w:hAnsi="Times New Roman" w:eastAsia="宋体" w:cs="Times New Roman"/>
          <w:b w:val="0"/>
          <w:color w:val="auto"/>
          <w:sz w:val="24"/>
          <w:highlight w:val="none"/>
        </w:rPr>
        <w:t>份，每份均具有同等法律效力。</w:t>
      </w:r>
    </w:p>
    <w:p w14:paraId="13D9757E">
      <w:pPr>
        <w:pStyle w:val="4"/>
        <w:widowControl/>
        <w:ind w:left="0" w:leftChars="0" w:firstLine="480" w:firstLineChars="200"/>
        <w:rPr>
          <w:rFonts w:ascii="Times New Roman" w:hAnsi="Times New Roman" w:eastAsia="宋体" w:cs="Times New Roman"/>
          <w:b w:val="0"/>
          <w:color w:val="auto"/>
          <w:sz w:val="24"/>
          <w:highlight w:val="none"/>
        </w:rPr>
      </w:pPr>
      <w:r>
        <w:rPr>
          <w:rFonts w:ascii="Times New Roman" w:hAnsi="Times New Roman" w:eastAsia="宋体" w:cs="Times New Roman"/>
          <w:b w:val="0"/>
          <w:color w:val="auto"/>
          <w:sz w:val="24"/>
          <w:highlight w:val="none"/>
        </w:rPr>
        <w:t>合同一经签订，即视为甲乙双方已全面知悉本合同的全部内容，且乙方已对本项目的履约细则进行了充分且深入的了解。</w:t>
      </w:r>
    </w:p>
    <w:p w14:paraId="10ED2832">
      <w:pPr>
        <w:pStyle w:val="3"/>
        <w:widowControl/>
        <w:numPr>
          <w:ilvl w:val="0"/>
          <w:numId w:val="0"/>
        </w:numPr>
        <w:tabs>
          <w:tab w:val="left" w:pos="1566"/>
        </w:tabs>
        <w:ind w:left="0" w:leftChars="0" w:firstLine="482" w:firstLineChars="200"/>
        <w:rPr>
          <w:b/>
          <w:color w:val="0000FF"/>
        </w:rPr>
      </w:pPr>
      <w:r>
        <w:rPr>
          <w:rFonts w:hint="eastAsia" w:ascii="宋体" w:hAnsi="宋体" w:eastAsia="宋体" w:cs="宋体"/>
          <w:b/>
          <w:bCs/>
          <w:color w:val="0000FF"/>
          <w:kern w:val="44"/>
          <w:sz w:val="24"/>
          <w:szCs w:val="30"/>
        </w:rPr>
        <w:t>第</w:t>
      </w:r>
      <w:r>
        <w:rPr>
          <w:rFonts w:hint="eastAsia" w:cs="宋体"/>
          <w:b/>
          <w:bCs/>
          <w:color w:val="0000FF"/>
          <w:kern w:val="44"/>
          <w:sz w:val="24"/>
          <w:szCs w:val="30"/>
          <w:lang w:val="en-US" w:eastAsia="zh-CN"/>
        </w:rPr>
        <w:t xml:space="preserve">十九条  </w:t>
      </w:r>
      <w:r>
        <w:rPr>
          <w:color w:val="0000FF"/>
        </w:rPr>
        <w:t>其他</w:t>
      </w:r>
    </w:p>
    <w:p w14:paraId="137C01BC">
      <w:pPr>
        <w:pStyle w:val="4"/>
        <w:widowControl/>
        <w:numPr>
          <w:ilvl w:val="0"/>
          <w:numId w:val="13"/>
        </w:numPr>
        <w:tabs>
          <w:tab w:val="left" w:pos="1200"/>
        </w:tabs>
        <w:topLinePunct w:val="0"/>
        <w:ind w:left="0" w:leftChars="0" w:firstLine="480" w:firstLineChars="200"/>
        <w:rPr>
          <w:rFonts w:ascii="Times New Roman" w:hAnsi="Times New Roman" w:eastAsia="宋体" w:cs="Times New Roman"/>
          <w:b w:val="0"/>
          <w:color w:val="auto"/>
          <w:sz w:val="24"/>
          <w:highlight w:val="none"/>
        </w:rPr>
      </w:pPr>
      <w:r>
        <w:rPr>
          <w:rFonts w:ascii="Times New Roman" w:hAnsi="Times New Roman" w:eastAsia="宋体" w:cs="Times New Roman"/>
          <w:b w:val="0"/>
          <w:color w:val="auto"/>
          <w:sz w:val="24"/>
          <w:highlight w:val="none"/>
        </w:rPr>
        <w:t>本合同未尽事宜，双方</w:t>
      </w:r>
      <w:r>
        <w:rPr>
          <w:rFonts w:hint="eastAsia" w:cs="Times New Roman"/>
          <w:b w:val="0"/>
          <w:color w:val="auto"/>
          <w:sz w:val="24"/>
          <w:highlight w:val="none"/>
          <w:lang w:val="en-US" w:eastAsia="zh-CN"/>
        </w:rPr>
        <w:t>以</w:t>
      </w:r>
      <w:r>
        <w:rPr>
          <w:rFonts w:ascii="Times New Roman" w:hAnsi="Times New Roman" w:eastAsia="宋体" w:cs="Times New Roman"/>
          <w:b w:val="0"/>
          <w:color w:val="auto"/>
          <w:sz w:val="24"/>
          <w:highlight w:val="none"/>
        </w:rPr>
        <w:t>补充协议的形式加以补充，但补充协议的条款不得对甲方</w:t>
      </w:r>
      <w:r>
        <w:rPr>
          <w:rFonts w:hint="eastAsia" w:cs="Times New Roman"/>
          <w:b w:val="0"/>
          <w:color w:val="auto"/>
          <w:sz w:val="24"/>
          <w:highlight w:val="none"/>
          <w:lang w:val="en-US" w:eastAsia="zh-CN"/>
        </w:rPr>
        <w:t>招标</w:t>
      </w:r>
      <w:r>
        <w:rPr>
          <w:rFonts w:ascii="Times New Roman" w:hAnsi="Times New Roman" w:eastAsia="宋体" w:cs="Times New Roman"/>
          <w:b w:val="0"/>
          <w:color w:val="auto"/>
          <w:sz w:val="24"/>
          <w:highlight w:val="none"/>
        </w:rPr>
        <w:t>文件和</w:t>
      </w:r>
      <w:r>
        <w:rPr>
          <w:rFonts w:hint="eastAsia" w:cs="Times New Roman"/>
          <w:b w:val="0"/>
          <w:color w:val="auto"/>
          <w:sz w:val="24"/>
          <w:highlight w:val="none"/>
          <w:lang w:val="en-US" w:eastAsia="zh-CN"/>
        </w:rPr>
        <w:t>乙方</w:t>
      </w:r>
      <w:r>
        <w:rPr>
          <w:rFonts w:ascii="Times New Roman" w:hAnsi="Times New Roman" w:eastAsia="宋体" w:cs="Times New Roman"/>
          <w:b w:val="0"/>
          <w:color w:val="auto"/>
          <w:sz w:val="24"/>
          <w:highlight w:val="none"/>
        </w:rPr>
        <w:t>响应文件约定的内容作实质性修改。补充协议与本合同具有相同的法律效力。</w:t>
      </w:r>
    </w:p>
    <w:p w14:paraId="204D596D">
      <w:pPr>
        <w:pStyle w:val="4"/>
        <w:widowControl/>
        <w:numPr>
          <w:ilvl w:val="0"/>
          <w:numId w:val="13"/>
        </w:numPr>
        <w:tabs>
          <w:tab w:val="left" w:pos="1200"/>
        </w:tabs>
        <w:topLinePunct w:val="0"/>
        <w:ind w:left="0" w:leftChars="0" w:firstLine="480" w:firstLineChars="200"/>
        <w:rPr>
          <w:rFonts w:ascii="Times New Roman" w:hAnsi="Times New Roman" w:eastAsia="宋体" w:cs="Times New Roman"/>
          <w:b w:val="0"/>
          <w:color w:val="auto"/>
          <w:sz w:val="24"/>
          <w:highlight w:val="none"/>
        </w:rPr>
      </w:pPr>
      <w:r>
        <w:rPr>
          <w:rFonts w:ascii="Times New Roman" w:hAnsi="Times New Roman" w:eastAsia="宋体" w:cs="Times New Roman"/>
          <w:b w:val="0"/>
          <w:color w:val="auto"/>
          <w:sz w:val="24"/>
          <w:highlight w:val="none"/>
        </w:rPr>
        <w:t>本合同及其附件和补充协议中未规定的事宜，均遵照国家和海南省政府有关法律法规和规章执行。</w:t>
      </w:r>
    </w:p>
    <w:p w14:paraId="12409BC4">
      <w:pPr>
        <w:pStyle w:val="4"/>
        <w:widowControl/>
        <w:numPr>
          <w:ilvl w:val="0"/>
          <w:numId w:val="13"/>
        </w:numPr>
        <w:tabs>
          <w:tab w:val="left" w:pos="1200"/>
        </w:tabs>
        <w:topLinePunct w:val="0"/>
        <w:ind w:left="0" w:leftChars="0" w:firstLine="480" w:firstLineChars="200"/>
        <w:rPr>
          <w:rFonts w:ascii="Times New Roman" w:hAnsi="Times New Roman" w:eastAsia="宋体" w:cs="Times New Roman"/>
          <w:b w:val="0"/>
          <w:color w:val="auto"/>
          <w:sz w:val="24"/>
          <w:highlight w:val="none"/>
        </w:rPr>
      </w:pPr>
      <w:r>
        <w:rPr>
          <w:rFonts w:ascii="Times New Roman" w:hAnsi="Times New Roman" w:eastAsia="宋体" w:cs="Times New Roman"/>
          <w:b w:val="0"/>
          <w:color w:val="auto"/>
          <w:sz w:val="24"/>
          <w:highlight w:val="none"/>
        </w:rPr>
        <w:t>在合同期内，委托管理服务区域、内容、人员的增减，可根据具体情况，甲乙双方协商另外签订补充物业</w:t>
      </w:r>
      <w:r>
        <w:rPr>
          <w:rFonts w:hint="eastAsia" w:cs="Times New Roman"/>
          <w:b w:val="0"/>
          <w:color w:val="auto"/>
          <w:sz w:val="24"/>
          <w:highlight w:val="none"/>
          <w:lang w:val="en-US" w:eastAsia="zh-CN"/>
        </w:rPr>
        <w:t>保障</w:t>
      </w:r>
      <w:r>
        <w:rPr>
          <w:rFonts w:ascii="Times New Roman" w:hAnsi="Times New Roman" w:eastAsia="宋体" w:cs="Times New Roman"/>
          <w:b w:val="0"/>
          <w:color w:val="auto"/>
          <w:sz w:val="24"/>
          <w:highlight w:val="none"/>
        </w:rPr>
        <w:t>服务协议，与本合同具有同等效力</w:t>
      </w:r>
      <w:r>
        <w:rPr>
          <w:rFonts w:hint="eastAsia" w:cs="Times New Roman"/>
          <w:b w:val="0"/>
          <w:color w:val="auto"/>
          <w:sz w:val="24"/>
          <w:highlight w:val="none"/>
          <w:lang w:eastAsia="zh-CN"/>
        </w:rPr>
        <w:t>，</w:t>
      </w:r>
      <w:r>
        <w:rPr>
          <w:rFonts w:hint="eastAsia" w:cs="Times New Roman"/>
          <w:b w:val="0"/>
          <w:color w:val="auto"/>
          <w:sz w:val="24"/>
          <w:highlight w:val="none"/>
          <w:lang w:val="en-US" w:eastAsia="zh-CN"/>
        </w:rPr>
        <w:t>但所有补充合同累计金额不得超过原合同金额10%</w:t>
      </w:r>
      <w:r>
        <w:rPr>
          <w:rFonts w:ascii="Times New Roman" w:hAnsi="Times New Roman" w:eastAsia="宋体" w:cs="Times New Roman"/>
          <w:b w:val="0"/>
          <w:color w:val="auto"/>
          <w:sz w:val="24"/>
          <w:highlight w:val="none"/>
        </w:rPr>
        <w:t>。</w:t>
      </w:r>
    </w:p>
    <w:p w14:paraId="2B9B3934">
      <w:pPr>
        <w:pStyle w:val="4"/>
        <w:widowControl/>
        <w:numPr>
          <w:ilvl w:val="0"/>
          <w:numId w:val="13"/>
        </w:numPr>
        <w:tabs>
          <w:tab w:val="left" w:pos="1200"/>
        </w:tabs>
        <w:topLinePunct w:val="0"/>
        <w:ind w:left="0" w:leftChars="0" w:firstLine="480" w:firstLineChars="200"/>
        <w:rPr>
          <w:rFonts w:ascii="Times New Roman" w:hAnsi="Times New Roman" w:eastAsia="宋体" w:cs="Times New Roman"/>
          <w:b w:val="0"/>
          <w:color w:val="auto"/>
          <w:sz w:val="24"/>
          <w:highlight w:val="none"/>
        </w:rPr>
      </w:pPr>
      <w:r>
        <w:rPr>
          <w:rFonts w:ascii="Times New Roman" w:hAnsi="Times New Roman" w:eastAsia="宋体" w:cs="Times New Roman"/>
          <w:b w:val="0"/>
          <w:color w:val="auto"/>
          <w:sz w:val="24"/>
          <w:highlight w:val="none"/>
        </w:rPr>
        <w:t>本合同附件《物业服务质量考核评分细则》，具有同等法律效力。</w:t>
      </w:r>
    </w:p>
    <w:p w14:paraId="2190483E">
      <w:pPr>
        <w:rPr>
          <w:rFonts w:hint="eastAsia"/>
        </w:rPr>
      </w:pPr>
      <w:r>
        <w:rPr>
          <w:rFonts w:hint="eastAsia"/>
        </w:rPr>
        <w:br w:type="page"/>
      </w:r>
    </w:p>
    <w:p w14:paraId="71662E01">
      <w:pPr>
        <w:pStyle w:val="5"/>
        <w:widowControl/>
        <w:rPr>
          <w:highlight w:val="none"/>
        </w:rPr>
      </w:pPr>
      <w:r>
        <w:rPr>
          <w:highlight w:val="none"/>
        </w:rPr>
        <w:t>合同签署页</w:t>
      </w:r>
    </w:p>
    <w:p w14:paraId="6A4B003E">
      <w:pPr>
        <w:pStyle w:val="5"/>
        <w:widowControl/>
        <w:rPr>
          <w:highlight w:val="none"/>
        </w:rPr>
      </w:pPr>
    </w:p>
    <w:p w14:paraId="04310811">
      <w:pPr>
        <w:pStyle w:val="4"/>
        <w:widowControl/>
        <w:spacing w:after="120" w:afterAutospacing="0" w:line="300" w:lineRule="auto"/>
        <w:ind w:left="0" w:leftChars="0" w:firstLine="480" w:firstLineChars="200"/>
        <w:rPr>
          <w:rFonts w:ascii="Times New Roman" w:hAnsi="Times New Roman" w:eastAsia="宋体" w:cs="Times New Roman"/>
          <w:sz w:val="24"/>
        </w:rPr>
      </w:pPr>
      <w:r>
        <w:rPr>
          <w:rFonts w:ascii="Times New Roman" w:hAnsi="Times New Roman" w:eastAsia="宋体" w:cs="Times New Roman"/>
          <w:sz w:val="24"/>
        </w:rPr>
        <w:t xml:space="preserve">甲方： 海南省公安厅反走私和海岸管理总队第三支队 （盖章）   </w:t>
      </w:r>
    </w:p>
    <w:p w14:paraId="2555E0E7">
      <w:pPr>
        <w:pStyle w:val="4"/>
        <w:widowControl/>
        <w:spacing w:after="120" w:afterAutospacing="0" w:line="300" w:lineRule="auto"/>
        <w:ind w:left="0" w:leftChars="0" w:firstLine="480" w:firstLineChars="200"/>
        <w:rPr>
          <w:rFonts w:hint="default" w:ascii="Times New Roman" w:hAnsi="Times New Roman" w:eastAsia="宋体" w:cs="Times New Roman"/>
          <w:sz w:val="24"/>
          <w:lang w:val="en-US" w:eastAsia="zh-CN"/>
        </w:rPr>
      </w:pPr>
      <w:r>
        <w:rPr>
          <w:rFonts w:ascii="Times New Roman" w:hAnsi="Times New Roman" w:eastAsia="宋体" w:cs="Times New Roman"/>
          <w:sz w:val="24"/>
        </w:rPr>
        <w:t>地址：</w:t>
      </w:r>
      <w:r>
        <w:rPr>
          <w:rFonts w:hint="eastAsia" w:ascii="Times New Roman" w:hAnsi="Times New Roman" w:eastAsia="宋体" w:cs="Times New Roman"/>
          <w:sz w:val="24"/>
          <w:lang w:val="en-US" w:eastAsia="zh-CN"/>
        </w:rPr>
        <w:t>海南省琼海市兴海南路66号</w:t>
      </w:r>
    </w:p>
    <w:p w14:paraId="6B9922E5">
      <w:pPr>
        <w:pStyle w:val="4"/>
        <w:widowControl/>
        <w:spacing w:after="120" w:afterAutospacing="0" w:line="300" w:lineRule="auto"/>
        <w:ind w:left="0" w:leftChars="0" w:firstLine="480" w:firstLineChars="200"/>
        <w:rPr>
          <w:rFonts w:ascii="Times New Roman" w:hAnsi="Times New Roman" w:eastAsia="宋体" w:cs="Times New Roman"/>
          <w:sz w:val="24"/>
        </w:rPr>
      </w:pPr>
      <w:r>
        <w:rPr>
          <w:rFonts w:ascii="Times New Roman" w:hAnsi="Times New Roman" w:eastAsia="宋体" w:cs="Times New Roman"/>
          <w:sz w:val="24"/>
        </w:rPr>
        <w:t>法定（或授权）代表人</w:t>
      </w:r>
      <w:r>
        <w:rPr>
          <w:rFonts w:hint="eastAsia" w:cs="Times New Roman"/>
          <w:sz w:val="24"/>
          <w:lang w:eastAsia="zh-CN"/>
        </w:rPr>
        <w:t>（</w:t>
      </w:r>
      <w:r>
        <w:rPr>
          <w:rFonts w:hint="eastAsia" w:cs="Times New Roman"/>
          <w:sz w:val="24"/>
          <w:lang w:val="en-US" w:eastAsia="zh-CN"/>
        </w:rPr>
        <w:t>签字或签章）</w:t>
      </w:r>
      <w:r>
        <w:rPr>
          <w:rFonts w:ascii="Times New Roman" w:hAnsi="Times New Roman" w:eastAsia="宋体" w:cs="Times New Roman"/>
          <w:sz w:val="24"/>
        </w:rPr>
        <w:t>：</w:t>
      </w:r>
    </w:p>
    <w:p w14:paraId="622128BA">
      <w:pPr>
        <w:spacing w:after="120" w:afterAutospacing="0" w:line="300" w:lineRule="auto"/>
        <w:ind w:firstLine="960" w:firstLineChars="400"/>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年    月    日</w:t>
      </w:r>
    </w:p>
    <w:p w14:paraId="3A6A2068">
      <w:pPr>
        <w:rPr>
          <w:rFonts w:hint="eastAsia"/>
          <w:lang w:val="en-US" w:eastAsia="zh-CN"/>
        </w:rPr>
      </w:pPr>
    </w:p>
    <w:p w14:paraId="564D4C0F">
      <w:pPr>
        <w:pStyle w:val="2"/>
        <w:rPr>
          <w:rFonts w:hint="eastAsia"/>
          <w:lang w:val="en-US" w:eastAsia="zh-CN"/>
        </w:rPr>
      </w:pPr>
    </w:p>
    <w:p w14:paraId="366EA252">
      <w:pPr>
        <w:spacing w:after="120" w:afterAutospacing="0" w:line="300" w:lineRule="auto"/>
        <w:ind w:left="480" w:leftChars="0" w:firstLine="0" w:firstLineChars="0"/>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乙方：</w:t>
      </w:r>
      <w:r>
        <w:rPr>
          <w:rFonts w:hint="eastAsia"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rPr>
        <w:t>（盖章）</w:t>
      </w:r>
    </w:p>
    <w:p w14:paraId="3D8A6206">
      <w:pPr>
        <w:spacing w:after="120" w:afterAutospacing="0" w:line="300" w:lineRule="auto"/>
        <w:ind w:left="480" w:leftChars="0" w:firstLine="0" w:firstLineChars="0"/>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rPr>
        <w:t>地址：</w:t>
      </w:r>
    </w:p>
    <w:p w14:paraId="2D26147B">
      <w:pPr>
        <w:spacing w:after="120" w:afterAutospacing="0" w:line="300" w:lineRule="auto"/>
        <w:ind w:left="480" w:leftChars="0" w:firstLine="0" w:firstLineChars="0"/>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法定（或授权）代表人（签字或签章）：</w:t>
      </w:r>
    </w:p>
    <w:p w14:paraId="6052FAE8">
      <w:pPr>
        <w:spacing w:after="120" w:afterAutospacing="0" w:line="300" w:lineRule="auto"/>
        <w:ind w:firstLine="960" w:firstLineChars="400"/>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年    月    日</w:t>
      </w:r>
    </w:p>
    <w:p w14:paraId="1E6DF145">
      <w:pPr>
        <w:keepNext w:val="0"/>
        <w:keepLines w:val="0"/>
        <w:widowControl w:val="0"/>
        <w:spacing w:before="120" w:beforeAutospacing="0" w:after="120" w:afterAutospacing="0" w:line="360" w:lineRule="auto"/>
        <w:jc w:val="left"/>
        <w:outlineLvl w:val="9"/>
        <w:rPr>
          <w:rFonts w:hint="eastAsia" w:ascii="Times New Roman" w:hAnsi="Times New Roman" w:eastAsia="宋体" w:cs="Times New Roman"/>
          <w:b/>
          <w:sz w:val="24"/>
          <w:szCs w:val="21"/>
          <w:lang w:val="en-US" w:eastAsia="zh-CN" w:bidi="ar-SA"/>
        </w:rPr>
      </w:pPr>
    </w:p>
    <w:p w14:paraId="29C2624D">
      <w:pPr>
        <w:keepNext/>
        <w:keepLines/>
        <w:pageBreakBefore w:val="0"/>
        <w:widowControl w:val="0"/>
        <w:kinsoku/>
        <w:wordWrap/>
        <w:overflowPunct/>
        <w:topLinePunct w:val="0"/>
        <w:autoSpaceDE/>
        <w:autoSpaceDN/>
        <w:bidi w:val="0"/>
        <w:adjustRightInd/>
        <w:snapToGrid/>
        <w:spacing w:after="120" w:afterAutospacing="0" w:line="300" w:lineRule="auto"/>
        <w:ind w:firstLine="480" w:firstLineChars="200"/>
        <w:jc w:val="both"/>
        <w:textAlignment w:val="auto"/>
        <w:outlineLvl w:val="9"/>
        <w:rPr>
          <w:rFonts w:hint="eastAsia" w:ascii="Times New Roman" w:hAnsi="Times New Roman" w:eastAsia="宋体" w:cs="Times New Roman"/>
          <w:color w:val="auto"/>
          <w:sz w:val="24"/>
          <w:szCs w:val="24"/>
          <w:highlight w:val="none"/>
        </w:rPr>
      </w:pPr>
    </w:p>
    <w:p w14:paraId="0A662DA5">
      <w:pPr>
        <w:rPr>
          <w:rFonts w:hint="eastAsia" w:ascii="宋体" w:hAnsi="宋体" w:eastAsia="宋体" w:cs="宋体"/>
          <w:lang w:val="en-US" w:eastAsia="zh-CN"/>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14:paraId="0C133596">
      <w:pPr>
        <w:keepNext w:val="0"/>
        <w:keepLines w:val="0"/>
        <w:pageBreakBefore w:val="0"/>
        <w:widowControl w:val="0"/>
        <w:kinsoku/>
        <w:wordWrap/>
        <w:overflowPunct/>
        <w:topLinePunct w:val="0"/>
        <w:autoSpaceDE/>
        <w:autoSpaceDN/>
        <w:bidi w:val="0"/>
        <w:adjustRightInd/>
        <w:snapToGrid/>
        <w:spacing w:after="313" w:afterLines="100" w:line="600" w:lineRule="exact"/>
        <w:textAlignment w:val="auto"/>
        <w:rPr>
          <w:rFonts w:hint="eastAsia"/>
          <w:lang w:val="en-US" w:eastAsia="zh-CN"/>
        </w:rPr>
      </w:pPr>
      <w:r>
        <w:rPr>
          <w:rFonts w:hint="eastAsia" w:ascii="黑体" w:hAnsi="黑体" w:eastAsia="黑体" w:cs="黑体"/>
          <w:b w:val="0"/>
          <w:i w:val="0"/>
          <w:strike w:val="0"/>
          <w:color w:val="C00000"/>
          <w:kern w:val="2"/>
          <w:sz w:val="32"/>
          <w:szCs w:val="32"/>
          <w:u w:val="none"/>
          <w:lang w:val="en-US" w:eastAsia="zh-CN" w:bidi="ar-SA"/>
        </w:rPr>
        <w:t>附件：物业保障服务量化考核测评表</w:t>
      </w:r>
    </w:p>
    <w:p w14:paraId="68690935">
      <w:pPr>
        <w:rPr>
          <w:rFonts w:hint="eastAsia" w:ascii="楷体" w:hAnsi="楷体" w:eastAsia="楷体" w:cs="楷体"/>
          <w:b/>
          <w:sz w:val="32"/>
          <w:szCs w:val="32"/>
        </w:rPr>
      </w:pPr>
      <w:r>
        <w:rPr>
          <w:rFonts w:hint="eastAsia" w:ascii="楷体" w:hAnsi="楷体" w:eastAsia="楷体" w:cs="楷体"/>
          <w:b/>
          <w:bCs/>
          <w:sz w:val="32"/>
          <w:szCs w:val="32"/>
          <w:lang w:val="en-US" w:eastAsia="zh-CN"/>
        </w:rPr>
        <w:t>1、保洁绿化质量考核评分细则（50分）</w:t>
      </w:r>
    </w:p>
    <w:tbl>
      <w:tblPr>
        <w:tblStyle w:val="7"/>
        <w:tblW w:w="90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3"/>
        <w:gridCol w:w="3553"/>
        <w:gridCol w:w="743"/>
        <w:gridCol w:w="3487"/>
        <w:gridCol w:w="840"/>
      </w:tblGrid>
      <w:tr w14:paraId="55DD4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463" w:type="dxa"/>
            <w:noWrap w:val="0"/>
            <w:vAlign w:val="center"/>
          </w:tcPr>
          <w:p w14:paraId="6B62CF12">
            <w:pPr>
              <w:widowControl w:val="0"/>
              <w:jc w:val="both"/>
              <w:rPr>
                <w:rFonts w:hint="eastAsia" w:ascii="宋体" w:hAnsi="宋体" w:eastAsia="宋体" w:cs="宋体"/>
                <w:b/>
                <w:bCs/>
                <w:color w:val="000000"/>
              </w:rPr>
            </w:pPr>
            <w:r>
              <w:rPr>
                <w:rFonts w:hint="eastAsia" w:ascii="宋体" w:hAnsi="宋体" w:eastAsia="宋体" w:cs="宋体"/>
                <w:b/>
                <w:bCs/>
                <w:color w:val="000000"/>
              </w:rPr>
              <w:t>序号</w:t>
            </w:r>
          </w:p>
        </w:tc>
        <w:tc>
          <w:tcPr>
            <w:tcW w:w="3553" w:type="dxa"/>
            <w:noWrap w:val="0"/>
            <w:vAlign w:val="center"/>
          </w:tcPr>
          <w:p w14:paraId="3CB177A7">
            <w:pPr>
              <w:widowControl w:val="0"/>
              <w:jc w:val="center"/>
              <w:rPr>
                <w:rFonts w:hint="eastAsia" w:ascii="宋体" w:hAnsi="宋体" w:eastAsia="宋体" w:cs="宋体"/>
                <w:b/>
                <w:bCs/>
                <w:color w:val="000000"/>
              </w:rPr>
            </w:pPr>
            <w:r>
              <w:rPr>
                <w:rFonts w:hint="eastAsia" w:ascii="宋体" w:hAnsi="宋体" w:eastAsia="宋体" w:cs="宋体"/>
                <w:b/>
                <w:bCs/>
                <w:color w:val="000000"/>
              </w:rPr>
              <w:t>考 核 内 容</w:t>
            </w:r>
          </w:p>
        </w:tc>
        <w:tc>
          <w:tcPr>
            <w:tcW w:w="743" w:type="dxa"/>
            <w:noWrap w:val="0"/>
            <w:vAlign w:val="center"/>
          </w:tcPr>
          <w:p w14:paraId="614C438D">
            <w:pPr>
              <w:widowControl w:val="0"/>
              <w:jc w:val="center"/>
              <w:rPr>
                <w:rFonts w:hint="eastAsia" w:ascii="宋体" w:hAnsi="宋体" w:eastAsia="宋体" w:cs="宋体"/>
                <w:b/>
                <w:bCs/>
                <w:color w:val="000000"/>
              </w:rPr>
            </w:pPr>
            <w:r>
              <w:rPr>
                <w:rFonts w:hint="eastAsia" w:ascii="宋体" w:hAnsi="宋体" w:eastAsia="宋体" w:cs="宋体"/>
                <w:b/>
                <w:bCs/>
                <w:color w:val="000000"/>
              </w:rPr>
              <w:t>分值</w:t>
            </w:r>
          </w:p>
        </w:tc>
        <w:tc>
          <w:tcPr>
            <w:tcW w:w="3487" w:type="dxa"/>
            <w:noWrap w:val="0"/>
            <w:vAlign w:val="center"/>
          </w:tcPr>
          <w:p w14:paraId="46C6807D">
            <w:pPr>
              <w:widowControl w:val="0"/>
              <w:jc w:val="center"/>
              <w:rPr>
                <w:rFonts w:hint="eastAsia" w:ascii="宋体" w:hAnsi="宋体" w:eastAsia="宋体" w:cs="宋体"/>
                <w:b/>
                <w:bCs/>
                <w:color w:val="000000"/>
              </w:rPr>
            </w:pPr>
            <w:r>
              <w:rPr>
                <w:rFonts w:hint="eastAsia" w:ascii="宋体" w:hAnsi="宋体" w:eastAsia="宋体" w:cs="宋体"/>
                <w:b/>
                <w:bCs/>
                <w:color w:val="000000"/>
              </w:rPr>
              <w:t>评 分 标 准</w:t>
            </w:r>
          </w:p>
        </w:tc>
        <w:tc>
          <w:tcPr>
            <w:tcW w:w="840" w:type="dxa"/>
            <w:noWrap w:val="0"/>
            <w:vAlign w:val="center"/>
          </w:tcPr>
          <w:p w14:paraId="4AB61FB3">
            <w:pPr>
              <w:widowControl w:val="0"/>
              <w:jc w:val="center"/>
              <w:rPr>
                <w:rFonts w:hint="eastAsia" w:ascii="宋体" w:hAnsi="宋体" w:eastAsia="宋体" w:cs="宋体"/>
                <w:b/>
                <w:bCs/>
                <w:color w:val="000000"/>
              </w:rPr>
            </w:pPr>
            <w:r>
              <w:rPr>
                <w:rFonts w:hint="eastAsia" w:ascii="宋体" w:hAnsi="宋体" w:eastAsia="宋体" w:cs="宋体"/>
                <w:b/>
                <w:bCs/>
                <w:color w:val="000000"/>
              </w:rPr>
              <w:t>得分</w:t>
            </w:r>
          </w:p>
        </w:tc>
      </w:tr>
      <w:tr w14:paraId="08B37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463" w:type="dxa"/>
            <w:vMerge w:val="restart"/>
            <w:noWrap w:val="0"/>
            <w:vAlign w:val="top"/>
          </w:tcPr>
          <w:p w14:paraId="20DCE921">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p>
          <w:p w14:paraId="4C88781F">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p>
          <w:p w14:paraId="69B12B37">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p>
          <w:p w14:paraId="2821EDD4">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p>
          <w:p w14:paraId="1FC569A1">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保洁</w:t>
            </w:r>
          </w:p>
        </w:tc>
        <w:tc>
          <w:tcPr>
            <w:tcW w:w="3553" w:type="dxa"/>
            <w:noWrap w:val="0"/>
            <w:vAlign w:val="center"/>
          </w:tcPr>
          <w:p w14:paraId="220C381A">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员工上班要求统一着装</w:t>
            </w:r>
          </w:p>
        </w:tc>
        <w:tc>
          <w:tcPr>
            <w:tcW w:w="743" w:type="dxa"/>
            <w:noWrap w:val="0"/>
            <w:vAlign w:val="center"/>
          </w:tcPr>
          <w:p w14:paraId="244EEF45">
            <w:pPr>
              <w:keepNext w:val="0"/>
              <w:keepLines w:val="0"/>
              <w:widowControl/>
              <w:suppressLineNumbers w:val="0"/>
              <w:jc w:val="center"/>
              <w:textAlignment w:val="center"/>
              <w:rPr>
                <w:rFonts w:hint="default"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4</w:t>
            </w:r>
          </w:p>
        </w:tc>
        <w:tc>
          <w:tcPr>
            <w:tcW w:w="3487" w:type="dxa"/>
            <w:noWrap w:val="0"/>
            <w:vAlign w:val="center"/>
          </w:tcPr>
          <w:p w14:paraId="753864E6">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未按要求整齐着装，扣除0.5分/起。</w:t>
            </w:r>
          </w:p>
        </w:tc>
        <w:tc>
          <w:tcPr>
            <w:tcW w:w="840" w:type="dxa"/>
            <w:noWrap w:val="0"/>
            <w:vAlign w:val="top"/>
          </w:tcPr>
          <w:p w14:paraId="73179BE1">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p>
        </w:tc>
      </w:tr>
      <w:tr w14:paraId="2AE80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463" w:type="dxa"/>
            <w:vMerge w:val="continue"/>
            <w:noWrap w:val="0"/>
            <w:vAlign w:val="center"/>
          </w:tcPr>
          <w:p w14:paraId="2E3AF57D">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p>
        </w:tc>
        <w:tc>
          <w:tcPr>
            <w:tcW w:w="3553" w:type="dxa"/>
            <w:noWrap w:val="0"/>
            <w:vAlign w:val="center"/>
          </w:tcPr>
          <w:p w14:paraId="3B1890FB">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领导办公室室内及职工办公室外区域清洁保洁</w:t>
            </w:r>
          </w:p>
        </w:tc>
        <w:tc>
          <w:tcPr>
            <w:tcW w:w="743" w:type="dxa"/>
            <w:noWrap w:val="0"/>
            <w:vAlign w:val="center"/>
          </w:tcPr>
          <w:p w14:paraId="34654BE4">
            <w:pPr>
              <w:keepNext w:val="0"/>
              <w:keepLines w:val="0"/>
              <w:widowControl/>
              <w:suppressLineNumbers w:val="0"/>
              <w:jc w:val="center"/>
              <w:textAlignment w:val="center"/>
              <w:rPr>
                <w:rFonts w:hint="default"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5</w:t>
            </w:r>
          </w:p>
        </w:tc>
        <w:tc>
          <w:tcPr>
            <w:tcW w:w="3487" w:type="dxa"/>
            <w:noWrap w:val="0"/>
            <w:vAlign w:val="center"/>
          </w:tcPr>
          <w:p w14:paraId="568CCBB2">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基本达到要求2分，不符合0.5分，如卫生脏乱严重的，扣1分</w:t>
            </w:r>
          </w:p>
        </w:tc>
        <w:tc>
          <w:tcPr>
            <w:tcW w:w="840" w:type="dxa"/>
            <w:noWrap w:val="0"/>
            <w:vAlign w:val="top"/>
          </w:tcPr>
          <w:p w14:paraId="163227BA">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p>
        </w:tc>
      </w:tr>
      <w:tr w14:paraId="18087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463" w:type="dxa"/>
            <w:vMerge w:val="continue"/>
            <w:noWrap w:val="0"/>
            <w:vAlign w:val="top"/>
          </w:tcPr>
          <w:p w14:paraId="2A2A6125">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p>
        </w:tc>
        <w:tc>
          <w:tcPr>
            <w:tcW w:w="3553" w:type="dxa"/>
            <w:noWrap w:val="0"/>
            <w:vAlign w:val="center"/>
          </w:tcPr>
          <w:p w14:paraId="669BBC93">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办公楼公共部位（走廊、楼道、大厅等）的日常清洁保洁</w:t>
            </w:r>
          </w:p>
        </w:tc>
        <w:tc>
          <w:tcPr>
            <w:tcW w:w="743" w:type="dxa"/>
            <w:noWrap w:val="0"/>
            <w:vAlign w:val="center"/>
          </w:tcPr>
          <w:p w14:paraId="05BD3E23">
            <w:pPr>
              <w:keepNext w:val="0"/>
              <w:keepLines w:val="0"/>
              <w:widowControl/>
              <w:suppressLineNumbers w:val="0"/>
              <w:jc w:val="center"/>
              <w:textAlignment w:val="center"/>
              <w:rPr>
                <w:rFonts w:hint="default"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5</w:t>
            </w:r>
          </w:p>
        </w:tc>
        <w:tc>
          <w:tcPr>
            <w:tcW w:w="3487" w:type="dxa"/>
            <w:noWrap w:val="0"/>
            <w:vAlign w:val="center"/>
          </w:tcPr>
          <w:p w14:paraId="27369063">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基本达到要求2分，不符合0.2分，如卫生脏乱严重的，扣1分</w:t>
            </w:r>
          </w:p>
        </w:tc>
        <w:tc>
          <w:tcPr>
            <w:tcW w:w="840" w:type="dxa"/>
            <w:noWrap w:val="0"/>
            <w:vAlign w:val="top"/>
          </w:tcPr>
          <w:p w14:paraId="7EDB3B7A">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p>
        </w:tc>
      </w:tr>
      <w:tr w14:paraId="3E482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463" w:type="dxa"/>
            <w:vMerge w:val="continue"/>
            <w:noWrap w:val="0"/>
            <w:vAlign w:val="top"/>
          </w:tcPr>
          <w:p w14:paraId="2B4375A3">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p>
        </w:tc>
        <w:tc>
          <w:tcPr>
            <w:tcW w:w="3553" w:type="dxa"/>
            <w:noWrap w:val="0"/>
            <w:vAlign w:val="center"/>
          </w:tcPr>
          <w:p w14:paraId="7D8F0620">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办公区内道路、停车场、运动场、楼层等外场区域保持日常清洁。基本达到无果皮、无纸屑、无积水、无生活垃圾；无卫生死角；</w:t>
            </w:r>
          </w:p>
        </w:tc>
        <w:tc>
          <w:tcPr>
            <w:tcW w:w="743" w:type="dxa"/>
            <w:noWrap w:val="0"/>
            <w:vAlign w:val="center"/>
          </w:tcPr>
          <w:p w14:paraId="08C6E69F">
            <w:pPr>
              <w:keepNext w:val="0"/>
              <w:keepLines w:val="0"/>
              <w:widowControl/>
              <w:suppressLineNumbers w:val="0"/>
              <w:jc w:val="center"/>
              <w:textAlignment w:val="center"/>
              <w:rPr>
                <w:rFonts w:hint="default"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5</w:t>
            </w:r>
          </w:p>
        </w:tc>
        <w:tc>
          <w:tcPr>
            <w:tcW w:w="3487" w:type="dxa"/>
            <w:noWrap w:val="0"/>
            <w:vAlign w:val="center"/>
          </w:tcPr>
          <w:p w14:paraId="796EDD7F">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基本达到要求3分，不符合0.5分，如卫生脏乱严重的，扣1分</w:t>
            </w:r>
          </w:p>
        </w:tc>
        <w:tc>
          <w:tcPr>
            <w:tcW w:w="840" w:type="dxa"/>
            <w:noWrap w:val="0"/>
            <w:vAlign w:val="top"/>
          </w:tcPr>
          <w:p w14:paraId="1DAAFDE8">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p>
        </w:tc>
      </w:tr>
      <w:tr w14:paraId="27A41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463" w:type="dxa"/>
            <w:vMerge w:val="continue"/>
            <w:noWrap w:val="0"/>
            <w:vAlign w:val="center"/>
          </w:tcPr>
          <w:p w14:paraId="63966CE2">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p>
        </w:tc>
        <w:tc>
          <w:tcPr>
            <w:tcW w:w="3553" w:type="dxa"/>
            <w:noWrap w:val="0"/>
            <w:vAlign w:val="center"/>
          </w:tcPr>
          <w:p w14:paraId="089C4D9A">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绿化带中做到无白色垃圾和纸瓶，要进行不定期清理</w:t>
            </w:r>
          </w:p>
        </w:tc>
        <w:tc>
          <w:tcPr>
            <w:tcW w:w="743" w:type="dxa"/>
            <w:noWrap w:val="0"/>
            <w:vAlign w:val="center"/>
          </w:tcPr>
          <w:p w14:paraId="45ACAE60">
            <w:pPr>
              <w:keepNext w:val="0"/>
              <w:keepLines w:val="0"/>
              <w:widowControl/>
              <w:suppressLineNumbers w:val="0"/>
              <w:jc w:val="center"/>
              <w:textAlignment w:val="center"/>
              <w:rPr>
                <w:rFonts w:hint="default"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5</w:t>
            </w:r>
          </w:p>
        </w:tc>
        <w:tc>
          <w:tcPr>
            <w:tcW w:w="3487" w:type="dxa"/>
            <w:noWrap w:val="0"/>
            <w:vAlign w:val="center"/>
          </w:tcPr>
          <w:p w14:paraId="77D0CCB8">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支队有重大活动时，若绿化带中有白色垃圾以及纸盒现象的，扣0.5分/起；</w:t>
            </w:r>
          </w:p>
        </w:tc>
        <w:tc>
          <w:tcPr>
            <w:tcW w:w="840" w:type="dxa"/>
            <w:noWrap w:val="0"/>
            <w:vAlign w:val="top"/>
          </w:tcPr>
          <w:p w14:paraId="5081E60E">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p>
        </w:tc>
      </w:tr>
      <w:tr w14:paraId="3A680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463" w:type="dxa"/>
            <w:vMerge w:val="continue"/>
            <w:noWrap w:val="0"/>
            <w:vAlign w:val="center"/>
          </w:tcPr>
          <w:p w14:paraId="2ABD802C">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p>
        </w:tc>
        <w:tc>
          <w:tcPr>
            <w:tcW w:w="3553" w:type="dxa"/>
            <w:noWrap w:val="0"/>
            <w:vAlign w:val="center"/>
          </w:tcPr>
          <w:p w14:paraId="2387AE11">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电梯轿厢、楼梯扶栏、天台、楼道、走廊、消防箱等通道保持洁净</w:t>
            </w:r>
          </w:p>
        </w:tc>
        <w:tc>
          <w:tcPr>
            <w:tcW w:w="743" w:type="dxa"/>
            <w:noWrap w:val="0"/>
            <w:vAlign w:val="center"/>
          </w:tcPr>
          <w:p w14:paraId="59761BA4">
            <w:pPr>
              <w:keepNext w:val="0"/>
              <w:keepLines w:val="0"/>
              <w:widowControl/>
              <w:suppressLineNumbers w:val="0"/>
              <w:jc w:val="center"/>
              <w:textAlignment w:val="center"/>
              <w:rPr>
                <w:rFonts w:hint="default"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4</w:t>
            </w:r>
          </w:p>
        </w:tc>
        <w:tc>
          <w:tcPr>
            <w:tcW w:w="3487" w:type="dxa"/>
            <w:noWrap w:val="0"/>
            <w:vAlign w:val="center"/>
          </w:tcPr>
          <w:p w14:paraId="7D587F3C">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电梯里有垃圾、轿厢有乱贴乱画而不及时处理的；2.楼梯扶栏不按时保养出现生锈、楼道、天台有垃圾现象的；均扣0.5分/起；</w:t>
            </w:r>
          </w:p>
        </w:tc>
        <w:tc>
          <w:tcPr>
            <w:tcW w:w="840" w:type="dxa"/>
            <w:noWrap w:val="0"/>
            <w:vAlign w:val="top"/>
          </w:tcPr>
          <w:p w14:paraId="4630235C">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p>
        </w:tc>
      </w:tr>
      <w:tr w14:paraId="36931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463" w:type="dxa"/>
            <w:vMerge w:val="continue"/>
            <w:noWrap w:val="0"/>
            <w:vAlign w:val="center"/>
          </w:tcPr>
          <w:p w14:paraId="18086D1F">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p>
        </w:tc>
        <w:tc>
          <w:tcPr>
            <w:tcW w:w="3553" w:type="dxa"/>
            <w:noWrap w:val="0"/>
            <w:vAlign w:val="center"/>
          </w:tcPr>
          <w:p w14:paraId="38BAB960">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卫生间地面干净整洁，无积水，无污垢；上下水通畅；便坑无臭味；小便槽（斗）无尿碱；垃圾箱（便纸篓）做到一日两清；卫生工具摆放整齐。公共门窗、玻璃保持洁净。墙壁无乱写乱画乱张贴。</w:t>
            </w:r>
          </w:p>
        </w:tc>
        <w:tc>
          <w:tcPr>
            <w:tcW w:w="743" w:type="dxa"/>
            <w:noWrap w:val="0"/>
            <w:vAlign w:val="center"/>
          </w:tcPr>
          <w:p w14:paraId="5164513D">
            <w:pPr>
              <w:keepNext w:val="0"/>
              <w:keepLines w:val="0"/>
              <w:widowControl/>
              <w:suppressLineNumbers w:val="0"/>
              <w:jc w:val="center"/>
              <w:textAlignment w:val="center"/>
              <w:rPr>
                <w:rFonts w:hint="default"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5</w:t>
            </w:r>
          </w:p>
        </w:tc>
        <w:tc>
          <w:tcPr>
            <w:tcW w:w="3487" w:type="dxa"/>
            <w:noWrap w:val="0"/>
            <w:vAlign w:val="center"/>
          </w:tcPr>
          <w:p w14:paraId="6CE5E653">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卫生洁具存放要整齐有序，有乱丢乱放现象的；厕所出现堵塞（施工或人为原因造成）和有严重臭味现象的；地板不干净、有积水、有垃圾、有烟头现象较为严重的； 墙壁有乱写乱画乱张贴现象的；扣0.5分/起；</w:t>
            </w:r>
          </w:p>
        </w:tc>
        <w:tc>
          <w:tcPr>
            <w:tcW w:w="840" w:type="dxa"/>
            <w:noWrap w:val="0"/>
            <w:vAlign w:val="top"/>
          </w:tcPr>
          <w:p w14:paraId="0F5495AA">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p>
        </w:tc>
      </w:tr>
      <w:tr w14:paraId="1CFE9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463" w:type="dxa"/>
            <w:vMerge w:val="continue"/>
            <w:noWrap w:val="0"/>
            <w:vAlign w:val="center"/>
          </w:tcPr>
          <w:p w14:paraId="6A2F0039">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p>
        </w:tc>
        <w:tc>
          <w:tcPr>
            <w:tcW w:w="3553" w:type="dxa"/>
            <w:noWrap w:val="0"/>
            <w:vAlign w:val="center"/>
          </w:tcPr>
          <w:p w14:paraId="2367768F">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垃圾场池外周围整洁，垃圾桶摆放整齐； 垃圾收集点的垃圾做到日产日清，无积存；垃圾箱箱体外观清洁。</w:t>
            </w:r>
          </w:p>
        </w:tc>
        <w:tc>
          <w:tcPr>
            <w:tcW w:w="743" w:type="dxa"/>
            <w:noWrap w:val="0"/>
            <w:vAlign w:val="center"/>
          </w:tcPr>
          <w:p w14:paraId="73E2ACF6">
            <w:pPr>
              <w:keepNext w:val="0"/>
              <w:keepLines w:val="0"/>
              <w:widowControl/>
              <w:suppressLineNumbers w:val="0"/>
              <w:jc w:val="center"/>
              <w:textAlignment w:val="center"/>
              <w:rPr>
                <w:rFonts w:hint="default"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5</w:t>
            </w:r>
          </w:p>
        </w:tc>
        <w:tc>
          <w:tcPr>
            <w:tcW w:w="3487" w:type="dxa"/>
            <w:noWrap w:val="0"/>
            <w:vAlign w:val="center"/>
          </w:tcPr>
          <w:p w14:paraId="040CFD45">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基本符合2分；垃圾池外堆有垃圾现象的，扣0.5分， 如卫生脏乱严重的，扣1分</w:t>
            </w:r>
          </w:p>
        </w:tc>
        <w:tc>
          <w:tcPr>
            <w:tcW w:w="840" w:type="dxa"/>
            <w:noWrap w:val="0"/>
            <w:vAlign w:val="top"/>
          </w:tcPr>
          <w:p w14:paraId="63540F82">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p>
        </w:tc>
      </w:tr>
      <w:tr w14:paraId="699C3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463" w:type="dxa"/>
            <w:vMerge w:val="restart"/>
            <w:noWrap w:val="0"/>
            <w:vAlign w:val="center"/>
          </w:tcPr>
          <w:p w14:paraId="02CB43CD">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绿化</w:t>
            </w:r>
          </w:p>
        </w:tc>
        <w:tc>
          <w:tcPr>
            <w:tcW w:w="3553" w:type="dxa"/>
            <w:noWrap w:val="0"/>
            <w:vAlign w:val="center"/>
          </w:tcPr>
          <w:p w14:paraId="5965BDF5">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树木长势保持良好，修剪及时。</w:t>
            </w:r>
          </w:p>
        </w:tc>
        <w:tc>
          <w:tcPr>
            <w:tcW w:w="743" w:type="dxa"/>
            <w:noWrap w:val="0"/>
            <w:vAlign w:val="center"/>
          </w:tcPr>
          <w:p w14:paraId="78A598A8">
            <w:pPr>
              <w:keepNext w:val="0"/>
              <w:keepLines w:val="0"/>
              <w:widowControl/>
              <w:suppressLineNumbers w:val="0"/>
              <w:jc w:val="center"/>
              <w:textAlignment w:val="center"/>
              <w:rPr>
                <w:rFonts w:hint="default"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5</w:t>
            </w:r>
          </w:p>
        </w:tc>
        <w:tc>
          <w:tcPr>
            <w:tcW w:w="3487" w:type="dxa"/>
            <w:noWrap w:val="0"/>
            <w:vAlign w:val="center"/>
          </w:tcPr>
          <w:p w14:paraId="5FC993C8">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基本符合2分；未及时修剪扣0.5分</w:t>
            </w:r>
          </w:p>
        </w:tc>
        <w:tc>
          <w:tcPr>
            <w:tcW w:w="840" w:type="dxa"/>
            <w:noWrap w:val="0"/>
            <w:vAlign w:val="top"/>
          </w:tcPr>
          <w:p w14:paraId="330B1008">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p>
        </w:tc>
      </w:tr>
      <w:tr w14:paraId="25C23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463" w:type="dxa"/>
            <w:vMerge w:val="continue"/>
            <w:noWrap w:val="0"/>
            <w:vAlign w:val="center"/>
          </w:tcPr>
          <w:p w14:paraId="27C93CD6">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p>
        </w:tc>
        <w:tc>
          <w:tcPr>
            <w:tcW w:w="3553" w:type="dxa"/>
            <w:noWrap w:val="0"/>
            <w:vAlign w:val="center"/>
          </w:tcPr>
          <w:p w14:paraId="319B5ED2">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绿化基本无病虫危害症状。</w:t>
            </w:r>
          </w:p>
        </w:tc>
        <w:tc>
          <w:tcPr>
            <w:tcW w:w="743" w:type="dxa"/>
            <w:noWrap w:val="0"/>
            <w:vAlign w:val="center"/>
          </w:tcPr>
          <w:p w14:paraId="6C8D72D7">
            <w:pPr>
              <w:keepNext w:val="0"/>
              <w:keepLines w:val="0"/>
              <w:widowControl/>
              <w:suppressLineNumbers w:val="0"/>
              <w:jc w:val="center"/>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3</w:t>
            </w:r>
          </w:p>
        </w:tc>
        <w:tc>
          <w:tcPr>
            <w:tcW w:w="3487" w:type="dxa"/>
            <w:noWrap w:val="0"/>
            <w:vAlign w:val="center"/>
          </w:tcPr>
          <w:p w14:paraId="7114FA35">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基本符合2分；未及时处理造成树木枯死扣0.5分</w:t>
            </w:r>
          </w:p>
        </w:tc>
        <w:tc>
          <w:tcPr>
            <w:tcW w:w="840" w:type="dxa"/>
            <w:noWrap w:val="0"/>
            <w:vAlign w:val="top"/>
          </w:tcPr>
          <w:p w14:paraId="003BDF61">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p>
        </w:tc>
      </w:tr>
      <w:tr w14:paraId="03EDF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463" w:type="dxa"/>
            <w:vMerge w:val="continue"/>
            <w:noWrap w:val="0"/>
            <w:vAlign w:val="center"/>
          </w:tcPr>
          <w:p w14:paraId="4E9791D9">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p>
        </w:tc>
        <w:tc>
          <w:tcPr>
            <w:tcW w:w="3553" w:type="dxa"/>
            <w:noWrap w:val="0"/>
            <w:vAlign w:val="center"/>
          </w:tcPr>
          <w:p w14:paraId="2ECA8A0E">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草坪生长旺盛，保持青绿、平整，无杂草。</w:t>
            </w:r>
          </w:p>
        </w:tc>
        <w:tc>
          <w:tcPr>
            <w:tcW w:w="743" w:type="dxa"/>
            <w:noWrap w:val="0"/>
            <w:vAlign w:val="center"/>
          </w:tcPr>
          <w:p w14:paraId="2C544041">
            <w:pPr>
              <w:keepNext w:val="0"/>
              <w:keepLines w:val="0"/>
              <w:widowControl/>
              <w:suppressLineNumbers w:val="0"/>
              <w:jc w:val="center"/>
              <w:textAlignment w:val="center"/>
              <w:rPr>
                <w:rFonts w:hint="default"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4</w:t>
            </w:r>
          </w:p>
        </w:tc>
        <w:tc>
          <w:tcPr>
            <w:tcW w:w="3487" w:type="dxa"/>
            <w:noWrap w:val="0"/>
            <w:vAlign w:val="center"/>
          </w:tcPr>
          <w:p w14:paraId="799D0FE1">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基本符合2分；未及时平整草坪扣0.5分</w:t>
            </w:r>
          </w:p>
        </w:tc>
        <w:tc>
          <w:tcPr>
            <w:tcW w:w="840" w:type="dxa"/>
            <w:noWrap w:val="0"/>
            <w:vAlign w:val="top"/>
          </w:tcPr>
          <w:p w14:paraId="75355FF4">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p>
        </w:tc>
      </w:tr>
    </w:tbl>
    <w:p w14:paraId="6AFAA8F5">
      <w:pPr>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2、水电维修养护质量考核评分细则（20分）</w:t>
      </w:r>
    </w:p>
    <w:tbl>
      <w:tblPr>
        <w:tblStyle w:val="7"/>
        <w:tblW w:w="9105" w:type="dxa"/>
        <w:tblInd w:w="-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
        <w:gridCol w:w="3558"/>
        <w:gridCol w:w="737"/>
        <w:gridCol w:w="3475"/>
        <w:gridCol w:w="855"/>
      </w:tblGrid>
      <w:tr w14:paraId="62D97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480" w:type="dxa"/>
            <w:noWrap w:val="0"/>
            <w:vAlign w:val="center"/>
          </w:tcPr>
          <w:p w14:paraId="5537656A">
            <w:pPr>
              <w:widowControl w:val="0"/>
              <w:jc w:val="both"/>
              <w:rPr>
                <w:rFonts w:hint="eastAsia"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序号</w:t>
            </w:r>
          </w:p>
        </w:tc>
        <w:tc>
          <w:tcPr>
            <w:tcW w:w="3558" w:type="dxa"/>
            <w:noWrap w:val="0"/>
            <w:vAlign w:val="center"/>
          </w:tcPr>
          <w:p w14:paraId="6DC3598D">
            <w:pPr>
              <w:widowControl w:val="0"/>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考 核 内 容</w:t>
            </w:r>
          </w:p>
        </w:tc>
        <w:tc>
          <w:tcPr>
            <w:tcW w:w="737" w:type="dxa"/>
            <w:noWrap w:val="0"/>
            <w:vAlign w:val="center"/>
          </w:tcPr>
          <w:p w14:paraId="7787E69D">
            <w:pPr>
              <w:widowControl w:val="0"/>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分值</w:t>
            </w:r>
          </w:p>
        </w:tc>
        <w:tc>
          <w:tcPr>
            <w:tcW w:w="3475" w:type="dxa"/>
            <w:noWrap w:val="0"/>
            <w:vAlign w:val="center"/>
          </w:tcPr>
          <w:p w14:paraId="105968D1">
            <w:pPr>
              <w:widowControl w:val="0"/>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评分标准</w:t>
            </w:r>
          </w:p>
        </w:tc>
        <w:tc>
          <w:tcPr>
            <w:tcW w:w="855" w:type="dxa"/>
            <w:noWrap w:val="0"/>
            <w:vAlign w:val="center"/>
          </w:tcPr>
          <w:p w14:paraId="6685E191">
            <w:pPr>
              <w:widowControl w:val="0"/>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得分</w:t>
            </w:r>
          </w:p>
        </w:tc>
      </w:tr>
      <w:tr w14:paraId="3F87E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480" w:type="dxa"/>
            <w:vMerge w:val="restart"/>
            <w:noWrap w:val="0"/>
            <w:vAlign w:val="top"/>
          </w:tcPr>
          <w:p w14:paraId="5BD38C9C">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p>
          <w:p w14:paraId="3A0A4E08">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zh-CN" w:eastAsia="zh-CN" w:bidi="ar"/>
              </w:rPr>
            </w:pPr>
          </w:p>
          <w:p w14:paraId="7D03071F">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zh-CN" w:eastAsia="zh-CN" w:bidi="ar"/>
              </w:rPr>
            </w:pPr>
          </w:p>
          <w:p w14:paraId="34401A7A">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zh-CN" w:eastAsia="zh-CN" w:bidi="ar"/>
              </w:rPr>
            </w:pPr>
          </w:p>
          <w:p w14:paraId="2206A8FA">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zh-CN" w:eastAsia="zh-CN" w:bidi="ar"/>
              </w:rPr>
            </w:pPr>
          </w:p>
          <w:p w14:paraId="4F14F931">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zh-CN" w:eastAsia="zh-CN" w:bidi="ar"/>
              </w:rPr>
            </w:pPr>
          </w:p>
          <w:p w14:paraId="5957DA8E">
            <w:pPr>
              <w:keepNext w:val="0"/>
              <w:keepLines w:val="0"/>
              <w:widowControl/>
              <w:suppressLineNumbers w:val="0"/>
              <w:jc w:val="both"/>
              <w:textAlignment w:val="center"/>
              <w:rPr>
                <w:rFonts w:hint="default"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办公区、办公楼</w:t>
            </w:r>
          </w:p>
        </w:tc>
        <w:tc>
          <w:tcPr>
            <w:tcW w:w="3558" w:type="dxa"/>
            <w:noWrap w:val="0"/>
            <w:vAlign w:val="center"/>
          </w:tcPr>
          <w:p w14:paraId="3A706969">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水电员工上班要求统一着装</w:t>
            </w:r>
          </w:p>
        </w:tc>
        <w:tc>
          <w:tcPr>
            <w:tcW w:w="737" w:type="dxa"/>
            <w:noWrap w:val="0"/>
            <w:vAlign w:val="center"/>
          </w:tcPr>
          <w:p w14:paraId="686D37DB">
            <w:pPr>
              <w:keepNext w:val="0"/>
              <w:keepLines w:val="0"/>
              <w:widowControl/>
              <w:suppressLineNumbers w:val="0"/>
              <w:jc w:val="center"/>
              <w:textAlignment w:val="center"/>
              <w:rPr>
                <w:rFonts w:hint="default"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3</w:t>
            </w:r>
          </w:p>
        </w:tc>
        <w:tc>
          <w:tcPr>
            <w:tcW w:w="3475" w:type="dxa"/>
            <w:noWrap w:val="0"/>
            <w:vAlign w:val="center"/>
          </w:tcPr>
          <w:p w14:paraId="2AA5DE27">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满意3分，未按要求整齐着装，扣0.5分/起。</w:t>
            </w:r>
          </w:p>
        </w:tc>
        <w:tc>
          <w:tcPr>
            <w:tcW w:w="855" w:type="dxa"/>
            <w:noWrap w:val="0"/>
            <w:vAlign w:val="top"/>
          </w:tcPr>
          <w:p w14:paraId="172E4E85">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p>
        </w:tc>
      </w:tr>
      <w:tr w14:paraId="1278A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480" w:type="dxa"/>
            <w:vMerge w:val="continue"/>
            <w:noWrap w:val="0"/>
            <w:vAlign w:val="center"/>
          </w:tcPr>
          <w:p w14:paraId="2F74C44F">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p>
        </w:tc>
        <w:tc>
          <w:tcPr>
            <w:tcW w:w="3558" w:type="dxa"/>
            <w:noWrap w:val="0"/>
            <w:vAlign w:val="center"/>
          </w:tcPr>
          <w:p w14:paraId="41AC7EEA">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照明系统正常，室内外，开关、插座正常。</w:t>
            </w:r>
          </w:p>
        </w:tc>
        <w:tc>
          <w:tcPr>
            <w:tcW w:w="737" w:type="dxa"/>
            <w:noWrap w:val="0"/>
            <w:vAlign w:val="center"/>
          </w:tcPr>
          <w:p w14:paraId="6AC41AED">
            <w:pPr>
              <w:keepNext w:val="0"/>
              <w:keepLines w:val="0"/>
              <w:widowControl/>
              <w:suppressLineNumbers w:val="0"/>
              <w:jc w:val="center"/>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3</w:t>
            </w:r>
          </w:p>
        </w:tc>
        <w:tc>
          <w:tcPr>
            <w:tcW w:w="3475" w:type="dxa"/>
            <w:noWrap w:val="0"/>
            <w:vAlign w:val="center"/>
          </w:tcPr>
          <w:p w14:paraId="6A0F1BDA">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满意3分；走廊灯、楼道灯、厕所灯有5个以上不正常；开关有5处以上不正常的；扣0.5分/起；</w:t>
            </w:r>
          </w:p>
        </w:tc>
        <w:tc>
          <w:tcPr>
            <w:tcW w:w="855" w:type="dxa"/>
            <w:noWrap w:val="0"/>
            <w:vAlign w:val="top"/>
          </w:tcPr>
          <w:p w14:paraId="4BEC7DD2">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p>
        </w:tc>
      </w:tr>
      <w:tr w14:paraId="3A5A6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480" w:type="dxa"/>
            <w:vMerge w:val="continue"/>
            <w:noWrap w:val="0"/>
            <w:vAlign w:val="top"/>
          </w:tcPr>
          <w:p w14:paraId="1A02157C">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p>
        </w:tc>
        <w:tc>
          <w:tcPr>
            <w:tcW w:w="3558" w:type="dxa"/>
            <w:noWrap w:val="0"/>
            <w:vAlign w:val="center"/>
          </w:tcPr>
          <w:p w14:paraId="42A6483A">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 xml:space="preserve"> 各配电箱、空开关标识清楚</w:t>
            </w:r>
          </w:p>
        </w:tc>
        <w:tc>
          <w:tcPr>
            <w:tcW w:w="737" w:type="dxa"/>
            <w:noWrap w:val="0"/>
            <w:vAlign w:val="center"/>
          </w:tcPr>
          <w:p w14:paraId="632D726F">
            <w:pPr>
              <w:keepNext w:val="0"/>
              <w:keepLines w:val="0"/>
              <w:widowControl/>
              <w:suppressLineNumbers w:val="0"/>
              <w:jc w:val="center"/>
              <w:textAlignment w:val="center"/>
              <w:rPr>
                <w:rFonts w:hint="default"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4</w:t>
            </w:r>
          </w:p>
        </w:tc>
        <w:tc>
          <w:tcPr>
            <w:tcW w:w="3475" w:type="dxa"/>
            <w:noWrap w:val="0"/>
            <w:vAlign w:val="center"/>
          </w:tcPr>
          <w:p w14:paraId="7F2EB734">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满意4分；</w:t>
            </w:r>
          </w:p>
        </w:tc>
        <w:tc>
          <w:tcPr>
            <w:tcW w:w="855" w:type="dxa"/>
            <w:noWrap w:val="0"/>
            <w:vAlign w:val="top"/>
          </w:tcPr>
          <w:p w14:paraId="50E47000">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p>
        </w:tc>
      </w:tr>
      <w:tr w14:paraId="0FF18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480" w:type="dxa"/>
            <w:vMerge w:val="continue"/>
            <w:noWrap w:val="0"/>
            <w:vAlign w:val="top"/>
          </w:tcPr>
          <w:p w14:paraId="6A6CA0E1">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p>
        </w:tc>
        <w:tc>
          <w:tcPr>
            <w:tcW w:w="3558" w:type="dxa"/>
            <w:noWrap w:val="0"/>
            <w:vAlign w:val="center"/>
          </w:tcPr>
          <w:p w14:paraId="0D111009">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 xml:space="preserve"> 各楼层的廊灯、楼道灯、厕所灯夜明白熄，杜绝长明灯；</w:t>
            </w:r>
          </w:p>
        </w:tc>
        <w:tc>
          <w:tcPr>
            <w:tcW w:w="737" w:type="dxa"/>
            <w:noWrap w:val="0"/>
            <w:vAlign w:val="center"/>
          </w:tcPr>
          <w:p w14:paraId="76B16FB4">
            <w:pPr>
              <w:keepNext w:val="0"/>
              <w:keepLines w:val="0"/>
              <w:widowControl/>
              <w:suppressLineNumbers w:val="0"/>
              <w:jc w:val="center"/>
              <w:textAlignment w:val="center"/>
              <w:rPr>
                <w:rFonts w:hint="default"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3</w:t>
            </w:r>
          </w:p>
        </w:tc>
        <w:tc>
          <w:tcPr>
            <w:tcW w:w="3475" w:type="dxa"/>
            <w:noWrap w:val="0"/>
            <w:vAlign w:val="center"/>
          </w:tcPr>
          <w:p w14:paraId="64C4E780">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满意3分；白天出现楼道、走廊灯有3处以上的长明灯现象，扣0.5分/起；</w:t>
            </w:r>
          </w:p>
        </w:tc>
        <w:tc>
          <w:tcPr>
            <w:tcW w:w="855" w:type="dxa"/>
            <w:noWrap w:val="0"/>
            <w:vAlign w:val="top"/>
          </w:tcPr>
          <w:p w14:paraId="74ECAE9B">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p>
        </w:tc>
      </w:tr>
      <w:tr w14:paraId="57497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480" w:type="dxa"/>
            <w:vMerge w:val="continue"/>
            <w:noWrap w:val="0"/>
            <w:vAlign w:val="top"/>
          </w:tcPr>
          <w:p w14:paraId="172249D2">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p>
        </w:tc>
        <w:tc>
          <w:tcPr>
            <w:tcW w:w="3558" w:type="dxa"/>
            <w:noWrap w:val="0"/>
            <w:vAlign w:val="center"/>
          </w:tcPr>
          <w:p w14:paraId="58B10E57">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厕所水电设施正常使用，上下水道必须无堵塞，各类冲水阀门无损坏，开合自如。</w:t>
            </w:r>
          </w:p>
        </w:tc>
        <w:tc>
          <w:tcPr>
            <w:tcW w:w="737" w:type="dxa"/>
            <w:noWrap w:val="0"/>
            <w:vAlign w:val="center"/>
          </w:tcPr>
          <w:p w14:paraId="42D4970E">
            <w:pPr>
              <w:keepNext w:val="0"/>
              <w:keepLines w:val="0"/>
              <w:widowControl/>
              <w:suppressLineNumbers w:val="0"/>
              <w:jc w:val="center"/>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3</w:t>
            </w:r>
          </w:p>
        </w:tc>
        <w:tc>
          <w:tcPr>
            <w:tcW w:w="3475" w:type="dxa"/>
            <w:noWrap w:val="0"/>
            <w:vAlign w:val="center"/>
          </w:tcPr>
          <w:p w14:paraId="47E2181C">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满意3分；出现厕所堵塞、阀门损坏5个以上，扣0.5分/起；</w:t>
            </w:r>
          </w:p>
        </w:tc>
        <w:tc>
          <w:tcPr>
            <w:tcW w:w="855" w:type="dxa"/>
            <w:noWrap w:val="0"/>
            <w:vAlign w:val="top"/>
          </w:tcPr>
          <w:p w14:paraId="2BCA8396">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p>
        </w:tc>
      </w:tr>
      <w:tr w14:paraId="3B7A2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480" w:type="dxa"/>
            <w:vMerge w:val="continue"/>
            <w:noWrap w:val="0"/>
            <w:vAlign w:val="center"/>
          </w:tcPr>
          <w:p w14:paraId="72CF7349">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p>
        </w:tc>
        <w:tc>
          <w:tcPr>
            <w:tcW w:w="3558" w:type="dxa"/>
            <w:noWrap w:val="0"/>
            <w:vAlign w:val="center"/>
          </w:tcPr>
          <w:p w14:paraId="758FE985">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各项维修必须及时，如有报修，必须12小时内完成，当日报修，当日清；各项报修单、维修单必须保存完好；</w:t>
            </w:r>
          </w:p>
        </w:tc>
        <w:tc>
          <w:tcPr>
            <w:tcW w:w="737" w:type="dxa"/>
            <w:noWrap w:val="0"/>
            <w:vAlign w:val="center"/>
          </w:tcPr>
          <w:p w14:paraId="01D10C25">
            <w:pPr>
              <w:keepNext w:val="0"/>
              <w:keepLines w:val="0"/>
              <w:widowControl/>
              <w:suppressLineNumbers w:val="0"/>
              <w:jc w:val="center"/>
              <w:textAlignment w:val="center"/>
              <w:rPr>
                <w:rFonts w:hint="default"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4</w:t>
            </w:r>
          </w:p>
        </w:tc>
        <w:tc>
          <w:tcPr>
            <w:tcW w:w="3475" w:type="dxa"/>
            <w:noWrap w:val="0"/>
            <w:vAlign w:val="center"/>
          </w:tcPr>
          <w:p w14:paraId="3057C508">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 xml:space="preserve">满意4分。有报修单（物业能完成的）当日不落实，经核实，扣0.5分/起  </w:t>
            </w:r>
          </w:p>
        </w:tc>
        <w:tc>
          <w:tcPr>
            <w:tcW w:w="855" w:type="dxa"/>
            <w:noWrap w:val="0"/>
            <w:vAlign w:val="top"/>
          </w:tcPr>
          <w:p w14:paraId="754FFFA0">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p>
        </w:tc>
      </w:tr>
    </w:tbl>
    <w:p w14:paraId="502D4659">
      <w:pPr>
        <w:rPr>
          <w:rFonts w:hint="eastAsia"/>
        </w:rPr>
      </w:pPr>
      <w:r>
        <w:rPr>
          <w:rFonts w:hint="eastAsia" w:ascii="楷体" w:hAnsi="楷体" w:eastAsia="楷体" w:cs="楷体"/>
          <w:b/>
          <w:bCs/>
          <w:sz w:val="32"/>
          <w:szCs w:val="32"/>
          <w:lang w:val="en-US" w:eastAsia="zh-CN"/>
        </w:rPr>
        <w:t>3、公共秩序维护服务质量考核评分细则（30分）</w:t>
      </w:r>
    </w:p>
    <w:tbl>
      <w:tblPr>
        <w:tblStyle w:val="7"/>
        <w:tblW w:w="9122"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
        <w:gridCol w:w="3556"/>
        <w:gridCol w:w="775"/>
        <w:gridCol w:w="3416"/>
        <w:gridCol w:w="825"/>
      </w:tblGrid>
      <w:tr w14:paraId="46F14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550" w:type="dxa"/>
            <w:noWrap w:val="0"/>
            <w:vAlign w:val="center"/>
          </w:tcPr>
          <w:p w14:paraId="6990D708">
            <w:pPr>
              <w:widowControl w:val="0"/>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序号</w:t>
            </w:r>
          </w:p>
        </w:tc>
        <w:tc>
          <w:tcPr>
            <w:tcW w:w="3556" w:type="dxa"/>
            <w:noWrap w:val="0"/>
            <w:vAlign w:val="center"/>
          </w:tcPr>
          <w:p w14:paraId="35D20518">
            <w:pPr>
              <w:widowControl w:val="0"/>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考核内容</w:t>
            </w:r>
          </w:p>
        </w:tc>
        <w:tc>
          <w:tcPr>
            <w:tcW w:w="775" w:type="dxa"/>
            <w:noWrap w:val="0"/>
            <w:vAlign w:val="center"/>
          </w:tcPr>
          <w:p w14:paraId="752D2D85">
            <w:pPr>
              <w:widowControl w:val="0"/>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分值</w:t>
            </w:r>
          </w:p>
        </w:tc>
        <w:tc>
          <w:tcPr>
            <w:tcW w:w="3416" w:type="dxa"/>
            <w:noWrap w:val="0"/>
            <w:vAlign w:val="center"/>
          </w:tcPr>
          <w:p w14:paraId="29E33155">
            <w:pPr>
              <w:widowControl w:val="0"/>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评分标准</w:t>
            </w:r>
          </w:p>
        </w:tc>
        <w:tc>
          <w:tcPr>
            <w:tcW w:w="825" w:type="dxa"/>
            <w:noWrap w:val="0"/>
            <w:vAlign w:val="center"/>
          </w:tcPr>
          <w:p w14:paraId="67405C5B">
            <w:pPr>
              <w:widowControl w:val="0"/>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得分</w:t>
            </w:r>
          </w:p>
        </w:tc>
      </w:tr>
      <w:tr w14:paraId="2F62F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550" w:type="dxa"/>
            <w:vMerge w:val="restart"/>
            <w:noWrap w:val="0"/>
            <w:textDirection w:val="tbRlV"/>
            <w:vAlign w:val="center"/>
          </w:tcPr>
          <w:p w14:paraId="794C0910">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门岗、办公区</w:t>
            </w:r>
          </w:p>
        </w:tc>
        <w:tc>
          <w:tcPr>
            <w:tcW w:w="3556" w:type="dxa"/>
            <w:noWrap w:val="0"/>
            <w:vAlign w:val="top"/>
          </w:tcPr>
          <w:p w14:paraId="3688AD84">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p>
          <w:p w14:paraId="09746FAF">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秩序维护员工上班要求统一着装</w:t>
            </w:r>
          </w:p>
        </w:tc>
        <w:tc>
          <w:tcPr>
            <w:tcW w:w="775" w:type="dxa"/>
            <w:noWrap w:val="0"/>
            <w:vAlign w:val="center"/>
          </w:tcPr>
          <w:p w14:paraId="20BEA9CD">
            <w:pPr>
              <w:keepNext w:val="0"/>
              <w:keepLines w:val="0"/>
              <w:widowControl/>
              <w:suppressLineNumbers w:val="0"/>
              <w:jc w:val="center"/>
              <w:textAlignment w:val="center"/>
              <w:rPr>
                <w:rFonts w:hint="default"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6</w:t>
            </w:r>
          </w:p>
        </w:tc>
        <w:tc>
          <w:tcPr>
            <w:tcW w:w="3416" w:type="dxa"/>
            <w:noWrap w:val="0"/>
            <w:vAlign w:val="top"/>
          </w:tcPr>
          <w:p w14:paraId="42815185">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基本满意2分，未按要求整齐着装，扣0.5分/起。</w:t>
            </w:r>
          </w:p>
        </w:tc>
        <w:tc>
          <w:tcPr>
            <w:tcW w:w="825" w:type="dxa"/>
            <w:noWrap w:val="0"/>
            <w:vAlign w:val="top"/>
          </w:tcPr>
          <w:p w14:paraId="1C483B97">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p>
        </w:tc>
      </w:tr>
      <w:tr w14:paraId="04146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550" w:type="dxa"/>
            <w:vMerge w:val="continue"/>
            <w:noWrap w:val="0"/>
            <w:vAlign w:val="center"/>
          </w:tcPr>
          <w:p w14:paraId="4891C9E9">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p>
        </w:tc>
        <w:tc>
          <w:tcPr>
            <w:tcW w:w="3556" w:type="dxa"/>
            <w:noWrap w:val="0"/>
            <w:vAlign w:val="top"/>
          </w:tcPr>
          <w:p w14:paraId="1AD422C5">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门卫不得坐在岗亭内，须到岗亭外执勤（异常天气除外）</w:t>
            </w:r>
          </w:p>
        </w:tc>
        <w:tc>
          <w:tcPr>
            <w:tcW w:w="775" w:type="dxa"/>
            <w:noWrap w:val="0"/>
            <w:vAlign w:val="center"/>
          </w:tcPr>
          <w:p w14:paraId="66E4B0EC">
            <w:pPr>
              <w:keepNext w:val="0"/>
              <w:keepLines w:val="0"/>
              <w:widowControl/>
              <w:suppressLineNumbers w:val="0"/>
              <w:jc w:val="center"/>
              <w:textAlignment w:val="center"/>
              <w:rPr>
                <w:rFonts w:hint="default"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6</w:t>
            </w:r>
          </w:p>
        </w:tc>
        <w:tc>
          <w:tcPr>
            <w:tcW w:w="3416" w:type="dxa"/>
            <w:noWrap w:val="0"/>
            <w:vAlign w:val="top"/>
          </w:tcPr>
          <w:p w14:paraId="2EA6E734">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基本满意3分，门卫岗亭内执勤，扣0.5分/人次</w:t>
            </w:r>
          </w:p>
        </w:tc>
        <w:tc>
          <w:tcPr>
            <w:tcW w:w="825" w:type="dxa"/>
            <w:noWrap w:val="0"/>
            <w:vAlign w:val="top"/>
          </w:tcPr>
          <w:p w14:paraId="3D65426E">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p>
        </w:tc>
      </w:tr>
      <w:tr w14:paraId="03F6C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3" w:hRule="atLeast"/>
        </w:trPr>
        <w:tc>
          <w:tcPr>
            <w:tcW w:w="550" w:type="dxa"/>
            <w:vMerge w:val="continue"/>
            <w:noWrap w:val="0"/>
            <w:vAlign w:val="center"/>
          </w:tcPr>
          <w:p w14:paraId="6CDDD465">
            <w:pPr>
              <w:widowControl w:val="0"/>
              <w:jc w:val="center"/>
              <w:rPr>
                <w:rFonts w:hint="eastAsia" w:ascii="宋体" w:hAnsi="宋体" w:eastAsia="宋体" w:cs="宋体"/>
                <w:color w:val="000000"/>
                <w:sz w:val="24"/>
                <w:szCs w:val="24"/>
              </w:rPr>
            </w:pPr>
          </w:p>
        </w:tc>
        <w:tc>
          <w:tcPr>
            <w:tcW w:w="3556" w:type="dxa"/>
            <w:noWrap w:val="0"/>
            <w:vAlign w:val="top"/>
          </w:tcPr>
          <w:p w14:paraId="4625A119">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门卫严格遵守门岗登记制度，做好台账，禁止闲杂人员混入办公区内。</w:t>
            </w:r>
          </w:p>
        </w:tc>
        <w:tc>
          <w:tcPr>
            <w:tcW w:w="775" w:type="dxa"/>
            <w:noWrap w:val="0"/>
            <w:vAlign w:val="center"/>
          </w:tcPr>
          <w:p w14:paraId="640DCA23">
            <w:pPr>
              <w:keepNext w:val="0"/>
              <w:keepLines w:val="0"/>
              <w:widowControl/>
              <w:suppressLineNumbers w:val="0"/>
              <w:jc w:val="center"/>
              <w:textAlignment w:val="center"/>
              <w:rPr>
                <w:rFonts w:hint="default"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6</w:t>
            </w:r>
          </w:p>
        </w:tc>
        <w:tc>
          <w:tcPr>
            <w:tcW w:w="3416" w:type="dxa"/>
            <w:noWrap w:val="0"/>
            <w:vAlign w:val="top"/>
          </w:tcPr>
          <w:p w14:paraId="66C9816A">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基本满意4分，外来人员和车辆登记进入办公区内，造成不良影响或后果，扣0.5分/人次</w:t>
            </w:r>
          </w:p>
        </w:tc>
        <w:tc>
          <w:tcPr>
            <w:tcW w:w="825" w:type="dxa"/>
            <w:noWrap w:val="0"/>
            <w:vAlign w:val="top"/>
          </w:tcPr>
          <w:p w14:paraId="5488DE26">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p>
        </w:tc>
      </w:tr>
      <w:tr w14:paraId="70536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3" w:hRule="atLeast"/>
        </w:trPr>
        <w:tc>
          <w:tcPr>
            <w:tcW w:w="550" w:type="dxa"/>
            <w:vMerge w:val="continue"/>
            <w:noWrap w:val="0"/>
            <w:vAlign w:val="center"/>
          </w:tcPr>
          <w:p w14:paraId="622DF008">
            <w:pPr>
              <w:widowControl w:val="0"/>
              <w:jc w:val="center"/>
              <w:rPr>
                <w:rFonts w:hint="eastAsia" w:ascii="宋体" w:hAnsi="宋体" w:eastAsia="宋体" w:cs="宋体"/>
                <w:color w:val="000000"/>
                <w:sz w:val="24"/>
                <w:szCs w:val="24"/>
              </w:rPr>
            </w:pPr>
          </w:p>
        </w:tc>
        <w:tc>
          <w:tcPr>
            <w:tcW w:w="3556" w:type="dxa"/>
            <w:noWrap w:val="0"/>
            <w:vAlign w:val="top"/>
          </w:tcPr>
          <w:p w14:paraId="08227F38">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各岗位人员要严格履行岗位职责，文明执法，严格值勤</w:t>
            </w:r>
          </w:p>
        </w:tc>
        <w:tc>
          <w:tcPr>
            <w:tcW w:w="775" w:type="dxa"/>
            <w:noWrap w:val="0"/>
            <w:vAlign w:val="center"/>
          </w:tcPr>
          <w:p w14:paraId="1F133F0F">
            <w:pPr>
              <w:keepNext w:val="0"/>
              <w:keepLines w:val="0"/>
              <w:widowControl/>
              <w:suppressLineNumbers w:val="0"/>
              <w:jc w:val="center"/>
              <w:textAlignment w:val="center"/>
              <w:rPr>
                <w:rFonts w:hint="default"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6</w:t>
            </w:r>
          </w:p>
        </w:tc>
        <w:tc>
          <w:tcPr>
            <w:tcW w:w="3416" w:type="dxa"/>
            <w:noWrap w:val="0"/>
            <w:vAlign w:val="top"/>
          </w:tcPr>
          <w:p w14:paraId="6D39F570">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基本满意4分，因管理失职造成事故或甲方被追究责任，或因管理不当造成保安与访客冲突的，扣0.5分/次</w:t>
            </w:r>
          </w:p>
        </w:tc>
        <w:tc>
          <w:tcPr>
            <w:tcW w:w="825" w:type="dxa"/>
            <w:noWrap w:val="0"/>
            <w:vAlign w:val="top"/>
          </w:tcPr>
          <w:p w14:paraId="5C175F00">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p>
        </w:tc>
      </w:tr>
      <w:tr w14:paraId="1BFBB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3" w:hRule="atLeast"/>
        </w:trPr>
        <w:tc>
          <w:tcPr>
            <w:tcW w:w="550" w:type="dxa"/>
            <w:vMerge w:val="continue"/>
            <w:noWrap w:val="0"/>
            <w:vAlign w:val="center"/>
          </w:tcPr>
          <w:p w14:paraId="1FD2A881">
            <w:pPr>
              <w:widowControl w:val="0"/>
              <w:jc w:val="center"/>
              <w:rPr>
                <w:rFonts w:hint="eastAsia" w:ascii="宋体" w:hAnsi="宋体" w:eastAsia="宋体" w:cs="宋体"/>
                <w:color w:val="000000"/>
                <w:sz w:val="24"/>
                <w:szCs w:val="24"/>
              </w:rPr>
            </w:pPr>
          </w:p>
        </w:tc>
        <w:tc>
          <w:tcPr>
            <w:tcW w:w="3556" w:type="dxa"/>
            <w:noWrap w:val="0"/>
            <w:vAlign w:val="top"/>
          </w:tcPr>
          <w:p w14:paraId="4151DDA3">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突发事件发生后，（如发生案件、事故等），应积极主动采取适当的处置措施，避免事态或损失扩大</w:t>
            </w:r>
          </w:p>
        </w:tc>
        <w:tc>
          <w:tcPr>
            <w:tcW w:w="775" w:type="dxa"/>
            <w:noWrap w:val="0"/>
            <w:vAlign w:val="center"/>
          </w:tcPr>
          <w:p w14:paraId="118A0568">
            <w:pPr>
              <w:keepNext w:val="0"/>
              <w:keepLines w:val="0"/>
              <w:widowControl/>
              <w:suppressLineNumbers w:val="0"/>
              <w:jc w:val="center"/>
              <w:textAlignment w:val="center"/>
              <w:rPr>
                <w:rFonts w:hint="default"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6</w:t>
            </w:r>
          </w:p>
        </w:tc>
        <w:tc>
          <w:tcPr>
            <w:tcW w:w="3416" w:type="dxa"/>
            <w:noWrap w:val="0"/>
            <w:vAlign w:val="top"/>
          </w:tcPr>
          <w:p w14:paraId="5ED61A1E">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基本满意4分，因工作失职未发现重大安全事故或处置不尽责，不采取适当措施，放任事态发展，造成损失扩大的，扣0.5分/次</w:t>
            </w:r>
          </w:p>
        </w:tc>
        <w:tc>
          <w:tcPr>
            <w:tcW w:w="825" w:type="dxa"/>
            <w:noWrap w:val="0"/>
            <w:vAlign w:val="top"/>
          </w:tcPr>
          <w:p w14:paraId="35219E49">
            <w:pPr>
              <w:keepNext w:val="0"/>
              <w:keepLines w:val="0"/>
              <w:widowControl/>
              <w:suppressLineNumbers w:val="0"/>
              <w:jc w:val="both"/>
              <w:textAlignment w:val="center"/>
              <w:rPr>
                <w:rFonts w:hint="eastAsia" w:ascii="仿宋" w:hAnsi="仿宋" w:eastAsia="仿宋" w:cs="仿宋"/>
                <w:b w:val="0"/>
                <w:bCs/>
                <w:i w:val="0"/>
                <w:iCs w:val="0"/>
                <w:color w:val="000000"/>
                <w:kern w:val="0"/>
                <w:sz w:val="21"/>
                <w:szCs w:val="21"/>
                <w:u w:val="none"/>
                <w:lang w:val="en-US" w:eastAsia="zh-CN" w:bidi="ar"/>
              </w:rPr>
            </w:pPr>
          </w:p>
        </w:tc>
      </w:tr>
    </w:tbl>
    <w:p w14:paraId="46276D40">
      <w:pPr>
        <w:pStyle w:val="13"/>
        <w:widowControl/>
        <w:outlineLvl w:val="0"/>
      </w:pPr>
    </w:p>
    <w:p w14:paraId="0924080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新宋体">
    <w:panose1 w:val="02010609030101010101"/>
    <w:charset w:val="86"/>
    <w:family w:val="modern"/>
    <w:pitch w:val="default"/>
    <w:sig w:usb0="00000003" w:usb1="288F0000" w:usb2="00000006"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C057AD"/>
    <w:multiLevelType w:val="singleLevel"/>
    <w:tmpl w:val="92C057AD"/>
    <w:lvl w:ilvl="0" w:tentative="0">
      <w:start w:val="1"/>
      <w:numFmt w:val="chineseCounting"/>
      <w:suff w:val="nothing"/>
      <w:lvlText w:val="（%1）"/>
      <w:lvlJc w:val="left"/>
      <w:pPr>
        <w:ind w:left="0" w:firstLine="480"/>
      </w:pPr>
      <w:rPr>
        <w:rFonts w:hint="eastAsia"/>
      </w:rPr>
    </w:lvl>
  </w:abstractNum>
  <w:abstractNum w:abstractNumId="1">
    <w:nsid w:val="9EBDF9E1"/>
    <w:multiLevelType w:val="singleLevel"/>
    <w:tmpl w:val="9EBDF9E1"/>
    <w:lvl w:ilvl="0" w:tentative="0">
      <w:start w:val="1"/>
      <w:numFmt w:val="decimal"/>
      <w:suff w:val="nothing"/>
      <w:lvlText w:val="（%1）"/>
      <w:lvlJc w:val="left"/>
      <w:pPr>
        <w:ind w:left="0" w:firstLine="480"/>
      </w:pPr>
      <w:rPr>
        <w:rFonts w:hint="default"/>
      </w:rPr>
    </w:lvl>
  </w:abstractNum>
  <w:abstractNum w:abstractNumId="2">
    <w:nsid w:val="A63E27E4"/>
    <w:multiLevelType w:val="singleLevel"/>
    <w:tmpl w:val="A63E27E4"/>
    <w:lvl w:ilvl="0" w:tentative="0">
      <w:start w:val="1"/>
      <w:numFmt w:val="decimal"/>
      <w:lvlText w:val="%1."/>
      <w:lvlJc w:val="left"/>
      <w:pPr>
        <w:tabs>
          <w:tab w:val="left" w:pos="210"/>
        </w:tabs>
        <w:ind w:left="0" w:firstLine="480"/>
      </w:pPr>
      <w:rPr>
        <w:rFonts w:hint="default"/>
      </w:rPr>
    </w:lvl>
  </w:abstractNum>
  <w:abstractNum w:abstractNumId="3">
    <w:nsid w:val="B80D9C34"/>
    <w:multiLevelType w:val="singleLevel"/>
    <w:tmpl w:val="B80D9C34"/>
    <w:lvl w:ilvl="0" w:tentative="0">
      <w:start w:val="1"/>
      <w:numFmt w:val="decimal"/>
      <w:lvlText w:val="%1."/>
      <w:lvlJc w:val="left"/>
      <w:pPr>
        <w:tabs>
          <w:tab w:val="left" w:pos="210"/>
        </w:tabs>
        <w:ind w:left="0" w:firstLine="480"/>
      </w:pPr>
      <w:rPr>
        <w:rFonts w:hint="default"/>
      </w:rPr>
    </w:lvl>
  </w:abstractNum>
  <w:abstractNum w:abstractNumId="4">
    <w:nsid w:val="CCB8EC4B"/>
    <w:multiLevelType w:val="singleLevel"/>
    <w:tmpl w:val="CCB8EC4B"/>
    <w:lvl w:ilvl="0" w:tentative="0">
      <w:start w:val="1"/>
      <w:numFmt w:val="chineseCounting"/>
      <w:suff w:val="nothing"/>
      <w:lvlText w:val="（%1）"/>
      <w:lvlJc w:val="left"/>
      <w:pPr>
        <w:ind w:left="0" w:firstLine="480"/>
      </w:pPr>
      <w:rPr>
        <w:rFonts w:hint="eastAsia"/>
      </w:rPr>
    </w:lvl>
  </w:abstractNum>
  <w:abstractNum w:abstractNumId="5">
    <w:nsid w:val="DC2C0F64"/>
    <w:multiLevelType w:val="singleLevel"/>
    <w:tmpl w:val="DC2C0F64"/>
    <w:lvl w:ilvl="0" w:tentative="0">
      <w:start w:val="1"/>
      <w:numFmt w:val="decimal"/>
      <w:suff w:val="nothing"/>
      <w:lvlText w:val="%1、"/>
      <w:lvlJc w:val="left"/>
      <w:pPr>
        <w:ind w:left="0" w:firstLine="480"/>
      </w:pPr>
      <w:rPr>
        <w:rFonts w:hint="default"/>
      </w:rPr>
    </w:lvl>
  </w:abstractNum>
  <w:abstractNum w:abstractNumId="6">
    <w:nsid w:val="E9DC26AE"/>
    <w:multiLevelType w:val="singleLevel"/>
    <w:tmpl w:val="E9DC26AE"/>
    <w:lvl w:ilvl="0" w:tentative="0">
      <w:start w:val="1"/>
      <w:numFmt w:val="decimal"/>
      <w:lvlText w:val="%1."/>
      <w:lvlJc w:val="left"/>
      <w:pPr>
        <w:tabs>
          <w:tab w:val="left" w:pos="210"/>
        </w:tabs>
        <w:ind w:left="0" w:firstLine="480"/>
      </w:pPr>
      <w:rPr>
        <w:rFonts w:hint="default"/>
      </w:rPr>
    </w:lvl>
  </w:abstractNum>
  <w:abstractNum w:abstractNumId="7">
    <w:nsid w:val="05AF23B5"/>
    <w:multiLevelType w:val="singleLevel"/>
    <w:tmpl w:val="05AF23B5"/>
    <w:lvl w:ilvl="0" w:tentative="0">
      <w:start w:val="1"/>
      <w:numFmt w:val="decimal"/>
      <w:suff w:val="nothing"/>
      <w:lvlText w:val="%1、"/>
      <w:lvlJc w:val="left"/>
      <w:pPr>
        <w:ind w:left="0" w:firstLine="480"/>
      </w:pPr>
      <w:rPr>
        <w:rFonts w:hint="default"/>
      </w:rPr>
    </w:lvl>
  </w:abstractNum>
  <w:abstractNum w:abstractNumId="8">
    <w:nsid w:val="0F8039DB"/>
    <w:multiLevelType w:val="singleLevel"/>
    <w:tmpl w:val="0F8039DB"/>
    <w:lvl w:ilvl="0" w:tentative="0">
      <w:start w:val="1"/>
      <w:numFmt w:val="chineseCounting"/>
      <w:suff w:val="nothing"/>
      <w:lvlText w:val="（%1）"/>
      <w:lvlJc w:val="left"/>
      <w:pPr>
        <w:ind w:left="0" w:firstLine="480"/>
      </w:pPr>
      <w:rPr>
        <w:rFonts w:hint="eastAsia"/>
      </w:rPr>
    </w:lvl>
  </w:abstractNum>
  <w:abstractNum w:abstractNumId="9">
    <w:nsid w:val="330BEB8D"/>
    <w:multiLevelType w:val="singleLevel"/>
    <w:tmpl w:val="330BEB8D"/>
    <w:lvl w:ilvl="0" w:tentative="0">
      <w:start w:val="1"/>
      <w:numFmt w:val="decimal"/>
      <w:suff w:val="nothing"/>
      <w:lvlText w:val="%1、"/>
      <w:lvlJc w:val="left"/>
      <w:pPr>
        <w:ind w:left="0" w:firstLine="480"/>
      </w:pPr>
      <w:rPr>
        <w:rFonts w:hint="default"/>
      </w:rPr>
    </w:lvl>
  </w:abstractNum>
  <w:abstractNum w:abstractNumId="10">
    <w:nsid w:val="533FE31B"/>
    <w:multiLevelType w:val="singleLevel"/>
    <w:tmpl w:val="533FE31B"/>
    <w:lvl w:ilvl="0" w:tentative="0">
      <w:start w:val="1"/>
      <w:numFmt w:val="decimal"/>
      <w:suff w:val="nothing"/>
      <w:lvlText w:val="%1、"/>
      <w:lvlJc w:val="left"/>
      <w:pPr>
        <w:ind w:left="0" w:firstLine="480"/>
      </w:pPr>
      <w:rPr>
        <w:rFonts w:hint="default"/>
      </w:rPr>
    </w:lvl>
  </w:abstractNum>
  <w:abstractNum w:abstractNumId="11">
    <w:nsid w:val="6EAC5B67"/>
    <w:multiLevelType w:val="singleLevel"/>
    <w:tmpl w:val="6EAC5B67"/>
    <w:lvl w:ilvl="0" w:tentative="0">
      <w:start w:val="1"/>
      <w:numFmt w:val="decimal"/>
      <w:lvlText w:val="%1."/>
      <w:lvlJc w:val="left"/>
      <w:pPr>
        <w:tabs>
          <w:tab w:val="left" w:pos="210"/>
        </w:tabs>
        <w:ind w:left="0" w:firstLine="480"/>
      </w:pPr>
      <w:rPr>
        <w:rFonts w:hint="default"/>
      </w:rPr>
    </w:lvl>
  </w:abstractNum>
  <w:abstractNum w:abstractNumId="12">
    <w:nsid w:val="701E91F8"/>
    <w:multiLevelType w:val="singleLevel"/>
    <w:tmpl w:val="701E91F8"/>
    <w:lvl w:ilvl="0" w:tentative="0">
      <w:start w:val="1"/>
      <w:numFmt w:val="decimal"/>
      <w:lvlText w:val="%1."/>
      <w:lvlJc w:val="left"/>
      <w:pPr>
        <w:tabs>
          <w:tab w:val="left" w:pos="210"/>
        </w:tabs>
        <w:ind w:left="0" w:firstLine="480"/>
      </w:pPr>
      <w:rPr>
        <w:rFonts w:hint="default"/>
      </w:rPr>
    </w:lvl>
  </w:abstractNum>
  <w:num w:numId="1">
    <w:abstractNumId w:val="8"/>
  </w:num>
  <w:num w:numId="2">
    <w:abstractNumId w:val="9"/>
  </w:num>
  <w:num w:numId="3">
    <w:abstractNumId w:val="10"/>
  </w:num>
  <w:num w:numId="4">
    <w:abstractNumId w:val="5"/>
  </w:num>
  <w:num w:numId="5">
    <w:abstractNumId w:val="12"/>
  </w:num>
  <w:num w:numId="6">
    <w:abstractNumId w:val="11"/>
  </w:num>
  <w:num w:numId="7">
    <w:abstractNumId w:val="6"/>
  </w:num>
  <w:num w:numId="8">
    <w:abstractNumId w:val="2"/>
  </w:num>
  <w:num w:numId="9">
    <w:abstractNumId w:val="1"/>
  </w:num>
  <w:num w:numId="10">
    <w:abstractNumId w:val="7"/>
  </w:num>
  <w:num w:numId="11">
    <w:abstractNumId w:val="4"/>
  </w:num>
  <w:num w:numId="12">
    <w:abstractNumId w:val="3"/>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DFD7244"/>
    <w:rsid w:val="701A4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新宋体" w:eastAsia="仿宋_GB2312" w:cs="Times New Roman"/>
      <w:kern w:val="2"/>
      <w:sz w:val="32"/>
      <w:szCs w:val="24"/>
      <w:lang w:val="en-US" w:eastAsia="zh-CN" w:bidi="ar-SA"/>
    </w:rPr>
  </w:style>
  <w:style w:type="paragraph" w:styleId="3">
    <w:name w:val="heading 1"/>
    <w:next w:val="1"/>
    <w:qFormat/>
    <w:uiPriority w:val="0"/>
    <w:pPr>
      <w:keepNext w:val="0"/>
      <w:keepLines w:val="0"/>
      <w:widowControl w:val="0"/>
      <w:spacing w:before="240" w:beforeLines="0" w:after="120" w:afterLines="0" w:line="360" w:lineRule="auto"/>
      <w:jc w:val="left"/>
      <w:outlineLvl w:val="0"/>
    </w:pPr>
    <w:rPr>
      <w:rFonts w:ascii="宋体" w:hAnsi="宋体" w:eastAsia="宋体" w:cs="宋体"/>
      <w:b/>
      <w:bCs/>
      <w:kern w:val="44"/>
      <w:sz w:val="24"/>
      <w:szCs w:val="30"/>
    </w:rPr>
  </w:style>
  <w:style w:type="paragraph" w:styleId="2">
    <w:name w:val="heading 2"/>
    <w:basedOn w:val="1"/>
    <w:next w:val="1"/>
    <w:unhideWhenUsed/>
    <w:qFormat/>
    <w:uiPriority w:val="0"/>
    <w:pPr>
      <w:spacing w:before="100" w:beforeLines="0" w:beforeAutospacing="1" w:after="100" w:afterLines="0" w:afterAutospacing="1"/>
      <w:jc w:val="left"/>
      <w:outlineLvl w:val="1"/>
    </w:pPr>
    <w:rPr>
      <w:rFonts w:hint="eastAsia" w:ascii="宋体" w:hAnsi="宋体" w:eastAsia="宋体" w:cs="宋体"/>
      <w:b/>
      <w:kern w:val="0"/>
      <w:sz w:val="36"/>
      <w:szCs w:val="36"/>
      <w:lang w:val="en-US" w:eastAsia="zh-CN" w:bidi="ar"/>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Body Text"/>
    <w:next w:val="1"/>
    <w:qFormat/>
    <w:uiPriority w:val="0"/>
    <w:pPr>
      <w:spacing w:after="120" w:afterAutospacing="0" w:line="300" w:lineRule="auto"/>
      <w:ind w:firstLine="420" w:firstLineChars="200"/>
    </w:pPr>
    <w:rPr>
      <w:rFonts w:ascii="Times New Roman" w:hAnsi="Times New Roman" w:eastAsia="宋体" w:cs="Times New Roman"/>
      <w:sz w:val="24"/>
    </w:rPr>
  </w:style>
  <w:style w:type="paragraph" w:styleId="5">
    <w:name w:val="Title"/>
    <w:qFormat/>
    <w:uiPriority w:val="0"/>
    <w:pPr>
      <w:widowControl w:val="0"/>
      <w:spacing w:beforeAutospacing="0" w:afterAutospacing="0" w:line="360" w:lineRule="auto"/>
      <w:jc w:val="center"/>
      <w:outlineLvl w:val="9"/>
    </w:pPr>
    <w:rPr>
      <w:rFonts w:ascii="Times New Roman" w:hAnsi="Times New Roman" w:eastAsia="黑体" w:cs="Times New Roman"/>
      <w:sz w:val="4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null3"/>
    <w:hidden/>
    <w:qFormat/>
    <w:uiPriority w:val="0"/>
    <w:rPr>
      <w:rFonts w:hint="eastAsia" w:asciiTheme="minorHAnsi" w:hAnsiTheme="minorHAnsi" w:eastAsiaTheme="minorEastAsia" w:cstheme="minorBidi"/>
      <w:lang w:val="en-US" w:eastAsia="zh-Hans"/>
    </w:rPr>
  </w:style>
  <w:style w:type="character" w:customStyle="1" w:styleId="10">
    <w:name w:val="font21"/>
    <w:basedOn w:val="8"/>
    <w:qFormat/>
    <w:uiPriority w:val="0"/>
    <w:rPr>
      <w:rFonts w:hint="eastAsia" w:ascii="黑体" w:hAnsi="宋体" w:eastAsia="黑体" w:cs="黑体"/>
      <w:color w:val="000000"/>
      <w:sz w:val="22"/>
      <w:szCs w:val="22"/>
      <w:u w:val="none"/>
    </w:rPr>
  </w:style>
  <w:style w:type="character" w:customStyle="1" w:styleId="11">
    <w:name w:val="font61"/>
    <w:basedOn w:val="8"/>
    <w:qFormat/>
    <w:uiPriority w:val="0"/>
    <w:rPr>
      <w:rFonts w:ascii="微软雅黑" w:hAnsi="微软雅黑" w:eastAsia="微软雅黑" w:cs="微软雅黑"/>
      <w:color w:val="000000"/>
      <w:sz w:val="22"/>
      <w:szCs w:val="22"/>
      <w:u w:val="none"/>
    </w:rPr>
  </w:style>
  <w:style w:type="paragraph" w:customStyle="1" w:styleId="12">
    <w:name w:val="内嵌文档标题1"/>
    <w:next w:val="1"/>
    <w:qFormat/>
    <w:uiPriority w:val="0"/>
    <w:pPr>
      <w:widowControl w:val="0"/>
      <w:spacing w:after="120" w:line="300" w:lineRule="auto"/>
      <w:jc w:val="center"/>
      <w:outlineLvl w:val="0"/>
    </w:pPr>
    <w:rPr>
      <w:rFonts w:ascii="Times New Roman" w:hAnsi="Times New Roman" w:eastAsia="宋体" w:cs="Times New Roman"/>
      <w:b/>
      <w:kern w:val="2"/>
      <w:sz w:val="24"/>
    </w:rPr>
  </w:style>
  <w:style w:type="paragraph" w:customStyle="1" w:styleId="13">
    <w:name w:val="附录标题"/>
    <w:next w:val="1"/>
    <w:qFormat/>
    <w:uiPriority w:val="0"/>
    <w:pPr>
      <w:keepNext w:val="0"/>
      <w:keepLines w:val="0"/>
      <w:widowControl w:val="0"/>
      <w:spacing w:before="240" w:after="120" w:line="360" w:lineRule="auto"/>
      <w:jc w:val="left"/>
      <w:outlineLvl w:val="0"/>
    </w:pPr>
    <w:rPr>
      <w:rFonts w:ascii="Times New Roman" w:hAnsi="Times New Roman" w:eastAsia="宋体" w:cs="Times New Roman"/>
      <w:b/>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0</Words>
  <Characters>0</Characters>
  <Lines>0</Lines>
  <Paragraphs>0</Paragraphs>
  <TotalTime>1</TotalTime>
  <ScaleCrop>false</ScaleCrop>
  <LinksUpToDate>false</LinksUpToDate>
  <CharactersWithSpaces>0</CharactersWithSpaces>
  <Application>WPS Office_12.8.2.18913_F1E327BC-269C-435d-A152-05C5408002CA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2026-07-21T08:20:00Z</dcterms:created>
  <dc:creator>tao</dc:creator>
  <cp:lastModifiedBy>Lenovo</cp:lastModifiedBy>
  <dcterms:modified xsi:type="dcterms:W3CDTF">2026-07-23T03:42:34Z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2052-12.8.2.18913</vt:lpwstr>
  </property>
  <property fmtid="{D5CDD505-2E9C-101B-9397-08002B2CF9AE}" pid="3" name="ICV">
    <vt:lpwstr>86B834AD756A4D51A256DF8266C58F15_12</vt:lpwstr>
  </property>
</Properties>
</file>