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版本号：N510524202500026420251023001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2024年度森林可持续经营试点项目中龄林抚育</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N5105242025000264</w:t>
      </w:r>
    </w:p>
    <w:p>
      <w:pPr>
        <w:pStyle w:val="null3"/>
        <w:jc w:val="center"/>
        <w:outlineLvl w:val="2"/>
      </w:pPr>
      <w:r>
        <w:rPr>
          <w:rFonts w:ascii="仿宋_GB2312" w:hAnsi="仿宋_GB2312" w:cs="仿宋_GB2312" w:eastAsia="仿宋_GB2312"/>
          <w:sz w:val="28"/>
          <w:b/>
        </w:rPr>
        <w:t>叙永县国有林场</w:t>
      </w:r>
    </w:p>
    <w:p>
      <w:pPr>
        <w:pStyle w:val="null3"/>
        <w:jc w:val="center"/>
        <w:outlineLvl w:val="2"/>
      </w:pPr>
      <w:r>
        <w:rPr>
          <w:rFonts w:ascii="仿宋_GB2312" w:hAnsi="仿宋_GB2312" w:cs="仿宋_GB2312" w:eastAsia="仿宋_GB2312"/>
          <w:sz w:val="28"/>
          <w:b/>
        </w:rPr>
        <w:t>四川正平招标代理有限公司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四川正平招标代理有限公司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叙永县国有林场</w:t>
      </w:r>
      <w:r>
        <w:rPr>
          <w:rFonts w:ascii="仿宋_GB2312" w:hAnsi="仿宋_GB2312" w:cs="仿宋_GB2312" w:eastAsia="仿宋_GB2312"/>
        </w:rPr>
        <w:t xml:space="preserve"> 委托，拟对 </w:t>
      </w:r>
      <w:r>
        <w:rPr>
          <w:rFonts w:ascii="仿宋_GB2312" w:hAnsi="仿宋_GB2312" w:cs="仿宋_GB2312" w:eastAsia="仿宋_GB2312"/>
        </w:rPr>
        <w:t>2024年度森林可持续经营试点项目中龄林抚育</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N5105242025000264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2024年度森林可持续经营试点项目中龄林抚育</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项目范围涉及国有林场5个作业区，87小班，面积3056.88亩。</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叙永县国有林场</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叙永镇环城南路512号1栋1单元2楼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18982425201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四川正平招标代理有限公司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泸州市江阳区云峰路二段峰泽·天际大厦B座1503室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0830-8818118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采购包1：1,190,091.60元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采购代理费用参照国家发改委《招标代理服务收费管理暂行办法》（计价格[2002]1980号）收费标准按采购预算收取，对按此标准计算代理费用不足6000元的项目，代理费用统一按6000元计算。 由中标（成交）供应商在领取中标（成交）通知书时一次性支付给采购代理机构。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叙永县国有林场</w:t>
      </w:r>
      <w:r>
        <w:rPr>
          <w:rFonts w:ascii="仿宋_GB2312" w:hAnsi="仿宋_GB2312" w:cs="仿宋_GB2312" w:eastAsia="仿宋_GB2312"/>
        </w:rPr>
        <w:t xml:space="preserve"> 和 </w:t>
      </w:r>
      <w:r>
        <w:rPr>
          <w:rFonts w:ascii="仿宋_GB2312" w:hAnsi="仿宋_GB2312" w:cs="仿宋_GB2312" w:eastAsia="仿宋_GB2312"/>
        </w:rPr>
        <w:t>四川正平招标代理有限公司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叙永县国有林场</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四川正平招标代理有限公司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按采购文件和相关文件要求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按采购文件和相关文件要求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按采购文件和相关文件要求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四川正平招标代理有限公司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四川正平招标代理有限公司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四川正平招标代理有限公司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联系人：周女士</w:t>
      </w:r>
    </w:p>
    <w:p>
      <w:pPr>
        <w:pStyle w:val="null3"/>
        <w:jc w:val="left"/>
      </w:pPr>
      <w:r>
        <w:rPr>
          <w:rFonts w:ascii="仿宋_GB2312" w:hAnsi="仿宋_GB2312" w:cs="仿宋_GB2312" w:eastAsia="仿宋_GB2312"/>
        </w:rPr>
        <w:t>联系电话：0830-8818118</w:t>
      </w:r>
    </w:p>
    <w:p>
      <w:pPr>
        <w:pStyle w:val="null3"/>
        <w:jc w:val="left"/>
      </w:pPr>
      <w:r>
        <w:rPr>
          <w:rFonts w:ascii="仿宋_GB2312" w:hAnsi="仿宋_GB2312" w:cs="仿宋_GB2312" w:eastAsia="仿宋_GB2312"/>
        </w:rPr>
        <w:t>地址：泸州市江阳区云峰路二段峰泽·天际大厦B座1503室</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1,190,091.60</w:t>
      </w:r>
    </w:p>
    <w:p>
      <w:pPr>
        <w:pStyle w:val="null3"/>
        <w:jc w:val="left"/>
      </w:pPr>
      <w:r>
        <w:rPr>
          <w:rFonts w:ascii="仿宋_GB2312" w:hAnsi="仿宋_GB2312" w:cs="仿宋_GB2312" w:eastAsia="仿宋_GB2312"/>
        </w:rPr>
        <w:t>采购包最高限价（元）: 1,190,091.60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C09020200 林木抚育管理服务</w:t>
            </w:r>
          </w:p>
        </w:tc>
        <w:tc>
          <w:tcPr>
            <w:tcW w:type="dxa" w:w="821"/>
          </w:tcPr>
          <w:p>
            <w:pPr>
              <w:pStyle w:val="null3"/>
              <w:jc w:val="left"/>
            </w:pPr>
            <w:r>
              <w:rPr>
                <w:rFonts w:ascii="仿宋_GB2312" w:hAnsi="仿宋_GB2312" w:cs="仿宋_GB2312" w:eastAsia="仿宋_GB2312"/>
              </w:rPr>
              <w:t>2024年度森林可持续经营试点项目中龄林抚育</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1,190,091.60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2024年度森林可持续经营试点项目中龄林抚育</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1,190,091.60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标的名称：2024年度森林可持续经营试点项目中龄林抚育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2024年度森林可持续经营试点项目中龄林抚育要求</w:t>
            </w:r>
          </w:p>
        </w:tc>
        <w:tc>
          <w:tcPr>
            <w:tcW w:type="dxa" w:w="5814"/>
          </w:tcPr>
          <w:p>
            <w:pPr>
              <w:pStyle w:val="null3"/>
              <w:ind w:firstLine="560"/>
              <w:jc w:val="left"/>
            </w:pPr>
            <w:r>
              <w:rPr>
                <w:rFonts w:ascii="仿宋_GB2312" w:hAnsi="仿宋_GB2312" w:cs="仿宋_GB2312" w:eastAsia="仿宋_GB2312"/>
                <w:sz w:val="28"/>
              </w:rPr>
              <w:t>（1）人工公益林：针对柳杉/杉木人工公益林，采取疏伐的方式调整林分密度，疏伐伐后郁闭度控制</w:t>
            </w:r>
            <w:r>
              <w:rPr>
                <w:rFonts w:ascii="仿宋_GB2312" w:hAnsi="仿宋_GB2312" w:cs="仿宋_GB2312" w:eastAsia="仿宋_GB2312"/>
                <w:sz w:val="28"/>
              </w:rPr>
              <w:t>在0.6-0.7，</w:t>
            </w:r>
            <w:r>
              <w:rPr>
                <w:rFonts w:ascii="仿宋_GB2312" w:hAnsi="仿宋_GB2312" w:cs="仿宋_GB2312" w:eastAsia="仿宋_GB2312"/>
                <w:sz w:val="28"/>
              </w:rPr>
              <w:t>伐后平均胸径大于伐前平均胸径，通过抚育为林下灌草生长创造有利环境，</w:t>
            </w:r>
            <w:r>
              <w:rPr>
                <w:rFonts w:ascii="仿宋_GB2312" w:hAnsi="仿宋_GB2312" w:cs="仿宋_GB2312" w:eastAsia="仿宋_GB2312"/>
                <w:sz w:val="28"/>
              </w:rPr>
              <w:t>保留林中阔叶树种，</w:t>
            </w:r>
            <w:r>
              <w:rPr>
                <w:rFonts w:ascii="仿宋_GB2312" w:hAnsi="仿宋_GB2312" w:cs="仿宋_GB2312" w:eastAsia="仿宋_GB2312"/>
                <w:sz w:val="28"/>
              </w:rPr>
              <w:t>促进林下灌草生长，使得林分内乔灌草结构更加完善，林下植物多样性更加丰富，森林涵养水源、固土保肥、固碳制氧等生态功能不断提升，初步建成生态系统层次结构完整的多功能生态公益林。</w:t>
            </w:r>
          </w:p>
          <w:p>
            <w:pPr>
              <w:pStyle w:val="null3"/>
              <w:ind w:firstLine="560"/>
              <w:jc w:val="left"/>
            </w:pPr>
            <w:r>
              <w:rPr>
                <w:rFonts w:ascii="仿宋_GB2312" w:hAnsi="仿宋_GB2312" w:cs="仿宋_GB2312" w:eastAsia="仿宋_GB2312"/>
                <w:sz w:val="28"/>
              </w:rPr>
              <w:t>（2）人工商品林：针对柳杉/杉木人工商品林，采取疏伐的方式调整林分密度，疏伐伐后郁闭度控制</w:t>
            </w:r>
            <w:r>
              <w:rPr>
                <w:rFonts w:ascii="仿宋_GB2312" w:hAnsi="仿宋_GB2312" w:cs="仿宋_GB2312" w:eastAsia="仿宋_GB2312"/>
                <w:sz w:val="28"/>
              </w:rPr>
              <w:t>在0.6-0.7</w:t>
            </w:r>
            <w:r>
              <w:rPr>
                <w:rFonts w:ascii="仿宋_GB2312" w:hAnsi="仿宋_GB2312" w:cs="仿宋_GB2312" w:eastAsia="仿宋_GB2312"/>
                <w:sz w:val="28"/>
              </w:rPr>
              <w:t>，伐后平均胸径大于伐前平均</w:t>
            </w:r>
            <w:r>
              <w:rPr>
                <w:rFonts w:ascii="仿宋_GB2312" w:hAnsi="仿宋_GB2312" w:cs="仿宋_GB2312" w:eastAsia="仿宋_GB2312"/>
                <w:sz w:val="28"/>
              </w:rPr>
              <w:t>胸径。通过抚育后商品林林分密度将更加合理，大径材培育目标更加明确，林分单位面积蓄积量和出材量不断提高，单位面积林地生产力显著提升。</w:t>
            </w:r>
          </w:p>
          <w:p>
            <w:pPr>
              <w:pStyle w:val="null3"/>
              <w:ind w:firstLine="560"/>
              <w:jc w:val="left"/>
            </w:pPr>
            <w:r>
              <w:rPr>
                <w:rFonts w:ascii="仿宋_GB2312" w:hAnsi="仿宋_GB2312" w:cs="仿宋_GB2312" w:eastAsia="仿宋_GB2312"/>
                <w:sz w:val="28"/>
              </w:rPr>
              <w:t>项目范围涉及国有林场5个作业区，</w:t>
            </w:r>
            <w:r>
              <w:rPr>
                <w:rFonts w:ascii="仿宋_GB2312" w:hAnsi="仿宋_GB2312" w:cs="仿宋_GB2312" w:eastAsia="仿宋_GB2312"/>
                <w:sz w:val="28"/>
              </w:rPr>
              <w:t>87</w:t>
            </w:r>
            <w:r>
              <w:rPr>
                <w:rFonts w:ascii="仿宋_GB2312" w:hAnsi="仿宋_GB2312" w:cs="仿宋_GB2312" w:eastAsia="仿宋_GB2312"/>
                <w:sz w:val="28"/>
              </w:rPr>
              <w:t>小班，面积</w:t>
            </w:r>
            <w:r>
              <w:rPr>
                <w:rFonts w:ascii="仿宋_GB2312" w:hAnsi="仿宋_GB2312" w:cs="仿宋_GB2312" w:eastAsia="仿宋_GB2312"/>
                <w:sz w:val="28"/>
              </w:rPr>
              <w:t>3056.88</w:t>
            </w:r>
            <w:r>
              <w:rPr>
                <w:rFonts w:ascii="仿宋_GB2312" w:hAnsi="仿宋_GB2312" w:cs="仿宋_GB2312" w:eastAsia="仿宋_GB2312"/>
                <w:sz w:val="28"/>
              </w:rPr>
              <w:t>亩。</w:t>
            </w:r>
          </w:p>
          <w:tbl>
            <w:tblPr>
              <w:tblBorders>
                <w:top w:val="none" w:color="000000" w:sz="4"/>
                <w:left w:val="none" w:color="000000" w:sz="4"/>
                <w:bottom w:val="none" w:color="000000" w:sz="4"/>
                <w:right w:val="none" w:color="000000" w:sz="4"/>
                <w:insideH w:val="none"/>
                <w:insideV w:val="none"/>
              </w:tblBorders>
            </w:tblPr>
            <w:tblGrid>
              <w:gridCol w:w="1400"/>
              <w:gridCol w:w="1062"/>
              <w:gridCol w:w="719"/>
              <w:gridCol w:w="845"/>
              <w:gridCol w:w="719"/>
              <w:gridCol w:w="853"/>
            </w:tblGrid>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项目涉及范围汇总表</w:t>
                  </w:r>
                </w:p>
              </w:tc>
            </w:tr>
            <w:tr>
              <w:tc>
                <w:tcPr>
                  <w:tcW w:type="dxa" w:w="140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表2-2</w:t>
                  </w:r>
                </w:p>
              </w:tc>
              <w:tc>
                <w:tcPr>
                  <w:tcW w:type="dxa" w:w="1062"/>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c>
                <w:tcPr>
                  <w:tcW w:type="dxa" w:w="719"/>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84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1572"/>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单位：个、亩</w:t>
                  </w:r>
                </w:p>
              </w:tc>
            </w:tr>
            <w:tr>
              <w:tc>
                <w:tcPr>
                  <w:tcW w:type="dxa" w:w="24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统计单位</w:t>
                  </w:r>
                </w:p>
              </w:tc>
              <w:tc>
                <w:tcPr>
                  <w:tcW w:type="dxa" w:w="156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w:t>
                  </w:r>
                </w:p>
              </w:tc>
              <w:tc>
                <w:tcPr>
                  <w:tcW w:type="dxa" w:w="1572"/>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柳杉/杉木中龄林抚育</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乡镇</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村作业区</w:t>
                  </w:r>
                </w:p>
              </w:tc>
              <w:tc>
                <w:tcPr>
                  <w:tcW w:type="dxa" w:w="1564"/>
                  <w:gridSpan w:val="2"/>
                  <w:vMerge/>
                  <w:tcBorders>
                    <w:top w:val="none" w:color="000000" w:sz="4"/>
                    <w:left w:val="none" w:color="000000" w:sz="4"/>
                    <w:bottom w:val="single" w:color="000000" w:sz="4"/>
                    <w:right w:val="single" w:color="000000" w:sz="4"/>
                  </w:tcBorders>
                </w:tcPr>
                <w:p/>
              </w:tc>
            </w:tr>
            <w:tr>
              <w:tc>
                <w:tcPr>
                  <w:tcW w:type="dxa" w:w="1400"/>
                  <w:vMerge/>
                  <w:tcBorders>
                    <w:top w:val="none" w:color="000000" w:sz="4"/>
                    <w:left w:val="single" w:color="000000" w:sz="4"/>
                    <w:bottom w:val="singl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小班数</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小班数</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r>
            <w:tr>
              <w:tc>
                <w:tcPr>
                  <w:tcW w:type="dxa" w:w="24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3056.88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3056.88</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叙永县国有林场</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3056.88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3056.88</w:t>
                  </w:r>
                </w:p>
              </w:tc>
            </w:tr>
            <w:tr>
              <w:tc>
                <w:tcPr>
                  <w:tcW w:type="dxa" w:w="1400"/>
                  <w:vMerge/>
                  <w:tcBorders>
                    <w:top w:val="none" w:color="000000" w:sz="4"/>
                    <w:left w:val="single" w:color="000000" w:sz="4"/>
                    <w:bottom w:val="single" w:color="000000" w:sz="4"/>
                    <w:right w:val="single" w:color="000000" w:sz="4"/>
                  </w:tcBorders>
                </w:tcP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采山坪作业区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436.96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436.96</w:t>
                  </w:r>
                </w:p>
              </w:tc>
            </w:tr>
            <w:tr>
              <w:tc>
                <w:tcPr>
                  <w:tcW w:type="dxa" w:w="1400"/>
                  <w:vMerge/>
                  <w:tcBorders>
                    <w:top w:val="none" w:color="000000" w:sz="4"/>
                    <w:left w:val="single" w:color="000000" w:sz="4"/>
                    <w:bottom w:val="single" w:color="000000" w:sz="4"/>
                    <w:right w:val="single" w:color="000000" w:sz="4"/>
                  </w:tcBorders>
                </w:tcP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半边山作业区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125.86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125.86</w:t>
                  </w:r>
                </w:p>
              </w:tc>
            </w:tr>
            <w:tr>
              <w:tc>
                <w:tcPr>
                  <w:tcW w:type="dxa" w:w="1400"/>
                  <w:vMerge/>
                  <w:tcBorders>
                    <w:top w:val="none" w:color="000000" w:sz="4"/>
                    <w:left w:val="single" w:color="000000" w:sz="4"/>
                    <w:bottom w:val="single" w:color="000000" w:sz="4"/>
                    <w:right w:val="single" w:color="000000" w:sz="4"/>
                  </w:tcBorders>
                </w:tcP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刁连沟作业区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954.47</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954.47</w:t>
                  </w:r>
                </w:p>
              </w:tc>
            </w:tr>
            <w:tr>
              <w:tc>
                <w:tcPr>
                  <w:tcW w:type="dxa" w:w="1400"/>
                  <w:vMerge/>
                  <w:tcBorders>
                    <w:top w:val="none" w:color="000000" w:sz="4"/>
                    <w:left w:val="single" w:color="000000" w:sz="4"/>
                    <w:bottom w:val="single" w:color="000000" w:sz="4"/>
                    <w:right w:val="single" w:color="000000" w:sz="4"/>
                  </w:tcBorders>
                </w:tcP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关脚作业区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519.92</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519.92</w:t>
                  </w:r>
                </w:p>
              </w:tc>
            </w:tr>
            <w:tr>
              <w:tc>
                <w:tcPr>
                  <w:tcW w:type="dxa" w:w="1400"/>
                  <w:vMerge/>
                  <w:tcBorders>
                    <w:top w:val="none" w:color="000000" w:sz="4"/>
                    <w:left w:val="single" w:color="000000" w:sz="4"/>
                    <w:bottom w:val="single" w:color="000000" w:sz="4"/>
                    <w:right w:val="single" w:color="000000" w:sz="4"/>
                  </w:tcBorders>
                </w:tcP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农庄作业区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1019.67</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1019.67</w:t>
                  </w:r>
                </w:p>
              </w:tc>
            </w:tr>
          </w:tbl>
          <w:p>
            <w:pPr>
              <w:pStyle w:val="null3"/>
              <w:jc w:val="left"/>
            </w:pPr>
            <w:r>
              <w:rPr>
                <w:rFonts w:ascii="仿宋_GB2312" w:hAnsi="仿宋_GB2312" w:cs="仿宋_GB2312" w:eastAsia="仿宋_GB2312"/>
                <w:sz w:val="24"/>
              </w:rPr>
              <w:t xml:space="preserve"> 以及全国森林可持续经营项目叙永县国有林场2024年度实施方案的其他要求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四川叙永县国有林场采购项目涉及地点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1、项目完工经验收合格向财政部门申请资金支付批复后，达到付款条件起10日内，支付合同总金额的100.00%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按采购文件和相关文件要求</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评审因素要求（仅作为评审因素，无需单独响应）：1、供应商需针对本项目提供实施方案：①劳动力组织；②设备投入；③安全管理措施；④抚育质量保证措施；2、供应商需针对本项目提供管理制度：①项目管理机构图；②人员分工；③ 日常管理制度；④考核办法；3、供应商需针对本项目提供环境保护方案：①生物多样性保护方案；②水土保持方案；4、进度安排计划：①进度安排；②进度管理；③进度保障措施；④进度控制职责；⑤相应的协调措施；5、供应商需针对本项目提供应急预案：①森林防火应急预案；②病虫害防控措施；③突发事件预案；6、供应商需针对本项目提供后续服务方案：①后续服务人员安排；②后续服务范围；③响应时间；④后期跟踪服务承诺；7、具有一定的人员配置。 二、国家或行业主管部门对采购产品的技术标准、质量标准和资格资质条件等有强制性规定的，必须符合其要求。如本项目文件中描述的法律法规或规范性文件或国家行业标准过期失效，在响应文件中以及合同履约过程中均以国家最新标准为准。采购人不再对文件进行修改或补充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 若为事业法人：提供“统一社会信用代码法人登记证书”；③若为其他组织：提供“对应主管部门颁发的准许执业证明文件或营业执照”；④若为自然人：提供“身份证明材料”。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本项提供的证明材料为下列4项任意一项：1、供应商或提供截至响应文件提交截止之日前三年内任意一年，经审计的财务报告（包含审计报告和审计报告中所涉及的财务报表和报表附注）或者银行出具的资信证明。 2、未经审计的提供财务报告（包括资产负债表、利润表、现金流量表、所有者权益变动表及其附注）。 3、供应商注册时间截至响应文件提交截止之日前不足一年的，提供在相关主管部门备案的公司章程。4、提供承诺函：承诺建立了健全的财务会计制度。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 技术要求</w:t>
            </w:r>
          </w:p>
        </w:tc>
        <w:tc>
          <w:tcPr>
            <w:tcW w:type="dxa" w:w="3322"/>
          </w:tcPr>
          <w:p>
            <w:pPr>
              <w:pStyle w:val="null3"/>
              <w:jc w:val="left"/>
            </w:pPr>
            <w:r>
              <w:rPr>
                <w:rFonts w:ascii="仿宋_GB2312" w:hAnsi="仿宋_GB2312" w:cs="仿宋_GB2312" w:eastAsia="仿宋_GB2312"/>
              </w:rPr>
              <w:t>采购文件第三章3.2技术要求中标注“★”的参数需求为实质性要求，不允许负偏离，否则视为无效投标。</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 服务要求</w:t>
            </w:r>
          </w:p>
        </w:tc>
        <w:tc>
          <w:tcPr>
            <w:tcW w:type="dxa" w:w="3322"/>
          </w:tcPr>
          <w:p>
            <w:pPr>
              <w:pStyle w:val="null3"/>
              <w:jc w:val="left"/>
            </w:pPr>
            <w:r>
              <w:rPr>
                <w:rFonts w:ascii="仿宋_GB2312" w:hAnsi="仿宋_GB2312" w:cs="仿宋_GB2312" w:eastAsia="仿宋_GB2312"/>
              </w:rPr>
              <w:t>采购文件第三章3.3.服务要求中带“★”的为实质性要求，不允许负偏离，否则视为无效投标。</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根据投标人提供的实施方案进行评审，内容包括：①劳动力组织；②设备投入；③安全管理措施；④抚育质量保证措施。 实施方案大纲包含上述4个方面内容且完全满足采购需求得20分，内容每缺一项扣5分；每有一项存在缺陷扣2.5分【注：缺陷是指下列8点中的任意1点：1.项目名称错误；2.实施地点错误；3.涉及的规范、标准与本项目要求不一致；4.进度计划超期；5.存在与本项目无关的内容描述；6.陈述事实虚假；7.内容前后不一致以及内容过于简单无实质性内容；8.套用其他项目的方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根据投标人提供的管理制度进行评审，内容包括：①项目管理机构图；②人员分工；③ 日常管理制度；④考核办法。 管理制度包含上述4个方面内容且完全满足采购需求得4分，内容每缺一项扣1分；每有一项存在缺陷扣0.5分【注：缺陷是指下列8点中的任意1点：1.项目名称错误；2.实施地点错误；3.涉及的规范、标准与本项目要求不一致；4.进度计划超期；5.存在与本项目无关的内容描述；6.陈述事实虚假；7.内容前后不一致以及内容过于简单无实质性内容；8.套用其他项目的方案】</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环境保护方案</w:t>
            </w:r>
          </w:p>
        </w:tc>
        <w:tc>
          <w:tcPr>
            <w:tcW w:type="dxa" w:w="2575"/>
          </w:tcPr>
          <w:p>
            <w:pPr>
              <w:pStyle w:val="null3"/>
              <w:jc w:val="left"/>
            </w:pPr>
            <w:r>
              <w:rPr>
                <w:rFonts w:ascii="仿宋_GB2312" w:hAnsi="仿宋_GB2312" w:cs="仿宋_GB2312" w:eastAsia="仿宋_GB2312"/>
              </w:rPr>
              <w:t>根据投标人提供的环境保护方案进行评审，内容包括：①生物多样性保护方案；②水土保持方案。 环境保护方案包含上述2个方面内容且完全满足采购需求得6分，内容每缺一项扣3分；每有一项存在缺陷扣1.5分【注：缺陷是指下列8点中的任意1点：1.项目名称错误；2.实施地点错误；3.涉及的规范、标准与本项目要求不一致；4.进度计划超期；5.存在与本项目无关的内容描述；6.陈述事实虚假；7.内容前后不一致以及内容过于简单无实质性内容；8.套用其他项目的方案】。扣完为止，未提供方案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进度安排计划</w:t>
            </w:r>
          </w:p>
        </w:tc>
        <w:tc>
          <w:tcPr>
            <w:tcW w:type="dxa" w:w="2575"/>
          </w:tcPr>
          <w:p>
            <w:pPr>
              <w:pStyle w:val="null3"/>
              <w:jc w:val="left"/>
            </w:pPr>
            <w:r>
              <w:rPr>
                <w:rFonts w:ascii="仿宋_GB2312" w:hAnsi="仿宋_GB2312" w:cs="仿宋_GB2312" w:eastAsia="仿宋_GB2312"/>
              </w:rPr>
              <w:t>根据投标人提供的进度安排计划进行评审，内容包括：①进度安排；②进度管理；③进度保障措施；④进度控制职责；⑤相应的协调措施。 进度安排计划包含上述5个方面内容且完全满足采购需求得20分，内容每缺一项扣4分；每有一项存在缺陷扣2分【注：缺陷是指下列8点中的任意1点：1.项目名称错误；2.实施地点错误；3.涉及的规范、标准与本项目要求不一致；4.进度计划超期；5.存在与本项目无关的内容描述；6.陈述事实虚假；7.内容前后不一致以及内容过于简单无实质性内容；8.套用其他项目的方案】。扣完为止，未提供方案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根据投标人提供的应急预案进行评审，内容包括：①森林防火应急预案；②病虫害防控措施；③突发事件预案。 应急预案包含上述3个方面内容且完全满足采购需求得12分，内容每缺一项扣4分；每有一项存在缺陷扣2分【注：缺陷是指下列8点中的任意1点：1.项目名称错误；2.实施地点错误；3.涉及的规范、标准与本项目要求不一致；4.进度计划超期；5.存在与本项目无关的内容描述；6.陈述事实虚假；7.内容前后不一致以及内容过于简单无实质性内容；8.套用其他项目的方案】。扣完为止，未提供方案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根据投标人提供的后续服务方案进行评审，内容包括：①后续服务人员安排；②后续服务范围；③响应时间；④后期跟踪服务承诺。 后续服务方案包含上述4个方面内容且完全满足采购需求得16分，内容每缺一项扣4分；每有一项存在缺陷扣2分【注：缺陷是指下列8点中的任意1点：1.项目名称错误；2.实施地点错误；3.涉及的规范、标准与本项目要求不一致；4.进度计划超期；5.存在与本项目无关的内容描述；6.陈述事实虚假；7.内容前后不一致以及内容过于简单无实质性内容；8.套用其他项目的方案】。扣完为止，未提供方案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经理：具有林业类高级及以上技术职称得6分，具有林业类中级技术职称3分。具有林业类初级技术职称1分（2）技术负责人：具有林业类高级及以上技术职称得6分，具有林业类中级技术职称3分，具有林业类初级技术职称1分。 注：以上人员不重复得分。提供相关证书扫描件和在职证明材料，否则不予认可。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详见附件：供应商需提供的评分标准内容.docx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