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tabs>
          <w:tab w:val="left" w:pos="2368"/>
        </w:tabs>
        <w:kinsoku/>
        <w:wordWrap/>
        <w:overflowPunct/>
        <w:topLinePunct w:val="0"/>
        <w:autoSpaceDE/>
        <w:autoSpaceDN/>
        <w:bidi w:val="0"/>
        <w:adjustRightInd/>
        <w:snapToGrid/>
        <w:spacing w:line="680" w:lineRule="exact"/>
        <w:jc w:val="center"/>
        <w:textAlignment w:val="auto"/>
        <w:rPr>
          <w:rFonts w:hint="eastAsia" w:ascii="宋体" w:eastAsia="宋体"/>
          <w:bCs w:val="0"/>
          <w:color w:val="auto"/>
          <w:sz w:val="36"/>
        </w:rPr>
      </w:pPr>
      <w:r>
        <w:rPr>
          <w:rFonts w:hint="eastAsia" w:ascii="宋体" w:hAnsi="宋体" w:eastAsia="宋体" w:cs="宋体"/>
          <w:bCs w:val="0"/>
          <w:color w:val="auto"/>
          <w:sz w:val="44"/>
          <w:szCs w:val="44"/>
        </w:rPr>
        <w:t>第一章  询价邀请</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jc w:val="left"/>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u w:val="single"/>
          <w:lang w:eastAsia="zh-CN"/>
        </w:rPr>
        <w:t>四川鑫浩招标代理有限公司</w:t>
      </w:r>
      <w:r>
        <w:rPr>
          <w:rFonts w:hint="eastAsia" w:ascii="仿宋" w:hAnsi="仿宋" w:eastAsia="仿宋" w:cs="仿宋"/>
          <w:color w:val="auto"/>
          <w:sz w:val="32"/>
          <w:szCs w:val="32"/>
        </w:rPr>
        <w:t>（采购代理机构）受</w:t>
      </w:r>
      <w:r>
        <w:rPr>
          <w:rFonts w:hint="eastAsia" w:ascii="仿宋" w:hAnsi="仿宋" w:eastAsia="仿宋" w:cs="仿宋"/>
          <w:b/>
          <w:bCs/>
          <w:color w:val="auto"/>
          <w:sz w:val="32"/>
          <w:szCs w:val="32"/>
          <w:u w:val="single"/>
          <w:lang w:eastAsia="zh-CN"/>
        </w:rPr>
        <w:t>四川省南江春晖土地开发建设有限公司</w:t>
      </w:r>
      <w:r>
        <w:rPr>
          <w:rFonts w:hint="eastAsia" w:ascii="仿宋" w:hAnsi="仿宋" w:eastAsia="仿宋" w:cs="仿宋"/>
          <w:bCs/>
          <w:color w:val="auto"/>
          <w:sz w:val="32"/>
          <w:szCs w:val="32"/>
        </w:rPr>
        <w:t>（采购人）</w:t>
      </w:r>
      <w:r>
        <w:rPr>
          <w:rFonts w:hint="eastAsia" w:ascii="仿宋" w:hAnsi="仿宋" w:eastAsia="仿宋" w:cs="仿宋"/>
          <w:color w:val="auto"/>
          <w:sz w:val="32"/>
          <w:szCs w:val="32"/>
        </w:rPr>
        <w:t>委托，拟对</w:t>
      </w:r>
      <w:r>
        <w:rPr>
          <w:rFonts w:hint="eastAsia" w:ascii="仿宋" w:hAnsi="仿宋" w:eastAsia="仿宋" w:cs="仿宋"/>
          <w:b/>
          <w:bCs/>
          <w:color w:val="auto"/>
          <w:sz w:val="32"/>
          <w:szCs w:val="32"/>
          <w:u w:val="single"/>
          <w:lang w:eastAsia="zh-CN"/>
        </w:rPr>
        <w:t>南江县</w:t>
      </w:r>
      <w:r>
        <w:rPr>
          <w:rFonts w:hint="eastAsia" w:ascii="仿宋" w:hAnsi="仿宋" w:eastAsia="仿宋" w:cs="仿宋"/>
          <w:b/>
          <w:bCs/>
          <w:color w:val="auto"/>
          <w:sz w:val="32"/>
          <w:szCs w:val="32"/>
          <w:u w:val="single"/>
          <w:lang w:val="en-US" w:eastAsia="zh-CN"/>
        </w:rPr>
        <w:t>浙</w:t>
      </w:r>
      <w:r>
        <w:rPr>
          <w:rFonts w:hint="eastAsia" w:ascii="仿宋" w:hAnsi="仿宋" w:eastAsia="仿宋" w:cs="仿宋"/>
          <w:b/>
          <w:bCs/>
          <w:color w:val="auto"/>
          <w:sz w:val="32"/>
          <w:szCs w:val="32"/>
          <w:u w:val="single"/>
          <w:lang w:eastAsia="zh-CN"/>
        </w:rPr>
        <w:t>川东西部协作（东阳-南江）健康食品产业园配套建设项目</w:t>
      </w:r>
      <w:r>
        <w:rPr>
          <w:rFonts w:hint="eastAsia" w:ascii="仿宋" w:hAnsi="仿宋" w:eastAsia="仿宋" w:cs="仿宋"/>
          <w:b/>
          <w:bCs/>
          <w:color w:val="auto"/>
          <w:sz w:val="32"/>
          <w:szCs w:val="32"/>
          <w:u w:val="single"/>
          <w:lang w:val="en-US" w:eastAsia="zh-CN"/>
        </w:rPr>
        <w:t>混凝土采购</w:t>
      </w:r>
      <w:r>
        <w:rPr>
          <w:rFonts w:hint="eastAsia" w:ascii="仿宋" w:hAnsi="仿宋" w:eastAsia="仿宋" w:cs="仿宋"/>
          <w:color w:val="auto"/>
          <w:sz w:val="32"/>
          <w:szCs w:val="32"/>
        </w:rPr>
        <w:t>采用询价方式进行采购，特邀请符合本次采购要求的供应商参加报价。</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黑体" w:hAnsi="黑体" w:eastAsia="黑体" w:cs="黑体"/>
          <w:b/>
          <w:color w:val="auto"/>
          <w:sz w:val="32"/>
          <w:szCs w:val="32"/>
        </w:rPr>
      </w:pPr>
      <w:r>
        <w:rPr>
          <w:rFonts w:hint="eastAsia" w:ascii="黑体" w:hAnsi="黑体" w:eastAsia="黑体" w:cs="黑体"/>
          <w:b/>
          <w:color w:val="auto"/>
          <w:sz w:val="32"/>
          <w:szCs w:val="32"/>
        </w:rPr>
        <w:t>一、采购项目基本情况：</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auto"/>
          <w:sz w:val="32"/>
          <w:szCs w:val="32"/>
          <w:u w:val="none"/>
        </w:rPr>
      </w:pPr>
      <w:r>
        <w:rPr>
          <w:rFonts w:hint="eastAsia" w:ascii="仿宋" w:hAnsi="仿宋" w:eastAsia="仿宋" w:cs="仿宋"/>
          <w:color w:val="auto"/>
          <w:sz w:val="32"/>
          <w:szCs w:val="32"/>
        </w:rPr>
        <w:t>1.项</w:t>
      </w:r>
      <w:r>
        <w:rPr>
          <w:rFonts w:hint="eastAsia" w:ascii="仿宋" w:hAnsi="仿宋" w:eastAsia="仿宋" w:cs="仿宋"/>
          <w:color w:val="auto"/>
          <w:sz w:val="32"/>
          <w:szCs w:val="32"/>
          <w:u w:val="none"/>
        </w:rPr>
        <w:t>目编号：</w:t>
      </w:r>
      <w:r>
        <w:rPr>
          <w:rFonts w:hint="eastAsia" w:ascii="仿宋" w:hAnsi="仿宋" w:eastAsia="仿宋" w:cs="仿宋"/>
          <w:b/>
          <w:bCs/>
          <w:color w:val="auto"/>
          <w:sz w:val="32"/>
          <w:szCs w:val="32"/>
          <w:u w:val="single"/>
          <w:lang w:val="zh-CN" w:eastAsia="zh-CN" w:bidi="ar-SA"/>
        </w:rPr>
        <w:t>四川鑫浩（企）采询（2023）09号</w:t>
      </w:r>
    </w:p>
    <w:p>
      <w:pPr>
        <w:keepNext w:val="0"/>
        <w:keepLines w:val="0"/>
        <w:pageBreakBefore w:val="0"/>
        <w:widowControl w:val="0"/>
        <w:kinsoku/>
        <w:wordWrap/>
        <w:overflowPunct/>
        <w:topLinePunct w:val="0"/>
        <w:autoSpaceDE/>
        <w:autoSpaceDN/>
        <w:bidi w:val="0"/>
        <w:adjustRightInd/>
        <w:snapToGrid/>
        <w:spacing w:line="580" w:lineRule="exact"/>
        <w:ind w:left="319" w:leftChars="152" w:firstLine="320" w:firstLineChars="100"/>
        <w:textAlignment w:val="auto"/>
        <w:rPr>
          <w:rFonts w:hint="default" w:ascii="仿宋" w:hAnsi="仿宋" w:eastAsia="仿宋" w:cs="仿宋"/>
          <w:b/>
          <w:bCs/>
          <w:color w:val="auto"/>
          <w:sz w:val="32"/>
          <w:szCs w:val="32"/>
          <w:u w:val="single"/>
          <w:lang w:val="en-US" w:eastAsia="zh-CN"/>
        </w:rPr>
      </w:pPr>
      <w:r>
        <w:rPr>
          <w:rFonts w:hint="eastAsia" w:ascii="仿宋" w:hAnsi="仿宋" w:eastAsia="仿宋" w:cs="仿宋"/>
          <w:b w:val="0"/>
          <w:bCs w:val="0"/>
          <w:color w:val="auto"/>
          <w:sz w:val="32"/>
          <w:szCs w:val="32"/>
          <w:u w:val="none"/>
          <w:lang w:eastAsia="zh-CN"/>
        </w:rPr>
        <w:t>2.采购项目名称：</w:t>
      </w:r>
      <w:r>
        <w:rPr>
          <w:rFonts w:hint="eastAsia" w:ascii="仿宋" w:hAnsi="仿宋" w:eastAsia="仿宋" w:cs="仿宋"/>
          <w:b/>
          <w:bCs/>
          <w:color w:val="auto"/>
          <w:sz w:val="32"/>
          <w:szCs w:val="32"/>
          <w:u w:val="single"/>
          <w:lang w:eastAsia="zh-CN"/>
        </w:rPr>
        <w:t>南江县</w:t>
      </w:r>
      <w:r>
        <w:rPr>
          <w:rFonts w:hint="eastAsia" w:ascii="仿宋" w:hAnsi="仿宋" w:eastAsia="仿宋" w:cs="仿宋"/>
          <w:b/>
          <w:bCs/>
          <w:color w:val="auto"/>
          <w:sz w:val="32"/>
          <w:szCs w:val="32"/>
          <w:u w:val="single"/>
          <w:lang w:val="en-US" w:eastAsia="zh-CN"/>
        </w:rPr>
        <w:t>浙</w:t>
      </w:r>
      <w:r>
        <w:rPr>
          <w:rFonts w:hint="eastAsia" w:ascii="仿宋" w:hAnsi="仿宋" w:eastAsia="仿宋" w:cs="仿宋"/>
          <w:b/>
          <w:bCs/>
          <w:color w:val="auto"/>
          <w:sz w:val="32"/>
          <w:szCs w:val="32"/>
          <w:u w:val="single"/>
          <w:lang w:eastAsia="zh-CN"/>
        </w:rPr>
        <w:t>川东西部协作（东阳-南江）健康食品产业园配套建设项目</w:t>
      </w:r>
      <w:r>
        <w:rPr>
          <w:rFonts w:hint="eastAsia" w:ascii="仿宋" w:hAnsi="仿宋" w:eastAsia="仿宋" w:cs="仿宋"/>
          <w:b/>
          <w:bCs/>
          <w:color w:val="auto"/>
          <w:sz w:val="32"/>
          <w:szCs w:val="32"/>
          <w:u w:val="single"/>
          <w:lang w:val="en-US" w:eastAsia="zh-CN"/>
        </w:rPr>
        <w:t>混凝土采购</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b/>
          <w:bCs/>
          <w:color w:val="auto"/>
          <w:sz w:val="32"/>
          <w:szCs w:val="32"/>
          <w:u w:val="single"/>
          <w:lang w:eastAsia="zh-CN"/>
        </w:rPr>
      </w:pPr>
      <w:r>
        <w:rPr>
          <w:rFonts w:hint="eastAsia" w:ascii="仿宋" w:hAnsi="仿宋" w:eastAsia="仿宋" w:cs="仿宋"/>
          <w:color w:val="auto"/>
          <w:sz w:val="32"/>
          <w:szCs w:val="32"/>
        </w:rPr>
        <w:t>3.采购人</w:t>
      </w:r>
      <w:r>
        <w:rPr>
          <w:rFonts w:hint="eastAsia" w:ascii="仿宋" w:hAnsi="仿宋" w:eastAsia="仿宋" w:cs="仿宋"/>
          <w:color w:val="auto"/>
          <w:sz w:val="32"/>
          <w:szCs w:val="32"/>
          <w:u w:val="none"/>
        </w:rPr>
        <w:t>：</w:t>
      </w:r>
      <w:r>
        <w:rPr>
          <w:rFonts w:hint="eastAsia" w:ascii="仿宋" w:hAnsi="仿宋" w:eastAsia="仿宋" w:cs="仿宋"/>
          <w:b/>
          <w:bCs/>
          <w:color w:val="auto"/>
          <w:sz w:val="32"/>
          <w:szCs w:val="32"/>
          <w:u w:val="single"/>
          <w:lang w:eastAsia="zh-CN"/>
        </w:rPr>
        <w:t>四川省南江春晖土地开发建设有限公司</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hAnsi="仿宋" w:eastAsia="仿宋" w:cs="仿宋"/>
          <w:color w:val="auto"/>
          <w:sz w:val="32"/>
          <w:szCs w:val="32"/>
          <w:u w:val="single"/>
          <w:lang w:eastAsia="zh-CN"/>
        </w:rPr>
      </w:pPr>
      <w:r>
        <w:rPr>
          <w:rFonts w:hint="eastAsia" w:ascii="仿宋" w:hAnsi="仿宋" w:eastAsia="仿宋" w:cs="仿宋"/>
          <w:color w:val="auto"/>
          <w:sz w:val="32"/>
          <w:szCs w:val="32"/>
          <w:u w:val="none"/>
        </w:rPr>
        <w:t>4.采购代理机构：</w:t>
      </w:r>
      <w:r>
        <w:rPr>
          <w:rFonts w:hint="eastAsia" w:ascii="仿宋" w:hAnsi="仿宋" w:eastAsia="仿宋" w:cs="仿宋"/>
          <w:b/>
          <w:bCs/>
          <w:color w:val="auto"/>
          <w:sz w:val="32"/>
          <w:szCs w:val="32"/>
          <w:u w:val="single"/>
          <w:lang w:eastAsia="zh-CN"/>
        </w:rPr>
        <w:t>四川鑫浩招标代理有限公司</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黑体" w:hAnsi="黑体" w:eastAsia="黑体" w:cs="黑体"/>
          <w:b/>
          <w:color w:val="auto"/>
          <w:sz w:val="32"/>
          <w:szCs w:val="32"/>
          <w:u w:val="none"/>
        </w:rPr>
      </w:pPr>
      <w:r>
        <w:rPr>
          <w:rFonts w:hint="eastAsia" w:ascii="黑体" w:hAnsi="黑体" w:eastAsia="黑体" w:cs="黑体"/>
          <w:b/>
          <w:color w:val="auto"/>
          <w:sz w:val="32"/>
          <w:szCs w:val="32"/>
          <w:u w:val="none"/>
        </w:rPr>
        <w:t>二、资金情况：</w:t>
      </w:r>
    </w:p>
    <w:p>
      <w:pPr>
        <w:keepNext w:val="0"/>
        <w:keepLines w:val="0"/>
        <w:pageBreakBefore w:val="0"/>
        <w:widowControl w:val="0"/>
        <w:kinsoku/>
        <w:wordWrap/>
        <w:overflowPunct/>
        <w:topLinePunct w:val="0"/>
        <w:autoSpaceDE/>
        <w:autoSpaceDN/>
        <w:bidi w:val="0"/>
        <w:adjustRightInd/>
        <w:snapToGrid/>
        <w:spacing w:line="580" w:lineRule="exact"/>
        <w:ind w:right="31" w:rightChars="15" w:firstLine="640" w:firstLineChars="2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rPr>
        <w:t>预算金额：</w:t>
      </w:r>
      <w:r>
        <w:rPr>
          <w:rFonts w:hint="default" w:ascii="Arial" w:hAnsi="Arial" w:eastAsia="仿宋" w:cs="Arial"/>
          <w:color w:val="000000"/>
          <w:spacing w:val="-17"/>
          <w:sz w:val="28"/>
          <w:szCs w:val="28"/>
          <w:highlight w:val="none"/>
          <w:lang w:val="en-US" w:eastAsia="zh-CN"/>
        </w:rPr>
        <w:t>¥</w:t>
      </w:r>
      <w:r>
        <w:rPr>
          <w:rFonts w:hint="eastAsia" w:ascii="仿宋" w:hAnsi="仿宋" w:eastAsia="仿宋" w:cs="仿宋"/>
          <w:color w:val="auto"/>
          <w:sz w:val="32"/>
          <w:szCs w:val="32"/>
          <w:u w:val="single"/>
          <w:lang w:val="en-US" w:eastAsia="zh-CN"/>
        </w:rPr>
        <w:t>2355050</w:t>
      </w:r>
      <w:r>
        <w:rPr>
          <w:rFonts w:hint="eastAsia" w:ascii="仿宋" w:hAnsi="仿宋" w:eastAsia="仿宋" w:cs="仿宋"/>
          <w:color w:val="auto"/>
          <w:sz w:val="32"/>
          <w:szCs w:val="32"/>
          <w:lang w:val="en-US" w:eastAsia="zh-CN"/>
        </w:rPr>
        <w:t>元（</w:t>
      </w:r>
      <w:r>
        <w:rPr>
          <w:rFonts w:hint="eastAsia" w:ascii="仿宋" w:hAnsi="仿宋" w:eastAsia="仿宋" w:cs="仿宋"/>
          <w:color w:val="auto"/>
          <w:sz w:val="32"/>
          <w:szCs w:val="32"/>
          <w:lang w:val="zh-CN"/>
        </w:rPr>
        <w:t>大写：</w:t>
      </w:r>
      <w:r>
        <w:rPr>
          <w:rFonts w:hint="eastAsia" w:ascii="仿宋" w:hAnsi="仿宋" w:eastAsia="仿宋" w:cs="仿宋"/>
          <w:color w:val="auto"/>
          <w:sz w:val="32"/>
          <w:szCs w:val="32"/>
          <w:lang w:val="en-US" w:eastAsia="zh-CN"/>
        </w:rPr>
        <w:t>贰佰叁拾伍万伍仟零伍拾元整）</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黑体" w:hAnsi="黑体" w:eastAsia="黑体" w:cs="黑体"/>
          <w:b/>
          <w:color w:val="auto"/>
          <w:sz w:val="32"/>
          <w:szCs w:val="32"/>
          <w:u w:val="none"/>
        </w:rPr>
      </w:pPr>
      <w:r>
        <w:rPr>
          <w:rFonts w:hint="eastAsia" w:ascii="黑体" w:hAnsi="黑体" w:eastAsia="黑体" w:cs="黑体"/>
          <w:b/>
          <w:color w:val="auto"/>
          <w:sz w:val="32"/>
          <w:szCs w:val="32"/>
          <w:u w:val="none"/>
        </w:rPr>
        <w:t>三、采购项目简介：</w:t>
      </w:r>
    </w:p>
    <w:p>
      <w:pPr>
        <w:keepNext w:val="0"/>
        <w:keepLines w:val="0"/>
        <w:pageBreakBefore w:val="0"/>
        <w:widowControl w:val="0"/>
        <w:kinsoku/>
        <w:wordWrap/>
        <w:overflowPunct/>
        <w:topLinePunct w:val="0"/>
        <w:autoSpaceDE/>
        <w:autoSpaceDN/>
        <w:bidi w:val="0"/>
        <w:adjustRightInd/>
        <w:snapToGrid/>
        <w:spacing w:line="580" w:lineRule="exact"/>
        <w:ind w:right="31" w:rightChars="15"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详见询价通知书第五章。</w:t>
      </w:r>
    </w:p>
    <w:p>
      <w:pPr>
        <w:keepNext w:val="0"/>
        <w:keepLines w:val="0"/>
        <w:pageBreakBefore w:val="0"/>
        <w:widowControl w:val="0"/>
        <w:kinsoku/>
        <w:wordWrap/>
        <w:overflowPunct/>
        <w:topLinePunct w:val="0"/>
        <w:autoSpaceDE/>
        <w:autoSpaceDN/>
        <w:bidi w:val="0"/>
        <w:adjustRightInd/>
        <w:snapToGrid/>
        <w:spacing w:after="120" w:line="580" w:lineRule="exact"/>
        <w:ind w:firstLine="643" w:firstLineChars="200"/>
        <w:textAlignment w:val="auto"/>
        <w:rPr>
          <w:rFonts w:hint="eastAsia" w:ascii="黑体" w:hAnsi="黑体" w:eastAsia="黑体" w:cs="黑体"/>
          <w:b/>
          <w:bCs/>
          <w:color w:val="auto"/>
          <w:sz w:val="32"/>
          <w:szCs w:val="32"/>
        </w:rPr>
      </w:pPr>
      <w:r>
        <w:rPr>
          <w:rFonts w:hint="eastAsia" w:ascii="黑体" w:hAnsi="黑体" w:eastAsia="黑体" w:cs="黑体"/>
          <w:b/>
          <w:bCs/>
          <w:color w:val="auto"/>
          <w:sz w:val="32"/>
          <w:szCs w:val="32"/>
        </w:rPr>
        <w:t>四、供应商邀请方式</w:t>
      </w:r>
    </w:p>
    <w:p>
      <w:pPr>
        <w:adjustRightInd/>
        <w:spacing w:line="460" w:lineRule="exact"/>
        <w:ind w:firstLine="560" w:firstLineChars="200"/>
        <w:jc w:val="left"/>
        <w:textAlignment w:val="auto"/>
        <w:rPr>
          <w:rFonts w:hint="eastAsia" w:ascii="仿宋" w:hAnsi="仿宋" w:eastAsia="仿宋" w:cs="仿宋"/>
          <w:bCs/>
          <w:color w:val="000000"/>
          <w:kern w:val="0"/>
          <w:sz w:val="28"/>
          <w:szCs w:val="28"/>
        </w:rPr>
      </w:pPr>
      <w:r>
        <w:rPr>
          <w:rFonts w:hint="eastAsia" w:ascii="仿宋" w:hAnsi="仿宋" w:eastAsia="仿宋" w:cs="仿宋"/>
          <w:bCs/>
          <w:color w:val="000000"/>
          <w:kern w:val="0"/>
          <w:sz w:val="28"/>
          <w:szCs w:val="28"/>
        </w:rPr>
        <w:t>公告方式：本次询价邀请在</w:t>
      </w:r>
      <w:r>
        <w:rPr>
          <w:rFonts w:hint="eastAsia" w:ascii="仿宋" w:hAnsi="仿宋" w:eastAsia="仿宋" w:cs="仿宋"/>
          <w:bCs/>
          <w:color w:val="000000"/>
          <w:kern w:val="0"/>
          <w:sz w:val="28"/>
          <w:szCs w:val="28"/>
          <w:lang w:eastAsia="zh-CN"/>
        </w:rPr>
        <w:t>中国政府采购网</w:t>
      </w:r>
      <w:r>
        <w:rPr>
          <w:rFonts w:hint="eastAsia" w:ascii="仿宋" w:hAnsi="仿宋" w:eastAsia="仿宋" w:cs="仿宋"/>
          <w:bCs/>
          <w:color w:val="000000"/>
          <w:kern w:val="0"/>
          <w:sz w:val="28"/>
          <w:szCs w:val="28"/>
        </w:rPr>
        <w:t>上以公告形式发布，并发放询价文件，不得更改询价文件的内容，凡擅自更改造成的后果自负。</w:t>
      </w:r>
    </w:p>
    <w:p>
      <w:pPr>
        <w:keepNext w:val="0"/>
        <w:keepLines w:val="0"/>
        <w:pageBreakBefore w:val="0"/>
        <w:widowControl w:val="0"/>
        <w:kinsoku/>
        <w:wordWrap/>
        <w:overflowPunct/>
        <w:topLinePunct w:val="0"/>
        <w:autoSpaceDE/>
        <w:autoSpaceDN/>
        <w:bidi w:val="0"/>
        <w:adjustRightInd/>
        <w:snapToGrid/>
        <w:spacing w:after="120" w:line="580" w:lineRule="exact"/>
        <w:ind w:firstLine="643" w:firstLineChars="200"/>
        <w:textAlignment w:val="auto"/>
        <w:rPr>
          <w:rFonts w:hint="eastAsia" w:ascii="黑体" w:hAnsi="黑体" w:eastAsia="黑体" w:cs="黑体"/>
          <w:b/>
          <w:bCs/>
          <w:color w:val="auto"/>
          <w:sz w:val="32"/>
          <w:szCs w:val="32"/>
        </w:rPr>
      </w:pPr>
      <w:r>
        <w:rPr>
          <w:rFonts w:hint="eastAsia" w:ascii="黑体" w:hAnsi="黑体" w:eastAsia="黑体" w:cs="黑体"/>
          <w:b/>
          <w:bCs/>
          <w:color w:val="auto"/>
          <w:sz w:val="32"/>
          <w:szCs w:val="32"/>
        </w:rPr>
        <w:t>五、供应商参加本次政府采购活动应具备下列条件：</w:t>
      </w:r>
    </w:p>
    <w:p>
      <w:pPr>
        <w:pStyle w:val="12"/>
        <w:keepNext w:val="0"/>
        <w:keepLines w:val="0"/>
        <w:pageBreakBefore w:val="0"/>
        <w:widowControl w:val="0"/>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1.具有独立承担民事责任的能力；</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2.具有良好的商业信誉和健全的财务会计制度；</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3.具有履行合同所必须的设备和专业技术能力；</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4.具有依法缴纳税收和社会保障资金的良好记录；</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5.参加本次政府采购活动前三年内，在经营活动中没有重大违法记录；</w:t>
      </w:r>
    </w:p>
    <w:p>
      <w:pPr>
        <w:pStyle w:val="12"/>
        <w:keepNext w:val="0"/>
        <w:keepLines w:val="0"/>
        <w:pageBreakBefore w:val="0"/>
        <w:widowControl w:val="0"/>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6.法律、行政法规规定的其他条件；</w:t>
      </w:r>
    </w:p>
    <w:p>
      <w:pPr>
        <w:keepNext w:val="0"/>
        <w:keepLines w:val="0"/>
        <w:pageBreakBefore w:val="0"/>
        <w:widowControl w:val="0"/>
        <w:kinsoku/>
        <w:wordWrap/>
        <w:overflowPunct/>
        <w:topLinePunct w:val="0"/>
        <w:autoSpaceDE/>
        <w:autoSpaceDN/>
        <w:bidi w:val="0"/>
        <w:adjustRightInd/>
        <w:snapToGrid/>
        <w:spacing w:after="120" w:line="580" w:lineRule="exact"/>
        <w:ind w:firstLine="560" w:firstLineChars="200"/>
        <w:textAlignment w:val="auto"/>
        <w:rPr>
          <w:rFonts w:hint="default"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 xml:space="preserve"> 7.采购人根据采购项目提出的特殊条件:具有提供预拌混凝土专业承包不分等级资质证书。</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黑体" w:hAnsi="黑体" w:eastAsia="黑体" w:cs="黑体"/>
          <w:b/>
          <w:color w:val="auto"/>
          <w:sz w:val="32"/>
          <w:szCs w:val="32"/>
        </w:rPr>
      </w:pPr>
      <w:r>
        <w:rPr>
          <w:rFonts w:hint="eastAsia" w:ascii="黑体" w:hAnsi="黑体" w:eastAsia="黑体" w:cs="黑体"/>
          <w:b/>
          <w:color w:val="auto"/>
          <w:sz w:val="32"/>
          <w:szCs w:val="32"/>
        </w:rPr>
        <w:t>六、严禁参加本次采购活动的供应商</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1.根据《关于在政府采购活动中查询及使用信用记录有关问题的通知》（财库〔2016〕125号）的要求，四川鑫浩招标代理有限公司将通过“信用中国”网站（www.creditchina.gov.cn）、“中国政府采购网”网站（www.ccgp.gov.cn）等渠道查询供应商在采购公告发布之日前的信用记录并保存信用记录结果网页截图，拒绝列入失信被执行人名单、重大税收违法案件当事人名单、政府采购严重违法失信行为记录名单中的供应商报名参加本项目的采购活动（以联合体形式参加本项目采购活动，联合体成员存在不良信用记录的，视同联合体存在不良信用记录）。</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2.为采购项目提供整体设计、规范编制或者项目管理、监理、检测等服务的供应商，不得参加本采购项目。供应商为采购人、采购代理机构在确定采购需求、编制询价通知书过程中提供咨询论证，其提供的咨询论证意见成为询价通知书中规定的供应商资格条件、技术服务商务要求、评审因素和标准、政府采购合同等实质性内容条款的，视同为采购项目提供规范编制。</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黑体" w:hAnsi="黑体" w:eastAsia="黑体" w:cs="黑体"/>
          <w:b/>
          <w:color w:val="auto"/>
          <w:sz w:val="32"/>
          <w:szCs w:val="32"/>
        </w:rPr>
      </w:pPr>
      <w:r>
        <w:rPr>
          <w:rFonts w:hint="eastAsia" w:ascii="黑体" w:hAnsi="黑体" w:eastAsia="黑体" w:cs="黑体"/>
          <w:b/>
          <w:color w:val="auto"/>
          <w:sz w:val="32"/>
          <w:szCs w:val="32"/>
        </w:rPr>
        <w:t>七、询价文件获取方式、时间、地点：</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询价文件</w:t>
      </w:r>
      <w:r>
        <w:rPr>
          <w:rFonts w:hint="eastAsia" w:ascii="仿宋" w:hAnsi="仿宋" w:eastAsia="仿宋" w:cs="仿宋"/>
          <w:bCs/>
          <w:color w:val="000000"/>
          <w:kern w:val="0"/>
          <w:sz w:val="28"/>
          <w:szCs w:val="28"/>
          <w:highlight w:val="none"/>
          <w:lang w:val="en-US" w:eastAsia="zh-CN" w:bidi="ar-SA"/>
        </w:rPr>
        <w:t>自</w:t>
      </w:r>
      <w:r>
        <w:rPr>
          <w:rFonts w:hint="eastAsia" w:ascii="仿宋" w:hAnsi="仿宋" w:eastAsia="仿宋" w:cs="仿宋"/>
          <w:b/>
          <w:bCs w:val="0"/>
          <w:color w:val="000000"/>
          <w:kern w:val="0"/>
          <w:sz w:val="28"/>
          <w:szCs w:val="28"/>
          <w:highlight w:val="none"/>
          <w:lang w:val="en-US" w:eastAsia="zh-CN" w:bidi="ar-SA"/>
        </w:rPr>
        <w:t>2023年08月10日至2023年08月11日上午9:00-12:00；下午14:00-18:00</w:t>
      </w:r>
      <w:r>
        <w:rPr>
          <w:rFonts w:hint="eastAsia" w:ascii="仿宋" w:hAnsi="仿宋" w:eastAsia="仿宋" w:cs="仿宋"/>
          <w:bCs/>
          <w:color w:val="000000"/>
          <w:kern w:val="0"/>
          <w:sz w:val="28"/>
          <w:szCs w:val="28"/>
          <w:highlight w:val="none"/>
          <w:lang w:val="en-US" w:eastAsia="zh-CN" w:bidi="ar-SA"/>
        </w:rPr>
        <w:t>（北</w:t>
      </w:r>
      <w:r>
        <w:rPr>
          <w:rFonts w:hint="eastAsia" w:ascii="仿宋" w:hAnsi="仿宋" w:eastAsia="仿宋" w:cs="仿宋"/>
          <w:bCs/>
          <w:color w:val="000000"/>
          <w:kern w:val="0"/>
          <w:sz w:val="28"/>
          <w:szCs w:val="28"/>
          <w:lang w:val="en-US" w:eastAsia="zh-CN" w:bidi="ar-SA"/>
        </w:rPr>
        <w:t>京时间，法定节假日除外）在 四川鑫浩招标代理有限公司（南江县光雾山大道朝阳段集州步行街（仿古街）124号）获取。</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本项目询价文件有偿获取，询价文件售价：人民币300元/份（询价文件售后不退, 询价资格不能转让）。</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jc w:val="left"/>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fldChar w:fldCharType="begin"/>
      </w:r>
      <w:r>
        <w:rPr>
          <w:rFonts w:hint="eastAsia" w:ascii="仿宋" w:hAnsi="仿宋" w:eastAsia="仿宋" w:cs="仿宋"/>
          <w:bCs/>
          <w:color w:val="000000"/>
          <w:kern w:val="0"/>
          <w:sz w:val="28"/>
          <w:szCs w:val="28"/>
          <w:lang w:val="en-US" w:eastAsia="zh-CN" w:bidi="ar-SA"/>
        </w:rPr>
        <w:instrText xml:space="preserve"> HYPERLINK "mailto:获取询价文件时，供应商为法人或者其他组织的，需提供单位介绍信、经办人身份证明（加盖鲜章）及报名表（见附件）；投标人为自然人的，只需提供本人身份证明复印件及报名表。以上资料现场递交或以邮件的方式将报名资料原件扫描发送至\“476431041@qq.com\”。" </w:instrText>
      </w:r>
      <w:r>
        <w:rPr>
          <w:rFonts w:hint="eastAsia" w:ascii="仿宋" w:hAnsi="仿宋" w:eastAsia="仿宋" w:cs="仿宋"/>
          <w:bCs/>
          <w:color w:val="000000"/>
          <w:kern w:val="0"/>
          <w:sz w:val="28"/>
          <w:szCs w:val="28"/>
          <w:lang w:val="en-US" w:eastAsia="zh-CN" w:bidi="ar-SA"/>
        </w:rPr>
        <w:fldChar w:fldCharType="separate"/>
      </w:r>
      <w:r>
        <w:rPr>
          <w:rStyle w:val="11"/>
          <w:rFonts w:hint="eastAsia" w:ascii="仿宋" w:hAnsi="仿宋" w:eastAsia="仿宋" w:cs="仿宋"/>
          <w:bCs/>
          <w:kern w:val="0"/>
          <w:sz w:val="28"/>
          <w:szCs w:val="28"/>
          <w:lang w:val="en-US" w:eastAsia="zh-CN" w:bidi="ar-SA"/>
        </w:rPr>
        <w:t>获取询价文件时，供应商为法人或者其他组织的，需提供单位介绍信、经办人身份证明（加盖鲜章）及报名表（见附件）、营业执照；投标人为自然人的，只需提供本人身份证明复印件、营业执照及报名表。</w:t>
      </w:r>
      <w:r>
        <w:rPr>
          <w:rFonts w:hint="eastAsia" w:ascii="仿宋" w:hAnsi="仿宋" w:eastAsia="仿宋" w:cs="仿宋"/>
          <w:bCs/>
          <w:color w:val="000000"/>
          <w:kern w:val="0"/>
          <w:sz w:val="28"/>
          <w:szCs w:val="28"/>
          <w:lang w:val="en-US" w:eastAsia="zh-CN" w:bidi="ar-SA"/>
        </w:rPr>
        <w:fldChar w:fldCharType="end"/>
      </w:r>
    </w:p>
    <w:p>
      <w:pPr>
        <w:pStyle w:val="12"/>
        <w:ind w:left="0" w:leftChars="0" w:firstLine="0" w:firstLineChars="0"/>
        <w:rPr>
          <w:rFonts w:hint="eastAsia"/>
          <w:lang w:val="en-US" w:eastAsia="zh-CN"/>
        </w:rPr>
      </w:pPr>
      <w:r>
        <w:rPr>
          <w:rStyle w:val="11"/>
          <w:rFonts w:hint="eastAsia" w:ascii="仿宋" w:hAnsi="仿宋" w:eastAsia="仿宋" w:cs="仿宋"/>
          <w:b/>
          <w:bCs w:val="0"/>
          <w:kern w:val="0"/>
          <w:sz w:val="28"/>
          <w:szCs w:val="28"/>
          <w:lang w:val="zh-CN" w:eastAsia="zh-CN" w:bidi="ar-SA"/>
        </w:rPr>
        <w:t>报名费转账方式：</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八、递交响应文件截止时间</w:t>
      </w:r>
      <w:r>
        <w:rPr>
          <w:rFonts w:hint="eastAsia" w:ascii="仿宋" w:hAnsi="仿宋" w:eastAsia="仿宋" w:cs="仿宋"/>
          <w:bCs/>
          <w:color w:val="000000"/>
          <w:kern w:val="0"/>
          <w:sz w:val="28"/>
          <w:szCs w:val="28"/>
          <w:highlight w:val="none"/>
          <w:lang w:val="en-US" w:eastAsia="zh-CN" w:bidi="ar-SA"/>
        </w:rPr>
        <w:t>：</w:t>
      </w:r>
      <w:r>
        <w:rPr>
          <w:rFonts w:hint="eastAsia" w:ascii="仿宋" w:hAnsi="仿宋" w:eastAsia="仿宋" w:cs="仿宋"/>
          <w:b/>
          <w:bCs w:val="0"/>
          <w:color w:val="000000"/>
          <w:kern w:val="0"/>
          <w:sz w:val="28"/>
          <w:szCs w:val="28"/>
          <w:highlight w:val="none"/>
          <w:u w:val="single"/>
          <w:lang w:val="en-US" w:eastAsia="zh-CN" w:bidi="ar-SA"/>
        </w:rPr>
        <w:t>2023年08月15日09:00</w:t>
      </w:r>
      <w:r>
        <w:rPr>
          <w:rFonts w:hint="eastAsia" w:ascii="仿宋" w:hAnsi="仿宋" w:eastAsia="仿宋" w:cs="仿宋"/>
          <w:bCs/>
          <w:color w:val="000000"/>
          <w:kern w:val="0"/>
          <w:sz w:val="28"/>
          <w:szCs w:val="28"/>
          <w:highlight w:val="none"/>
          <w:lang w:val="en-US" w:eastAsia="zh-CN" w:bidi="ar-SA"/>
        </w:rPr>
        <w:t>（</w:t>
      </w:r>
      <w:r>
        <w:rPr>
          <w:rFonts w:hint="eastAsia" w:ascii="仿宋" w:hAnsi="仿宋" w:eastAsia="仿宋" w:cs="仿宋"/>
          <w:bCs/>
          <w:color w:val="000000"/>
          <w:kern w:val="0"/>
          <w:sz w:val="28"/>
          <w:szCs w:val="28"/>
          <w:lang w:val="en-US" w:eastAsia="zh-CN" w:bidi="ar-SA"/>
        </w:rPr>
        <w:t>北京时间）。</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九、递交响应文件地点：响应文件必须在递交响应文件截止时间前送达本项目开标室（南江县光雾山大道朝阳段集州步行街（仿古街）124号）。逾期送达、密封和标注不符合招标文件要求的响应文件，四川鑫浩招标代理有限公司恕不接收。本次采购不接收邮寄的响应文件。</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0" w:firstLineChars="250"/>
        <w:textAlignment w:val="auto"/>
        <w:rPr>
          <w:rFonts w:hint="eastAsia" w:ascii="仿宋" w:hAnsi="仿宋" w:eastAsia="仿宋" w:cs="仿宋"/>
          <w:bCs/>
          <w:color w:val="000000"/>
          <w:kern w:val="0"/>
          <w:sz w:val="28"/>
          <w:szCs w:val="28"/>
          <w:lang w:val="en-US" w:eastAsia="zh-CN" w:bidi="ar-SA"/>
        </w:rPr>
      </w:pPr>
      <w:r>
        <w:rPr>
          <w:rFonts w:hint="eastAsia" w:ascii="仿宋" w:hAnsi="仿宋" w:eastAsia="仿宋" w:cs="仿宋"/>
          <w:bCs/>
          <w:color w:val="000000"/>
          <w:kern w:val="0"/>
          <w:sz w:val="28"/>
          <w:szCs w:val="28"/>
          <w:lang w:val="en-US" w:eastAsia="zh-CN" w:bidi="ar-SA"/>
        </w:rPr>
        <w:t>十、询价地点：四川鑫浩招标代理有限公司（南江县光雾山大道朝阳段集州步行街（仿古街）124号）。</w:t>
      </w:r>
    </w:p>
    <w:p>
      <w:pPr>
        <w:keepNext w:val="0"/>
        <w:keepLines w:val="0"/>
        <w:pageBreakBefore w:val="0"/>
        <w:widowControl w:val="0"/>
        <w:tabs>
          <w:tab w:val="left" w:pos="7665"/>
        </w:tabs>
        <w:kinsoku/>
        <w:wordWrap/>
        <w:overflowPunct/>
        <w:topLinePunct w:val="0"/>
        <w:autoSpaceDE/>
        <w:autoSpaceDN/>
        <w:bidi w:val="0"/>
        <w:adjustRightInd/>
        <w:snapToGrid/>
        <w:spacing w:line="580" w:lineRule="exact"/>
        <w:ind w:firstLine="703" w:firstLineChars="250"/>
        <w:textAlignment w:val="auto"/>
        <w:rPr>
          <w:rFonts w:hint="eastAsia" w:ascii="仿宋" w:hAnsi="仿宋" w:eastAsia="仿宋" w:cs="仿宋"/>
          <w:b/>
          <w:color w:val="000000"/>
          <w:kern w:val="2"/>
          <w:sz w:val="28"/>
          <w:szCs w:val="28"/>
          <w:highlight w:val="none"/>
          <w:lang w:val="en-US" w:eastAsia="zh-CN" w:bidi="ar-SA"/>
        </w:rPr>
      </w:pPr>
      <w:r>
        <w:rPr>
          <w:rFonts w:hint="eastAsia" w:ascii="仿宋" w:hAnsi="仿宋" w:eastAsia="仿宋" w:cs="仿宋"/>
          <w:b/>
          <w:color w:val="000000"/>
          <w:kern w:val="2"/>
          <w:sz w:val="28"/>
          <w:szCs w:val="28"/>
          <w:highlight w:val="none"/>
          <w:lang w:val="en-US" w:eastAsia="zh-CN" w:bidi="ar-SA"/>
        </w:rPr>
        <w:t>十一、联系方式</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eastAsia" w:ascii="仿宋" w:hAnsi="仿宋" w:eastAsia="仿宋" w:cs="仿宋"/>
          <w:b/>
          <w:bCs/>
          <w:color w:val="000000"/>
          <w:sz w:val="28"/>
          <w:szCs w:val="28"/>
          <w:highlight w:val="none"/>
          <w:lang w:eastAsia="zh-CN"/>
        </w:rPr>
      </w:pPr>
      <w:r>
        <w:rPr>
          <w:rFonts w:hint="eastAsia" w:ascii="仿宋" w:hAnsi="仿宋" w:eastAsia="仿宋" w:cs="仿宋"/>
          <w:b/>
          <w:color w:val="000000"/>
          <w:sz w:val="28"/>
          <w:szCs w:val="28"/>
          <w:highlight w:val="none"/>
        </w:rPr>
        <w:t>采购人：</w:t>
      </w:r>
      <w:r>
        <w:rPr>
          <w:rFonts w:hint="eastAsia" w:ascii="仿宋" w:hAnsi="仿宋" w:eastAsia="仿宋" w:cs="仿宋"/>
          <w:b/>
          <w:color w:val="000000"/>
          <w:sz w:val="28"/>
          <w:szCs w:val="28"/>
          <w:highlight w:val="none"/>
          <w:lang w:eastAsia="zh-CN"/>
        </w:rPr>
        <w:t>四川省南江春晖土地开发建设有限公司</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通讯地址：四川省巴中市南江县集州街道光雾山大道朝阳段513号</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 xml:space="preserve">邮    编：635600 </w:t>
      </w:r>
      <w:r>
        <w:rPr>
          <w:rFonts w:hint="eastAsia" w:ascii="仿宋" w:hAnsi="仿宋" w:eastAsia="仿宋" w:cs="仿宋"/>
          <w:bCs/>
          <w:color w:val="000000"/>
          <w:sz w:val="28"/>
          <w:szCs w:val="28"/>
          <w:highlight w:val="none"/>
          <w:lang w:eastAsia="zh-CN"/>
        </w:rPr>
        <w:tab/>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default"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联 系 人：</w:t>
      </w:r>
      <w:r>
        <w:rPr>
          <w:rFonts w:hint="eastAsia" w:ascii="仿宋" w:hAnsi="仿宋" w:eastAsia="仿宋" w:cs="仿宋"/>
          <w:bCs/>
          <w:color w:val="000000"/>
          <w:sz w:val="28"/>
          <w:szCs w:val="28"/>
          <w:highlight w:val="none"/>
          <w:lang w:val="en-US" w:eastAsia="zh-CN"/>
        </w:rPr>
        <w:t>尹</w:t>
      </w:r>
      <w:r>
        <w:rPr>
          <w:rFonts w:hint="eastAsia" w:ascii="仿宋" w:hAnsi="仿宋" w:eastAsia="仿宋" w:cs="仿宋"/>
          <w:color w:val="000000"/>
          <w:sz w:val="28"/>
          <w:szCs w:val="28"/>
          <w:lang w:val="en-US" w:eastAsia="zh-CN"/>
        </w:rPr>
        <w:t>先生</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default"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rPr>
        <w:t>联系电话：</w:t>
      </w:r>
      <w:r>
        <w:rPr>
          <w:rFonts w:hint="eastAsia" w:ascii="仿宋" w:hAnsi="仿宋" w:eastAsia="仿宋" w:cs="仿宋"/>
          <w:bCs/>
          <w:color w:val="000000"/>
          <w:sz w:val="28"/>
          <w:szCs w:val="28"/>
          <w:highlight w:val="none"/>
          <w:lang w:val="en-US" w:eastAsia="zh-CN"/>
        </w:rPr>
        <w:t>13518474731</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eastAsia" w:ascii="仿宋" w:hAnsi="仿宋" w:eastAsia="仿宋" w:cs="仿宋"/>
          <w:color w:val="000000"/>
          <w:sz w:val="28"/>
          <w:szCs w:val="28"/>
          <w:highlight w:val="none"/>
        </w:rPr>
      </w:pP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t xml:space="preserve">采购代理机构：四川鑫浩招标代理有限公司 </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通讯地址：</w:t>
      </w:r>
      <w:r>
        <w:rPr>
          <w:rFonts w:hint="eastAsia" w:ascii="仿宋" w:hAnsi="仿宋" w:eastAsia="仿宋" w:cs="仿宋"/>
          <w:color w:val="000000"/>
          <w:sz w:val="28"/>
          <w:szCs w:val="28"/>
          <w:highlight w:val="none"/>
          <w:lang w:eastAsia="zh-CN"/>
        </w:rPr>
        <w:t>巴中市南江县集州街道朝阳社区（仿古街）124号</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邮    编：635600</w:t>
      </w:r>
    </w:p>
    <w:p>
      <w:pPr>
        <w:pStyle w:val="12"/>
        <w:keepNext w:val="0"/>
        <w:keepLines w:val="0"/>
        <w:pageBreakBefore w:val="0"/>
        <w:widowControl w:val="0"/>
        <w:kinsoku/>
        <w:wordWrap/>
        <w:overflowPunct/>
        <w:topLinePunct w:val="0"/>
        <w:autoSpaceDE/>
        <w:autoSpaceDN/>
        <w:bidi w:val="0"/>
        <w:adjustRightInd/>
        <w:snapToGrid w:val="0"/>
        <w:spacing w:line="540" w:lineRule="atLeast"/>
        <w:ind w:left="0" w:leftChars="0" w:firstLine="560" w:firstLineChars="200"/>
        <w:textAlignment w:val="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联 系 人：</w:t>
      </w:r>
      <w:r>
        <w:rPr>
          <w:rFonts w:hint="eastAsia" w:ascii="仿宋" w:hAnsi="仿宋" w:eastAsia="仿宋" w:cs="仿宋"/>
          <w:color w:val="000000"/>
          <w:sz w:val="28"/>
          <w:szCs w:val="28"/>
          <w:highlight w:val="none"/>
          <w:lang w:eastAsia="zh-CN"/>
        </w:rPr>
        <w:t>秦女士</w:t>
      </w:r>
      <w:r>
        <w:rPr>
          <w:rFonts w:hint="eastAsia" w:ascii="仿宋" w:hAnsi="仿宋" w:eastAsia="仿宋" w:cs="仿宋"/>
          <w:color w:val="000000"/>
          <w:sz w:val="28"/>
          <w:szCs w:val="28"/>
          <w:highlight w:val="none"/>
        </w:rPr>
        <w:t xml:space="preserve">     </w:t>
      </w:r>
    </w:p>
    <w:p>
      <w:pPr>
        <w:pStyle w:val="12"/>
        <w:keepNext w:val="0"/>
        <w:keepLines w:val="0"/>
        <w:pageBreakBefore w:val="0"/>
        <w:widowControl w:val="0"/>
        <w:kinsoku/>
        <w:wordWrap/>
        <w:overflowPunct/>
        <w:topLinePunct w:val="0"/>
        <w:autoSpaceDE/>
        <w:autoSpaceDN/>
        <w:bidi w:val="0"/>
        <w:adjustRightInd/>
        <w:snapToGrid w:val="0"/>
        <w:spacing w:line="540" w:lineRule="atLeast"/>
        <w:textAlignment w:val="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联系电话：0827-</w:t>
      </w:r>
      <w:r>
        <w:rPr>
          <w:rFonts w:hint="eastAsia" w:ascii="仿宋" w:hAnsi="仿宋" w:eastAsia="仿宋" w:cs="仿宋"/>
          <w:color w:val="000000"/>
          <w:sz w:val="28"/>
          <w:szCs w:val="28"/>
          <w:highlight w:val="none"/>
          <w:lang w:val="en-US" w:eastAsia="zh-CN"/>
        </w:rPr>
        <w:t>8691990</w:t>
      </w:r>
    </w:p>
    <w:p>
      <w:pPr>
        <w:pStyle w:val="14"/>
        <w:ind w:left="0" w:leftChars="0" w:firstLine="0" w:firstLineChars="0"/>
        <w:jc w:val="both"/>
        <w:rPr>
          <w:rFonts w:hint="eastAsia" w:ascii="宋体" w:hAnsi="宋体" w:cs="宋体"/>
          <w:b/>
          <w:bCs w:val="0"/>
          <w:color w:val="auto"/>
          <w:kern w:val="2"/>
          <w:sz w:val="44"/>
          <w:szCs w:val="44"/>
        </w:rPr>
      </w:pPr>
    </w:p>
    <w:p>
      <w:pPr>
        <w:rPr>
          <w:rFonts w:hint="eastAsia" w:ascii="宋体" w:hAnsi="宋体" w:cs="宋体"/>
          <w:b/>
          <w:bCs w:val="0"/>
          <w:color w:val="auto"/>
          <w:kern w:val="2"/>
          <w:sz w:val="44"/>
          <w:szCs w:val="44"/>
        </w:rPr>
      </w:pPr>
    </w:p>
    <w:p>
      <w:pPr>
        <w:pStyle w:val="2"/>
        <w:rPr>
          <w:rFonts w:hint="eastAsia" w:ascii="宋体" w:hAnsi="宋体" w:cs="宋体"/>
          <w:b/>
          <w:bCs w:val="0"/>
          <w:color w:val="auto"/>
          <w:kern w:val="2"/>
          <w:sz w:val="44"/>
          <w:szCs w:val="44"/>
        </w:rPr>
      </w:pPr>
    </w:p>
    <w:p>
      <w:pPr>
        <w:pStyle w:val="3"/>
        <w:rPr>
          <w:rFonts w:hint="eastAsia" w:ascii="宋体" w:hAnsi="宋体" w:cs="宋体"/>
          <w:b/>
          <w:bCs w:val="0"/>
          <w:color w:val="auto"/>
          <w:kern w:val="2"/>
          <w:sz w:val="44"/>
          <w:szCs w:val="44"/>
        </w:rPr>
      </w:pPr>
    </w:p>
    <w:p>
      <w:pPr>
        <w:rPr>
          <w:rFonts w:hint="eastAsia" w:ascii="宋体" w:hAnsi="宋体" w:cs="宋体"/>
          <w:b/>
          <w:bCs w:val="0"/>
          <w:color w:val="auto"/>
          <w:kern w:val="2"/>
          <w:sz w:val="44"/>
          <w:szCs w:val="44"/>
        </w:rPr>
      </w:pPr>
    </w:p>
    <w:p>
      <w:pPr>
        <w:pStyle w:val="2"/>
        <w:rPr>
          <w:rFonts w:hint="eastAsia" w:ascii="宋体" w:hAnsi="宋体" w:cs="宋体"/>
          <w:b/>
          <w:bCs w:val="0"/>
          <w:color w:val="auto"/>
          <w:kern w:val="2"/>
          <w:sz w:val="44"/>
          <w:szCs w:val="44"/>
        </w:rPr>
      </w:pPr>
    </w:p>
    <w:p>
      <w:pPr>
        <w:pStyle w:val="3"/>
        <w:rPr>
          <w:rFonts w:hint="eastAsia" w:ascii="宋体" w:hAnsi="宋体" w:cs="宋体"/>
          <w:b/>
          <w:bCs w:val="0"/>
          <w:color w:val="auto"/>
          <w:kern w:val="2"/>
          <w:sz w:val="44"/>
          <w:szCs w:val="44"/>
        </w:rPr>
      </w:pPr>
    </w:p>
    <w:p>
      <w:pPr>
        <w:pStyle w:val="2"/>
        <w:rPr>
          <w:rFonts w:hint="eastAsia" w:ascii="宋体" w:hAnsi="宋体" w:cs="宋体"/>
          <w:b/>
          <w:bCs w:val="0"/>
          <w:color w:val="auto"/>
          <w:kern w:val="2"/>
          <w:sz w:val="44"/>
          <w:szCs w:val="44"/>
        </w:rPr>
      </w:pPr>
    </w:p>
    <w:p>
      <w:pPr>
        <w:pStyle w:val="3"/>
        <w:rPr>
          <w:rFonts w:hint="eastAsia"/>
        </w:rPr>
      </w:pPr>
    </w:p>
    <w:p>
      <w:pPr>
        <w:pStyle w:val="13"/>
        <w:keepNext w:val="0"/>
        <w:keepLines w:val="0"/>
        <w:pageBreakBefore w:val="0"/>
        <w:widowControl w:val="0"/>
        <w:numPr>
          <w:ilvl w:val="0"/>
          <w:numId w:val="0"/>
        </w:numPr>
        <w:kinsoku/>
        <w:wordWrap/>
        <w:overflowPunct/>
        <w:topLinePunct w:val="0"/>
        <w:autoSpaceDE w:val="0"/>
        <w:autoSpaceDN w:val="0"/>
        <w:bidi w:val="0"/>
        <w:adjustRightInd w:val="0"/>
        <w:snapToGrid/>
        <w:spacing w:line="460" w:lineRule="exact"/>
        <w:jc w:val="both"/>
        <w:textAlignment w:val="auto"/>
        <w:outlineLvl w:val="9"/>
        <w:rPr>
          <w:rFonts w:hint="eastAsia" w:ascii="仿宋" w:hAnsi="仿宋" w:eastAsia="仿宋" w:cs="仿宋"/>
          <w:b/>
          <w:bCs/>
          <w:color w:val="auto"/>
          <w:kern w:val="2"/>
          <w:sz w:val="24"/>
          <w:szCs w:val="24"/>
          <w:highlight w:val="none"/>
          <w:lang w:val="zh-CN" w:eastAsia="zh-CN" w:bidi="ar-SA"/>
        </w:rPr>
      </w:pPr>
      <w:r>
        <w:rPr>
          <w:rFonts w:hint="eastAsia" w:ascii="仿宋" w:hAnsi="仿宋" w:eastAsia="仿宋" w:cs="仿宋"/>
          <w:b/>
          <w:bCs/>
          <w:kern w:val="2"/>
          <w:sz w:val="24"/>
          <w:szCs w:val="24"/>
          <w:lang w:val="en-US" w:eastAsia="zh-CN" w:bidi="ar-SA"/>
        </w:rPr>
        <w:t>附</w:t>
      </w:r>
      <w:r>
        <w:rPr>
          <w:rFonts w:hint="eastAsia" w:ascii="仿宋" w:hAnsi="仿宋" w:eastAsia="仿宋" w:cs="仿宋"/>
          <w:b/>
          <w:bCs/>
          <w:color w:val="auto"/>
          <w:kern w:val="2"/>
          <w:sz w:val="24"/>
          <w:szCs w:val="24"/>
          <w:highlight w:val="none"/>
          <w:lang w:val="en-US" w:eastAsia="zh-CN" w:bidi="ar-SA"/>
        </w:rPr>
        <w:t>：询价报名表</w:t>
      </w:r>
    </w:p>
    <w:p>
      <w:pPr>
        <w:rPr>
          <w:rFonts w:hint="eastAsia"/>
          <w:color w:val="auto"/>
          <w:highlight w:val="none"/>
        </w:rPr>
      </w:pPr>
    </w:p>
    <w:p>
      <w:pPr>
        <w:ind w:firstLine="3614" w:firstLineChars="1000"/>
        <w:jc w:val="both"/>
        <w:rPr>
          <w:rFonts w:ascii="宋体" w:hAnsi="宋体"/>
          <w:b/>
          <w:color w:val="auto"/>
          <w:sz w:val="36"/>
          <w:szCs w:val="36"/>
          <w:highlight w:val="none"/>
        </w:rPr>
      </w:pPr>
      <w:r>
        <w:rPr>
          <w:rFonts w:hint="eastAsia" w:ascii="宋体" w:hAnsi="宋体"/>
          <w:b/>
          <w:color w:val="auto"/>
          <w:sz w:val="36"/>
          <w:szCs w:val="36"/>
          <w:highlight w:val="none"/>
          <w:lang w:val="en-US" w:eastAsia="zh-CN"/>
        </w:rPr>
        <w:t>询价</w:t>
      </w:r>
      <w:r>
        <w:rPr>
          <w:rFonts w:hint="eastAsia" w:ascii="宋体" w:hAnsi="宋体"/>
          <w:b/>
          <w:color w:val="auto"/>
          <w:sz w:val="36"/>
          <w:szCs w:val="36"/>
          <w:highlight w:val="none"/>
        </w:rPr>
        <w:t>报名表</w:t>
      </w:r>
    </w:p>
    <w:p>
      <w:pPr>
        <w:rPr>
          <w:rFonts w:hint="eastAsia"/>
          <w:b/>
          <w:sz w:val="24"/>
        </w:rPr>
      </w:pPr>
      <w:r>
        <w:rPr>
          <w:b/>
          <w:sz w:val="24"/>
        </w:rPr>
        <w:t xml:space="preserve">                                                     </w:t>
      </w:r>
    </w:p>
    <w:p>
      <w:pPr>
        <w:jc w:val="right"/>
        <w:rPr>
          <w:rFonts w:ascii="仿宋" w:hAnsi="仿宋" w:eastAsia="仿宋"/>
          <w:b/>
          <w:sz w:val="24"/>
        </w:rPr>
      </w:pPr>
      <w:r>
        <w:rPr>
          <w:rFonts w:hint="eastAsia" w:ascii="仿宋" w:hAnsi="仿宋" w:eastAsia="仿宋"/>
          <w:b/>
          <w:sz w:val="24"/>
        </w:rPr>
        <w:t>报名时间：    年   月   日</w:t>
      </w:r>
    </w:p>
    <w:tbl>
      <w:tblPr>
        <w:tblStyle w:val="9"/>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1260"/>
        <w:gridCol w:w="3960"/>
        <w:gridCol w:w="1260"/>
        <w:gridCol w:w="2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236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sz w:val="24"/>
              </w:rPr>
            </w:pPr>
            <w:r>
              <w:rPr>
                <w:rFonts w:hint="eastAsia" w:ascii="仿宋" w:hAnsi="仿宋" w:eastAsia="仿宋"/>
                <w:b/>
                <w:sz w:val="24"/>
              </w:rPr>
              <w:t>项 目 名</w:t>
            </w:r>
            <w:r>
              <w:rPr>
                <w:rFonts w:ascii="仿宋" w:hAnsi="仿宋" w:eastAsia="仿宋"/>
                <w:b/>
                <w:sz w:val="24"/>
              </w:rPr>
              <w:t xml:space="preserve"> </w:t>
            </w:r>
            <w:r>
              <w:rPr>
                <w:rFonts w:hint="eastAsia" w:ascii="仿宋" w:hAnsi="仿宋" w:eastAsia="仿宋"/>
                <w:b/>
                <w:sz w:val="24"/>
              </w:rPr>
              <w:t>称</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spacing w:val="4"/>
                <w:sz w:val="24"/>
              </w:rPr>
            </w:pPr>
            <w:r>
              <w:rPr>
                <w:rFonts w:hint="eastAsia" w:ascii="仿宋" w:hAnsi="仿宋" w:eastAsia="仿宋"/>
                <w:b/>
                <w:spacing w:val="4"/>
                <w:sz w:val="24"/>
              </w:rPr>
              <w:t>项目编号</w:t>
            </w:r>
          </w:p>
        </w:tc>
        <w:tc>
          <w:tcPr>
            <w:tcW w:w="23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236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sz w:val="24"/>
              </w:rPr>
            </w:pPr>
            <w:r>
              <w:rPr>
                <w:rFonts w:hint="eastAsia" w:ascii="仿宋" w:hAnsi="仿宋" w:eastAsia="仿宋"/>
                <w:b/>
                <w:sz w:val="24"/>
              </w:rPr>
              <w:t>投</w:t>
            </w:r>
            <w:r>
              <w:rPr>
                <w:rFonts w:ascii="仿宋" w:hAnsi="仿宋" w:eastAsia="仿宋"/>
                <w:b/>
                <w:sz w:val="24"/>
              </w:rPr>
              <w:t xml:space="preserve"> </w:t>
            </w:r>
            <w:r>
              <w:rPr>
                <w:rFonts w:hint="eastAsia" w:ascii="仿宋" w:hAnsi="仿宋" w:eastAsia="仿宋"/>
                <w:b/>
                <w:sz w:val="24"/>
              </w:rPr>
              <w:t>标</w:t>
            </w:r>
            <w:r>
              <w:rPr>
                <w:rFonts w:ascii="仿宋" w:hAnsi="仿宋" w:eastAsia="仿宋"/>
                <w:b/>
                <w:sz w:val="24"/>
              </w:rPr>
              <w:t xml:space="preserve"> </w:t>
            </w:r>
            <w:r>
              <w:rPr>
                <w:rFonts w:hint="eastAsia" w:ascii="仿宋" w:hAnsi="仿宋" w:eastAsia="仿宋"/>
                <w:b/>
                <w:sz w:val="24"/>
              </w:rPr>
              <w:t>单</w:t>
            </w:r>
            <w:r>
              <w:rPr>
                <w:rFonts w:ascii="仿宋" w:hAnsi="仿宋" w:eastAsia="仿宋"/>
                <w:b/>
                <w:sz w:val="24"/>
              </w:rPr>
              <w:t xml:space="preserve"> </w:t>
            </w:r>
            <w:r>
              <w:rPr>
                <w:rFonts w:hint="eastAsia" w:ascii="仿宋" w:hAnsi="仿宋" w:eastAsia="仿宋"/>
                <w:b/>
                <w:sz w:val="24"/>
              </w:rPr>
              <w:t>位</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spacing w:val="4"/>
                <w:sz w:val="24"/>
              </w:rPr>
            </w:pPr>
            <w:r>
              <w:rPr>
                <w:rFonts w:hint="eastAsia" w:ascii="仿宋" w:hAnsi="仿宋" w:eastAsia="仿宋"/>
                <w:b/>
                <w:sz w:val="24"/>
              </w:rPr>
              <w:t>联系电话</w:t>
            </w:r>
          </w:p>
        </w:tc>
        <w:tc>
          <w:tcPr>
            <w:tcW w:w="23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236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sz w:val="24"/>
              </w:rPr>
            </w:pPr>
            <w:r>
              <w:rPr>
                <w:rFonts w:hint="eastAsia" w:ascii="仿宋" w:hAnsi="仿宋" w:eastAsia="仿宋"/>
                <w:b/>
                <w:sz w:val="24"/>
              </w:rPr>
              <w:t>详</w:t>
            </w:r>
            <w:r>
              <w:rPr>
                <w:rFonts w:ascii="仿宋" w:hAnsi="仿宋" w:eastAsia="仿宋"/>
                <w:b/>
                <w:sz w:val="24"/>
              </w:rPr>
              <w:t xml:space="preserve"> </w:t>
            </w:r>
            <w:r>
              <w:rPr>
                <w:rFonts w:hint="eastAsia" w:ascii="仿宋" w:hAnsi="仿宋" w:eastAsia="仿宋"/>
                <w:b/>
                <w:sz w:val="24"/>
              </w:rPr>
              <w:t>细</w:t>
            </w:r>
            <w:r>
              <w:rPr>
                <w:rFonts w:ascii="仿宋" w:hAnsi="仿宋" w:eastAsia="仿宋"/>
                <w:b/>
                <w:sz w:val="24"/>
              </w:rPr>
              <w:t xml:space="preserve"> </w:t>
            </w:r>
            <w:r>
              <w:rPr>
                <w:rFonts w:hint="eastAsia" w:ascii="仿宋" w:hAnsi="仿宋" w:eastAsia="仿宋"/>
                <w:b/>
                <w:sz w:val="24"/>
              </w:rPr>
              <w:t>地</w:t>
            </w:r>
            <w:r>
              <w:rPr>
                <w:rFonts w:ascii="仿宋" w:hAnsi="仿宋" w:eastAsia="仿宋"/>
                <w:b/>
                <w:sz w:val="24"/>
              </w:rPr>
              <w:t xml:space="preserve"> </w:t>
            </w:r>
            <w:r>
              <w:rPr>
                <w:rFonts w:hint="eastAsia" w:ascii="仿宋" w:hAnsi="仿宋" w:eastAsia="仿宋"/>
                <w:b/>
                <w:sz w:val="24"/>
              </w:rPr>
              <w:t>址</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仿宋" w:hAnsi="仿宋" w:eastAsia="仿宋"/>
                <w:sz w:val="24"/>
                <w:lang w:val="en-US" w:eastAsia="zh-CN"/>
              </w:rPr>
            </w:pPr>
            <w:r>
              <w:rPr>
                <w:rFonts w:hint="eastAsia" w:ascii="仿宋" w:hAnsi="仿宋" w:eastAsia="仿宋" w:cs="宋体"/>
                <w:b/>
                <w:bCs/>
                <w:sz w:val="24"/>
                <w:lang w:val="en-US" w:eastAsia="zh-CN"/>
              </w:rPr>
              <w:t>QQ</w:t>
            </w:r>
          </w:p>
        </w:tc>
        <w:tc>
          <w:tcPr>
            <w:tcW w:w="23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236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spacing w:val="10"/>
                <w:sz w:val="24"/>
              </w:rPr>
            </w:pPr>
            <w:r>
              <w:rPr>
                <w:rFonts w:hint="eastAsia" w:ascii="仿宋" w:hAnsi="仿宋" w:eastAsia="仿宋"/>
                <w:b/>
                <w:spacing w:val="10"/>
                <w:sz w:val="24"/>
              </w:rPr>
              <w:t>法定代表人</w:t>
            </w:r>
          </w:p>
        </w:tc>
        <w:tc>
          <w:tcPr>
            <w:tcW w:w="396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sz w:val="24"/>
              </w:rPr>
            </w:pPr>
            <w:r>
              <w:rPr>
                <w:rFonts w:hint="eastAsia" w:ascii="仿宋" w:hAnsi="仿宋" w:eastAsia="仿宋"/>
                <w:sz w:val="24"/>
              </w:rPr>
              <w:t xml:space="preserve">          </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b/>
                <w:sz w:val="24"/>
              </w:rPr>
            </w:pPr>
            <w:r>
              <w:rPr>
                <w:rFonts w:hint="eastAsia" w:ascii="仿宋" w:hAnsi="仿宋" w:eastAsia="仿宋"/>
                <w:b/>
                <w:sz w:val="24"/>
              </w:rPr>
              <w:t>委 托</w:t>
            </w:r>
          </w:p>
          <w:p>
            <w:pPr>
              <w:jc w:val="center"/>
              <w:rPr>
                <w:rFonts w:ascii="仿宋" w:hAnsi="仿宋" w:eastAsia="仿宋"/>
                <w:sz w:val="24"/>
              </w:rPr>
            </w:pPr>
            <w:r>
              <w:rPr>
                <w:rFonts w:hint="eastAsia" w:ascii="仿宋" w:hAnsi="仿宋" w:eastAsia="仿宋"/>
                <w:b/>
                <w:sz w:val="24"/>
              </w:rPr>
              <w:t>代理人</w:t>
            </w:r>
          </w:p>
        </w:tc>
        <w:tc>
          <w:tcPr>
            <w:tcW w:w="23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sz w:val="24"/>
              </w:rPr>
            </w:pPr>
          </w:p>
          <w:p>
            <w:pPr>
              <w:jc w:val="center"/>
              <w:rPr>
                <w:rFonts w:hint="eastAsia" w:ascii="宋体" w:hAnsi="宋体"/>
                <w:b/>
                <w:sz w:val="24"/>
              </w:rPr>
            </w:pPr>
          </w:p>
          <w:p>
            <w:pPr>
              <w:spacing w:line="260" w:lineRule="exact"/>
              <w:jc w:val="center"/>
              <w:rPr>
                <w:rFonts w:hint="eastAsia" w:ascii="宋体" w:hAnsi="宋体"/>
                <w:b/>
                <w:sz w:val="24"/>
              </w:rPr>
            </w:pPr>
            <w:r>
              <w:rPr>
                <w:rFonts w:hint="eastAsia" w:ascii="宋体" w:hAnsi="宋体"/>
                <w:b/>
                <w:sz w:val="24"/>
              </w:rPr>
              <w:t>报</w:t>
            </w:r>
          </w:p>
          <w:p>
            <w:pPr>
              <w:spacing w:line="260" w:lineRule="exact"/>
              <w:jc w:val="center"/>
              <w:rPr>
                <w:rFonts w:hint="eastAsia" w:ascii="宋体" w:hAnsi="宋体"/>
                <w:b/>
                <w:sz w:val="24"/>
              </w:rPr>
            </w:pPr>
          </w:p>
          <w:p>
            <w:pPr>
              <w:spacing w:line="260" w:lineRule="exact"/>
              <w:jc w:val="center"/>
              <w:rPr>
                <w:rFonts w:hint="eastAsia" w:ascii="宋体" w:hAnsi="宋体"/>
                <w:b/>
                <w:sz w:val="24"/>
              </w:rPr>
            </w:pPr>
            <w:r>
              <w:rPr>
                <w:rFonts w:hint="eastAsia" w:ascii="宋体" w:hAnsi="宋体"/>
                <w:b/>
                <w:sz w:val="24"/>
              </w:rPr>
              <w:t>名</w:t>
            </w:r>
          </w:p>
          <w:p>
            <w:pPr>
              <w:spacing w:line="260" w:lineRule="exact"/>
              <w:jc w:val="center"/>
              <w:rPr>
                <w:rFonts w:hint="eastAsia" w:ascii="宋体" w:hAnsi="宋体"/>
                <w:b/>
                <w:sz w:val="24"/>
              </w:rPr>
            </w:pPr>
          </w:p>
          <w:p>
            <w:pPr>
              <w:spacing w:line="260" w:lineRule="exact"/>
              <w:jc w:val="center"/>
              <w:rPr>
                <w:rFonts w:hint="eastAsia" w:ascii="宋体" w:hAnsi="宋体"/>
                <w:b/>
                <w:sz w:val="24"/>
              </w:rPr>
            </w:pPr>
            <w:r>
              <w:rPr>
                <w:rFonts w:hint="eastAsia" w:ascii="宋体" w:hAnsi="宋体"/>
                <w:b/>
                <w:sz w:val="24"/>
              </w:rPr>
              <w:t>资</w:t>
            </w:r>
          </w:p>
          <w:p>
            <w:pPr>
              <w:spacing w:line="260" w:lineRule="exact"/>
              <w:jc w:val="center"/>
              <w:rPr>
                <w:rFonts w:hint="eastAsia" w:ascii="宋体" w:hAnsi="宋体"/>
                <w:b/>
                <w:sz w:val="24"/>
              </w:rPr>
            </w:pPr>
          </w:p>
          <w:p>
            <w:pPr>
              <w:spacing w:line="260" w:lineRule="exact"/>
              <w:jc w:val="center"/>
              <w:rPr>
                <w:rFonts w:hint="eastAsia" w:ascii="宋体" w:hAnsi="宋体"/>
                <w:b/>
                <w:sz w:val="24"/>
              </w:rPr>
            </w:pPr>
            <w:r>
              <w:rPr>
                <w:rFonts w:hint="eastAsia" w:ascii="宋体" w:hAnsi="宋体"/>
                <w:b/>
                <w:sz w:val="24"/>
              </w:rPr>
              <w:t>料</w:t>
            </w:r>
          </w:p>
          <w:p>
            <w:pPr>
              <w:rPr>
                <w:rFonts w:hint="eastAsia" w:ascii="宋体" w:hAnsi="宋体"/>
                <w:b/>
                <w:sz w:val="24"/>
              </w:rPr>
            </w:pPr>
            <w:r>
              <w:rPr>
                <w:rFonts w:hint="eastAsia" w:ascii="宋体" w:hAnsi="宋体"/>
                <w:b/>
                <w:sz w:val="24"/>
              </w:rPr>
              <w:t xml:space="preserve">  </w:t>
            </w:r>
          </w:p>
          <w:p>
            <w:pPr>
              <w:rPr>
                <w:b/>
                <w:spacing w:val="10"/>
                <w:sz w:val="24"/>
              </w:rPr>
            </w:pPr>
          </w:p>
        </w:tc>
        <w:tc>
          <w:tcPr>
            <w:tcW w:w="8816" w:type="dxa"/>
            <w:gridSpan w:val="4"/>
            <w:tcBorders>
              <w:top w:val="single" w:color="auto" w:sz="4" w:space="0"/>
              <w:left w:val="single" w:color="auto" w:sz="4" w:space="0"/>
              <w:bottom w:val="single" w:color="auto" w:sz="4" w:space="0"/>
              <w:right w:val="single" w:color="auto" w:sz="4" w:space="0"/>
            </w:tcBorders>
            <w:noWrap w:val="0"/>
            <w:vAlign w:val="top"/>
          </w:tcPr>
          <w:p>
            <w:pPr>
              <w:ind w:left="360"/>
              <w:rPr>
                <w:rFonts w:hint="eastAsia" w:ascii="仿宋" w:hAnsi="仿宋" w:eastAsia="仿宋"/>
                <w:sz w:val="28"/>
                <w:szCs w:val="28"/>
              </w:rPr>
            </w:pPr>
          </w:p>
          <w:p>
            <w:pPr>
              <w:ind w:left="360"/>
              <w:rPr>
                <w:rFonts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9" w:hRule="atLeast"/>
        </w:trPr>
        <w:tc>
          <w:tcPr>
            <w:tcW w:w="9923" w:type="dxa"/>
            <w:gridSpan w:val="5"/>
            <w:tcBorders>
              <w:top w:val="single" w:color="auto" w:sz="4" w:space="0"/>
              <w:left w:val="single" w:color="auto" w:sz="4" w:space="0"/>
              <w:bottom w:val="single" w:color="auto" w:sz="4" w:space="0"/>
              <w:right w:val="single" w:color="auto" w:sz="4" w:space="0"/>
            </w:tcBorders>
            <w:noWrap w:val="0"/>
            <w:vAlign w:val="top"/>
          </w:tcPr>
          <w:p>
            <w:pPr>
              <w:spacing w:line="240" w:lineRule="atLeast"/>
              <w:rPr>
                <w:b/>
                <w:sz w:val="24"/>
              </w:rPr>
            </w:pPr>
          </w:p>
          <w:p>
            <w:pPr>
              <w:spacing w:line="240" w:lineRule="atLeast"/>
              <w:ind w:right="480" w:firstLine="944" w:firstLineChars="392"/>
              <w:jc w:val="center"/>
              <w:rPr>
                <w:rFonts w:hint="eastAsia"/>
                <w:b/>
                <w:sz w:val="24"/>
              </w:rPr>
            </w:pPr>
          </w:p>
          <w:p>
            <w:pPr>
              <w:spacing w:line="240" w:lineRule="atLeast"/>
              <w:ind w:right="480" w:firstLine="944" w:firstLineChars="392"/>
              <w:jc w:val="center"/>
              <w:rPr>
                <w:rFonts w:hint="eastAsia"/>
                <w:b/>
                <w:sz w:val="24"/>
              </w:rPr>
            </w:pPr>
            <w:r>
              <w:rPr>
                <w:rFonts w:hint="eastAsia"/>
                <w:b/>
                <w:sz w:val="24"/>
              </w:rPr>
              <w:t xml:space="preserve">                                    </w:t>
            </w:r>
          </w:p>
          <w:p>
            <w:pPr>
              <w:spacing w:line="240" w:lineRule="atLeast"/>
              <w:ind w:right="480" w:firstLine="944" w:firstLineChars="392"/>
              <w:jc w:val="center"/>
              <w:rPr>
                <w:rFonts w:hint="eastAsia"/>
                <w:b/>
                <w:sz w:val="24"/>
              </w:rPr>
            </w:pPr>
          </w:p>
          <w:p>
            <w:pPr>
              <w:spacing w:line="240" w:lineRule="atLeast"/>
              <w:ind w:right="480" w:firstLine="944" w:firstLineChars="392"/>
              <w:jc w:val="center"/>
              <w:rPr>
                <w:b/>
                <w:sz w:val="24"/>
              </w:rPr>
            </w:pPr>
            <w:r>
              <w:rPr>
                <w:rFonts w:hint="eastAsia"/>
                <w:b/>
                <w:sz w:val="24"/>
              </w:rPr>
              <w:t xml:space="preserve">               法定代表人（委托代理人）签名：</w:t>
            </w:r>
          </w:p>
          <w:p>
            <w:pPr>
              <w:spacing w:line="240" w:lineRule="atLeast"/>
              <w:ind w:firstLine="708" w:firstLineChars="294"/>
              <w:jc w:val="right"/>
              <w:rPr>
                <w:b/>
                <w:sz w:val="24"/>
              </w:rPr>
            </w:pPr>
          </w:p>
          <w:p>
            <w:pPr>
              <w:ind w:left="1707"/>
              <w:rPr>
                <w:b/>
                <w:spacing w:val="-10"/>
                <w:sz w:val="24"/>
              </w:rPr>
            </w:pPr>
          </w:p>
          <w:p>
            <w:pPr>
              <w:rPr>
                <w:b/>
                <w:spacing w:val="-10"/>
                <w:sz w:val="24"/>
              </w:rPr>
            </w:pPr>
          </w:p>
          <w:p>
            <w:pPr>
              <w:ind w:firstLine="1083" w:firstLineChars="490"/>
              <w:rPr>
                <w:b/>
                <w:spacing w:val="-10"/>
                <w:sz w:val="24"/>
              </w:rPr>
            </w:pPr>
          </w:p>
          <w:p>
            <w:pPr>
              <w:ind w:firstLine="6963" w:firstLineChars="2890"/>
              <w:rPr>
                <w:rFonts w:ascii="宋体" w:hAnsi="宋体"/>
                <w:b/>
                <w:sz w:val="24"/>
              </w:rPr>
            </w:pPr>
          </w:p>
        </w:tc>
      </w:tr>
    </w:tbl>
    <w:p>
      <w:pPr>
        <w:spacing w:line="360" w:lineRule="exact"/>
        <w:rPr>
          <w:rFonts w:hint="default" w:ascii="仿宋_GB2312" w:hAnsi="宋体" w:eastAsia="仿宋_GB2312"/>
          <w:szCs w:val="21"/>
          <w:lang w:val="en-US" w:eastAsia="zh-CN"/>
        </w:rPr>
      </w:pPr>
      <w:r>
        <w:rPr>
          <w:rFonts w:hint="eastAsia" w:ascii="仿宋_GB2312" w:hAnsi="宋体" w:eastAsia="仿宋_GB2312"/>
          <w:szCs w:val="21"/>
        </w:rPr>
        <w:t>注：1.</w:t>
      </w:r>
      <w:r>
        <w:rPr>
          <w:rFonts w:hint="eastAsia" w:ascii="仿宋_GB2312" w:hAnsi="宋体" w:eastAsia="仿宋_GB2312"/>
          <w:szCs w:val="21"/>
          <w:lang w:val="en-US" w:eastAsia="zh-CN"/>
        </w:rPr>
        <w:t>供应商</w:t>
      </w:r>
      <w:r>
        <w:rPr>
          <w:rFonts w:hint="eastAsia" w:ascii="仿宋_GB2312" w:hAnsi="宋体" w:eastAsia="仿宋_GB2312"/>
          <w:szCs w:val="21"/>
        </w:rPr>
        <w:t>按</w:t>
      </w:r>
      <w:r>
        <w:rPr>
          <w:rFonts w:hint="eastAsia" w:ascii="仿宋_GB2312" w:hAnsi="宋体" w:eastAsia="仿宋_GB2312"/>
          <w:szCs w:val="21"/>
          <w:lang w:val="en-US" w:eastAsia="zh-CN"/>
        </w:rPr>
        <w:t>询价通知书</w:t>
      </w:r>
      <w:r>
        <w:rPr>
          <w:rFonts w:hint="eastAsia" w:ascii="仿宋_GB2312" w:hAnsi="宋体" w:eastAsia="仿宋_GB2312"/>
          <w:szCs w:val="21"/>
        </w:rPr>
        <w:t>要求递交有关证件及资料的原件和复印件</w:t>
      </w:r>
    </w:p>
    <w:p>
      <w:pPr>
        <w:spacing w:line="360" w:lineRule="exact"/>
        <w:ind w:firstLine="420" w:firstLineChars="200"/>
        <w:rPr>
          <w:rFonts w:ascii="仿宋" w:hAnsi="仿宋" w:eastAsia="仿宋"/>
          <w:sz w:val="24"/>
          <w:szCs w:val="24"/>
        </w:rPr>
      </w:pPr>
      <w:r>
        <w:rPr>
          <w:rFonts w:hint="eastAsia" w:ascii="仿宋_GB2312" w:hAnsi="宋体" w:eastAsia="仿宋_GB2312"/>
          <w:szCs w:val="21"/>
          <w:lang w:val="en-US" w:eastAsia="zh-CN"/>
        </w:rPr>
        <w:t>2.供应商</w:t>
      </w:r>
      <w:r>
        <w:rPr>
          <w:rFonts w:hint="eastAsia" w:ascii="仿宋_GB2312" w:hAnsi="宋体" w:eastAsia="仿宋_GB2312" w:cs="Times New Roman"/>
          <w:szCs w:val="21"/>
        </w:rPr>
        <w:t>应认真填写本表，对字迹模糊</w:t>
      </w:r>
      <w:r>
        <w:rPr>
          <w:rFonts w:hint="eastAsia" w:ascii="仿宋_GB2312" w:hAnsi="宋体" w:eastAsia="仿宋_GB2312" w:cs="Times New Roman"/>
          <w:szCs w:val="21"/>
          <w:lang w:eastAsia="zh-CN"/>
        </w:rPr>
        <w:t>、错写</w:t>
      </w:r>
      <w:r>
        <w:rPr>
          <w:rFonts w:hint="eastAsia" w:ascii="仿宋_GB2312" w:hAnsi="宋体" w:eastAsia="仿宋_GB2312" w:cs="Times New Roman"/>
          <w:szCs w:val="21"/>
        </w:rPr>
        <w:t>、未按规定填写</w:t>
      </w:r>
      <w:r>
        <w:rPr>
          <w:rFonts w:hint="eastAsia" w:ascii="仿宋_GB2312" w:hAnsi="宋体" w:eastAsia="仿宋_GB2312" w:cs="Times New Roman"/>
          <w:szCs w:val="21"/>
          <w:lang w:eastAsia="zh-CN"/>
        </w:rPr>
        <w:t>、</w:t>
      </w:r>
      <w:r>
        <w:rPr>
          <w:rFonts w:hint="eastAsia" w:ascii="仿宋_GB2312" w:hAnsi="宋体" w:eastAsia="仿宋_GB2312" w:cs="Times New Roman"/>
          <w:szCs w:val="21"/>
        </w:rPr>
        <w:t>未按规定提供相关证件及资料的，</w:t>
      </w:r>
      <w:r>
        <w:rPr>
          <w:rFonts w:hint="eastAsia" w:ascii="仿宋_GB2312" w:hAnsi="宋体" w:eastAsia="仿宋_GB2312" w:cs="Times New Roman"/>
          <w:szCs w:val="21"/>
          <w:lang w:val="en-US" w:eastAsia="zh-CN"/>
        </w:rPr>
        <w:t>采购</w:t>
      </w:r>
      <w:r>
        <w:rPr>
          <w:rFonts w:hint="eastAsia" w:ascii="仿宋_GB2312" w:hAnsi="宋体" w:eastAsia="仿宋_GB2312" w:cs="Times New Roman"/>
          <w:szCs w:val="21"/>
        </w:rPr>
        <w:t>人有</w:t>
      </w:r>
      <w:r>
        <w:rPr>
          <w:rFonts w:hint="eastAsia" w:ascii="仿宋_GB2312" w:hAnsi="宋体" w:eastAsia="仿宋_GB2312"/>
          <w:szCs w:val="21"/>
        </w:rPr>
        <w:t>权拒绝其投标报名。</w:t>
      </w:r>
    </w:p>
    <w:p>
      <w:pPr>
        <w:pStyle w:val="8"/>
        <w:ind w:left="0" w:leftChars="0" w:firstLine="0" w:firstLineChars="0"/>
        <w:rPr>
          <w:rFonts w:hint="eastAsia"/>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hOTU3NWM3ZjcyYjdkNThjYzVmOTE1ZjAzYjQxZDIifQ=="/>
  </w:docVars>
  <w:rsids>
    <w:rsidRoot w:val="7F181D8C"/>
    <w:rsid w:val="228D29D0"/>
    <w:rsid w:val="7F181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spacing w:before="260" w:after="260" w:line="416" w:lineRule="auto"/>
      <w:outlineLvl w:val="1"/>
    </w:pPr>
    <w:rPr>
      <w:rFonts w:ascii="Arial" w:hAnsi="Arial" w:eastAsia="黑体"/>
      <w:b/>
      <w:bCs/>
      <w:sz w:val="32"/>
      <w:szCs w:val="32"/>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firstLineChars="200"/>
    </w:pPr>
  </w:style>
  <w:style w:type="paragraph" w:styleId="4">
    <w:name w:val="Body Text"/>
    <w:basedOn w:val="1"/>
    <w:next w:val="1"/>
    <w:qFormat/>
    <w:uiPriority w:val="0"/>
    <w:pPr>
      <w:spacing w:after="120" w:afterLines="0"/>
    </w:pPr>
  </w:style>
  <w:style w:type="paragraph" w:styleId="5">
    <w:name w:val="Body Text Indent"/>
    <w:basedOn w:val="1"/>
    <w:next w:val="6"/>
    <w:uiPriority w:val="0"/>
    <w:pPr>
      <w:ind w:firstLine="630"/>
    </w:pPr>
    <w:rPr>
      <w:sz w:val="32"/>
      <w:szCs w:val="20"/>
    </w:rPr>
  </w:style>
  <w:style w:type="paragraph" w:styleId="6">
    <w:name w:val="envelope return"/>
    <w:basedOn w:val="1"/>
    <w:qFormat/>
    <w:uiPriority w:val="0"/>
    <w:pPr>
      <w:snapToGrid w:val="0"/>
      <w:spacing w:line="360" w:lineRule="auto"/>
      <w:ind w:firstLine="200" w:firstLineChars="200"/>
    </w:pPr>
    <w:rPr>
      <w:rFonts w:ascii="Arial" w:hAnsi="Arial" w:cs="Arial"/>
      <w:szCs w:val="20"/>
    </w:rPr>
  </w:style>
  <w:style w:type="paragraph" w:styleId="7">
    <w:name w:val="List Continue 2"/>
    <w:basedOn w:val="1"/>
    <w:qFormat/>
    <w:uiPriority w:val="0"/>
    <w:pPr>
      <w:spacing w:after="120"/>
      <w:ind w:left="840"/>
    </w:pPr>
  </w:style>
  <w:style w:type="paragraph" w:styleId="8">
    <w:name w:val="Body Text First Indent 2"/>
    <w:basedOn w:val="5"/>
    <w:qFormat/>
    <w:uiPriority w:val="0"/>
    <w:pPr>
      <w:ind w:firstLine="420" w:firstLineChars="200"/>
    </w:pPr>
  </w:style>
  <w:style w:type="character" w:styleId="11">
    <w:name w:val="Hyperlink"/>
    <w:basedOn w:val="10"/>
    <w:uiPriority w:val="0"/>
    <w:rPr>
      <w:color w:val="000000"/>
      <w:sz w:val="18"/>
      <w:szCs w:val="18"/>
      <w:u w:val="none"/>
    </w:rPr>
  </w:style>
  <w:style w:type="paragraph" w:customStyle="1" w:styleId="12">
    <w:name w:val="正文首行缩进两字符"/>
    <w:basedOn w:val="1"/>
    <w:next w:val="5"/>
    <w:uiPriority w:val="0"/>
    <w:pPr>
      <w:spacing w:line="360" w:lineRule="auto"/>
      <w:ind w:firstLine="200" w:firstLineChars="200"/>
    </w:pPr>
  </w:style>
  <w:style w:type="paragraph" w:customStyle="1" w:styleId="13">
    <w:name w:val="样式"/>
    <w:next w:val="7"/>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4">
    <w:name w:val="引用1"/>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2023-08-10T00:28:00Z</dcterms:created>
  <dc:creator>土豆</dc:creator>
  <cp:lastModifiedBy>土豆</cp:lastModifiedBy>
  <dcterms:modified xsi:type="dcterms:W3CDTF">2023-08-10T00:42:47Z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367E95E62C894B87A674F0BAA2DB9370_11</vt:lpwstr>
  </property>
</Properties>
</file>