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452731C">
      <w:pPr>
        <w:adjustRightInd w:val="0"/>
        <w:snapToGrid w:val="0"/>
        <w:spacing w:after="156" w:afterLines="50" w:line="360" w:lineRule="auto"/>
        <w:jc w:val="center"/>
        <w:outlineLvl w:val="0"/>
        <w:rPr>
          <w:rFonts w:hint="eastAsia" w:ascii="黑体" w:hAnsi="Times New Roman" w:eastAsia="黑体" w:cs="Times New Roman"/>
          <w:b/>
          <w:kern w:val="44"/>
          <w:sz w:val="48"/>
          <w:szCs w:val="20"/>
        </w:rPr>
      </w:pPr>
      <w:bookmarkStart w:id="0" w:name="_Toc129880039"/>
      <w:r>
        <w:rPr>
          <w:rFonts w:hint="eastAsia" w:ascii="宋体" w:hAnsi="宋体" w:eastAsia="宋体" w:cs="Times New Roman"/>
          <w:b/>
          <w:sz w:val="30"/>
          <w:szCs w:val="30"/>
        </w:rPr>
        <w:t>第八部分 采购需求</w:t>
      </w:r>
      <w:bookmarkEnd w:id="0"/>
    </w:p>
    <w:p w14:paraId="755BF988">
      <w:pPr>
        <w:adjustRightInd w:val="0"/>
        <w:snapToGrid w:val="0"/>
        <w:spacing w:before="156" w:beforeLines="50" w:after="156" w:afterLines="50" w:line="360" w:lineRule="auto"/>
        <w:jc w:val="center"/>
        <w:rPr>
          <w:rFonts w:hint="eastAsia" w:ascii="宋体" w:hAnsi="宋体" w:eastAsia="宋体" w:cs="Times New Roman"/>
          <w:b/>
          <w:sz w:val="24"/>
        </w:rPr>
      </w:pPr>
      <w:r>
        <w:rPr>
          <w:rFonts w:hint="eastAsia" w:ascii="宋体" w:hAnsi="宋体" w:eastAsia="宋体" w:cs="Times New Roman"/>
          <w:b/>
          <w:sz w:val="24"/>
        </w:rPr>
        <w:t>货物需求一览表</w:t>
      </w:r>
    </w:p>
    <w:p w14:paraId="49420CC6">
      <w:pPr>
        <w:adjustRightInd w:val="0"/>
        <w:snapToGrid w:val="0"/>
        <w:jc w:val="center"/>
        <w:rPr>
          <w:rFonts w:hint="eastAsia" w:ascii="宋体" w:hAnsi="宋体" w:eastAsia="宋体" w:cs="Times New Roman"/>
          <w:b/>
          <w:sz w:val="30"/>
          <w:szCs w:val="30"/>
        </w:rPr>
      </w:pPr>
    </w:p>
    <w:tbl>
      <w:tblPr>
        <w:tblStyle w:val="3"/>
        <w:tblW w:w="759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1440"/>
        <w:gridCol w:w="2357"/>
        <w:gridCol w:w="1329"/>
        <w:gridCol w:w="2470"/>
      </w:tblGrid>
      <w:tr w14:paraId="3E76D4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02" w:hRule="atLeast"/>
          <w:jc w:val="center"/>
        </w:trPr>
        <w:tc>
          <w:tcPr>
            <w:tcW w:w="1440" w:type="dxa"/>
            <w:noWrap w:val="0"/>
            <w:vAlign w:val="center"/>
          </w:tcPr>
          <w:p w14:paraId="6C549812">
            <w:pPr>
              <w:jc w:val="center"/>
              <w:rPr>
                <w:rFonts w:ascii="宋体" w:hAnsi="Bookman Old Style" w:eastAsia="宋体" w:cs="Times New Roman"/>
                <w:sz w:val="24"/>
              </w:rPr>
            </w:pPr>
            <w:r>
              <w:rPr>
                <w:rFonts w:hint="eastAsia" w:ascii="宋体" w:hAnsi="Bookman Old Style" w:eastAsia="宋体" w:cs="Times New Roman"/>
                <w:sz w:val="24"/>
              </w:rPr>
              <w:t>包号</w:t>
            </w:r>
          </w:p>
        </w:tc>
        <w:tc>
          <w:tcPr>
            <w:tcW w:w="2357" w:type="dxa"/>
            <w:noWrap w:val="0"/>
            <w:vAlign w:val="center"/>
          </w:tcPr>
          <w:p w14:paraId="3B9D12CA">
            <w:pPr>
              <w:jc w:val="center"/>
              <w:rPr>
                <w:rFonts w:ascii="宋体" w:hAnsi="Bookman Old Style" w:eastAsia="宋体" w:cs="Times New Roman"/>
                <w:sz w:val="24"/>
              </w:rPr>
            </w:pPr>
            <w:r>
              <w:rPr>
                <w:rFonts w:hint="eastAsia" w:ascii="宋体" w:hAnsi="Bookman Old Style" w:eastAsia="宋体" w:cs="Times New Roman"/>
                <w:sz w:val="24"/>
              </w:rPr>
              <w:t>货物名称</w:t>
            </w:r>
          </w:p>
        </w:tc>
        <w:tc>
          <w:tcPr>
            <w:tcW w:w="1329" w:type="dxa"/>
            <w:noWrap w:val="0"/>
            <w:vAlign w:val="center"/>
          </w:tcPr>
          <w:p w14:paraId="07C95806">
            <w:pPr>
              <w:jc w:val="center"/>
              <w:rPr>
                <w:rFonts w:ascii="宋体" w:hAnsi="Bookman Old Style" w:eastAsia="宋体" w:cs="Times New Roman"/>
                <w:sz w:val="24"/>
              </w:rPr>
            </w:pPr>
            <w:r>
              <w:rPr>
                <w:rFonts w:hint="eastAsia" w:ascii="宋体" w:hAnsi="Bookman Old Style" w:eastAsia="宋体" w:cs="Times New Roman"/>
                <w:sz w:val="24"/>
              </w:rPr>
              <w:t>数量</w:t>
            </w:r>
          </w:p>
        </w:tc>
        <w:tc>
          <w:tcPr>
            <w:tcW w:w="2470" w:type="dxa"/>
            <w:noWrap w:val="0"/>
            <w:vAlign w:val="center"/>
          </w:tcPr>
          <w:p w14:paraId="48B92598">
            <w:pPr>
              <w:jc w:val="center"/>
              <w:rPr>
                <w:rFonts w:ascii="宋体" w:hAnsi="Bookman Old Style" w:eastAsia="宋体" w:cs="Times New Roman"/>
                <w:sz w:val="24"/>
              </w:rPr>
            </w:pPr>
            <w:r>
              <w:rPr>
                <w:rFonts w:hint="eastAsia" w:ascii="宋体" w:hAnsi="Bookman Old Style" w:eastAsia="宋体" w:cs="Times New Roman"/>
                <w:sz w:val="24"/>
              </w:rPr>
              <w:t>是否接受进口</w:t>
            </w:r>
          </w:p>
        </w:tc>
      </w:tr>
      <w:tr w14:paraId="4EB32E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63" w:hRule="atLeast"/>
          <w:jc w:val="center"/>
        </w:trPr>
        <w:tc>
          <w:tcPr>
            <w:tcW w:w="1440" w:type="dxa"/>
            <w:noWrap w:val="0"/>
            <w:vAlign w:val="center"/>
          </w:tcPr>
          <w:p w14:paraId="04089C51">
            <w:pPr>
              <w:jc w:val="center"/>
              <w:rPr>
                <w:rFonts w:hint="eastAsia" w:ascii="宋体" w:hAnsi="Times New Roman" w:eastAsia="宋体" w:cs="Times New Roman"/>
                <w:sz w:val="24"/>
              </w:rPr>
            </w:pPr>
            <w:r>
              <w:rPr>
                <w:rFonts w:hint="eastAsia" w:ascii="宋体" w:hAnsi="Times New Roman" w:eastAsia="宋体" w:cs="Times New Roman"/>
                <w:sz w:val="24"/>
              </w:rPr>
              <w:t>1</w:t>
            </w:r>
          </w:p>
        </w:tc>
        <w:tc>
          <w:tcPr>
            <w:tcW w:w="2357" w:type="dxa"/>
            <w:noWrap w:val="0"/>
            <w:vAlign w:val="center"/>
          </w:tcPr>
          <w:p w14:paraId="6ECDF480">
            <w:pPr>
              <w:jc w:val="center"/>
              <w:rPr>
                <w:rFonts w:hint="eastAsia" w:ascii="Bookman Old Style" w:hAnsi="Bookman Old Style" w:eastAsia="宋体" w:cs="Times New Roman"/>
                <w:sz w:val="24"/>
              </w:rPr>
            </w:pPr>
            <w:r>
              <w:rPr>
                <w:rFonts w:hint="eastAsia" w:ascii="Bookman Old Style" w:hAnsi="Bookman Old Style" w:eastAsia="宋体" w:cs="Times New Roman"/>
                <w:sz w:val="24"/>
              </w:rPr>
              <w:t>全自动高通量催化剂制备仪</w:t>
            </w:r>
          </w:p>
        </w:tc>
        <w:tc>
          <w:tcPr>
            <w:tcW w:w="1329" w:type="dxa"/>
            <w:noWrap w:val="0"/>
            <w:vAlign w:val="center"/>
          </w:tcPr>
          <w:p w14:paraId="03DDC836">
            <w:pPr>
              <w:jc w:val="center"/>
              <w:rPr>
                <w:rFonts w:hint="eastAsia" w:ascii="宋体" w:hAnsi="Bookman Old Style" w:eastAsia="宋体" w:cs="Times New Roman"/>
                <w:sz w:val="24"/>
              </w:rPr>
            </w:pPr>
            <w:r>
              <w:rPr>
                <w:rFonts w:hint="eastAsia" w:ascii="宋体" w:hAnsi="Bookman Old Style" w:eastAsia="宋体" w:cs="Times New Roman"/>
                <w:sz w:val="24"/>
              </w:rPr>
              <w:t>1套</w:t>
            </w:r>
          </w:p>
        </w:tc>
        <w:tc>
          <w:tcPr>
            <w:tcW w:w="2470" w:type="dxa"/>
            <w:noWrap w:val="0"/>
            <w:vAlign w:val="center"/>
          </w:tcPr>
          <w:p w14:paraId="4FE3E296">
            <w:pPr>
              <w:jc w:val="center"/>
              <w:rPr>
                <w:rFonts w:hint="eastAsia" w:ascii="宋体" w:hAnsi="Bookman Old Style" w:eastAsia="宋体" w:cs="Times New Roman"/>
                <w:sz w:val="24"/>
              </w:rPr>
            </w:pPr>
            <w:r>
              <w:rPr>
                <w:rFonts w:hint="eastAsia" w:ascii="宋体" w:hAnsi="Bookman Old Style" w:eastAsia="宋体" w:cs="Times New Roman"/>
                <w:sz w:val="24"/>
              </w:rPr>
              <w:t>否</w:t>
            </w:r>
          </w:p>
        </w:tc>
      </w:tr>
    </w:tbl>
    <w:p w14:paraId="50691081">
      <w:pPr>
        <w:adjustRightInd w:val="0"/>
        <w:snapToGrid w:val="0"/>
        <w:jc w:val="center"/>
        <w:rPr>
          <w:rFonts w:hint="eastAsia" w:ascii="宋体" w:hAnsi="宋体" w:eastAsia="宋体" w:cs="Times New Roman"/>
          <w:b/>
          <w:sz w:val="30"/>
          <w:szCs w:val="30"/>
        </w:rPr>
      </w:pPr>
    </w:p>
    <w:p w14:paraId="44DDE375">
      <w:pPr>
        <w:adjustRightInd w:val="0"/>
        <w:snapToGrid w:val="0"/>
        <w:jc w:val="center"/>
        <w:rPr>
          <w:rFonts w:hint="eastAsia" w:ascii="宋体" w:hAnsi="宋体" w:eastAsia="宋体" w:cs="Times New Roman"/>
          <w:b/>
          <w:sz w:val="30"/>
          <w:szCs w:val="30"/>
        </w:rPr>
      </w:pPr>
    </w:p>
    <w:p w14:paraId="6246EE48">
      <w:pPr>
        <w:rPr>
          <w:rFonts w:hint="eastAsia" w:ascii="Bookman Old Style" w:hAnsi="Bookman Old Style" w:eastAsia="宋体" w:cs="Times New Roman"/>
          <w:sz w:val="24"/>
        </w:rPr>
      </w:pPr>
      <w:r>
        <w:rPr>
          <w:rFonts w:hint="eastAsia" w:ascii="Times New Roman" w:hAnsi="Times New Roman" w:eastAsia="宋体" w:cs="Times New Roman"/>
          <w:sz w:val="24"/>
        </w:rPr>
        <w:t>注：投标人须对上述投标内容中完整的一包进行投标，</w:t>
      </w:r>
      <w:r>
        <w:rPr>
          <w:rFonts w:hint="eastAsia" w:ascii="Bookman Old Style" w:hAnsi="Bookman Old Style" w:eastAsia="宋体" w:cs="Times New Roman"/>
          <w:sz w:val="24"/>
        </w:rPr>
        <w:t>不完整的投标将视为非响应性投标予以拒绝。</w:t>
      </w:r>
    </w:p>
    <w:p w14:paraId="6686E5AD">
      <w:pPr>
        <w:adjustRightInd w:val="0"/>
        <w:snapToGrid w:val="0"/>
        <w:rPr>
          <w:rFonts w:hint="eastAsia" w:ascii="宋体" w:hAnsi="宋体" w:eastAsia="宋体" w:cs="Times New Roman"/>
          <w:szCs w:val="21"/>
        </w:rPr>
      </w:pPr>
    </w:p>
    <w:p w14:paraId="3C8DD63C">
      <w:pPr>
        <w:adjustRightInd w:val="0"/>
        <w:snapToGrid w:val="0"/>
        <w:rPr>
          <w:rFonts w:hint="eastAsia" w:ascii="宋体" w:hAnsi="宋体" w:eastAsia="宋体" w:cs="Times New Roman"/>
          <w:szCs w:val="21"/>
        </w:rPr>
      </w:pPr>
    </w:p>
    <w:p w14:paraId="73C04F47">
      <w:pPr>
        <w:adjustRightInd w:val="0"/>
        <w:snapToGrid w:val="0"/>
        <w:rPr>
          <w:rFonts w:hint="eastAsia" w:ascii="宋体" w:hAnsi="宋体" w:eastAsia="宋体" w:cs="Times New Roman"/>
          <w:szCs w:val="21"/>
        </w:rPr>
      </w:pPr>
    </w:p>
    <w:p w14:paraId="3D916F54">
      <w:pPr>
        <w:adjustRightInd w:val="0"/>
        <w:snapToGrid w:val="0"/>
        <w:spacing w:line="360" w:lineRule="auto"/>
        <w:rPr>
          <w:rFonts w:ascii="宋体" w:hAnsi="宋体" w:eastAsia="宋体" w:cs="Times New Roman"/>
          <w:b/>
          <w:sz w:val="28"/>
          <w:szCs w:val="28"/>
        </w:rPr>
      </w:pPr>
      <w:r>
        <w:rPr>
          <w:rFonts w:ascii="宋体" w:hAnsi="宋体" w:eastAsia="宋体" w:cs="Times New Roman"/>
          <w:b/>
          <w:sz w:val="30"/>
          <w:szCs w:val="30"/>
        </w:rPr>
        <w:br w:type="page"/>
      </w:r>
      <w:r>
        <w:rPr>
          <w:rFonts w:hint="eastAsia" w:ascii="宋体" w:hAnsi="宋体" w:eastAsia="宋体" w:cs="Times New Roman"/>
          <w:b/>
          <w:sz w:val="28"/>
          <w:szCs w:val="28"/>
        </w:rPr>
        <w:t>一、总则</w:t>
      </w:r>
    </w:p>
    <w:p w14:paraId="4E83A320">
      <w:pPr>
        <w:adjustRightInd w:val="0"/>
        <w:snapToGrid w:val="0"/>
        <w:spacing w:line="360" w:lineRule="auto"/>
        <w:rPr>
          <w:rFonts w:ascii="宋体" w:hAnsi="宋体" w:eastAsia="宋体" w:cs="Times New Roman"/>
          <w:b/>
          <w:sz w:val="28"/>
          <w:szCs w:val="28"/>
        </w:rPr>
      </w:pPr>
      <w:r>
        <w:rPr>
          <w:rFonts w:ascii="宋体" w:hAnsi="宋体" w:eastAsia="宋体" w:cs="Times New Roman"/>
          <w:b/>
          <w:sz w:val="28"/>
          <w:szCs w:val="28"/>
        </w:rPr>
        <w:t>1</w:t>
      </w:r>
      <w:r>
        <w:rPr>
          <w:rFonts w:hint="eastAsia" w:ascii="宋体" w:hAnsi="宋体" w:eastAsia="宋体" w:cs="Times New Roman"/>
          <w:b/>
          <w:sz w:val="28"/>
          <w:szCs w:val="28"/>
        </w:rPr>
        <w:t>、投标要求</w:t>
      </w:r>
    </w:p>
    <w:p w14:paraId="661CA77E">
      <w:pPr>
        <w:spacing w:line="360" w:lineRule="auto"/>
        <w:ind w:left="554" w:hanging="554" w:hangingChars="231"/>
        <w:rPr>
          <w:rFonts w:hint="eastAsia" w:ascii="宋体" w:hAnsi="宋体" w:eastAsia="宋体" w:cs="Times New Roman"/>
          <w:sz w:val="24"/>
        </w:rPr>
      </w:pPr>
      <w:r>
        <w:rPr>
          <w:rFonts w:ascii="宋体" w:hAnsi="宋体" w:eastAsia="宋体" w:cs="Times New Roman"/>
          <w:sz w:val="24"/>
        </w:rPr>
        <w:t xml:space="preserve">1.1 </w:t>
      </w:r>
      <w:r>
        <w:rPr>
          <w:rFonts w:hint="eastAsia" w:ascii="宋体" w:hAnsi="宋体" w:eastAsia="宋体" w:cs="Times New Roman"/>
          <w:sz w:val="24"/>
        </w:rPr>
        <w:t xml:space="preserve"> 投标人在准备投标书时，务必在所提供的商品的技术规格文件中，标明型号、商标名称、目录号。</w:t>
      </w:r>
    </w:p>
    <w:p w14:paraId="4B8EFBC9">
      <w:pPr>
        <w:spacing w:line="360" w:lineRule="auto"/>
        <w:ind w:left="554" w:hanging="554" w:hangingChars="231"/>
        <w:rPr>
          <w:rFonts w:hint="eastAsia" w:ascii="宋体" w:hAnsi="宋体" w:eastAsia="宋体" w:cs="Times New Roman"/>
          <w:sz w:val="24"/>
        </w:rPr>
      </w:pPr>
      <w:r>
        <w:rPr>
          <w:rFonts w:hint="eastAsia" w:ascii="宋体" w:hAnsi="宋体" w:eastAsia="宋体" w:cs="Times New Roman"/>
          <w:sz w:val="24"/>
        </w:rPr>
        <w:t>1.2  投标人提供的货物须是成熟的全新的产品，其技术规格应符合招标文件的要求。如与招标文件的技术规格有偏差，应提供技术规格偏差的量值或说明（偏离表）。如投标人有意隐瞒对规格要求的偏差或在开标后提出新的偏差，买方有权扣留其投标保证金或/并拒绝其投标。</w:t>
      </w:r>
    </w:p>
    <w:p w14:paraId="582A1506">
      <w:pPr>
        <w:spacing w:line="360" w:lineRule="auto"/>
        <w:ind w:left="554" w:hanging="554" w:hangingChars="231"/>
        <w:rPr>
          <w:rFonts w:hint="eastAsia" w:ascii="宋体" w:hAnsi="Times New Roman" w:eastAsia="宋体" w:cs="Times New Roman"/>
          <w:sz w:val="24"/>
        </w:rPr>
      </w:pPr>
      <w:r>
        <w:rPr>
          <w:rFonts w:hint="eastAsia" w:ascii="宋体" w:hAnsi="宋体" w:eastAsia="宋体" w:cs="Times New Roman"/>
          <w:sz w:val="24"/>
        </w:rPr>
        <w:t xml:space="preserve">1.3  </w:t>
      </w:r>
      <w:r>
        <w:rPr>
          <w:rFonts w:hint="eastAsia" w:ascii="Times New Roman" w:hAnsi="Times New Roman" w:eastAsia="宋体" w:cs="Times New Roman"/>
          <w:sz w:val="24"/>
        </w:rPr>
        <w:t>投标人提供的</w:t>
      </w:r>
      <w:r>
        <w:rPr>
          <w:rFonts w:hint="eastAsia" w:ascii="宋体" w:hAnsi="Times New Roman" w:eastAsia="宋体" w:cs="Times New Roman"/>
          <w:sz w:val="24"/>
        </w:rPr>
        <w:t>产品</w:t>
      </w:r>
      <w:r>
        <w:rPr>
          <w:rFonts w:hint="eastAsia" w:ascii="Times New Roman" w:hAnsi="Times New Roman" w:eastAsia="宋体" w:cs="Times New Roman"/>
          <w:sz w:val="24"/>
        </w:rPr>
        <w:t>样本，必须是“原件”而非复印件，</w:t>
      </w:r>
      <w:r>
        <w:rPr>
          <w:rFonts w:hint="eastAsia" w:ascii="宋体" w:hAnsi="Times New Roman" w:eastAsia="宋体" w:cs="Times New Roman"/>
          <w:sz w:val="24"/>
        </w:rPr>
        <w:t>图表、简图、电路图以及印刷电路板图等都应</w:t>
      </w:r>
      <w:r>
        <w:rPr>
          <w:rFonts w:hint="eastAsia" w:ascii="Times New Roman" w:hAnsi="Times New Roman" w:eastAsia="宋体" w:cs="Times New Roman"/>
          <w:sz w:val="24"/>
        </w:rPr>
        <w:t>清晰易读。买方有权</w:t>
      </w:r>
      <w:r>
        <w:rPr>
          <w:rFonts w:hint="eastAsia" w:ascii="宋体" w:hAnsi="Times New Roman" w:eastAsia="宋体" w:cs="Times New Roman"/>
          <w:sz w:val="24"/>
        </w:rPr>
        <w:t>不付任何附加费用</w:t>
      </w:r>
      <w:r>
        <w:rPr>
          <w:rFonts w:hint="eastAsia" w:ascii="Times New Roman" w:hAnsi="Times New Roman" w:eastAsia="宋体" w:cs="Times New Roman"/>
          <w:sz w:val="24"/>
        </w:rPr>
        <w:t>复制这些资料</w:t>
      </w:r>
      <w:r>
        <w:rPr>
          <w:rFonts w:hint="eastAsia" w:ascii="宋体" w:hAnsi="Times New Roman" w:eastAsia="宋体" w:cs="Times New Roman"/>
          <w:sz w:val="24"/>
        </w:rPr>
        <w:t>以供参考。</w:t>
      </w:r>
    </w:p>
    <w:p w14:paraId="70670267">
      <w:pPr>
        <w:spacing w:line="360" w:lineRule="auto"/>
        <w:ind w:left="554" w:hanging="554" w:hangingChars="231"/>
        <w:rPr>
          <w:rFonts w:hint="eastAsia" w:ascii="宋体" w:hAnsi="Times New Roman" w:eastAsia="宋体" w:cs="Times New Roman"/>
          <w:sz w:val="24"/>
        </w:rPr>
      </w:pPr>
      <w:r>
        <w:rPr>
          <w:rFonts w:hint="eastAsia" w:ascii="宋体" w:hAnsi="Times New Roman" w:eastAsia="宋体" w:cs="Times New Roman"/>
          <w:sz w:val="24"/>
        </w:rPr>
        <w:t>1.4  投标人的投标产品应符合国家有关部门规定的相应技术、计量、节能、安全和环保法规及标准；如国家有关部门对投标人的投标产品有强制性规定或要求的，则投标人的投标产品必须符合相应规定或要求，投标人须提供相关证明文件的复印件。</w:t>
      </w:r>
    </w:p>
    <w:p w14:paraId="6D49FDB4">
      <w:pPr>
        <w:adjustRightInd w:val="0"/>
        <w:snapToGrid w:val="0"/>
        <w:spacing w:line="360" w:lineRule="auto"/>
        <w:rPr>
          <w:rFonts w:ascii="宋体" w:hAnsi="宋体" w:eastAsia="宋体" w:cs="Times New Roman"/>
          <w:b/>
          <w:sz w:val="28"/>
          <w:szCs w:val="28"/>
        </w:rPr>
      </w:pPr>
      <w:r>
        <w:rPr>
          <w:rFonts w:hint="eastAsia" w:ascii="宋体" w:hAnsi="宋体" w:eastAsia="宋体" w:cs="Times New Roman"/>
          <w:b/>
          <w:sz w:val="28"/>
          <w:szCs w:val="28"/>
        </w:rPr>
        <w:t>2、评标标准</w:t>
      </w:r>
    </w:p>
    <w:p w14:paraId="269DE56C">
      <w:pPr>
        <w:spacing w:line="360" w:lineRule="auto"/>
        <w:ind w:left="554" w:hanging="554" w:hangingChars="231"/>
        <w:rPr>
          <w:rFonts w:hint="eastAsia" w:ascii="宋体" w:hAnsi="Times New Roman" w:eastAsia="宋体" w:cs="Times New Roman"/>
          <w:sz w:val="24"/>
        </w:rPr>
      </w:pPr>
      <w:r>
        <w:rPr>
          <w:rFonts w:ascii="宋体" w:hAnsi="宋体" w:eastAsia="宋体" w:cs="Times New Roman"/>
          <w:sz w:val="24"/>
        </w:rPr>
        <w:t>2.</w:t>
      </w:r>
      <w:r>
        <w:rPr>
          <w:rFonts w:hint="eastAsia" w:ascii="宋体" w:hAnsi="宋体" w:eastAsia="宋体" w:cs="Times New Roman"/>
          <w:sz w:val="24"/>
        </w:rPr>
        <w:t xml:space="preserve">1  </w:t>
      </w:r>
      <w:r>
        <w:rPr>
          <w:rFonts w:hint="eastAsia" w:ascii="Times New Roman" w:hAnsi="Times New Roman" w:eastAsia="宋体" w:cs="Times New Roman"/>
          <w:sz w:val="24"/>
        </w:rPr>
        <w:t>除招标文件中指定的附件和专用工具外，</w:t>
      </w:r>
      <w:r>
        <w:rPr>
          <w:rFonts w:hint="eastAsia" w:ascii="宋体" w:hAnsi="Times New Roman" w:eastAsia="宋体" w:cs="Times New Roman"/>
          <w:sz w:val="24"/>
        </w:rPr>
        <w:t>投标人应提供仪器设备的正常运行和常规保养所需的全套标准附件、专用工具</w:t>
      </w:r>
      <w:r>
        <w:rPr>
          <w:rFonts w:hint="eastAsia" w:ascii="Times New Roman" w:hAnsi="Times New Roman" w:eastAsia="宋体" w:cs="Times New Roman"/>
          <w:sz w:val="24"/>
        </w:rPr>
        <w:t>和消耗品</w:t>
      </w:r>
      <w:r>
        <w:rPr>
          <w:rFonts w:hint="eastAsia" w:ascii="宋体" w:hAnsi="Times New Roman" w:eastAsia="宋体" w:cs="Times New Roman"/>
          <w:sz w:val="24"/>
        </w:rPr>
        <w:t>。投标人在投标书中需列出这些附件和工具的数量和单价的清单，这些附件和工具的报价的总值需计入投标价中。</w:t>
      </w:r>
    </w:p>
    <w:p w14:paraId="018C4980">
      <w:pPr>
        <w:spacing w:line="360" w:lineRule="auto"/>
        <w:ind w:left="554" w:hanging="554" w:hangingChars="231"/>
        <w:rPr>
          <w:rFonts w:hint="eastAsia" w:ascii="Times New Roman" w:hAnsi="Times New Roman" w:eastAsia="宋体" w:cs="Times New Roman"/>
          <w:sz w:val="24"/>
        </w:rPr>
      </w:pPr>
      <w:r>
        <w:rPr>
          <w:rFonts w:hint="eastAsia" w:ascii="宋体" w:hAnsi="宋体" w:eastAsia="宋体" w:cs="Times New Roman"/>
          <w:sz w:val="24"/>
        </w:rPr>
        <w:t xml:space="preserve">2.2  </w:t>
      </w:r>
      <w:r>
        <w:rPr>
          <w:rFonts w:hint="eastAsia" w:ascii="Times New Roman" w:hAnsi="Times New Roman" w:eastAsia="宋体" w:cs="Times New Roman"/>
          <w:sz w:val="24"/>
        </w:rPr>
        <w:t>对于标书</w:t>
      </w:r>
      <w:r>
        <w:rPr>
          <w:rFonts w:hint="eastAsia" w:ascii="宋体" w:hAnsi="Times New Roman" w:eastAsia="宋体" w:cs="Times New Roman"/>
          <w:sz w:val="24"/>
        </w:rPr>
        <w:t>技术规范中已列</w:t>
      </w:r>
      <w:r>
        <w:rPr>
          <w:rFonts w:hint="eastAsia" w:ascii="Times New Roman" w:hAnsi="Times New Roman" w:eastAsia="宋体" w:cs="Times New Roman"/>
          <w:sz w:val="24"/>
        </w:rPr>
        <w:t>出的作为查询选件的附件、零配件、专用工具和消耗品，投标书中</w:t>
      </w:r>
      <w:r>
        <w:rPr>
          <w:rFonts w:hint="eastAsia" w:ascii="宋体" w:hAnsi="Times New Roman" w:eastAsia="宋体" w:cs="Times New Roman"/>
          <w:sz w:val="24"/>
        </w:rPr>
        <w:t>应列明其数量、单价、总价供买方参考。投标人也可推荐买方没有要求的附件或专用工具作为选件，并列明其数量、单价、总价供买方参考。选件价格不计入评标价中。</w:t>
      </w:r>
    </w:p>
    <w:p w14:paraId="3DF6BBF1">
      <w:pPr>
        <w:spacing w:line="360" w:lineRule="auto"/>
        <w:ind w:left="554" w:hanging="554" w:hangingChars="231"/>
        <w:rPr>
          <w:rFonts w:hint="eastAsia" w:ascii="宋体" w:hAnsi="宋体" w:eastAsia="宋体" w:cs="Times New Roman"/>
          <w:sz w:val="24"/>
        </w:rPr>
      </w:pPr>
      <w:r>
        <w:rPr>
          <w:rFonts w:hint="eastAsia" w:ascii="宋体" w:hAnsi="宋体" w:eastAsia="宋体" w:cs="Times New Roman"/>
          <w:sz w:val="24"/>
        </w:rPr>
        <w:t>2.3  为便于用户进行接收仪器的准备工作，卖方应在合同生效后</w:t>
      </w:r>
      <w:r>
        <w:rPr>
          <w:rFonts w:hint="eastAsia" w:ascii="宋体" w:hAnsi="宋体" w:eastAsia="宋体" w:cs="Times New Roman"/>
          <w:b/>
          <w:sz w:val="24"/>
        </w:rPr>
        <w:t>60</w:t>
      </w:r>
      <w:r>
        <w:rPr>
          <w:rFonts w:hint="eastAsia" w:ascii="宋体" w:hAnsi="宋体" w:eastAsia="宋体" w:cs="Times New Roman"/>
          <w:sz w:val="24"/>
        </w:rPr>
        <w:t>天内向用户提供一套完整的使用说明书、操作手册、维修及安装说明等文件。另一套完整上述资料应在交货时随货包装提供给用户，这些费用应计入投标价中。</w:t>
      </w:r>
    </w:p>
    <w:p w14:paraId="78E6C3A2">
      <w:pPr>
        <w:spacing w:line="360" w:lineRule="auto"/>
        <w:ind w:left="554" w:hanging="554" w:hangingChars="231"/>
        <w:rPr>
          <w:rFonts w:hint="eastAsia" w:ascii="宋体" w:hAnsi="宋体" w:eastAsia="宋体" w:cs="Times New Roman"/>
          <w:sz w:val="24"/>
        </w:rPr>
      </w:pPr>
      <w:r>
        <w:rPr>
          <w:rFonts w:hint="eastAsia" w:ascii="宋体" w:hAnsi="宋体" w:eastAsia="宋体" w:cs="Times New Roman"/>
          <w:sz w:val="24"/>
        </w:rPr>
        <w:t>2</w:t>
      </w:r>
      <w:r>
        <w:rPr>
          <w:rFonts w:ascii="宋体" w:hAnsi="宋体" w:eastAsia="宋体" w:cs="Times New Roman"/>
          <w:sz w:val="24"/>
        </w:rPr>
        <w:t>.</w:t>
      </w:r>
      <w:r>
        <w:rPr>
          <w:rFonts w:hint="eastAsia" w:ascii="宋体" w:hAnsi="宋体" w:eastAsia="宋体" w:cs="Times New Roman"/>
          <w:sz w:val="24"/>
        </w:rPr>
        <w:t>4</w:t>
      </w:r>
      <w:r>
        <w:rPr>
          <w:rFonts w:ascii="宋体" w:hAnsi="宋体" w:eastAsia="宋体" w:cs="Times New Roman"/>
          <w:sz w:val="24"/>
        </w:rPr>
        <w:t xml:space="preserve"> </w:t>
      </w:r>
      <w:r>
        <w:rPr>
          <w:rFonts w:hint="eastAsia" w:ascii="宋体" w:hAnsi="宋体" w:eastAsia="宋体" w:cs="Times New Roman"/>
          <w:sz w:val="24"/>
        </w:rPr>
        <w:t xml:space="preserve"> 关于设备的安装调试，如果有必要的安装准备条件，卖方应在合同生效后一个月内向买方提出详细的要求或计划。安装调试的费用应计入投标价中，并应单独列出，供评标使用。</w:t>
      </w:r>
    </w:p>
    <w:p w14:paraId="2FDB1E13">
      <w:pPr>
        <w:spacing w:line="360" w:lineRule="auto"/>
        <w:ind w:left="554" w:hanging="554" w:hangingChars="231"/>
        <w:rPr>
          <w:rFonts w:ascii="宋体" w:hAnsi="宋体" w:eastAsia="宋体" w:cs="Times New Roman"/>
          <w:sz w:val="24"/>
        </w:rPr>
      </w:pPr>
      <w:r>
        <w:rPr>
          <w:rFonts w:ascii="宋体" w:hAnsi="宋体" w:eastAsia="宋体" w:cs="Times New Roman"/>
          <w:sz w:val="24"/>
        </w:rPr>
        <w:t>2.</w:t>
      </w:r>
      <w:r>
        <w:rPr>
          <w:rFonts w:hint="eastAsia" w:ascii="宋体" w:hAnsi="宋体" w:eastAsia="宋体" w:cs="Times New Roman"/>
          <w:sz w:val="24"/>
        </w:rPr>
        <w:t>5  制造厂家提供的培训指的是涉及货物的基本原理、操作使用和保养维修等有关内容的培训。培训教员的培训费、旅费、食宿费等费用和培训场地费及培训资料费均应由卖方支付。</w:t>
      </w:r>
    </w:p>
    <w:p w14:paraId="599595E2">
      <w:pPr>
        <w:adjustRightInd w:val="0"/>
        <w:snapToGrid w:val="0"/>
        <w:spacing w:line="360" w:lineRule="auto"/>
        <w:rPr>
          <w:rFonts w:hint="eastAsia" w:ascii="宋体" w:hAnsi="宋体" w:eastAsia="宋体" w:cs="Times New Roman"/>
          <w:b/>
          <w:sz w:val="28"/>
          <w:szCs w:val="28"/>
        </w:rPr>
      </w:pPr>
      <w:r>
        <w:rPr>
          <w:rFonts w:hint="eastAsia" w:ascii="宋体" w:hAnsi="宋体" w:eastAsia="宋体" w:cs="Times New Roman"/>
          <w:b/>
          <w:sz w:val="28"/>
          <w:szCs w:val="28"/>
        </w:rPr>
        <w:t>3、工作条件</w:t>
      </w:r>
    </w:p>
    <w:p w14:paraId="4BFB4395">
      <w:pPr>
        <w:spacing w:after="312" w:afterLines="100" w:line="360" w:lineRule="auto"/>
        <w:rPr>
          <w:rFonts w:hint="eastAsia" w:ascii="宋体" w:hAnsi="宋体" w:eastAsia="宋体" w:cs="Times New Roman"/>
          <w:sz w:val="24"/>
        </w:rPr>
      </w:pPr>
      <w:r>
        <w:rPr>
          <w:rFonts w:hint="eastAsia" w:ascii="宋体" w:hAnsi="宋体" w:eastAsia="宋体" w:cs="Times New Roman"/>
          <w:sz w:val="24"/>
        </w:rPr>
        <w:t>除非在技术规格中另有说明，所有仪器、设备和系统都应符合下列要求：</w:t>
      </w:r>
      <w:r>
        <w:rPr>
          <w:rFonts w:ascii="宋体" w:hAnsi="宋体" w:eastAsia="宋体" w:cs="Times New Roman"/>
          <w:sz w:val="24"/>
        </w:rPr>
        <w:t xml:space="preserve"> </w:t>
      </w:r>
    </w:p>
    <w:p w14:paraId="390D7AEE">
      <w:pPr>
        <w:spacing w:line="360" w:lineRule="auto"/>
        <w:ind w:left="554" w:hanging="554" w:hangingChars="231"/>
        <w:rPr>
          <w:rFonts w:hint="eastAsia" w:ascii="宋体" w:hAnsi="宋体" w:eastAsia="宋体" w:cs="Times New Roman"/>
          <w:sz w:val="24"/>
        </w:rPr>
      </w:pPr>
      <w:r>
        <w:rPr>
          <w:rFonts w:hint="eastAsia" w:ascii="宋体" w:hAnsi="宋体" w:eastAsia="宋体" w:cs="Times New Roman"/>
          <w:sz w:val="24"/>
        </w:rPr>
        <w:t>3.1  适于在气温为摄氏</w:t>
      </w:r>
      <w:r>
        <w:rPr>
          <w:rFonts w:ascii="宋体" w:hAnsi="宋体" w:eastAsia="宋体" w:cs="Times New Roman"/>
          <w:b/>
          <w:sz w:val="24"/>
        </w:rPr>
        <w:t>-40</w:t>
      </w:r>
      <w:r>
        <w:rPr>
          <w:rFonts w:hint="eastAsia" w:ascii="宋体" w:hAnsi="宋体" w:eastAsia="宋体" w:cs="Times New Roman"/>
          <w:b/>
          <w:sz w:val="24"/>
        </w:rPr>
        <w:t>℃～＋</w:t>
      </w:r>
      <w:r>
        <w:rPr>
          <w:rFonts w:ascii="宋体" w:hAnsi="宋体" w:eastAsia="宋体" w:cs="Times New Roman"/>
          <w:b/>
          <w:sz w:val="24"/>
        </w:rPr>
        <w:t>50</w:t>
      </w:r>
      <w:r>
        <w:rPr>
          <w:rFonts w:hint="eastAsia" w:ascii="宋体" w:hAnsi="宋体" w:eastAsia="宋体" w:cs="Times New Roman"/>
          <w:b/>
          <w:sz w:val="24"/>
        </w:rPr>
        <w:t>℃</w:t>
      </w:r>
      <w:r>
        <w:rPr>
          <w:rFonts w:hint="eastAsia" w:ascii="宋体" w:hAnsi="宋体" w:eastAsia="宋体" w:cs="Times New Roman"/>
          <w:sz w:val="24"/>
        </w:rPr>
        <w:t>和相对湿度为</w:t>
      </w:r>
      <w:r>
        <w:rPr>
          <w:rFonts w:ascii="宋体" w:hAnsi="宋体" w:eastAsia="宋体" w:cs="Times New Roman"/>
          <w:b/>
          <w:sz w:val="24"/>
        </w:rPr>
        <w:t>90</w:t>
      </w:r>
      <w:r>
        <w:rPr>
          <w:rFonts w:hint="eastAsia" w:ascii="宋体" w:hAnsi="宋体" w:eastAsia="宋体" w:cs="Times New Roman"/>
          <w:b/>
          <w:sz w:val="24"/>
        </w:rPr>
        <w:t>％</w:t>
      </w:r>
      <w:r>
        <w:rPr>
          <w:rFonts w:hint="eastAsia" w:ascii="宋体" w:hAnsi="宋体" w:eastAsia="宋体" w:cs="Times New Roman"/>
          <w:sz w:val="24"/>
        </w:rPr>
        <w:t>的环境条件下运输和贮存。</w:t>
      </w:r>
    </w:p>
    <w:p w14:paraId="65D078CF">
      <w:pPr>
        <w:spacing w:line="360" w:lineRule="auto"/>
        <w:ind w:left="554" w:hanging="554" w:hangingChars="231"/>
        <w:rPr>
          <w:rFonts w:hint="eastAsia" w:ascii="宋体" w:hAnsi="宋体" w:eastAsia="宋体" w:cs="Times New Roman"/>
          <w:sz w:val="24"/>
        </w:rPr>
      </w:pPr>
      <w:r>
        <w:rPr>
          <w:rFonts w:hint="eastAsia" w:ascii="宋体" w:hAnsi="宋体" w:eastAsia="宋体" w:cs="Times New Roman"/>
          <w:sz w:val="24"/>
        </w:rPr>
        <w:t>3.2  适于在电源</w:t>
      </w:r>
      <w:r>
        <w:rPr>
          <w:rFonts w:ascii="宋体" w:hAnsi="宋体" w:eastAsia="宋体" w:cs="Times New Roman"/>
          <w:b/>
          <w:sz w:val="24"/>
        </w:rPr>
        <w:t>220V</w:t>
      </w:r>
      <w:r>
        <w:rPr>
          <w:rFonts w:hint="eastAsia" w:ascii="宋体" w:hAnsi="宋体" w:eastAsia="宋体" w:cs="Times New Roman"/>
          <w:b/>
          <w:sz w:val="24"/>
        </w:rPr>
        <w:t>（</w:t>
      </w:r>
      <w:r>
        <w:rPr>
          <w:rFonts w:ascii="宋体" w:hAnsi="宋体" w:eastAsia="宋体" w:cs="Times New Roman"/>
          <w:b/>
          <w:sz w:val="24"/>
        </w:rPr>
        <w:sym w:font="Symbol" w:char="F0B1"/>
      </w:r>
      <w:r>
        <w:rPr>
          <w:rFonts w:ascii="宋体" w:hAnsi="宋体" w:eastAsia="宋体" w:cs="Times New Roman"/>
          <w:b/>
          <w:sz w:val="24"/>
        </w:rPr>
        <w:t>10</w:t>
      </w:r>
      <w:r>
        <w:rPr>
          <w:rFonts w:hint="eastAsia" w:ascii="宋体" w:hAnsi="宋体" w:eastAsia="宋体" w:cs="Times New Roman"/>
          <w:b/>
          <w:sz w:val="24"/>
        </w:rPr>
        <w:t>％）</w:t>
      </w:r>
      <w:r>
        <w:rPr>
          <w:rFonts w:ascii="宋体" w:hAnsi="宋体" w:eastAsia="宋体" w:cs="Times New Roman"/>
          <w:b/>
          <w:sz w:val="24"/>
        </w:rPr>
        <w:t>/50Hz</w:t>
      </w:r>
      <w:r>
        <w:rPr>
          <w:rFonts w:hint="eastAsia" w:ascii="宋体" w:hAnsi="宋体" w:eastAsia="宋体" w:cs="Times New Roman"/>
          <w:sz w:val="24"/>
        </w:rPr>
        <w:t>、气温摄氏</w:t>
      </w:r>
      <w:r>
        <w:rPr>
          <w:rFonts w:hint="eastAsia" w:ascii="宋体" w:hAnsi="宋体" w:eastAsia="宋体" w:cs="Times New Roman"/>
          <w:b/>
          <w:sz w:val="24"/>
        </w:rPr>
        <w:t>+1</w:t>
      </w:r>
      <w:r>
        <w:rPr>
          <w:rFonts w:ascii="宋体" w:hAnsi="宋体" w:eastAsia="宋体" w:cs="Times New Roman"/>
          <w:b/>
          <w:sz w:val="24"/>
        </w:rPr>
        <w:t>5</w:t>
      </w:r>
      <w:r>
        <w:rPr>
          <w:rFonts w:hint="eastAsia" w:ascii="宋体" w:hAnsi="宋体" w:eastAsia="宋体" w:cs="Times New Roman"/>
          <w:b/>
          <w:sz w:val="24"/>
        </w:rPr>
        <w:t>℃～＋3</w:t>
      </w:r>
      <w:r>
        <w:rPr>
          <w:rFonts w:ascii="宋体" w:hAnsi="宋体" w:eastAsia="宋体" w:cs="Times New Roman"/>
          <w:b/>
          <w:sz w:val="24"/>
        </w:rPr>
        <w:t>0</w:t>
      </w:r>
      <w:r>
        <w:rPr>
          <w:rFonts w:hint="eastAsia" w:ascii="宋体" w:hAnsi="宋体" w:eastAsia="宋体" w:cs="Times New Roman"/>
          <w:b/>
          <w:sz w:val="24"/>
        </w:rPr>
        <w:t>℃</w:t>
      </w:r>
      <w:r>
        <w:rPr>
          <w:rFonts w:hint="eastAsia" w:ascii="宋体" w:hAnsi="宋体" w:eastAsia="宋体" w:cs="Times New Roman"/>
          <w:sz w:val="24"/>
        </w:rPr>
        <w:t>和相对湿度小于</w:t>
      </w:r>
      <w:r>
        <w:rPr>
          <w:rFonts w:ascii="宋体" w:hAnsi="宋体" w:eastAsia="宋体" w:cs="Times New Roman"/>
          <w:b/>
          <w:sz w:val="24"/>
        </w:rPr>
        <w:t>8</w:t>
      </w:r>
      <w:r>
        <w:rPr>
          <w:rFonts w:hint="eastAsia" w:ascii="宋体" w:hAnsi="宋体" w:eastAsia="宋体" w:cs="Times New Roman"/>
          <w:b/>
          <w:sz w:val="24"/>
        </w:rPr>
        <w:t>0％</w:t>
      </w:r>
      <w:r>
        <w:rPr>
          <w:rFonts w:hint="eastAsia" w:ascii="宋体" w:hAnsi="宋体" w:eastAsia="宋体" w:cs="Times New Roman"/>
          <w:sz w:val="24"/>
        </w:rPr>
        <w:t>的环境条件下运行。</w:t>
      </w:r>
      <w:r>
        <w:rPr>
          <w:rFonts w:hint="eastAsia" w:ascii="宋体" w:hAnsi="宋体" w:eastAsia="宋体" w:cs="Times New Roman"/>
          <w:b/>
          <w:sz w:val="24"/>
        </w:rPr>
        <w:t>能够连续正常工作。</w:t>
      </w:r>
    </w:p>
    <w:p w14:paraId="7C811AAE">
      <w:pPr>
        <w:spacing w:line="360" w:lineRule="auto"/>
        <w:ind w:left="554" w:hanging="554" w:hangingChars="231"/>
        <w:rPr>
          <w:rFonts w:hint="eastAsia" w:ascii="宋体" w:hAnsi="宋体" w:eastAsia="宋体" w:cs="Times New Roman"/>
          <w:sz w:val="24"/>
        </w:rPr>
      </w:pPr>
      <w:r>
        <w:rPr>
          <w:rFonts w:hint="eastAsia" w:ascii="宋体" w:hAnsi="宋体" w:eastAsia="宋体" w:cs="Times New Roman"/>
          <w:sz w:val="24"/>
        </w:rPr>
        <w:t>3.3  配置符合中国有关标准要求的插头，如果没有这样的插头，则需</w:t>
      </w:r>
      <w:r>
        <w:rPr>
          <w:rFonts w:hint="eastAsia" w:ascii="宋体" w:hAnsi="Times New Roman" w:eastAsia="宋体" w:cs="Times New Roman"/>
          <w:sz w:val="24"/>
        </w:rPr>
        <w:t>提供适当的转</w:t>
      </w:r>
      <w:r>
        <w:rPr>
          <w:rFonts w:hint="eastAsia" w:ascii="宋体" w:hAnsi="宋体" w:eastAsia="宋体" w:cs="Times New Roman"/>
          <w:sz w:val="24"/>
        </w:rPr>
        <w:t>换插座。</w:t>
      </w:r>
    </w:p>
    <w:p w14:paraId="227060B2">
      <w:pPr>
        <w:spacing w:line="360" w:lineRule="auto"/>
        <w:ind w:left="554" w:hanging="554" w:hangingChars="231"/>
        <w:rPr>
          <w:rFonts w:hint="eastAsia" w:ascii="宋体" w:hAnsi="宋体" w:eastAsia="宋体" w:cs="Times New Roman"/>
          <w:sz w:val="24"/>
        </w:rPr>
      </w:pPr>
      <w:r>
        <w:rPr>
          <w:rFonts w:hint="eastAsia" w:ascii="宋体" w:hAnsi="宋体" w:eastAsia="宋体" w:cs="Times New Roman"/>
          <w:sz w:val="24"/>
        </w:rPr>
        <w:t>3.4  如产品达不到上述要求，投标人应注明其偏差。如仪器设备需要特殊工作条件（如水、电源、磁场强度、温度、湿度、动强度等）投标人应在投标书中加以说明。</w:t>
      </w:r>
    </w:p>
    <w:p w14:paraId="721DF1DC">
      <w:pPr>
        <w:rPr>
          <w:rFonts w:hint="eastAsia" w:ascii="Times New Roman" w:hAnsi="Times New Roman" w:eastAsia="黑体" w:cs="Times New Roman"/>
          <w:b/>
          <w:bCs/>
          <w:kern w:val="44"/>
          <w:sz w:val="24"/>
        </w:rPr>
      </w:pPr>
    </w:p>
    <w:p w14:paraId="661A7B20">
      <w:pPr>
        <w:adjustRightInd w:val="0"/>
        <w:snapToGrid w:val="0"/>
        <w:spacing w:line="360" w:lineRule="auto"/>
        <w:rPr>
          <w:rFonts w:hint="eastAsia" w:ascii="宋体" w:hAnsi="宋体" w:eastAsia="宋体" w:cs="Times New Roman"/>
          <w:b/>
          <w:sz w:val="28"/>
          <w:szCs w:val="28"/>
        </w:rPr>
      </w:pPr>
      <w:r>
        <w:rPr>
          <w:rFonts w:hint="eastAsia" w:ascii="宋体" w:hAnsi="宋体" w:eastAsia="宋体" w:cs="Times New Roman"/>
          <w:b/>
          <w:sz w:val="28"/>
          <w:szCs w:val="28"/>
        </w:rPr>
        <w:t>4、验收标准</w:t>
      </w:r>
    </w:p>
    <w:p w14:paraId="32D0D7FB">
      <w:pPr>
        <w:spacing w:after="312" w:afterLines="100" w:line="360" w:lineRule="auto"/>
        <w:rPr>
          <w:rFonts w:hint="eastAsia" w:ascii="宋体" w:hAnsi="宋体" w:eastAsia="宋体" w:cs="Times New Roman"/>
          <w:sz w:val="24"/>
        </w:rPr>
      </w:pPr>
      <w:r>
        <w:rPr>
          <w:rFonts w:hint="eastAsia" w:ascii="宋体" w:hAnsi="宋体" w:eastAsia="宋体" w:cs="Times New Roman"/>
          <w:sz w:val="24"/>
        </w:rPr>
        <w:t>除非另有说明，所有仪器、设备和系统按下列要求进行验收：</w:t>
      </w:r>
      <w:r>
        <w:rPr>
          <w:rFonts w:ascii="宋体" w:hAnsi="宋体" w:eastAsia="宋体" w:cs="Times New Roman"/>
          <w:sz w:val="24"/>
        </w:rPr>
        <w:t xml:space="preserve"> </w:t>
      </w:r>
    </w:p>
    <w:p w14:paraId="134CA2E4">
      <w:pPr>
        <w:spacing w:line="360" w:lineRule="auto"/>
        <w:ind w:left="554" w:hanging="554" w:hangingChars="231"/>
        <w:rPr>
          <w:rFonts w:hint="eastAsia" w:ascii="宋体" w:hAnsi="宋体" w:eastAsia="宋体" w:cs="Times New Roman"/>
          <w:sz w:val="24"/>
        </w:rPr>
      </w:pPr>
      <w:r>
        <w:rPr>
          <w:rFonts w:hint="eastAsia" w:ascii="宋体" w:hAnsi="宋体" w:eastAsia="宋体" w:cs="Times New Roman"/>
          <w:sz w:val="24"/>
        </w:rPr>
        <w:t>4.1  仪器设备运抵安装现场后，买方将与卖方共同开箱验收</w:t>
      </w:r>
      <w:r>
        <w:rPr>
          <w:rFonts w:ascii="宋体" w:hAnsi="宋体" w:eastAsia="宋体" w:cs="Times New Roman"/>
          <w:sz w:val="24"/>
        </w:rPr>
        <w:t xml:space="preserve">, </w:t>
      </w:r>
      <w:r>
        <w:rPr>
          <w:rFonts w:hint="eastAsia" w:ascii="宋体" w:hAnsi="宋体" w:eastAsia="宋体" w:cs="Times New Roman"/>
          <w:sz w:val="24"/>
        </w:rPr>
        <w:t>如卖方届时不派人来</w:t>
      </w:r>
      <w:r>
        <w:rPr>
          <w:rFonts w:ascii="宋体" w:hAnsi="宋体" w:eastAsia="宋体" w:cs="Times New Roman"/>
          <w:sz w:val="24"/>
        </w:rPr>
        <w:t xml:space="preserve">, </w:t>
      </w:r>
      <w:r>
        <w:rPr>
          <w:rFonts w:hint="eastAsia" w:ascii="宋体" w:hAnsi="宋体" w:eastAsia="宋体" w:cs="Times New Roman"/>
          <w:sz w:val="24"/>
        </w:rPr>
        <w:t>则验收结果应以买方的验收报告为最终验收结果。验收时发现短缺、破损</w:t>
      </w:r>
      <w:r>
        <w:rPr>
          <w:rFonts w:ascii="宋体" w:hAnsi="宋体" w:eastAsia="宋体" w:cs="Times New Roman"/>
          <w:sz w:val="24"/>
        </w:rPr>
        <w:t xml:space="preserve">, </w:t>
      </w:r>
      <w:r>
        <w:rPr>
          <w:rFonts w:hint="eastAsia" w:ascii="宋体" w:hAnsi="宋体" w:eastAsia="宋体" w:cs="Times New Roman"/>
          <w:sz w:val="24"/>
        </w:rPr>
        <w:t>买方有权要求卖方负责更换。</w:t>
      </w:r>
    </w:p>
    <w:p w14:paraId="3D9489CF">
      <w:pPr>
        <w:spacing w:line="360" w:lineRule="auto"/>
        <w:ind w:left="554" w:hanging="554" w:hangingChars="231"/>
        <w:rPr>
          <w:rFonts w:hint="eastAsia" w:ascii="宋体" w:hAnsi="宋体" w:eastAsia="宋体" w:cs="Times New Roman"/>
          <w:sz w:val="24"/>
        </w:rPr>
      </w:pPr>
      <w:r>
        <w:rPr>
          <w:rFonts w:hint="eastAsia" w:ascii="宋体" w:hAnsi="宋体" w:eastAsia="宋体" w:cs="Times New Roman"/>
          <w:sz w:val="24"/>
        </w:rPr>
        <w:t xml:space="preserve">4.2  </w:t>
      </w:r>
      <w:r>
        <w:rPr>
          <w:rFonts w:hint="eastAsia" w:ascii="Times New Roman" w:hAnsi="Times New Roman" w:eastAsia="宋体" w:cs="Times New Roman"/>
          <w:sz w:val="24"/>
        </w:rPr>
        <w:t>验收标准以中标人提供的投标文件中所列的指标为准（该指标应不低于招标文件所要求的指标）。任何虚假指标响应一经发现即作废标，卖方必须承担由此给买方带来的一切经济损失和其它相关责任。</w:t>
      </w:r>
    </w:p>
    <w:p w14:paraId="0E0C5BAA">
      <w:pPr>
        <w:spacing w:line="360" w:lineRule="auto"/>
        <w:ind w:left="554" w:hanging="554" w:hangingChars="231"/>
        <w:rPr>
          <w:rFonts w:hint="eastAsia" w:ascii="宋体" w:hAnsi="宋体" w:eastAsia="宋体" w:cs="Times New Roman"/>
          <w:sz w:val="24"/>
        </w:rPr>
      </w:pPr>
      <w:r>
        <w:rPr>
          <w:rFonts w:hint="eastAsia" w:ascii="宋体" w:hAnsi="宋体" w:eastAsia="宋体" w:cs="Times New Roman"/>
          <w:sz w:val="24"/>
        </w:rPr>
        <w:t xml:space="preserve">4.3  </w:t>
      </w:r>
      <w:r>
        <w:rPr>
          <w:rFonts w:ascii="宋体" w:hAnsi="宋体" w:eastAsia="宋体" w:cs="Times New Roman"/>
          <w:sz w:val="24"/>
        </w:rPr>
        <w:t>验收由采购人、中标人及相关人员依国家有关标准、合同及有关附件要求进行，验收完毕由采购人及中标人在验收报告上签名。</w:t>
      </w:r>
    </w:p>
    <w:p w14:paraId="43542259">
      <w:pPr>
        <w:pStyle w:val="2"/>
        <w:spacing w:line="360" w:lineRule="auto"/>
        <w:ind w:left="410" w:hanging="410" w:hangingChars="170"/>
        <w:rPr>
          <w:rFonts w:hint="eastAsia" w:hAnsi="宋体" w:eastAsia="宋体" w:cs="Times New Roman"/>
          <w:b/>
          <w:sz w:val="24"/>
          <w:szCs w:val="24"/>
        </w:rPr>
      </w:pPr>
    </w:p>
    <w:p w14:paraId="276A68D7">
      <w:pPr>
        <w:adjustRightInd w:val="0"/>
        <w:snapToGrid w:val="0"/>
        <w:spacing w:line="360" w:lineRule="auto"/>
        <w:rPr>
          <w:rFonts w:hint="eastAsia" w:ascii="Times New Roman" w:hAnsi="宋体" w:eastAsia="宋体" w:cs="Times New Roman"/>
          <w:b/>
          <w:sz w:val="24"/>
        </w:rPr>
      </w:pPr>
      <w:r>
        <w:rPr>
          <w:rFonts w:hint="eastAsia" w:ascii="Times New Roman" w:hAnsi="Times New Roman" w:eastAsia="宋体" w:cs="Times New Roman"/>
          <w:b/>
          <w:bCs/>
          <w:sz w:val="24"/>
        </w:rPr>
        <w:t>5、本采购需求书中标注“★”号技术条款的为实质性要求，不满足其投标将视为无效投标被拒绝。</w:t>
      </w:r>
    </w:p>
    <w:p w14:paraId="31D7887A">
      <w:pPr>
        <w:adjustRightInd w:val="0"/>
        <w:snapToGrid w:val="0"/>
        <w:spacing w:line="360" w:lineRule="auto"/>
        <w:rPr>
          <w:rFonts w:hint="eastAsia" w:ascii="宋体" w:hAnsi="宋体" w:eastAsia="宋体" w:cs="Times New Roman"/>
          <w:b/>
          <w:sz w:val="24"/>
        </w:rPr>
      </w:pPr>
    </w:p>
    <w:p w14:paraId="5F985B97">
      <w:pPr>
        <w:adjustRightInd w:val="0"/>
        <w:snapToGrid w:val="0"/>
        <w:spacing w:line="360" w:lineRule="auto"/>
        <w:rPr>
          <w:rFonts w:hint="eastAsia" w:ascii="宋体" w:hAnsi="宋体" w:eastAsia="宋体" w:cs="Times New Roman"/>
          <w:b/>
          <w:sz w:val="24"/>
        </w:rPr>
      </w:pPr>
      <w:r>
        <w:rPr>
          <w:rFonts w:hint="eastAsia" w:ascii="宋体" w:hAnsi="宋体" w:eastAsia="宋体" w:cs="Times New Roman"/>
          <w:b/>
          <w:sz w:val="24"/>
        </w:rPr>
        <w:t>6、如在具体规格要求中有本总则不一致之处，以具体规格中的要求为准。</w:t>
      </w:r>
    </w:p>
    <w:p w14:paraId="474716AD">
      <w:pPr>
        <w:adjustRightInd w:val="0"/>
        <w:snapToGrid w:val="0"/>
        <w:spacing w:line="360" w:lineRule="auto"/>
        <w:rPr>
          <w:rFonts w:ascii="宋体" w:hAnsi="宋体" w:eastAsia="宋体" w:cs="Times New Roman"/>
          <w:b/>
          <w:sz w:val="28"/>
          <w:szCs w:val="28"/>
        </w:rPr>
      </w:pPr>
      <w:r>
        <w:rPr>
          <w:rFonts w:ascii="宋体" w:hAnsi="宋体" w:eastAsia="宋体" w:cs="Times New Roman"/>
          <w:b/>
          <w:sz w:val="28"/>
        </w:rPr>
        <w:br w:type="page"/>
      </w:r>
      <w:r>
        <w:rPr>
          <w:rFonts w:hint="eastAsia" w:ascii="宋体" w:hAnsi="宋体" w:eastAsia="宋体" w:cs="Times New Roman"/>
          <w:b/>
          <w:sz w:val="28"/>
          <w:szCs w:val="28"/>
        </w:rPr>
        <w:t>二、具体规格要求</w:t>
      </w:r>
    </w:p>
    <w:p w14:paraId="1ED950CE">
      <w:pPr>
        <w:numPr>
          <w:ilvl w:val="0"/>
          <w:numId w:val="1"/>
        </w:numPr>
        <w:spacing w:line="360" w:lineRule="auto"/>
        <w:ind w:left="360" w:hanging="360"/>
        <w:rPr>
          <w:rFonts w:hint="eastAsia" w:ascii="Times New Roman" w:hAnsi="Times New Roman" w:eastAsia="宋体" w:cs="Times New Roman"/>
          <w:b/>
          <w:sz w:val="24"/>
          <w:szCs w:val="21"/>
        </w:rPr>
      </w:pPr>
      <w:r>
        <w:rPr>
          <w:rFonts w:hint="eastAsia" w:ascii="Times New Roman" w:hAnsi="Times New Roman" w:eastAsia="宋体" w:cs="Times New Roman"/>
          <w:b/>
          <w:sz w:val="24"/>
          <w:szCs w:val="21"/>
        </w:rPr>
        <w:t>总体要求</w:t>
      </w:r>
    </w:p>
    <w:p w14:paraId="6D5A06D5">
      <w:pPr>
        <w:numPr>
          <w:ilvl w:val="1"/>
          <w:numId w:val="2"/>
        </w:numPr>
        <w:spacing w:line="360" w:lineRule="auto"/>
        <w:ind w:left="992" w:hanging="567"/>
        <w:rPr>
          <w:rFonts w:ascii="Times New Roman" w:hAnsi="Times New Roman" w:eastAsia="宋体" w:cs="Times New Roman"/>
          <w:sz w:val="24"/>
          <w:szCs w:val="21"/>
        </w:rPr>
      </w:pPr>
      <w:r>
        <w:rPr>
          <w:rFonts w:hint="eastAsia" w:ascii="Times New Roman" w:hAnsi="Times New Roman" w:eastAsia="宋体" w:cs="Times New Roman"/>
          <w:sz w:val="24"/>
          <w:szCs w:val="21"/>
        </w:rPr>
        <w:t>通过单个系统平台（非分离的功能岛）完成整个工作流程。该平台包括样品制备功能（固体、液体、溶剂、粘性、浆液分配）、样品处理功能（温度控制、搅拌）。系统兼容多种规格的微孔板反应器（例如2mlx48, 4mlx24, 20mlx8）和桌面式24通道平行反应器。</w:t>
      </w:r>
    </w:p>
    <w:p w14:paraId="79D15E38">
      <w:pPr>
        <w:spacing w:line="360" w:lineRule="auto"/>
        <w:ind w:firstLine="240" w:firstLineChars="100"/>
        <w:rPr>
          <w:rFonts w:hint="eastAsia" w:ascii="Times New Roman" w:hAnsi="Times New Roman" w:eastAsia="宋体" w:cs="Times New Roman"/>
          <w:sz w:val="24"/>
          <w:szCs w:val="21"/>
        </w:rPr>
      </w:pPr>
      <w:r>
        <w:rPr>
          <w:rFonts w:ascii="Segoe UI Symbol" w:hAnsi="Segoe UI Symbol" w:eastAsia="宋体" w:cs="Segoe UI Symbol"/>
          <w:sz w:val="24"/>
          <w:szCs w:val="21"/>
        </w:rPr>
        <w:t xml:space="preserve">★ 1.2 </w:t>
      </w:r>
      <w:r>
        <w:rPr>
          <w:rFonts w:hint="eastAsia" w:ascii="Times New Roman" w:hAnsi="Times New Roman" w:eastAsia="宋体" w:cs="Times New Roman"/>
          <w:sz w:val="24"/>
          <w:szCs w:val="21"/>
        </w:rPr>
        <w:t>系统须能够满足无水无氧条件操作工况。</w:t>
      </w:r>
    </w:p>
    <w:p w14:paraId="13E0038F">
      <w:pPr>
        <w:numPr>
          <w:ilvl w:val="0"/>
          <w:numId w:val="1"/>
        </w:numPr>
        <w:spacing w:line="360" w:lineRule="auto"/>
        <w:ind w:left="360" w:hanging="360"/>
        <w:rPr>
          <w:rFonts w:hint="eastAsia" w:ascii="Times New Roman" w:hAnsi="Times New Roman" w:eastAsia="宋体" w:cs="Times New Roman"/>
          <w:b/>
          <w:sz w:val="24"/>
          <w:szCs w:val="21"/>
        </w:rPr>
      </w:pPr>
      <w:r>
        <w:rPr>
          <w:rFonts w:hint="eastAsia" w:ascii="Times New Roman" w:hAnsi="Times New Roman" w:eastAsia="宋体" w:cs="Times New Roman"/>
          <w:b/>
          <w:sz w:val="24"/>
          <w:szCs w:val="21"/>
        </w:rPr>
        <w:t>模块化和可升级性要求</w:t>
      </w:r>
    </w:p>
    <w:p w14:paraId="42BD7078">
      <w:pPr>
        <w:numPr>
          <w:ilvl w:val="1"/>
          <w:numId w:val="3"/>
        </w:numPr>
        <w:spacing w:line="360" w:lineRule="auto"/>
        <w:ind w:left="992" w:hanging="567"/>
        <w:rPr>
          <w:rFonts w:ascii="Times New Roman" w:hAnsi="Times New Roman" w:eastAsia="宋体" w:cs="Times New Roman"/>
          <w:sz w:val="24"/>
          <w:szCs w:val="21"/>
        </w:rPr>
      </w:pPr>
      <w:r>
        <w:rPr>
          <w:rFonts w:hint="eastAsia" w:ascii="Times New Roman" w:hAnsi="Times New Roman" w:eastAsia="宋体" w:cs="Times New Roman"/>
          <w:sz w:val="24"/>
          <w:szCs w:val="21"/>
        </w:rPr>
        <w:t>仪器系统须由模块化构成，各模块之间应具备良好兼容性和稳定性。</w:t>
      </w:r>
    </w:p>
    <w:p w14:paraId="46D64512">
      <w:pPr>
        <w:spacing w:line="360" w:lineRule="auto"/>
        <w:ind w:left="723" w:hanging="723" w:hangingChars="300"/>
        <w:rPr>
          <w:rFonts w:hint="eastAsia" w:ascii="Times New Roman" w:hAnsi="Times New Roman" w:eastAsia="宋体" w:cs="Times New Roman"/>
          <w:sz w:val="24"/>
          <w:szCs w:val="21"/>
        </w:rPr>
      </w:pPr>
      <w:r>
        <w:rPr>
          <w:rFonts w:hint="eastAsia" w:ascii="Times New Roman" w:hAnsi="Times New Roman" w:eastAsia="宋体" w:cs="Times New Roman"/>
          <w:b/>
          <w:sz w:val="24"/>
          <w:szCs w:val="21"/>
        </w:rPr>
        <w:t>＃</w:t>
      </w:r>
      <w:r>
        <w:rPr>
          <w:rFonts w:ascii="Times New Roman" w:hAnsi="Times New Roman" w:eastAsia="宋体" w:cs="Times New Roman"/>
          <w:b/>
          <w:sz w:val="24"/>
          <w:szCs w:val="21"/>
        </w:rPr>
        <w:t xml:space="preserve"> </w:t>
      </w:r>
      <w:r>
        <w:rPr>
          <w:rFonts w:hint="eastAsia" w:ascii="Times New Roman" w:hAnsi="Times New Roman" w:eastAsia="宋体" w:cs="Times New Roman"/>
          <w:kern w:val="0"/>
          <w:sz w:val="24"/>
          <w:szCs w:val="21"/>
        </w:rPr>
        <w:t>2</w:t>
      </w:r>
      <w:r>
        <w:rPr>
          <w:rFonts w:ascii="Times New Roman" w:hAnsi="Times New Roman" w:eastAsia="宋体" w:cs="Times New Roman"/>
          <w:kern w:val="0"/>
          <w:sz w:val="24"/>
          <w:szCs w:val="21"/>
        </w:rPr>
        <w:t xml:space="preserve">.2 </w:t>
      </w:r>
      <w:r>
        <w:rPr>
          <w:rFonts w:hint="eastAsia" w:ascii="Times New Roman" w:hAnsi="Times New Roman" w:eastAsia="宋体" w:cs="Times New Roman"/>
          <w:sz w:val="24"/>
          <w:szCs w:val="21"/>
        </w:rPr>
        <w:t>主要功能模块包括：固体分配模块(包括台面整合分析天平)、温度控制及磁力搅拌模块、4通道液体分配模块、粘稠液体分配模块、钢针洗站模块、搅拌桨清洗干燥模块等。</w:t>
      </w:r>
    </w:p>
    <w:p w14:paraId="014714D6">
      <w:pPr>
        <w:spacing w:line="360" w:lineRule="auto"/>
        <w:ind w:left="420" w:leftChars="200"/>
        <w:rPr>
          <w:rFonts w:hint="eastAsia" w:ascii="Times New Roman" w:hAnsi="Times New Roman" w:eastAsia="宋体" w:cs="Times New Roman"/>
          <w:sz w:val="24"/>
          <w:szCs w:val="21"/>
        </w:rPr>
      </w:pPr>
      <w:r>
        <w:rPr>
          <w:rFonts w:hint="eastAsia" w:ascii="Times New Roman" w:hAnsi="Times New Roman" w:eastAsia="宋体" w:cs="Times New Roman"/>
          <w:sz w:val="24"/>
          <w:szCs w:val="21"/>
        </w:rPr>
        <w:t>2</w:t>
      </w:r>
      <w:r>
        <w:rPr>
          <w:rFonts w:ascii="Times New Roman" w:hAnsi="Times New Roman" w:eastAsia="宋体" w:cs="Times New Roman"/>
          <w:sz w:val="24"/>
          <w:szCs w:val="21"/>
        </w:rPr>
        <w:t xml:space="preserve">.3  </w:t>
      </w:r>
      <w:r>
        <w:rPr>
          <w:rFonts w:hint="eastAsia" w:ascii="Times New Roman" w:hAnsi="Times New Roman" w:eastAsia="宋体" w:cs="Times New Roman"/>
          <w:sz w:val="24"/>
          <w:szCs w:val="21"/>
        </w:rPr>
        <w:t>各主要功能模块与主机间采用相同的通讯协议及物理接口，满足灵活的配置需求，支持在现场进行快捷的模块间调整交换。</w:t>
      </w:r>
    </w:p>
    <w:p w14:paraId="6CFAC9C7">
      <w:pPr>
        <w:numPr>
          <w:ilvl w:val="1"/>
          <w:numId w:val="4"/>
        </w:numPr>
        <w:spacing w:line="360" w:lineRule="auto"/>
        <w:ind w:left="992" w:hanging="567"/>
        <w:rPr>
          <w:rFonts w:hint="eastAsia" w:ascii="Times New Roman" w:hAnsi="Times New Roman" w:eastAsia="宋体" w:cs="Times New Roman"/>
          <w:sz w:val="24"/>
          <w:szCs w:val="21"/>
        </w:rPr>
      </w:pPr>
      <w:r>
        <w:rPr>
          <w:rFonts w:hint="eastAsia" w:ascii="Times New Roman" w:hAnsi="Times New Roman" w:eastAsia="宋体" w:cs="Times New Roman"/>
          <w:sz w:val="24"/>
          <w:szCs w:val="21"/>
        </w:rPr>
        <w:t>支持后续使用相同接口及通讯协议的新功能模块升级或替换。</w:t>
      </w:r>
    </w:p>
    <w:p w14:paraId="6498B1A7">
      <w:pPr>
        <w:numPr>
          <w:ilvl w:val="0"/>
          <w:numId w:val="1"/>
        </w:numPr>
        <w:spacing w:line="360" w:lineRule="auto"/>
        <w:ind w:left="360" w:hanging="360"/>
        <w:rPr>
          <w:rFonts w:hint="eastAsia" w:ascii="Times New Roman" w:hAnsi="Times New Roman" w:eastAsia="宋体" w:cs="Times New Roman"/>
          <w:b/>
          <w:sz w:val="24"/>
          <w:szCs w:val="21"/>
        </w:rPr>
      </w:pPr>
      <w:r>
        <w:rPr>
          <w:rFonts w:hint="eastAsia" w:ascii="Times New Roman" w:hAnsi="Times New Roman" w:eastAsia="宋体" w:cs="Times New Roman"/>
          <w:b/>
          <w:sz w:val="24"/>
          <w:szCs w:val="21"/>
        </w:rPr>
        <w:t>环境要求</w:t>
      </w:r>
    </w:p>
    <w:p w14:paraId="2EC28856">
      <w:pPr>
        <w:numPr>
          <w:ilvl w:val="1"/>
          <w:numId w:val="5"/>
        </w:numPr>
        <w:spacing w:line="360" w:lineRule="auto"/>
        <w:ind w:left="992" w:hanging="567"/>
        <w:rPr>
          <w:rFonts w:hint="eastAsia" w:ascii="Times New Roman" w:hAnsi="Times New Roman" w:eastAsia="宋体" w:cs="Times New Roman"/>
          <w:bCs/>
          <w:sz w:val="24"/>
          <w:szCs w:val="21"/>
        </w:rPr>
      </w:pPr>
      <w:r>
        <w:rPr>
          <w:rFonts w:hint="eastAsia" w:ascii="Times New Roman" w:hAnsi="Times New Roman" w:eastAsia="宋体" w:cs="Times New Roman"/>
          <w:sz w:val="24"/>
          <w:szCs w:val="21"/>
        </w:rPr>
        <w:t>温度：18—28</w:t>
      </w:r>
      <w:r>
        <w:rPr>
          <w:rFonts w:hint="eastAsia" w:ascii="Times New Roman" w:hAnsi="Times New Roman" w:eastAsia="宋体" w:cs="Times New Roman"/>
          <w:sz w:val="24"/>
        </w:rPr>
        <w:sym w:font="Symbol" w:char="F0B0"/>
      </w:r>
      <w:r>
        <w:rPr>
          <w:rFonts w:hint="eastAsia" w:ascii="Times New Roman" w:hAnsi="Times New Roman" w:eastAsia="宋体" w:cs="Times New Roman"/>
          <w:bCs/>
          <w:sz w:val="24"/>
          <w:szCs w:val="21"/>
        </w:rPr>
        <w:t>C，湿度20%</w:t>
      </w:r>
      <w:r>
        <w:rPr>
          <w:rFonts w:hint="eastAsia" w:ascii="Times New Roman" w:hAnsi="Times New Roman" w:eastAsia="宋体" w:cs="Times New Roman"/>
          <w:sz w:val="24"/>
          <w:szCs w:val="21"/>
        </w:rPr>
        <w:t>—</w:t>
      </w:r>
      <w:r>
        <w:rPr>
          <w:rFonts w:ascii="Times New Roman" w:hAnsi="Times New Roman" w:eastAsia="宋体" w:cs="Times New Roman"/>
          <w:bCs/>
          <w:sz w:val="24"/>
          <w:szCs w:val="21"/>
        </w:rPr>
        <w:t>50%</w:t>
      </w:r>
      <w:r>
        <w:rPr>
          <w:rFonts w:hint="eastAsia" w:ascii="Times New Roman" w:hAnsi="Times New Roman" w:eastAsia="宋体" w:cs="Times New Roman"/>
          <w:bCs/>
          <w:sz w:val="24"/>
          <w:szCs w:val="21"/>
        </w:rPr>
        <w:t>。</w:t>
      </w:r>
    </w:p>
    <w:p w14:paraId="322B7C1C">
      <w:pPr>
        <w:numPr>
          <w:ilvl w:val="1"/>
          <w:numId w:val="5"/>
        </w:numPr>
        <w:spacing w:line="360" w:lineRule="auto"/>
        <w:ind w:left="992" w:hanging="567"/>
        <w:rPr>
          <w:rFonts w:hint="eastAsia" w:ascii="Times New Roman" w:hAnsi="Times New Roman" w:eastAsia="宋体" w:cs="Times New Roman"/>
          <w:bCs/>
          <w:sz w:val="24"/>
          <w:szCs w:val="21"/>
        </w:rPr>
      </w:pPr>
      <w:r>
        <w:rPr>
          <w:rFonts w:hint="eastAsia" w:ascii="Times New Roman" w:hAnsi="Times New Roman" w:eastAsia="宋体" w:cs="Times New Roman"/>
          <w:bCs/>
          <w:sz w:val="24"/>
          <w:szCs w:val="21"/>
        </w:rPr>
        <w:t>电源：AC 220V</w:t>
      </w:r>
      <w:r>
        <w:rPr>
          <w:rFonts w:hint="eastAsia" w:ascii="Times New Roman" w:hAnsi="Times New Roman" w:eastAsia="宋体" w:cs="宋体"/>
          <w:color w:val="000000"/>
          <w:kern w:val="0"/>
          <w:sz w:val="24"/>
          <w:szCs w:val="21"/>
        </w:rPr>
        <w:t>±</w:t>
      </w:r>
      <w:r>
        <w:rPr>
          <w:rFonts w:hint="eastAsia" w:ascii="Times New Roman" w:hAnsi="Times New Roman" w:eastAsia="宋体" w:cs="Times New Roman"/>
          <w:bCs/>
          <w:sz w:val="24"/>
          <w:szCs w:val="21"/>
        </w:rPr>
        <w:t>10%，50（</w:t>
      </w:r>
      <w:r>
        <w:rPr>
          <w:rFonts w:hint="eastAsia" w:ascii="Times New Roman" w:hAnsi="Times New Roman" w:eastAsia="宋体" w:cs="宋体"/>
          <w:color w:val="000000"/>
          <w:kern w:val="0"/>
          <w:sz w:val="24"/>
          <w:szCs w:val="21"/>
        </w:rPr>
        <w:t>±</w:t>
      </w:r>
      <w:r>
        <w:rPr>
          <w:rFonts w:hint="eastAsia" w:ascii="Times New Roman" w:hAnsi="Times New Roman" w:eastAsia="宋体" w:cs="Times New Roman"/>
          <w:bCs/>
          <w:sz w:val="24"/>
          <w:szCs w:val="21"/>
        </w:rPr>
        <w:t>1）Hz。</w:t>
      </w:r>
    </w:p>
    <w:p w14:paraId="614AA231">
      <w:pPr>
        <w:numPr>
          <w:ilvl w:val="0"/>
          <w:numId w:val="1"/>
        </w:numPr>
        <w:spacing w:line="360" w:lineRule="auto"/>
        <w:ind w:left="360" w:hanging="360"/>
        <w:rPr>
          <w:rFonts w:hint="eastAsia" w:ascii="Times New Roman" w:hAnsi="Times New Roman" w:eastAsia="宋体" w:cs="Times New Roman"/>
          <w:b/>
          <w:sz w:val="24"/>
          <w:szCs w:val="21"/>
        </w:rPr>
      </w:pPr>
      <w:r>
        <w:rPr>
          <w:rFonts w:hint="eastAsia" w:ascii="Times New Roman" w:hAnsi="Times New Roman" w:eastAsia="宋体" w:cs="Times New Roman"/>
          <w:b/>
          <w:sz w:val="24"/>
          <w:szCs w:val="21"/>
        </w:rPr>
        <w:t>技术要求</w:t>
      </w:r>
    </w:p>
    <w:p w14:paraId="11FF04F6">
      <w:pPr>
        <w:numPr>
          <w:ilvl w:val="1"/>
          <w:numId w:val="6"/>
        </w:numPr>
        <w:spacing w:line="360" w:lineRule="auto"/>
        <w:ind w:left="992" w:hanging="567"/>
        <w:rPr>
          <w:rFonts w:hint="eastAsia" w:ascii="Times New Roman" w:hAnsi="Times New Roman" w:eastAsia="宋体" w:cs="Times New Roman"/>
          <w:b/>
          <w:sz w:val="24"/>
          <w:szCs w:val="21"/>
        </w:rPr>
      </w:pPr>
      <w:r>
        <w:rPr>
          <w:rFonts w:hint="eastAsia" w:ascii="Times New Roman" w:hAnsi="Times New Roman" w:eastAsia="宋体" w:cs="Times New Roman"/>
          <w:b/>
          <w:sz w:val="24"/>
          <w:szCs w:val="21"/>
        </w:rPr>
        <w:t>固体分配</w:t>
      </w:r>
    </w:p>
    <w:p w14:paraId="2258055A">
      <w:pPr>
        <w:numPr>
          <w:ilvl w:val="2"/>
          <w:numId w:val="7"/>
        </w:numPr>
        <w:spacing w:line="360" w:lineRule="auto"/>
        <w:ind w:left="1418" w:hanging="567"/>
        <w:rPr>
          <w:rFonts w:hint="eastAsia" w:ascii="Times New Roman" w:hAnsi="Times New Roman" w:eastAsia="宋体" w:cs="Times New Roman"/>
          <w:sz w:val="24"/>
          <w:szCs w:val="21"/>
        </w:rPr>
      </w:pPr>
      <w:r>
        <w:rPr>
          <w:rFonts w:hint="eastAsia" w:ascii="Times New Roman" w:hAnsi="Times New Roman" w:eastAsia="宋体" w:cs="Times New Roman"/>
          <w:sz w:val="24"/>
          <w:szCs w:val="21"/>
        </w:rPr>
        <w:t>自动化平台的固体分配功能，使用平台上天平精确跟踪分配到目标容器中的固体量。</w:t>
      </w:r>
    </w:p>
    <w:p w14:paraId="21038898">
      <w:pPr>
        <w:numPr>
          <w:ilvl w:val="2"/>
          <w:numId w:val="7"/>
        </w:numPr>
        <w:spacing w:line="360" w:lineRule="auto"/>
        <w:ind w:left="1418" w:hanging="567"/>
        <w:rPr>
          <w:rFonts w:hint="eastAsia" w:ascii="Times New Roman" w:hAnsi="Times New Roman" w:eastAsia="宋体" w:cs="Times New Roman"/>
          <w:sz w:val="24"/>
          <w:szCs w:val="21"/>
        </w:rPr>
      </w:pPr>
      <w:r>
        <w:rPr>
          <w:rFonts w:hint="eastAsia" w:ascii="Times New Roman" w:hAnsi="Times New Roman" w:eastAsia="宋体" w:cs="Times New Roman"/>
          <w:sz w:val="24"/>
          <w:szCs w:val="21"/>
        </w:rPr>
        <w:t>能够分配不同类型的固体，例如高密度和低密度、蓬松、静电、有机或无机性质、酸性或碱性、粒径从微米到毫米的固体颗粒。固体可以使用一对一、一对多、多对一或多对多的机制进行分配，分配范围从亚毫克到克。</w:t>
      </w:r>
    </w:p>
    <w:p w14:paraId="474CFDF9">
      <w:pPr>
        <w:spacing w:line="360" w:lineRule="auto"/>
        <w:ind w:left="1650" w:leftChars="100" w:hanging="1440" w:hangingChars="600"/>
        <w:rPr>
          <w:rFonts w:hint="eastAsia" w:ascii="Times New Roman" w:hAnsi="Times New Roman" w:eastAsia="宋体" w:cs="Times New Roman"/>
          <w:sz w:val="24"/>
          <w:szCs w:val="21"/>
        </w:rPr>
      </w:pPr>
      <w:r>
        <w:rPr>
          <w:rFonts w:hint="eastAsia" w:ascii="Times New Roman" w:hAnsi="Times New Roman" w:eastAsia="宋体" w:cs="Times New Roman"/>
          <w:sz w:val="24"/>
          <w:szCs w:val="21"/>
        </w:rPr>
        <w:t xml:space="preserve"> </w:t>
      </w:r>
      <w:r>
        <w:rPr>
          <w:rFonts w:ascii="Times New Roman" w:hAnsi="Times New Roman" w:eastAsia="宋体" w:cs="Times New Roman"/>
          <w:sz w:val="24"/>
          <w:szCs w:val="21"/>
        </w:rPr>
        <w:t xml:space="preserve">  </w:t>
      </w:r>
      <w:r>
        <w:rPr>
          <w:rFonts w:ascii="Segoe UI Symbol" w:hAnsi="Segoe UI Symbol" w:eastAsia="宋体" w:cs="Segoe UI Symbol"/>
          <w:sz w:val="24"/>
          <w:szCs w:val="21"/>
        </w:rPr>
        <w:t>★</w:t>
      </w:r>
      <w:r>
        <w:rPr>
          <w:rFonts w:ascii="Times New Roman" w:hAnsi="Times New Roman" w:eastAsia="宋体" w:cs="Times New Roman"/>
          <w:sz w:val="24"/>
          <w:szCs w:val="21"/>
        </w:rPr>
        <w:t xml:space="preserve"> 4.1.3  </w:t>
      </w:r>
      <w:r>
        <w:rPr>
          <w:rFonts w:hint="eastAsia" w:ascii="Times New Roman" w:hAnsi="Times New Roman" w:eastAsia="宋体" w:cs="Times New Roman"/>
          <w:sz w:val="24"/>
          <w:szCs w:val="21"/>
        </w:rPr>
        <w:t>至少提供两种固体分配技术。包括使用搅拌方式分配的可清洗、重复使用的金属料斗和使用拍打/振动方式分配的一次性料斗。</w:t>
      </w:r>
    </w:p>
    <w:p w14:paraId="623FC223">
      <w:pPr>
        <w:spacing w:line="360" w:lineRule="auto"/>
        <w:ind w:left="1650" w:leftChars="100" w:hanging="1440" w:hangingChars="600"/>
        <w:rPr>
          <w:rFonts w:hint="eastAsia" w:ascii="Times New Roman" w:hAnsi="Times New Roman" w:eastAsia="宋体" w:cs="Times New Roman"/>
          <w:sz w:val="24"/>
          <w:szCs w:val="21"/>
        </w:rPr>
      </w:pPr>
      <w:r>
        <w:rPr>
          <w:rFonts w:hint="eastAsia" w:ascii="Times New Roman" w:hAnsi="Times New Roman" w:eastAsia="宋体" w:cs="Times New Roman"/>
          <w:sz w:val="24"/>
          <w:szCs w:val="21"/>
        </w:rPr>
        <w:t xml:space="preserve"> </w:t>
      </w:r>
      <w:r>
        <w:rPr>
          <w:rFonts w:ascii="Times New Roman" w:hAnsi="Times New Roman" w:eastAsia="宋体" w:cs="Times New Roman"/>
          <w:sz w:val="24"/>
          <w:szCs w:val="21"/>
        </w:rPr>
        <w:t xml:space="preserve"> </w:t>
      </w:r>
      <w:r>
        <w:rPr>
          <w:rFonts w:hint="eastAsia" w:ascii="Times New Roman" w:hAnsi="Times New Roman" w:eastAsia="宋体" w:cs="Times New Roman"/>
          <w:b/>
          <w:sz w:val="24"/>
          <w:szCs w:val="21"/>
        </w:rPr>
        <w:t>＃</w:t>
      </w:r>
      <w:r>
        <w:rPr>
          <w:rFonts w:ascii="Times New Roman" w:hAnsi="Times New Roman" w:eastAsia="宋体" w:cs="Times New Roman"/>
          <w:b/>
          <w:sz w:val="24"/>
          <w:szCs w:val="21"/>
        </w:rPr>
        <w:t xml:space="preserve"> </w:t>
      </w:r>
      <w:r>
        <w:rPr>
          <w:rFonts w:hint="eastAsia" w:ascii="Times New Roman" w:hAnsi="Times New Roman" w:eastAsia="宋体" w:cs="Times New Roman"/>
          <w:sz w:val="24"/>
          <w:szCs w:val="21"/>
        </w:rPr>
        <w:t>4</w:t>
      </w:r>
      <w:r>
        <w:rPr>
          <w:rFonts w:ascii="Times New Roman" w:hAnsi="Times New Roman" w:eastAsia="宋体" w:cs="Times New Roman"/>
          <w:sz w:val="24"/>
          <w:szCs w:val="21"/>
        </w:rPr>
        <w:t xml:space="preserve">.1.4  </w:t>
      </w:r>
      <w:r>
        <w:rPr>
          <w:rFonts w:hint="eastAsia" w:ascii="Times New Roman" w:hAnsi="Times New Roman" w:eastAsia="宋体" w:cs="Times New Roman"/>
          <w:sz w:val="24"/>
          <w:szCs w:val="21"/>
        </w:rPr>
        <w:t>使用搅拌方式分配的可清洗、重复使用的金属料斗规格与数量：料斗为不锈钢材质，容积10mL料斗不少于8个；25mL料斗合计不少于</w:t>
      </w:r>
      <w:r>
        <w:rPr>
          <w:rFonts w:ascii="Times New Roman" w:hAnsi="Times New Roman" w:eastAsia="宋体" w:cs="Times New Roman"/>
          <w:sz w:val="24"/>
          <w:szCs w:val="21"/>
        </w:rPr>
        <w:t>3</w:t>
      </w:r>
      <w:r>
        <w:rPr>
          <w:rFonts w:hint="eastAsia" w:ascii="Times New Roman" w:hAnsi="Times New Roman" w:eastAsia="宋体" w:cs="Times New Roman"/>
          <w:sz w:val="24"/>
          <w:szCs w:val="21"/>
        </w:rPr>
        <w:t>个, 50mL料斗合计不少于</w:t>
      </w:r>
      <w:r>
        <w:rPr>
          <w:rFonts w:ascii="Times New Roman" w:hAnsi="Times New Roman" w:eastAsia="宋体" w:cs="Times New Roman"/>
          <w:sz w:val="24"/>
          <w:szCs w:val="21"/>
        </w:rPr>
        <w:t>3</w:t>
      </w:r>
      <w:r>
        <w:rPr>
          <w:rFonts w:hint="eastAsia" w:ascii="Times New Roman" w:hAnsi="Times New Roman" w:eastAsia="宋体" w:cs="Times New Roman"/>
          <w:sz w:val="24"/>
          <w:szCs w:val="21"/>
        </w:rPr>
        <w:t>个；分配10毫克至100毫克目标质量时（以200-300目层析硅胶为测试标准），准确度偏差≤2%，精密度偏差≤3%。</w:t>
      </w:r>
    </w:p>
    <w:p w14:paraId="61CE0203">
      <w:pPr>
        <w:spacing w:line="360" w:lineRule="auto"/>
        <w:ind w:left="1594" w:leftChars="300" w:hanging="964" w:hangingChars="400"/>
        <w:rPr>
          <w:rFonts w:hint="eastAsia" w:ascii="Times New Roman" w:hAnsi="Times New Roman" w:eastAsia="宋体" w:cs="Times New Roman"/>
          <w:sz w:val="24"/>
          <w:szCs w:val="21"/>
        </w:rPr>
      </w:pPr>
      <w:r>
        <w:rPr>
          <w:rFonts w:hint="eastAsia" w:ascii="Times New Roman" w:hAnsi="Times New Roman" w:eastAsia="宋体" w:cs="Times New Roman"/>
          <w:b/>
          <w:kern w:val="0"/>
          <w:sz w:val="24"/>
          <w:szCs w:val="21"/>
        </w:rPr>
        <w:t>★</w:t>
      </w:r>
      <w:r>
        <w:rPr>
          <w:rFonts w:ascii="Times New Roman" w:hAnsi="Times New Roman" w:eastAsia="宋体" w:cs="Times New Roman"/>
          <w:b/>
          <w:sz w:val="24"/>
          <w:szCs w:val="21"/>
        </w:rPr>
        <w:t xml:space="preserve"> </w:t>
      </w:r>
      <w:r>
        <w:rPr>
          <w:rFonts w:ascii="Times New Roman" w:hAnsi="Times New Roman" w:eastAsia="宋体" w:cs="Times New Roman"/>
          <w:sz w:val="24"/>
          <w:szCs w:val="21"/>
        </w:rPr>
        <w:t xml:space="preserve">4.1.5  </w:t>
      </w:r>
      <w:r>
        <w:rPr>
          <w:rFonts w:hint="eastAsia" w:ascii="Times New Roman" w:hAnsi="Times New Roman" w:eastAsia="宋体" w:cs="Times New Roman"/>
          <w:sz w:val="24"/>
          <w:szCs w:val="21"/>
        </w:rPr>
        <w:t>使用拍打/振动方式分配的一次性料斗规格与数量：使用标准实验室4mL玻璃小瓶及分配阀门，一次性料斗数量不少于80个。分配2毫克目标质量时（以</w:t>
      </w:r>
      <w:r>
        <w:rPr>
          <w:rFonts w:ascii="Times New Roman" w:hAnsi="Times New Roman" w:eastAsia="宋体" w:cs="Times New Roman"/>
          <w:sz w:val="24"/>
          <w:szCs w:val="21"/>
        </w:rPr>
        <w:t>200-300目层析硅胶</w:t>
      </w:r>
      <w:r>
        <w:rPr>
          <w:rFonts w:hint="eastAsia" w:ascii="Times New Roman" w:hAnsi="Times New Roman" w:eastAsia="宋体" w:cs="Times New Roman"/>
          <w:sz w:val="24"/>
          <w:szCs w:val="21"/>
        </w:rPr>
        <w:t>为测试标准），准确度偏差≤16%或0.2毫克以内，精密度偏差≤12%或0.2毫克内（以最大者为准）；分配5毫克目标质量时（以200-300目层析硅胶为测试标准），准确度偏差≤2%或0.2毫克以内，精密度偏差≤10%或0.2毫克内（以最大者为准）；分配10毫克至25毫克目标质量时（以200-300目层析硅胶为测试标准），准确度偏差≤2%或0.2毫克以内，精密度偏差5%以内。</w:t>
      </w:r>
    </w:p>
    <w:p w14:paraId="37D6F0D4">
      <w:pPr>
        <w:spacing w:line="360" w:lineRule="auto"/>
        <w:ind w:left="1594" w:leftChars="300" w:hanging="964" w:hangingChars="400"/>
        <w:rPr>
          <w:rFonts w:hint="eastAsia" w:ascii="Times New Roman" w:hAnsi="Times New Roman" w:eastAsia="宋体" w:cs="Times New Roman"/>
          <w:sz w:val="24"/>
          <w:szCs w:val="21"/>
        </w:rPr>
      </w:pPr>
      <w:r>
        <w:rPr>
          <w:rFonts w:hint="eastAsia" w:ascii="Times New Roman" w:hAnsi="Times New Roman" w:eastAsia="宋体" w:cs="Times New Roman"/>
          <w:b/>
          <w:kern w:val="0"/>
          <w:sz w:val="24"/>
          <w:szCs w:val="21"/>
        </w:rPr>
        <w:t>★</w:t>
      </w:r>
      <w:r>
        <w:rPr>
          <w:rFonts w:ascii="Times New Roman" w:hAnsi="Times New Roman" w:eastAsia="宋体" w:cs="Times New Roman"/>
          <w:b/>
          <w:sz w:val="24"/>
          <w:szCs w:val="21"/>
        </w:rPr>
        <w:t xml:space="preserve"> </w:t>
      </w:r>
      <w:r>
        <w:rPr>
          <w:rFonts w:ascii="Times New Roman" w:hAnsi="Times New Roman" w:eastAsia="宋体" w:cs="Times New Roman"/>
          <w:sz w:val="24"/>
          <w:szCs w:val="21"/>
        </w:rPr>
        <w:t xml:space="preserve">4.1.6 </w:t>
      </w:r>
      <w:r>
        <w:rPr>
          <w:rFonts w:hint="eastAsia" w:ascii="Times New Roman" w:hAnsi="Times New Roman" w:eastAsia="宋体" w:cs="Times New Roman"/>
          <w:sz w:val="24"/>
          <w:szCs w:val="21"/>
        </w:rPr>
        <w:t>微量反应体系固体分配：提供适配50uL-250uL规格的高通量微孔板反应器及反应管（材质：玻璃，外径：6mm，内径：3-4mm，数量不少于</w:t>
      </w:r>
      <w:r>
        <w:rPr>
          <w:rFonts w:ascii="Times New Roman" w:hAnsi="Times New Roman" w:eastAsia="宋体" w:cs="Times New Roman"/>
          <w:sz w:val="24"/>
          <w:szCs w:val="21"/>
        </w:rPr>
        <w:t>500支）；支持以整个板</w:t>
      </w:r>
      <w:r>
        <w:rPr>
          <w:rFonts w:hint="eastAsia" w:ascii="Times New Roman" w:hAnsi="Times New Roman" w:eastAsia="宋体" w:cs="Times New Roman"/>
          <w:sz w:val="24"/>
          <w:szCs w:val="21"/>
        </w:rPr>
        <w:t>架方式完成固体粉末分配；提供料斗下料口直径≤</w:t>
      </w:r>
      <w:r>
        <w:rPr>
          <w:rFonts w:ascii="Times New Roman" w:hAnsi="Times New Roman" w:eastAsia="宋体" w:cs="Times New Roman"/>
          <w:sz w:val="24"/>
          <w:szCs w:val="21"/>
        </w:rPr>
        <w:t>1.8毫米的拍打式粉末料斗，料斗数量不少于20个，料斗无效质量（即冗余质量，以200-300目硅胶颗粒为标准，分配至无法继续分配时，附着于容器内无法被自动分配利用的残留物质量）≤50mg。精密度要求：分配目标质量1mg-2mg，重复96</w:t>
      </w:r>
      <w:r>
        <w:rPr>
          <w:rFonts w:hint="eastAsia" w:ascii="Times New Roman" w:hAnsi="Times New Roman" w:eastAsia="宋体" w:cs="Times New Roman"/>
          <w:sz w:val="24"/>
          <w:szCs w:val="21"/>
        </w:rPr>
        <w:t>次，精密度偏差≤</w:t>
      </w:r>
      <w:r>
        <w:rPr>
          <w:rFonts w:ascii="Times New Roman" w:hAnsi="Times New Roman" w:eastAsia="宋体" w:cs="Times New Roman"/>
          <w:sz w:val="24"/>
          <w:szCs w:val="21"/>
        </w:rPr>
        <w:t>10%</w:t>
      </w:r>
      <w:r>
        <w:rPr>
          <w:rFonts w:hint="eastAsia" w:ascii="Times New Roman" w:hAnsi="Times New Roman" w:eastAsia="宋体" w:cs="Times New Roman"/>
          <w:sz w:val="24"/>
          <w:szCs w:val="21"/>
        </w:rPr>
        <w:t>。（以</w:t>
      </w:r>
      <w:r>
        <w:rPr>
          <w:rFonts w:ascii="Times New Roman" w:hAnsi="Times New Roman" w:eastAsia="宋体" w:cs="Times New Roman"/>
          <w:sz w:val="24"/>
          <w:szCs w:val="21"/>
        </w:rPr>
        <w:t>200-300目硅胶颗粒为标</w:t>
      </w:r>
      <w:r>
        <w:rPr>
          <w:rFonts w:hint="eastAsia" w:ascii="Times New Roman" w:hAnsi="Times New Roman" w:eastAsia="宋体" w:cs="Times New Roman"/>
          <w:sz w:val="24"/>
          <w:szCs w:val="21"/>
        </w:rPr>
        <w:t>准测试物）。</w:t>
      </w:r>
    </w:p>
    <w:p w14:paraId="214DFB53">
      <w:pPr>
        <w:numPr>
          <w:ilvl w:val="2"/>
          <w:numId w:val="8"/>
        </w:numPr>
        <w:spacing w:line="360" w:lineRule="auto"/>
        <w:ind w:left="1418" w:hanging="567"/>
        <w:rPr>
          <w:rFonts w:hint="eastAsia" w:ascii="Times New Roman" w:hAnsi="Times New Roman" w:eastAsia="宋体" w:cs="Times New Roman"/>
          <w:sz w:val="24"/>
          <w:szCs w:val="21"/>
        </w:rPr>
      </w:pPr>
      <w:r>
        <w:rPr>
          <w:rFonts w:hint="eastAsia" w:ascii="Times New Roman" w:hAnsi="Times New Roman" w:eastAsia="宋体" w:cs="Times New Roman"/>
          <w:sz w:val="24"/>
          <w:szCs w:val="21"/>
        </w:rPr>
        <w:t>固体分配模块须配备与系统直接连接的静电消除器，在系统启动时自动启动静电消除功能。</w:t>
      </w:r>
    </w:p>
    <w:p w14:paraId="110CFE5F">
      <w:pPr>
        <w:numPr>
          <w:ilvl w:val="2"/>
          <w:numId w:val="8"/>
        </w:numPr>
        <w:spacing w:line="360" w:lineRule="auto"/>
        <w:ind w:left="1418" w:hanging="567"/>
        <w:rPr>
          <w:rFonts w:hint="eastAsia" w:ascii="Times New Roman" w:hAnsi="Times New Roman" w:eastAsia="宋体" w:cs="Times New Roman"/>
          <w:sz w:val="24"/>
          <w:szCs w:val="21"/>
        </w:rPr>
      </w:pPr>
      <w:r>
        <w:rPr>
          <w:rFonts w:hint="eastAsia" w:ascii="Times New Roman" w:hAnsi="Times New Roman" w:eastAsia="宋体" w:cs="Times New Roman"/>
          <w:sz w:val="24"/>
          <w:szCs w:val="21"/>
        </w:rPr>
        <w:t>固体分配模块可利用机器学习功能提高粉末配料的准确度和精密度，针对不同的固体物料，自动学习并存储相应固体的分配类别。</w:t>
      </w:r>
    </w:p>
    <w:p w14:paraId="5821649E">
      <w:pPr>
        <w:spacing w:line="360" w:lineRule="auto"/>
        <w:ind w:firstLine="482" w:firstLineChars="200"/>
        <w:rPr>
          <w:rFonts w:hint="eastAsia" w:ascii="Times New Roman" w:hAnsi="Times New Roman" w:eastAsia="宋体" w:cs="Times New Roman"/>
          <w:sz w:val="24"/>
          <w:szCs w:val="21"/>
        </w:rPr>
      </w:pPr>
      <w:r>
        <w:rPr>
          <w:rFonts w:hint="eastAsia" w:ascii="Times New Roman" w:hAnsi="Times New Roman" w:eastAsia="宋体" w:cs="Times New Roman"/>
          <w:b/>
          <w:sz w:val="24"/>
          <w:szCs w:val="21"/>
        </w:rPr>
        <w:t xml:space="preserve">＃ </w:t>
      </w:r>
      <w:r>
        <w:rPr>
          <w:rFonts w:ascii="Times New Roman" w:hAnsi="Times New Roman" w:eastAsia="宋体" w:cs="Times New Roman"/>
          <w:sz w:val="24"/>
          <w:szCs w:val="21"/>
        </w:rPr>
        <w:t xml:space="preserve">4.1.9 </w:t>
      </w:r>
      <w:r>
        <w:rPr>
          <w:rFonts w:hint="eastAsia" w:ascii="Times New Roman" w:hAnsi="Times New Roman" w:eastAsia="宋体" w:cs="Times New Roman"/>
          <w:sz w:val="24"/>
          <w:szCs w:val="21"/>
        </w:rPr>
        <w:t>固体分配模块所配置的天平要求：与台面整合，在封闭环境中完成固体分</w:t>
      </w:r>
    </w:p>
    <w:p w14:paraId="75D1A966">
      <w:pPr>
        <w:spacing w:line="360" w:lineRule="auto"/>
        <w:ind w:left="1470" w:leftChars="700"/>
        <w:rPr>
          <w:rFonts w:hint="eastAsia" w:ascii="Times New Roman" w:hAnsi="Times New Roman" w:eastAsia="宋体" w:cs="Times New Roman"/>
          <w:sz w:val="24"/>
          <w:szCs w:val="21"/>
        </w:rPr>
      </w:pPr>
      <w:r>
        <w:rPr>
          <w:rFonts w:hint="eastAsia" w:ascii="Times New Roman" w:hAnsi="Times New Roman" w:eastAsia="宋体" w:cs="Times New Roman"/>
          <w:sz w:val="24"/>
          <w:szCs w:val="21"/>
        </w:rPr>
        <w:t>配；支持单独小瓶分配称量和小瓶载架分配称量两种分配方式；称量质量范围：</w:t>
      </w:r>
      <w:r>
        <w:rPr>
          <w:rFonts w:ascii="Times New Roman" w:hAnsi="Times New Roman" w:eastAsia="宋体" w:cs="Times New Roman"/>
          <w:sz w:val="24"/>
          <w:szCs w:val="21"/>
        </w:rPr>
        <w:t>0</w:t>
      </w:r>
      <w:r>
        <w:rPr>
          <w:rFonts w:hint="eastAsia" w:ascii="Times New Roman" w:hAnsi="Times New Roman" w:eastAsia="宋体" w:cs="Times New Roman"/>
          <w:sz w:val="24"/>
          <w:szCs w:val="21"/>
        </w:rPr>
        <w:t>-1200g；分辨率：</w:t>
      </w:r>
      <w:r>
        <w:rPr>
          <w:rFonts w:ascii="Times New Roman" w:hAnsi="Times New Roman" w:eastAsia="宋体" w:cs="Times New Roman"/>
          <w:sz w:val="24"/>
          <w:szCs w:val="21"/>
        </w:rPr>
        <w:t>0. 1mg。</w:t>
      </w:r>
      <w:r>
        <w:rPr>
          <w:rFonts w:hint="eastAsia" w:ascii="Times New Roman" w:hAnsi="Times New Roman" w:eastAsia="宋体" w:cs="Times New Roman"/>
          <w:sz w:val="24"/>
          <w:szCs w:val="21"/>
        </w:rPr>
        <w:t>图像采集: 天平配备高精度摄像头，以监控天平内物料并提供追溯功能，采用侧视成像以捕获样品瓶（1</w:t>
      </w:r>
      <w:r>
        <w:rPr>
          <w:rFonts w:ascii="Times New Roman" w:hAnsi="Times New Roman" w:eastAsia="宋体" w:cs="Times New Roman"/>
          <w:sz w:val="24"/>
          <w:szCs w:val="21"/>
        </w:rPr>
        <w:t>-20</w:t>
      </w:r>
      <w:r>
        <w:rPr>
          <w:rFonts w:hint="eastAsia" w:ascii="Times New Roman" w:hAnsi="Times New Roman" w:eastAsia="宋体" w:cs="Times New Roman"/>
          <w:sz w:val="24"/>
          <w:szCs w:val="21"/>
        </w:rPr>
        <w:t>ml）中固体或液体分配后样品的图像。当小瓶尺寸在</w:t>
      </w:r>
      <w:r>
        <w:rPr>
          <w:rFonts w:ascii="Times New Roman" w:hAnsi="Times New Roman" w:eastAsia="宋体" w:cs="Times New Roman"/>
          <w:sz w:val="24"/>
          <w:szCs w:val="21"/>
        </w:rPr>
        <w:t>1</w:t>
      </w:r>
      <w:r>
        <w:rPr>
          <w:rFonts w:hint="eastAsia" w:ascii="Times New Roman" w:hAnsi="Times New Roman" w:eastAsia="宋体" w:cs="Times New Roman"/>
          <w:sz w:val="24"/>
          <w:szCs w:val="21"/>
        </w:rPr>
        <w:t>毫升到</w:t>
      </w:r>
      <w:r>
        <w:rPr>
          <w:rFonts w:ascii="Times New Roman" w:hAnsi="Times New Roman" w:eastAsia="宋体" w:cs="Times New Roman"/>
          <w:sz w:val="24"/>
          <w:szCs w:val="21"/>
        </w:rPr>
        <w:t>20</w:t>
      </w:r>
      <w:r>
        <w:rPr>
          <w:rFonts w:hint="eastAsia" w:ascii="Times New Roman" w:hAnsi="Times New Roman" w:eastAsia="宋体" w:cs="Times New Roman"/>
          <w:sz w:val="24"/>
          <w:szCs w:val="21"/>
        </w:rPr>
        <w:t>毫升之间时，可以进行成像。图像分辨率≥1000×720 pixels。</w:t>
      </w:r>
    </w:p>
    <w:p w14:paraId="755DDEEC">
      <w:pPr>
        <w:numPr>
          <w:ilvl w:val="1"/>
          <w:numId w:val="6"/>
        </w:numPr>
        <w:spacing w:line="360" w:lineRule="auto"/>
        <w:ind w:left="992" w:hanging="567"/>
        <w:rPr>
          <w:rFonts w:hint="eastAsia" w:ascii="Times New Roman" w:hAnsi="Times New Roman" w:eastAsia="宋体" w:cs="Times New Roman"/>
          <w:b/>
          <w:sz w:val="24"/>
          <w:szCs w:val="21"/>
        </w:rPr>
      </w:pPr>
      <w:r>
        <w:rPr>
          <w:rFonts w:hint="eastAsia" w:ascii="Times New Roman" w:hAnsi="Times New Roman" w:eastAsia="宋体" w:cs="Times New Roman"/>
          <w:b/>
          <w:sz w:val="24"/>
          <w:szCs w:val="21"/>
        </w:rPr>
        <w:t>液体分配</w:t>
      </w:r>
    </w:p>
    <w:p w14:paraId="4E78EAA8">
      <w:pPr>
        <w:numPr>
          <w:ilvl w:val="2"/>
          <w:numId w:val="9"/>
        </w:numPr>
        <w:spacing w:line="360" w:lineRule="auto"/>
        <w:ind w:left="1418" w:hanging="567"/>
        <w:rPr>
          <w:rFonts w:hint="eastAsia" w:ascii="Times New Roman" w:hAnsi="Times New Roman" w:eastAsia="宋体" w:cs="Times New Roman"/>
          <w:sz w:val="24"/>
          <w:szCs w:val="21"/>
        </w:rPr>
      </w:pPr>
      <w:r>
        <w:rPr>
          <w:rFonts w:hint="eastAsia" w:ascii="Times New Roman" w:hAnsi="Times New Roman" w:eastAsia="宋体" w:cs="Times New Roman"/>
          <w:sz w:val="24"/>
          <w:szCs w:val="21"/>
        </w:rPr>
        <w:t>液体、溶剂、浆液、粘性分配：两种不同的液体分配方式，包括可重复使用/可清洗的钢针（4个钢针通道）和一次性枪头。溶剂可以从自动化平台上的试剂瓶中分配。液体来源支持有机、水、酸性、碱性等不同类型。</w:t>
      </w:r>
    </w:p>
    <w:p w14:paraId="1BC44070">
      <w:pPr>
        <w:spacing w:line="360" w:lineRule="auto"/>
        <w:ind w:left="1380" w:leftChars="200" w:hanging="960" w:hangingChars="400"/>
        <w:rPr>
          <w:rFonts w:hint="eastAsia" w:ascii="Times New Roman" w:hAnsi="Times New Roman" w:eastAsia="宋体" w:cs="Times New Roman"/>
          <w:sz w:val="24"/>
          <w:szCs w:val="21"/>
        </w:rPr>
      </w:pPr>
      <w:r>
        <w:rPr>
          <w:rFonts w:hint="eastAsia" w:ascii="Times New Roman" w:hAnsi="Times New Roman" w:eastAsia="宋体" w:cs="Times New Roman"/>
          <w:kern w:val="0"/>
          <w:sz w:val="24"/>
          <w:szCs w:val="21"/>
        </w:rPr>
        <w:t>★</w:t>
      </w:r>
      <w:r>
        <w:rPr>
          <w:rFonts w:ascii="Times New Roman" w:hAnsi="Times New Roman" w:eastAsia="宋体" w:cs="Times New Roman"/>
          <w:sz w:val="24"/>
          <w:szCs w:val="21"/>
        </w:rPr>
        <w:t xml:space="preserve"> 4.2.2 </w:t>
      </w:r>
      <w:r>
        <w:rPr>
          <w:rFonts w:hint="eastAsia" w:ascii="Times New Roman" w:hAnsi="Times New Roman" w:eastAsia="宋体" w:cs="Times New Roman"/>
          <w:sz w:val="24"/>
          <w:szCs w:val="21"/>
        </w:rPr>
        <w:t>4通道钢针液体分配：除作为4通道分配器使用外，其中一个为可扩展的单通道，作为1通道使用；4通道钢针的每个通道吸液量和分配量均可独立控制；分配范围：2</w:t>
      </w:r>
      <w:r>
        <w:rPr>
          <w:rFonts w:ascii="Times New Roman" w:hAnsi="Times New Roman" w:eastAsia="宋体" w:cs="Times New Roman"/>
          <w:sz w:val="24"/>
          <w:szCs w:val="21"/>
        </w:rPr>
        <w:t>0</w:t>
      </w:r>
      <w:r>
        <w:rPr>
          <w:rFonts w:hint="eastAsia" w:ascii="Times New Roman" w:hAnsi="Times New Roman" w:eastAsia="宋体" w:cs="Times New Roman"/>
          <w:sz w:val="24"/>
          <w:szCs w:val="21"/>
        </w:rPr>
        <w:t>uL</w:t>
      </w:r>
      <w:r>
        <w:rPr>
          <w:rFonts w:ascii="Times New Roman" w:hAnsi="Times New Roman" w:eastAsia="宋体" w:cs="Times New Roman"/>
          <w:sz w:val="24"/>
          <w:szCs w:val="21"/>
        </w:rPr>
        <w:t>-1000</w:t>
      </w:r>
      <w:r>
        <w:rPr>
          <w:rFonts w:hint="eastAsia" w:ascii="Times New Roman" w:hAnsi="Times New Roman" w:eastAsia="宋体" w:cs="Times New Roman"/>
          <w:sz w:val="24"/>
          <w:szCs w:val="21"/>
        </w:rPr>
        <w:t>uL，支持液体类型：有机、水性、酸性、碱性；并可跟踪分配的液体质量（例如通过称重）；准确度偏差≤5%或±3uL以内（以最大者），精密度偏差≤4%或±3uL以内（以最大者）。提供不少于</w:t>
      </w:r>
      <w:r>
        <w:rPr>
          <w:rFonts w:ascii="Times New Roman" w:hAnsi="Times New Roman" w:eastAsia="宋体" w:cs="Times New Roman"/>
          <w:sz w:val="24"/>
          <w:szCs w:val="21"/>
        </w:rPr>
        <w:t>4</w:t>
      </w:r>
      <w:r>
        <w:rPr>
          <w:rFonts w:hint="eastAsia" w:ascii="Times New Roman" w:hAnsi="Times New Roman" w:eastAsia="宋体" w:cs="Times New Roman"/>
          <w:sz w:val="24"/>
          <w:szCs w:val="21"/>
        </w:rPr>
        <w:t>支的可替换钢针。</w:t>
      </w:r>
    </w:p>
    <w:p w14:paraId="0C75DB04">
      <w:pPr>
        <w:spacing w:line="360" w:lineRule="auto"/>
        <w:ind w:left="1282" w:leftChars="266" w:hanging="723" w:hangingChars="300"/>
        <w:rPr>
          <w:rFonts w:ascii="Times New Roman" w:hAnsi="Times New Roman" w:eastAsia="宋体" w:cs="Times New Roman"/>
          <w:sz w:val="24"/>
          <w:szCs w:val="21"/>
        </w:rPr>
      </w:pPr>
      <w:r>
        <w:rPr>
          <w:rFonts w:hint="eastAsia" w:ascii="Times New Roman" w:hAnsi="Times New Roman" w:eastAsia="宋体" w:cs="Times New Roman"/>
          <w:b/>
          <w:bCs/>
          <w:kern w:val="0"/>
          <w:sz w:val="24"/>
          <w:szCs w:val="21"/>
        </w:rPr>
        <w:t>#</w:t>
      </w:r>
      <w:r>
        <w:rPr>
          <w:rFonts w:ascii="Times New Roman" w:hAnsi="Times New Roman" w:eastAsia="宋体" w:cs="Times New Roman"/>
          <w:b/>
          <w:bCs/>
          <w:kern w:val="0"/>
          <w:sz w:val="24"/>
          <w:szCs w:val="21"/>
        </w:rPr>
        <w:t xml:space="preserve"> </w:t>
      </w:r>
      <w:r>
        <w:rPr>
          <w:rFonts w:ascii="Times New Roman" w:hAnsi="Times New Roman" w:eastAsia="宋体" w:cs="Times New Roman"/>
          <w:bCs/>
          <w:kern w:val="0"/>
          <w:sz w:val="24"/>
          <w:szCs w:val="21"/>
        </w:rPr>
        <w:t xml:space="preserve">4.2.3 </w:t>
      </w:r>
      <w:r>
        <w:rPr>
          <w:rFonts w:hint="eastAsia" w:ascii="Times New Roman" w:hAnsi="Times New Roman" w:eastAsia="宋体" w:cs="Times New Roman"/>
          <w:kern w:val="0"/>
          <w:sz w:val="24"/>
          <w:szCs w:val="21"/>
        </w:rPr>
        <w:t>可</w:t>
      </w:r>
      <w:r>
        <w:rPr>
          <w:rFonts w:hint="eastAsia" w:ascii="Times New Roman" w:hAnsi="Times New Roman" w:eastAsia="宋体" w:cs="Times New Roman"/>
          <w:sz w:val="24"/>
          <w:szCs w:val="21"/>
        </w:rPr>
        <w:t>扩展的单通道钢针，可以进行单独通道的液体分配，通道连接10通阀，可自动切换，最多分配台面外9种不同的试剂；支持1mL和2.5mL双量程自动切换功能，兼顾精度与最大量程的不同需求，准确度偏差≤5%或±3uL以内（以最大者），精密度偏差≤4%或±3uL以内（以最大者）。</w:t>
      </w:r>
    </w:p>
    <w:p w14:paraId="2153FFEC">
      <w:pPr>
        <w:spacing w:line="360" w:lineRule="auto"/>
        <w:ind w:left="1282" w:leftChars="266" w:hanging="723" w:hangingChars="300"/>
        <w:rPr>
          <w:rFonts w:hint="eastAsia" w:ascii="Times New Roman" w:hAnsi="Times New Roman" w:eastAsia="宋体" w:cs="Times New Roman"/>
          <w:sz w:val="24"/>
          <w:szCs w:val="21"/>
        </w:rPr>
      </w:pPr>
      <w:r>
        <w:rPr>
          <w:rFonts w:hint="eastAsia" w:ascii="Times New Roman" w:hAnsi="Times New Roman" w:eastAsia="宋体" w:cs="Times New Roman"/>
          <w:b/>
          <w:bCs/>
          <w:kern w:val="0"/>
          <w:sz w:val="24"/>
          <w:szCs w:val="21"/>
        </w:rPr>
        <w:t>#</w:t>
      </w:r>
      <w:r>
        <w:rPr>
          <w:rFonts w:ascii="Times New Roman" w:hAnsi="Times New Roman" w:eastAsia="宋体" w:cs="Times New Roman"/>
          <w:b/>
          <w:bCs/>
          <w:kern w:val="0"/>
          <w:sz w:val="24"/>
          <w:szCs w:val="21"/>
        </w:rPr>
        <w:t xml:space="preserve"> </w:t>
      </w:r>
      <w:r>
        <w:rPr>
          <w:rFonts w:ascii="Times New Roman" w:hAnsi="Times New Roman" w:eastAsia="宋体" w:cs="Times New Roman"/>
          <w:bCs/>
          <w:kern w:val="0"/>
          <w:sz w:val="24"/>
          <w:szCs w:val="21"/>
        </w:rPr>
        <w:t xml:space="preserve">4.2.4 </w:t>
      </w:r>
      <w:r>
        <w:rPr>
          <w:rFonts w:hint="eastAsia" w:ascii="Times New Roman" w:hAnsi="Times New Roman" w:eastAsia="宋体" w:cs="Times New Roman"/>
          <w:sz w:val="24"/>
          <w:szCs w:val="21"/>
        </w:rPr>
        <w:t>钢针洗站：钢针在进行不同的样品或不同液体来源之间切换移液时，可自动进行钢针清洗。</w:t>
      </w:r>
    </w:p>
    <w:p w14:paraId="76792D41">
      <w:pPr>
        <w:numPr>
          <w:ilvl w:val="2"/>
          <w:numId w:val="10"/>
        </w:numPr>
        <w:spacing w:line="360" w:lineRule="auto"/>
        <w:ind w:left="1418" w:hanging="567"/>
        <w:rPr>
          <w:rFonts w:hint="eastAsia" w:ascii="Times New Roman" w:hAnsi="Times New Roman" w:eastAsia="宋体" w:cs="Times New Roman"/>
          <w:sz w:val="24"/>
          <w:szCs w:val="21"/>
        </w:rPr>
      </w:pPr>
      <w:r>
        <w:rPr>
          <w:rFonts w:hint="eastAsia" w:ascii="Times New Roman" w:hAnsi="Times New Roman" w:eastAsia="宋体" w:cs="Times New Roman"/>
          <w:sz w:val="24"/>
          <w:szCs w:val="21"/>
        </w:rPr>
        <w:t>一次性容积式移液枪头(PDT)分配：使用一次性移液吸头或注射器分配；液体类型：有机、水性、酸性、碱性、粘性，高粘度液体分配：粘度范围：1—10,000cP。</w:t>
      </w:r>
    </w:p>
    <w:p w14:paraId="797B075E">
      <w:pPr>
        <w:numPr>
          <w:ilvl w:val="2"/>
          <w:numId w:val="10"/>
        </w:numPr>
        <w:spacing w:line="360" w:lineRule="auto"/>
        <w:ind w:left="1418" w:hanging="567"/>
        <w:rPr>
          <w:rFonts w:hint="eastAsia" w:ascii="Times New Roman" w:hAnsi="Times New Roman" w:eastAsia="宋体" w:cs="Times New Roman"/>
          <w:sz w:val="24"/>
          <w:szCs w:val="21"/>
        </w:rPr>
      </w:pPr>
      <w:r>
        <w:rPr>
          <w:rFonts w:hint="eastAsia" w:ascii="Times New Roman" w:hAnsi="Times New Roman" w:eastAsia="宋体" w:cs="Times New Roman"/>
          <w:sz w:val="24"/>
          <w:szCs w:val="21"/>
        </w:rPr>
        <w:t xml:space="preserve">一次性枪头包含兼容Rainin </w:t>
      </w:r>
      <w:r>
        <w:rPr>
          <w:rFonts w:ascii="Times New Roman" w:hAnsi="Times New Roman" w:eastAsia="宋体" w:cs="Times New Roman"/>
        </w:rPr>
        <w:t>25uL/50uL/250uL枪头的分配头</w:t>
      </w:r>
      <w:r>
        <w:rPr>
          <w:rFonts w:hint="eastAsia" w:ascii="Times New Roman" w:hAnsi="Times New Roman" w:eastAsia="宋体" w:cs="Times New Roman"/>
        </w:rPr>
        <w:t>和兼容</w:t>
      </w:r>
      <w:r>
        <w:rPr>
          <w:rFonts w:hint="eastAsia" w:ascii="Times New Roman" w:hAnsi="Times New Roman" w:eastAsia="宋体" w:cs="Times New Roman"/>
          <w:sz w:val="24"/>
          <w:szCs w:val="21"/>
        </w:rPr>
        <w:t>1000uL枪头的分配头以及兼容10mL枪头的分配头。一次性枪头数量：50uL枪头180支；1000uL枪头720支；10mL注射器500支。</w:t>
      </w:r>
    </w:p>
    <w:p w14:paraId="48E2C8BF">
      <w:pPr>
        <w:spacing w:line="360" w:lineRule="auto"/>
        <w:ind w:left="1353" w:leftChars="300" w:hanging="723" w:hangingChars="300"/>
        <w:rPr>
          <w:rFonts w:hint="eastAsia" w:ascii="Times New Roman" w:hAnsi="Times New Roman" w:eastAsia="宋体" w:cs="Times New Roman"/>
          <w:sz w:val="24"/>
          <w:szCs w:val="21"/>
        </w:rPr>
      </w:pPr>
      <w:r>
        <w:rPr>
          <w:rFonts w:ascii="Times New Roman" w:hAnsi="Times New Roman" w:eastAsia="宋体" w:cs="Times New Roman"/>
          <w:b/>
          <w:sz w:val="24"/>
          <w:szCs w:val="21"/>
        </w:rPr>
        <w:t>#</w:t>
      </w:r>
      <w:r>
        <w:rPr>
          <w:rFonts w:ascii="Times New Roman" w:hAnsi="Times New Roman" w:eastAsia="宋体" w:cs="Times New Roman"/>
          <w:sz w:val="24"/>
          <w:szCs w:val="21"/>
        </w:rPr>
        <w:t xml:space="preserve"> 4.2.7 </w:t>
      </w:r>
      <w:r>
        <w:rPr>
          <w:rFonts w:hint="eastAsia" w:ascii="Times New Roman" w:hAnsi="Times New Roman" w:eastAsia="宋体" w:cs="Times New Roman"/>
          <w:sz w:val="24"/>
          <w:szCs w:val="21"/>
        </w:rPr>
        <w:t>使用50uL一次性枪头进行分配，分配体积在10uL至50uL时，准确度偏差≤15%，精密度偏差≤5%；使用1000uL注射器进行分配，在分配体积200uL-1000uL时，准确度和精密度偏差不超过2%；使用10mL注射器进行分配，在分配体积2mL-10mL时，准确度偏差≤4%，精密度偏差≤2%。</w:t>
      </w:r>
    </w:p>
    <w:p w14:paraId="40633C7F">
      <w:pPr>
        <w:numPr>
          <w:ilvl w:val="1"/>
          <w:numId w:val="6"/>
        </w:numPr>
        <w:spacing w:line="360" w:lineRule="auto"/>
        <w:ind w:left="992" w:hanging="567"/>
        <w:rPr>
          <w:rFonts w:hint="eastAsia" w:ascii="Times New Roman" w:hAnsi="Times New Roman" w:eastAsia="宋体" w:cs="Times New Roman"/>
          <w:b/>
          <w:sz w:val="24"/>
          <w:szCs w:val="21"/>
        </w:rPr>
      </w:pPr>
      <w:r>
        <w:rPr>
          <w:rFonts w:hint="eastAsia" w:ascii="Times New Roman" w:hAnsi="Times New Roman" w:eastAsia="宋体" w:cs="Times New Roman"/>
          <w:b/>
          <w:sz w:val="24"/>
          <w:szCs w:val="21"/>
        </w:rPr>
        <w:t>温度控制：</w:t>
      </w:r>
    </w:p>
    <w:p w14:paraId="630209FC">
      <w:pPr>
        <w:numPr>
          <w:ilvl w:val="2"/>
          <w:numId w:val="11"/>
        </w:numPr>
        <w:spacing w:line="360" w:lineRule="auto"/>
        <w:ind w:left="1418" w:hanging="567"/>
        <w:rPr>
          <w:rFonts w:hint="eastAsia" w:ascii="Times New Roman" w:hAnsi="Times New Roman" w:eastAsia="宋体" w:cs="Times New Roman"/>
          <w:kern w:val="0"/>
          <w:sz w:val="24"/>
          <w:szCs w:val="21"/>
        </w:rPr>
      </w:pPr>
      <w:r>
        <w:rPr>
          <w:rFonts w:hint="eastAsia" w:ascii="Times New Roman" w:hAnsi="Times New Roman" w:eastAsia="宋体" w:cs="Times New Roman"/>
          <w:kern w:val="0"/>
          <w:sz w:val="24"/>
          <w:szCs w:val="21"/>
        </w:rPr>
        <w:t>能够在系统平台上对微孔板反应器或板架进行加热/冷却的温度控制。</w:t>
      </w:r>
    </w:p>
    <w:p w14:paraId="3D457C7E">
      <w:pPr>
        <w:spacing w:line="360" w:lineRule="auto"/>
        <w:ind w:left="1446" w:hanging="1446" w:hangingChars="600"/>
        <w:rPr>
          <w:rFonts w:hint="eastAsia" w:ascii="Times New Roman" w:hAnsi="Times New Roman" w:eastAsia="宋体" w:cs="Times New Roman"/>
          <w:sz w:val="24"/>
          <w:szCs w:val="21"/>
        </w:rPr>
      </w:pPr>
      <w:r>
        <w:rPr>
          <w:rFonts w:ascii="Times New Roman" w:hAnsi="Times New Roman" w:eastAsia="宋体" w:cs="Times New Roman"/>
          <w:b/>
          <w:sz w:val="24"/>
          <w:szCs w:val="21"/>
        </w:rPr>
        <w:t xml:space="preserve">#  </w:t>
      </w:r>
      <w:r>
        <w:rPr>
          <w:rFonts w:ascii="Times New Roman" w:hAnsi="Times New Roman" w:eastAsia="宋体" w:cs="Times New Roman"/>
          <w:bCs/>
          <w:kern w:val="0"/>
          <w:sz w:val="24"/>
          <w:szCs w:val="21"/>
        </w:rPr>
        <w:t>4.3.2</w:t>
      </w:r>
      <w:r>
        <w:rPr>
          <w:rFonts w:ascii="Times New Roman" w:hAnsi="Times New Roman" w:eastAsia="宋体" w:cs="Times New Roman"/>
          <w:b/>
          <w:bCs/>
          <w:kern w:val="0"/>
          <w:sz w:val="24"/>
          <w:szCs w:val="21"/>
        </w:rPr>
        <w:t xml:space="preserve"> </w:t>
      </w:r>
      <w:r>
        <w:rPr>
          <w:rFonts w:hint="eastAsia" w:ascii="Times New Roman" w:hAnsi="Times New Roman" w:eastAsia="宋体" w:cs="Times New Roman"/>
          <w:kern w:val="0"/>
          <w:sz w:val="24"/>
          <w:szCs w:val="21"/>
        </w:rPr>
        <w:t>至少有3个可控温的位置（其中一个可以制冷）。可在至少3个不同温度下同时运行实验</w:t>
      </w:r>
      <w:r>
        <w:rPr>
          <w:rFonts w:hint="eastAsia" w:ascii="Times New Roman" w:hAnsi="Times New Roman" w:eastAsia="宋体" w:cs="Times New Roman"/>
          <w:sz w:val="24"/>
          <w:szCs w:val="21"/>
        </w:rPr>
        <w:t>。</w:t>
      </w:r>
    </w:p>
    <w:p w14:paraId="4DA4A26E">
      <w:pPr>
        <w:spacing w:line="360" w:lineRule="auto"/>
        <w:ind w:firstLine="480" w:firstLineChars="200"/>
        <w:rPr>
          <w:rFonts w:hint="eastAsia" w:ascii="Times New Roman" w:hAnsi="Times New Roman" w:eastAsia="宋体" w:cs="Times New Roman"/>
          <w:sz w:val="24"/>
          <w:szCs w:val="21"/>
        </w:rPr>
      </w:pPr>
      <w:r>
        <w:rPr>
          <w:rFonts w:hint="eastAsia" w:ascii="Times New Roman" w:hAnsi="Times New Roman" w:eastAsia="宋体" w:cs="Times New Roman"/>
          <w:sz w:val="24"/>
          <w:szCs w:val="21"/>
        </w:rPr>
        <w:t>4</w:t>
      </w:r>
      <w:r>
        <w:rPr>
          <w:rFonts w:ascii="Times New Roman" w:hAnsi="Times New Roman" w:eastAsia="宋体" w:cs="Times New Roman"/>
          <w:sz w:val="24"/>
          <w:szCs w:val="21"/>
        </w:rPr>
        <w:t>.3.3</w:t>
      </w:r>
      <w:r>
        <w:rPr>
          <w:rFonts w:hint="eastAsia" w:ascii="Times New Roman" w:hAnsi="Times New Roman" w:eastAsia="宋体" w:cs="Times New Roman"/>
          <w:sz w:val="24"/>
          <w:szCs w:val="21"/>
        </w:rPr>
        <w:t>温度控制应具有相应的安全保护措施，例如高温指示灯提醒等。</w:t>
      </w:r>
    </w:p>
    <w:p w14:paraId="6491DEBB">
      <w:pPr>
        <w:numPr>
          <w:ilvl w:val="2"/>
          <w:numId w:val="12"/>
        </w:numPr>
        <w:spacing w:line="360" w:lineRule="auto"/>
        <w:ind w:left="1418" w:hanging="567"/>
        <w:rPr>
          <w:rFonts w:hint="eastAsia" w:ascii="Times New Roman" w:hAnsi="Times New Roman" w:eastAsia="宋体" w:cs="Times New Roman"/>
          <w:sz w:val="24"/>
          <w:szCs w:val="21"/>
        </w:rPr>
      </w:pPr>
      <w:r>
        <w:rPr>
          <w:rFonts w:hint="eastAsia" w:ascii="Times New Roman" w:hAnsi="Times New Roman" w:eastAsia="宋体" w:cs="Times New Roman"/>
          <w:sz w:val="24"/>
          <w:szCs w:val="21"/>
        </w:rPr>
        <w:t>加热控制：温度范围为（室温+）5℃至180℃（取决于环境等因素），精度为±4℃。升温速率：&gt;5℃ /min，温度过冲≤5℃，瓶内温度过冲≤1℃（取决于实验材料和环境等因素）。</w:t>
      </w:r>
    </w:p>
    <w:p w14:paraId="472CE8FC">
      <w:pPr>
        <w:numPr>
          <w:ilvl w:val="2"/>
          <w:numId w:val="12"/>
        </w:numPr>
        <w:spacing w:line="360" w:lineRule="auto"/>
        <w:ind w:left="1418" w:hanging="567"/>
        <w:rPr>
          <w:rFonts w:hint="eastAsia" w:ascii="Times New Roman" w:hAnsi="Times New Roman" w:eastAsia="宋体" w:cs="Times New Roman"/>
          <w:sz w:val="24"/>
          <w:szCs w:val="21"/>
        </w:rPr>
      </w:pPr>
      <w:r>
        <w:rPr>
          <w:rFonts w:hint="eastAsia" w:ascii="Times New Roman" w:hAnsi="Times New Roman" w:eastAsia="宋体" w:cs="Times New Roman"/>
          <w:sz w:val="24"/>
          <w:szCs w:val="21"/>
        </w:rPr>
        <w:t>制冷控制：最低冷却温度≤-10℃，温度过冲≤5℃，瓶内温度过冲≤1℃（取决于实验材料和环境等因素）。</w:t>
      </w:r>
    </w:p>
    <w:p w14:paraId="5A9C0C46">
      <w:pPr>
        <w:numPr>
          <w:ilvl w:val="1"/>
          <w:numId w:val="6"/>
        </w:numPr>
        <w:spacing w:line="360" w:lineRule="auto"/>
        <w:ind w:left="992" w:hanging="567"/>
        <w:rPr>
          <w:rFonts w:hint="eastAsia" w:ascii="Times New Roman" w:hAnsi="Times New Roman" w:eastAsia="宋体" w:cs="Times New Roman"/>
          <w:b/>
          <w:sz w:val="24"/>
          <w:szCs w:val="21"/>
        </w:rPr>
      </w:pPr>
      <w:r>
        <w:rPr>
          <w:rFonts w:hint="eastAsia" w:ascii="Times New Roman" w:hAnsi="Times New Roman" w:eastAsia="宋体" w:cs="Times New Roman"/>
          <w:b/>
          <w:sz w:val="24"/>
          <w:szCs w:val="21"/>
        </w:rPr>
        <w:t>搅拌混合：</w:t>
      </w:r>
    </w:p>
    <w:p w14:paraId="3FACBC85">
      <w:pPr>
        <w:spacing w:line="360" w:lineRule="auto"/>
        <w:ind w:firstLine="420"/>
        <w:rPr>
          <w:rFonts w:hint="eastAsia" w:ascii="Times New Roman" w:hAnsi="Times New Roman" w:eastAsia="宋体" w:cs="Times New Roman"/>
          <w:sz w:val="24"/>
          <w:szCs w:val="21"/>
        </w:rPr>
      </w:pPr>
      <w:r>
        <w:rPr>
          <w:rFonts w:hint="eastAsia" w:ascii="Times New Roman" w:hAnsi="Times New Roman" w:eastAsia="宋体" w:cs="Times New Roman"/>
          <w:sz w:val="24"/>
          <w:szCs w:val="21"/>
        </w:rPr>
        <w:t xml:space="preserve"> </w:t>
      </w:r>
      <w:r>
        <w:rPr>
          <w:rFonts w:ascii="Times New Roman" w:hAnsi="Times New Roman" w:eastAsia="宋体" w:cs="Times New Roman"/>
          <w:sz w:val="24"/>
          <w:szCs w:val="21"/>
        </w:rPr>
        <w:t xml:space="preserve"> </w:t>
      </w:r>
      <w:r>
        <w:rPr>
          <w:rFonts w:hint="eastAsia" w:ascii="Times New Roman" w:hAnsi="Times New Roman" w:eastAsia="宋体" w:cs="Times New Roman"/>
          <w:b/>
          <w:bCs/>
          <w:kern w:val="0"/>
          <w:sz w:val="24"/>
          <w:szCs w:val="21"/>
        </w:rPr>
        <w:t>#</w:t>
      </w:r>
      <w:r>
        <w:rPr>
          <w:rFonts w:ascii="Times New Roman" w:hAnsi="Times New Roman" w:eastAsia="宋体" w:cs="Times New Roman"/>
          <w:b/>
          <w:bCs/>
          <w:kern w:val="0"/>
          <w:sz w:val="24"/>
          <w:szCs w:val="21"/>
        </w:rPr>
        <w:t xml:space="preserve"> </w:t>
      </w:r>
      <w:r>
        <w:rPr>
          <w:rFonts w:ascii="Times New Roman" w:hAnsi="Times New Roman" w:eastAsia="宋体" w:cs="Times New Roman"/>
          <w:bCs/>
          <w:kern w:val="0"/>
          <w:sz w:val="24"/>
          <w:szCs w:val="21"/>
        </w:rPr>
        <w:t xml:space="preserve">4.4.1 </w:t>
      </w:r>
      <w:r>
        <w:rPr>
          <w:rFonts w:hint="eastAsia" w:ascii="Times New Roman" w:hAnsi="Times New Roman" w:eastAsia="宋体" w:cs="Times New Roman"/>
          <w:color w:val="000000"/>
          <w:sz w:val="24"/>
          <w:szCs w:val="21"/>
        </w:rPr>
        <w:t>支持两种混合搅拌方式：磁力搅拌和机械搅拌</w:t>
      </w:r>
      <w:r>
        <w:rPr>
          <w:rFonts w:hint="eastAsia" w:ascii="Times New Roman" w:hAnsi="Times New Roman" w:eastAsia="宋体" w:cs="Times New Roman"/>
          <w:sz w:val="24"/>
          <w:szCs w:val="21"/>
        </w:rPr>
        <w:t>。</w:t>
      </w:r>
    </w:p>
    <w:p w14:paraId="236D5F4A">
      <w:pPr>
        <w:numPr>
          <w:ilvl w:val="2"/>
          <w:numId w:val="13"/>
        </w:numPr>
        <w:spacing w:line="360" w:lineRule="auto"/>
        <w:ind w:left="1418" w:hanging="567"/>
        <w:rPr>
          <w:rFonts w:hint="eastAsia" w:ascii="Times New Roman" w:hAnsi="Times New Roman" w:eastAsia="宋体" w:cs="Times New Roman"/>
          <w:sz w:val="24"/>
          <w:szCs w:val="21"/>
        </w:rPr>
      </w:pPr>
      <w:r>
        <w:rPr>
          <w:rFonts w:hint="eastAsia" w:ascii="Times New Roman" w:hAnsi="Times New Roman" w:eastAsia="宋体" w:cs="Times New Roman"/>
          <w:sz w:val="24"/>
          <w:szCs w:val="21"/>
        </w:rPr>
        <w:t>磁力搅拌：支持至少3个磁力搅拌位置，与温度控制模块配合使用。单个位置的整个板架可以以0-750RPM的混合速度进行搅拌，磁力搅拌兼容1mL-125mL不同规格板架，兼容50uL-750uL微量板架（8×12规格）。磁力搅拌方式为翻滚式，避免旋转式搅拌旋转中心内外速度差异造成的混合不均匀。冷却位置磁场强度≥250 Gauss（高斯），加热位置≥350 高斯 Gauss。</w:t>
      </w:r>
    </w:p>
    <w:p w14:paraId="4F50B028">
      <w:pPr>
        <w:numPr>
          <w:ilvl w:val="2"/>
          <w:numId w:val="13"/>
        </w:numPr>
        <w:spacing w:line="360" w:lineRule="auto"/>
        <w:ind w:left="1418" w:hanging="567"/>
        <w:rPr>
          <w:rFonts w:hint="eastAsia" w:ascii="Times New Roman" w:hAnsi="Times New Roman" w:eastAsia="宋体" w:cs="Times New Roman"/>
          <w:sz w:val="24"/>
          <w:szCs w:val="21"/>
        </w:rPr>
      </w:pPr>
      <w:r>
        <w:rPr>
          <w:rFonts w:hint="eastAsia" w:ascii="Times New Roman" w:hAnsi="Times New Roman" w:eastAsia="宋体" w:cs="Times New Roman"/>
          <w:sz w:val="24"/>
          <w:szCs w:val="21"/>
        </w:rPr>
        <w:t>机械搅拌：自动化平台应具有顶置式混匀能力，单次混合样品数至少1个，每个样品的搅拌速度0-120 RPM。平台具备在不同样品之间自动清洗搅拌桨的功能。配备适用于20-40mL反应体系的搅拌桨，备用搅拌桨数量：2；搅拌桨材质</w:t>
      </w:r>
      <w:r>
        <w:rPr>
          <w:rFonts w:ascii="Times New Roman" w:hAnsi="Times New Roman" w:eastAsia="宋体" w:cs="Times New Roman"/>
          <w:sz w:val="24"/>
          <w:szCs w:val="21"/>
        </w:rPr>
        <w:t xml:space="preserve"> </w:t>
      </w:r>
      <w:r>
        <w:rPr>
          <w:rFonts w:hint="eastAsia" w:ascii="Times New Roman" w:hAnsi="Times New Roman" w:eastAsia="宋体" w:cs="Times New Roman"/>
          <w:sz w:val="24"/>
          <w:szCs w:val="21"/>
        </w:rPr>
        <w:t>：316L不锈钢。</w:t>
      </w:r>
    </w:p>
    <w:p w14:paraId="0098DB20">
      <w:pPr>
        <w:numPr>
          <w:ilvl w:val="1"/>
          <w:numId w:val="6"/>
        </w:numPr>
        <w:spacing w:line="360" w:lineRule="auto"/>
        <w:ind w:left="992" w:hanging="567"/>
        <w:rPr>
          <w:rFonts w:hint="eastAsia" w:ascii="Times New Roman" w:hAnsi="Times New Roman" w:eastAsia="宋体" w:cs="Times New Roman"/>
          <w:b/>
          <w:sz w:val="24"/>
          <w:szCs w:val="21"/>
        </w:rPr>
      </w:pPr>
      <w:r>
        <w:rPr>
          <w:rFonts w:hint="eastAsia" w:ascii="Times New Roman" w:hAnsi="Times New Roman" w:eastAsia="宋体" w:cs="Times New Roman"/>
          <w:b/>
          <w:sz w:val="24"/>
          <w:szCs w:val="21"/>
        </w:rPr>
        <w:t>灵活拾取抓手工具：</w:t>
      </w:r>
    </w:p>
    <w:p w14:paraId="58161426">
      <w:pPr>
        <w:numPr>
          <w:ilvl w:val="2"/>
          <w:numId w:val="14"/>
        </w:numPr>
        <w:spacing w:line="360" w:lineRule="auto"/>
        <w:ind w:left="1418" w:hanging="567"/>
        <w:rPr>
          <w:rFonts w:hint="eastAsia" w:ascii="Times New Roman" w:hAnsi="Times New Roman" w:eastAsia="宋体" w:cs="Times New Roman"/>
          <w:sz w:val="24"/>
          <w:szCs w:val="21"/>
        </w:rPr>
      </w:pPr>
      <w:r>
        <w:rPr>
          <w:rFonts w:hint="eastAsia" w:ascii="Times New Roman" w:hAnsi="Times New Roman" w:eastAsia="宋体" w:cs="Times New Roman"/>
          <w:sz w:val="24"/>
          <w:szCs w:val="21"/>
        </w:rPr>
        <w:t>可配合灵活工具切换机械臂使用，将微孔板反应器移动到所需位置（天平和加热制冷磁力搅拌模块）。</w:t>
      </w:r>
    </w:p>
    <w:p w14:paraId="5B510B91">
      <w:pPr>
        <w:numPr>
          <w:ilvl w:val="2"/>
          <w:numId w:val="14"/>
        </w:numPr>
        <w:spacing w:line="360" w:lineRule="auto"/>
        <w:ind w:left="1418" w:hanging="567"/>
        <w:rPr>
          <w:rFonts w:hint="eastAsia" w:ascii="Times New Roman" w:hAnsi="Times New Roman" w:eastAsia="宋体" w:cs="Times New Roman"/>
          <w:sz w:val="24"/>
          <w:szCs w:val="21"/>
        </w:rPr>
      </w:pPr>
      <w:r>
        <w:rPr>
          <w:rFonts w:hint="eastAsia" w:ascii="Times New Roman" w:hAnsi="Times New Roman" w:eastAsia="宋体" w:cs="Times New Roman"/>
          <w:sz w:val="24"/>
          <w:szCs w:val="21"/>
        </w:rPr>
        <w:t>夹持宽度：100毫米-130毫米</w:t>
      </w:r>
    </w:p>
    <w:p w14:paraId="07734F78">
      <w:pPr>
        <w:numPr>
          <w:ilvl w:val="1"/>
          <w:numId w:val="6"/>
        </w:numPr>
        <w:spacing w:line="360" w:lineRule="auto"/>
        <w:ind w:left="992" w:hanging="567"/>
        <w:rPr>
          <w:rFonts w:hint="eastAsia" w:ascii="Times New Roman" w:hAnsi="Times New Roman" w:eastAsia="宋体" w:cs="Times New Roman"/>
          <w:b/>
          <w:sz w:val="24"/>
          <w:szCs w:val="21"/>
        </w:rPr>
      </w:pPr>
      <w:r>
        <w:rPr>
          <w:rFonts w:hint="eastAsia" w:ascii="Times New Roman" w:hAnsi="Times New Roman" w:eastAsia="宋体" w:cs="Times New Roman"/>
          <w:b/>
          <w:sz w:val="24"/>
          <w:szCs w:val="21"/>
        </w:rPr>
        <w:t>微孔板反应器:</w:t>
      </w:r>
    </w:p>
    <w:p w14:paraId="0232482E">
      <w:pPr>
        <w:numPr>
          <w:ilvl w:val="2"/>
          <w:numId w:val="15"/>
        </w:numPr>
        <w:spacing w:line="360" w:lineRule="auto"/>
        <w:ind w:left="1418" w:hanging="567"/>
        <w:rPr>
          <w:rFonts w:hint="eastAsia" w:ascii="Times New Roman" w:hAnsi="Times New Roman" w:eastAsia="宋体" w:cs="Times New Roman"/>
          <w:sz w:val="24"/>
          <w:szCs w:val="21"/>
        </w:rPr>
      </w:pPr>
      <w:r>
        <w:rPr>
          <w:rFonts w:hint="eastAsia" w:ascii="Times New Roman" w:hAnsi="Times New Roman" w:eastAsia="宋体" w:cs="Times New Roman"/>
          <w:sz w:val="24"/>
          <w:szCs w:val="21"/>
        </w:rPr>
        <w:t>可执行高通量的固体和液体分配，反应器在机器人平台自动移动，实现自动化的高通量多步骤工作流程，如前体溶液制备、催化剂制备、后处理和分析样品制备的固体和液体分配、温度控制和混合。</w:t>
      </w:r>
    </w:p>
    <w:p w14:paraId="219D1802">
      <w:pPr>
        <w:spacing w:line="360" w:lineRule="auto"/>
        <w:ind w:left="1487" w:leftChars="251" w:hanging="960" w:hangingChars="400"/>
        <w:rPr>
          <w:rFonts w:hint="eastAsia" w:ascii="Times New Roman" w:hAnsi="Times New Roman" w:eastAsia="宋体" w:cs="Times New Roman"/>
          <w:sz w:val="24"/>
          <w:szCs w:val="21"/>
        </w:rPr>
      </w:pPr>
      <w:r>
        <w:rPr>
          <w:rFonts w:ascii="Times New Roman" w:hAnsi="Times New Roman" w:eastAsia="宋体" w:cs="Times New Roman"/>
          <w:bCs/>
          <w:kern w:val="0"/>
          <w:sz w:val="24"/>
          <w:szCs w:val="21"/>
        </w:rPr>
        <w:t>4.6.2</w:t>
      </w:r>
      <w:r>
        <w:rPr>
          <w:rFonts w:ascii="Times New Roman" w:hAnsi="Times New Roman" w:eastAsia="宋体" w:cs="Times New Roman"/>
          <w:b/>
          <w:bCs/>
          <w:kern w:val="0"/>
          <w:sz w:val="24"/>
          <w:szCs w:val="21"/>
        </w:rPr>
        <w:t xml:space="preserve"> </w:t>
      </w:r>
      <w:r>
        <w:rPr>
          <w:rFonts w:hint="eastAsia" w:ascii="Times New Roman" w:hAnsi="Times New Roman" w:eastAsia="宋体" w:cs="Times New Roman"/>
          <w:sz w:val="24"/>
          <w:szCs w:val="21"/>
        </w:rPr>
        <w:t>机器人平台具有至少6个微孔板反应器或板架位置，并兼容各种格式（例如8x 20 mL、2x 125 mL）SBS规格板架，以满足不同反应体系的工作流程。</w:t>
      </w:r>
    </w:p>
    <w:p w14:paraId="41621EF9">
      <w:pPr>
        <w:numPr>
          <w:ilvl w:val="2"/>
          <w:numId w:val="16"/>
        </w:numPr>
        <w:spacing w:line="360" w:lineRule="auto"/>
        <w:ind w:left="1418" w:hanging="567"/>
        <w:rPr>
          <w:rFonts w:hint="eastAsia" w:ascii="Times New Roman" w:hAnsi="Times New Roman" w:eastAsia="宋体" w:cs="Times New Roman"/>
          <w:sz w:val="24"/>
          <w:szCs w:val="21"/>
        </w:rPr>
      </w:pPr>
      <w:r>
        <w:rPr>
          <w:rFonts w:hint="eastAsia" w:ascii="Times New Roman" w:hAnsi="Times New Roman" w:eastAsia="宋体" w:cs="Times New Roman"/>
          <w:sz w:val="24"/>
          <w:szCs w:val="21"/>
        </w:rPr>
        <w:t>需提供不少于5个2×3规格（即每个板架上有6个样品瓶位置）的定制化的载架（包含100个定制的容积为40mL的氧化铝样品瓶）。</w:t>
      </w:r>
    </w:p>
    <w:p w14:paraId="788E2D76">
      <w:pPr>
        <w:numPr>
          <w:ilvl w:val="2"/>
          <w:numId w:val="16"/>
        </w:numPr>
        <w:spacing w:line="360" w:lineRule="auto"/>
        <w:ind w:left="1418" w:hanging="567"/>
        <w:rPr>
          <w:rFonts w:hint="eastAsia" w:ascii="Times New Roman" w:hAnsi="Times New Roman" w:eastAsia="宋体" w:cs="Times New Roman"/>
          <w:sz w:val="24"/>
          <w:szCs w:val="21"/>
        </w:rPr>
      </w:pPr>
      <w:r>
        <w:rPr>
          <w:rFonts w:hint="eastAsia" w:ascii="Times New Roman" w:hAnsi="Times New Roman" w:eastAsia="宋体" w:cs="Times New Roman"/>
          <w:sz w:val="24"/>
          <w:szCs w:val="21"/>
        </w:rPr>
        <w:t>微孔板反应器的密封：可使用薄垫片板盖密封整个微板反应器，并可在一个微板反应器中以相同的温度处理多个小瓶。</w:t>
      </w:r>
    </w:p>
    <w:p w14:paraId="46FB70A9">
      <w:pPr>
        <w:numPr>
          <w:ilvl w:val="1"/>
          <w:numId w:val="6"/>
        </w:numPr>
        <w:spacing w:line="360" w:lineRule="auto"/>
        <w:ind w:left="992" w:hanging="567"/>
        <w:rPr>
          <w:rFonts w:hint="eastAsia" w:ascii="Times New Roman" w:hAnsi="Times New Roman" w:eastAsia="宋体" w:cs="Times New Roman"/>
          <w:b/>
          <w:sz w:val="24"/>
          <w:szCs w:val="21"/>
        </w:rPr>
      </w:pPr>
      <w:r>
        <w:rPr>
          <w:rFonts w:hint="eastAsia" w:ascii="Times New Roman" w:hAnsi="Times New Roman" w:eastAsia="宋体" w:cs="Times New Roman"/>
          <w:b/>
          <w:sz w:val="24"/>
          <w:szCs w:val="21"/>
        </w:rPr>
        <w:t>氮气吹扫模块</w:t>
      </w:r>
    </w:p>
    <w:p w14:paraId="043A1E19">
      <w:pPr>
        <w:spacing w:line="360" w:lineRule="auto"/>
        <w:ind w:firstLine="420"/>
        <w:rPr>
          <w:rFonts w:hint="eastAsia" w:ascii="Times New Roman" w:hAnsi="Times New Roman" w:eastAsia="宋体" w:cs="宋体"/>
          <w:kern w:val="0"/>
          <w:sz w:val="24"/>
          <w:szCs w:val="21"/>
        </w:rPr>
      </w:pPr>
      <w:r>
        <w:rPr>
          <w:rFonts w:hint="eastAsia" w:ascii="Times New Roman" w:hAnsi="Times New Roman" w:eastAsia="宋体" w:cs="宋体"/>
          <w:kern w:val="0"/>
          <w:sz w:val="24"/>
          <w:szCs w:val="21"/>
        </w:rPr>
        <w:t xml:space="preserve"> </w:t>
      </w:r>
      <w:r>
        <w:rPr>
          <w:rFonts w:ascii="Times New Roman" w:hAnsi="Times New Roman" w:eastAsia="宋体" w:cs="宋体"/>
          <w:kern w:val="0"/>
          <w:sz w:val="24"/>
          <w:szCs w:val="21"/>
        </w:rPr>
        <w:t xml:space="preserve"> </w:t>
      </w:r>
      <w:r>
        <w:rPr>
          <w:rFonts w:hint="eastAsia" w:ascii="Times New Roman" w:hAnsi="Times New Roman" w:eastAsia="宋体" w:cs="Times New Roman"/>
          <w:b/>
          <w:kern w:val="0"/>
          <w:sz w:val="24"/>
          <w:szCs w:val="21"/>
        </w:rPr>
        <w:t>#</w:t>
      </w:r>
      <w:r>
        <w:rPr>
          <w:rFonts w:ascii="Times New Roman" w:hAnsi="Times New Roman" w:eastAsia="宋体" w:cs="Times New Roman"/>
          <w:kern w:val="0"/>
          <w:sz w:val="24"/>
          <w:szCs w:val="21"/>
        </w:rPr>
        <w:t xml:space="preserve"> 4.7.1 </w:t>
      </w:r>
      <w:r>
        <w:rPr>
          <w:rFonts w:hint="eastAsia" w:ascii="Times New Roman" w:hAnsi="Times New Roman" w:eastAsia="宋体" w:cs="Times New Roman"/>
          <w:kern w:val="0"/>
          <w:sz w:val="24"/>
          <w:szCs w:val="21"/>
        </w:rPr>
        <w:t>至少具备8通道氮气吹扫.</w:t>
      </w:r>
    </w:p>
    <w:p w14:paraId="165F3AAE">
      <w:pPr>
        <w:numPr>
          <w:ilvl w:val="2"/>
          <w:numId w:val="17"/>
        </w:numPr>
        <w:spacing w:line="360" w:lineRule="auto"/>
        <w:ind w:left="1418" w:hanging="567"/>
        <w:rPr>
          <w:rFonts w:hint="eastAsia" w:ascii="Times New Roman" w:hAnsi="Times New Roman" w:eastAsia="宋体" w:cs="宋体"/>
          <w:color w:val="000000"/>
          <w:kern w:val="0"/>
          <w:sz w:val="24"/>
          <w:szCs w:val="21"/>
        </w:rPr>
      </w:pPr>
      <w:r>
        <w:rPr>
          <w:rFonts w:hint="eastAsia" w:ascii="Times New Roman" w:hAnsi="Times New Roman" w:eastAsia="宋体" w:cs="宋体"/>
          <w:color w:val="000000"/>
          <w:kern w:val="0"/>
          <w:sz w:val="24"/>
          <w:szCs w:val="21"/>
        </w:rPr>
        <w:t>规格</w:t>
      </w:r>
      <w:r>
        <w:rPr>
          <w:rFonts w:hint="eastAsia" w:ascii="Times New Roman" w:hAnsi="Times New Roman" w:eastAsia="宋体" w:cs="Times New Roman"/>
          <w:sz w:val="24"/>
          <w:szCs w:val="21"/>
        </w:rPr>
        <w:t>兼容2×4规格4mL或8mL微孔板反应器。</w:t>
      </w:r>
    </w:p>
    <w:p w14:paraId="41E68922">
      <w:pPr>
        <w:numPr>
          <w:ilvl w:val="2"/>
          <w:numId w:val="17"/>
        </w:numPr>
        <w:spacing w:line="360" w:lineRule="auto"/>
        <w:ind w:left="1418" w:hanging="567"/>
        <w:rPr>
          <w:rFonts w:hint="eastAsia" w:ascii="Times New Roman" w:hAnsi="Times New Roman" w:eastAsia="宋体" w:cs="宋体"/>
          <w:color w:val="000000"/>
          <w:kern w:val="0"/>
          <w:sz w:val="24"/>
          <w:szCs w:val="21"/>
        </w:rPr>
      </w:pPr>
      <w:r>
        <w:rPr>
          <w:rFonts w:hint="eastAsia" w:ascii="Times New Roman" w:hAnsi="Times New Roman" w:eastAsia="宋体" w:cs="Times New Roman"/>
          <w:sz w:val="24"/>
          <w:szCs w:val="21"/>
        </w:rPr>
        <w:t>手动氮气管路连接，支持微板抓手对其进行移动操作。</w:t>
      </w:r>
    </w:p>
    <w:p w14:paraId="7069EAF7">
      <w:pPr>
        <w:numPr>
          <w:ilvl w:val="2"/>
          <w:numId w:val="17"/>
        </w:numPr>
        <w:spacing w:line="360" w:lineRule="auto"/>
        <w:ind w:left="1418" w:hanging="567"/>
        <w:rPr>
          <w:rFonts w:hint="eastAsia" w:ascii="Times New Roman" w:hAnsi="Times New Roman" w:eastAsia="宋体" w:cs="宋体"/>
          <w:color w:val="000000"/>
          <w:kern w:val="0"/>
          <w:sz w:val="24"/>
          <w:szCs w:val="21"/>
        </w:rPr>
      </w:pPr>
      <w:r>
        <w:rPr>
          <w:rFonts w:hint="eastAsia" w:ascii="Times New Roman" w:hAnsi="Times New Roman" w:eastAsia="宋体" w:cs="宋体"/>
          <w:color w:val="000000"/>
          <w:kern w:val="0"/>
          <w:sz w:val="24"/>
          <w:szCs w:val="21"/>
        </w:rPr>
        <w:t>氮气总流量范围：0.1-10L/min（8路同步调节），压力范围：0.1-0.6MPa</w:t>
      </w:r>
    </w:p>
    <w:p w14:paraId="24E621FD">
      <w:pPr>
        <w:numPr>
          <w:ilvl w:val="1"/>
          <w:numId w:val="6"/>
        </w:numPr>
        <w:spacing w:line="360" w:lineRule="auto"/>
        <w:ind w:left="992" w:hanging="567"/>
        <w:rPr>
          <w:rFonts w:hint="eastAsia" w:ascii="Times New Roman" w:hAnsi="Times New Roman" w:eastAsia="宋体" w:cs="Times New Roman"/>
          <w:b/>
          <w:sz w:val="24"/>
          <w:szCs w:val="21"/>
        </w:rPr>
      </w:pPr>
      <w:r>
        <w:rPr>
          <w:rFonts w:hint="eastAsia" w:ascii="Times New Roman" w:hAnsi="Times New Roman" w:eastAsia="宋体" w:cs="Times New Roman"/>
          <w:b/>
          <w:sz w:val="24"/>
          <w:szCs w:val="21"/>
        </w:rPr>
        <w:t>压力反应器</w:t>
      </w:r>
    </w:p>
    <w:p w14:paraId="00DA606B">
      <w:pPr>
        <w:spacing w:line="360" w:lineRule="auto"/>
        <w:ind w:firstLine="480" w:firstLineChars="200"/>
        <w:rPr>
          <w:rFonts w:hint="eastAsia" w:ascii="Times New Roman" w:hAnsi="Times New Roman" w:eastAsia="宋体" w:cs="Times New Roman"/>
          <w:kern w:val="0"/>
          <w:sz w:val="24"/>
          <w:szCs w:val="21"/>
        </w:rPr>
      </w:pPr>
      <w:r>
        <w:rPr>
          <w:rFonts w:hint="eastAsia" w:ascii="Times New Roman" w:hAnsi="Times New Roman" w:eastAsia="宋体" w:cs="Times New Roman"/>
          <w:kern w:val="0"/>
          <w:sz w:val="24"/>
          <w:szCs w:val="21"/>
        </w:rPr>
        <w:t xml:space="preserve"> ★ </w:t>
      </w:r>
      <w:r>
        <w:rPr>
          <w:rFonts w:ascii="Times New Roman" w:hAnsi="Times New Roman" w:eastAsia="宋体" w:cs="Times New Roman"/>
          <w:kern w:val="0"/>
          <w:sz w:val="24"/>
          <w:szCs w:val="21"/>
        </w:rPr>
        <w:t xml:space="preserve">4.8.1 </w:t>
      </w:r>
      <w:r>
        <w:rPr>
          <w:rFonts w:hint="eastAsia" w:ascii="Times New Roman" w:hAnsi="Times New Roman" w:eastAsia="宋体" w:cs="Times New Roman"/>
          <w:kern w:val="0"/>
          <w:sz w:val="24"/>
          <w:szCs w:val="21"/>
        </w:rPr>
        <w:t>至少具备24通道平行筛选压力反应器</w:t>
      </w:r>
    </w:p>
    <w:p w14:paraId="22A8DC3C">
      <w:pPr>
        <w:numPr>
          <w:ilvl w:val="2"/>
          <w:numId w:val="18"/>
        </w:numPr>
        <w:spacing w:line="360" w:lineRule="auto"/>
        <w:ind w:left="1418" w:hanging="567"/>
        <w:rPr>
          <w:rFonts w:hint="eastAsia" w:ascii="Times New Roman" w:hAnsi="Times New Roman" w:eastAsia="宋体" w:cs="Times New Roman"/>
          <w:sz w:val="24"/>
          <w:szCs w:val="21"/>
        </w:rPr>
      </w:pPr>
      <w:r>
        <w:rPr>
          <w:rFonts w:hint="eastAsia" w:ascii="Times New Roman" w:hAnsi="Times New Roman" w:eastAsia="宋体" w:cs="Times New Roman"/>
          <w:sz w:val="24"/>
          <w:szCs w:val="21"/>
        </w:rPr>
        <w:t>反应压力：180°C时可达200psi或常温时300psi。压力降：≤25psi/h （200psi时）</w:t>
      </w:r>
    </w:p>
    <w:p w14:paraId="6E0EAE52">
      <w:pPr>
        <w:numPr>
          <w:ilvl w:val="2"/>
          <w:numId w:val="18"/>
        </w:numPr>
        <w:spacing w:line="360" w:lineRule="auto"/>
        <w:ind w:left="1418" w:hanging="567"/>
        <w:rPr>
          <w:rFonts w:hint="eastAsia" w:ascii="Times New Roman" w:hAnsi="Times New Roman" w:eastAsia="宋体" w:cs="Times New Roman"/>
          <w:sz w:val="24"/>
          <w:szCs w:val="21"/>
        </w:rPr>
      </w:pPr>
      <w:r>
        <w:rPr>
          <w:rFonts w:hint="eastAsia" w:ascii="Times New Roman" w:hAnsi="Times New Roman" w:eastAsia="宋体" w:cs="Times New Roman"/>
          <w:sz w:val="24"/>
          <w:szCs w:val="21"/>
        </w:rPr>
        <w:t>兼容系统和平台磁力搅拌及温控位，能够通过加热磁力搅拌和在压力下运行。</w:t>
      </w:r>
    </w:p>
    <w:p w14:paraId="4A70F033">
      <w:pPr>
        <w:numPr>
          <w:ilvl w:val="2"/>
          <w:numId w:val="18"/>
        </w:numPr>
        <w:spacing w:line="360" w:lineRule="auto"/>
        <w:ind w:left="1418" w:hanging="567"/>
        <w:rPr>
          <w:rFonts w:hint="eastAsia" w:ascii="Times New Roman" w:hAnsi="Times New Roman" w:eastAsia="宋体" w:cs="Times New Roman"/>
          <w:sz w:val="24"/>
          <w:szCs w:val="21"/>
        </w:rPr>
      </w:pPr>
      <w:r>
        <w:rPr>
          <w:rFonts w:hint="eastAsia" w:ascii="Times New Roman" w:hAnsi="Times New Roman" w:eastAsia="宋体" w:cs="Times New Roman"/>
          <w:sz w:val="24"/>
          <w:szCs w:val="21"/>
        </w:rPr>
        <w:t>与微孔板反应器兼容，包括24孔高温高压反应器（反应器材质为铝合金），单个孔位支持不少于6mL的反应体积（反应器内衬玻璃小瓶体积8mL）。</w:t>
      </w:r>
    </w:p>
    <w:p w14:paraId="69D7D83F">
      <w:pPr>
        <w:numPr>
          <w:ilvl w:val="2"/>
          <w:numId w:val="18"/>
        </w:numPr>
        <w:spacing w:line="360" w:lineRule="auto"/>
        <w:ind w:left="1418" w:hanging="567"/>
        <w:rPr>
          <w:rFonts w:hint="eastAsia" w:ascii="Times New Roman" w:hAnsi="Times New Roman" w:eastAsia="宋体" w:cs="Times New Roman"/>
          <w:sz w:val="24"/>
          <w:szCs w:val="21"/>
        </w:rPr>
      </w:pPr>
      <w:r>
        <w:rPr>
          <w:rFonts w:hint="eastAsia" w:ascii="Times New Roman" w:hAnsi="Times New Roman" w:eastAsia="宋体" w:cs="Times New Roman"/>
          <w:sz w:val="24"/>
          <w:szCs w:val="21"/>
        </w:rPr>
        <w:t>当反应器打开时，能够在自动化平台上进行固体和液体分配；具有防止溶剂串扰的通用顶空设计。反应器支持气氛保护或气体反应，反应器带有气体压力调节阀门及压力表，可手动调节压力至所需值。</w:t>
      </w:r>
    </w:p>
    <w:p w14:paraId="25C9B4FD">
      <w:pPr>
        <w:numPr>
          <w:ilvl w:val="2"/>
          <w:numId w:val="18"/>
        </w:numPr>
        <w:spacing w:line="360" w:lineRule="auto"/>
        <w:ind w:left="1418" w:hanging="567"/>
        <w:rPr>
          <w:rFonts w:hint="eastAsia" w:ascii="Times New Roman" w:hAnsi="Times New Roman" w:eastAsia="宋体" w:cs="Times New Roman"/>
          <w:sz w:val="24"/>
          <w:szCs w:val="21"/>
        </w:rPr>
      </w:pPr>
      <w:r>
        <w:rPr>
          <w:rFonts w:hint="eastAsia" w:ascii="Times New Roman" w:hAnsi="Times New Roman" w:eastAsia="宋体" w:cs="Times New Roman"/>
          <w:sz w:val="24"/>
          <w:szCs w:val="21"/>
        </w:rPr>
        <w:t>反应器带有安全阀，当反应器内实际压力超过反应器安全值时，可主动泄压以保证实验人员安全。</w:t>
      </w:r>
    </w:p>
    <w:p w14:paraId="541D3274">
      <w:pPr>
        <w:numPr>
          <w:ilvl w:val="1"/>
          <w:numId w:val="6"/>
        </w:numPr>
        <w:spacing w:line="360" w:lineRule="auto"/>
        <w:ind w:left="992" w:hanging="567"/>
        <w:rPr>
          <w:rFonts w:hint="eastAsia" w:ascii="Times New Roman" w:hAnsi="Times New Roman" w:eastAsia="宋体" w:cs="Times New Roman"/>
          <w:b/>
          <w:sz w:val="24"/>
          <w:szCs w:val="21"/>
        </w:rPr>
      </w:pPr>
      <w:r>
        <w:rPr>
          <w:rFonts w:hint="eastAsia" w:ascii="Times New Roman" w:hAnsi="Times New Roman" w:eastAsia="宋体" w:cs="Times New Roman"/>
          <w:b/>
          <w:sz w:val="24"/>
          <w:szCs w:val="21"/>
        </w:rPr>
        <w:t>手套箱</w:t>
      </w:r>
    </w:p>
    <w:p w14:paraId="6999110A">
      <w:pPr>
        <w:spacing w:line="360" w:lineRule="auto"/>
        <w:rPr>
          <w:rFonts w:hint="eastAsia" w:ascii="Times New Roman" w:hAnsi="Times New Roman" w:eastAsia="宋体" w:cs="Times New Roman"/>
          <w:kern w:val="0"/>
          <w:sz w:val="24"/>
          <w:szCs w:val="21"/>
        </w:rPr>
      </w:pPr>
      <w:r>
        <w:rPr>
          <w:rFonts w:hint="eastAsia" w:ascii="Times New Roman" w:hAnsi="Times New Roman" w:eastAsia="宋体" w:cs="Times New Roman"/>
          <w:kern w:val="0"/>
          <w:sz w:val="24"/>
          <w:szCs w:val="21"/>
        </w:rPr>
        <w:t xml:space="preserve">    </w:t>
      </w:r>
      <w:r>
        <w:rPr>
          <w:rFonts w:ascii="Times New Roman" w:hAnsi="Times New Roman" w:eastAsia="宋体" w:cs="Times New Roman"/>
          <w:kern w:val="0"/>
          <w:sz w:val="24"/>
          <w:szCs w:val="21"/>
        </w:rPr>
        <w:t xml:space="preserve"> </w:t>
      </w:r>
      <w:r>
        <w:rPr>
          <w:rFonts w:hint="eastAsia" w:ascii="Times New Roman" w:hAnsi="Times New Roman" w:eastAsia="宋体" w:cs="Times New Roman"/>
          <w:kern w:val="0"/>
          <w:sz w:val="24"/>
          <w:szCs w:val="21"/>
        </w:rPr>
        <w:t xml:space="preserve"> ★ </w:t>
      </w:r>
      <w:r>
        <w:rPr>
          <w:rFonts w:ascii="Times New Roman" w:hAnsi="Times New Roman" w:eastAsia="宋体" w:cs="Times New Roman"/>
          <w:kern w:val="0"/>
          <w:sz w:val="24"/>
          <w:szCs w:val="21"/>
        </w:rPr>
        <w:t xml:space="preserve">4.9.1 </w:t>
      </w:r>
      <w:r>
        <w:rPr>
          <w:rFonts w:hint="eastAsia" w:ascii="Times New Roman" w:hAnsi="Times New Roman" w:eastAsia="宋体" w:cs="Times New Roman"/>
          <w:sz w:val="24"/>
          <w:szCs w:val="21"/>
        </w:rPr>
        <w:t>机器人平台需整体集成于手套箱内。</w:t>
      </w:r>
    </w:p>
    <w:p w14:paraId="25D08D8A">
      <w:pPr>
        <w:numPr>
          <w:ilvl w:val="2"/>
          <w:numId w:val="19"/>
        </w:numPr>
        <w:spacing w:line="360" w:lineRule="auto"/>
        <w:ind w:left="1418" w:hanging="567"/>
        <w:rPr>
          <w:rFonts w:hint="eastAsia" w:ascii="Times New Roman" w:hAnsi="Times New Roman" w:eastAsia="宋体" w:cs="Times New Roman"/>
          <w:kern w:val="0"/>
          <w:sz w:val="24"/>
          <w:szCs w:val="21"/>
        </w:rPr>
      </w:pPr>
      <w:r>
        <w:rPr>
          <w:rFonts w:hint="eastAsia" w:ascii="Times New Roman" w:hAnsi="Times New Roman" w:eastAsia="宋体" w:cs="Times New Roman"/>
          <w:kern w:val="0"/>
          <w:sz w:val="24"/>
          <w:szCs w:val="21"/>
        </w:rPr>
        <w:t>手套箱内的水和氧含量小于 1ppm，水氧探头具备在线采样与自检诊断功能，箱体泄漏率小于&lt;0.01Vol%/h（参考标准 ISO10648-2 氧气法，-10mbar下测试并提供测漏报告）。</w:t>
      </w:r>
    </w:p>
    <w:p w14:paraId="0662F003">
      <w:pPr>
        <w:numPr>
          <w:ilvl w:val="2"/>
          <w:numId w:val="19"/>
        </w:numPr>
        <w:spacing w:line="360" w:lineRule="auto"/>
        <w:ind w:left="1418" w:hanging="567"/>
        <w:rPr>
          <w:rFonts w:hint="eastAsia" w:ascii="Times New Roman" w:hAnsi="Times New Roman" w:eastAsia="宋体" w:cs="Times New Roman"/>
          <w:sz w:val="24"/>
          <w:szCs w:val="21"/>
        </w:rPr>
      </w:pPr>
      <w:r>
        <w:rPr>
          <w:rFonts w:hint="eastAsia" w:ascii="Times New Roman" w:hAnsi="Times New Roman" w:eastAsia="宋体" w:cs="Times New Roman"/>
          <w:sz w:val="24"/>
          <w:szCs w:val="21"/>
        </w:rPr>
        <w:t>手套箱箱体：手套箱箱体为气密性结构，隔绝箱体内外有害气氛并提供便利的操作空间。箱体结构为法兰式结构，两侧端板可以方便拆装。前窗装有2个手套孔和手套，手套孔圈采用铝合金材质，黑化处理。前窗玻璃为厚度不小于10mm 的钢化夹胶玻璃。</w:t>
      </w:r>
    </w:p>
    <w:p w14:paraId="383C73CA">
      <w:pPr>
        <w:spacing w:line="360" w:lineRule="auto"/>
        <w:ind w:left="1680" w:hanging="1680" w:hangingChars="700"/>
        <w:rPr>
          <w:rFonts w:hint="eastAsia" w:ascii="Times New Roman" w:hAnsi="Times New Roman" w:eastAsia="宋体" w:cs="Times New Roman"/>
          <w:sz w:val="24"/>
          <w:szCs w:val="21"/>
        </w:rPr>
      </w:pPr>
      <w:r>
        <w:rPr>
          <w:rFonts w:hint="eastAsia" w:ascii="Times New Roman" w:hAnsi="Times New Roman" w:eastAsia="宋体" w:cs="Times New Roman"/>
          <w:sz w:val="24"/>
          <w:szCs w:val="21"/>
        </w:rPr>
        <w:t xml:space="preserve"> </w:t>
      </w:r>
      <w:r>
        <w:rPr>
          <w:rFonts w:ascii="Times New Roman" w:hAnsi="Times New Roman" w:eastAsia="宋体" w:cs="Times New Roman"/>
          <w:sz w:val="24"/>
          <w:szCs w:val="21"/>
        </w:rPr>
        <w:t xml:space="preserve">     </w:t>
      </w:r>
      <w:r>
        <w:rPr>
          <w:rFonts w:hint="eastAsia" w:ascii="Times New Roman" w:hAnsi="Times New Roman" w:eastAsia="宋体" w:cs="Times New Roman"/>
          <w:b/>
          <w:bCs/>
          <w:kern w:val="0"/>
          <w:sz w:val="24"/>
          <w:szCs w:val="21"/>
        </w:rPr>
        <w:t>#</w:t>
      </w:r>
      <w:r>
        <w:rPr>
          <w:rFonts w:ascii="Times New Roman" w:hAnsi="Times New Roman" w:eastAsia="宋体" w:cs="Times New Roman"/>
          <w:b/>
          <w:bCs/>
          <w:kern w:val="0"/>
          <w:sz w:val="24"/>
          <w:szCs w:val="21"/>
        </w:rPr>
        <w:t xml:space="preserve"> </w:t>
      </w:r>
      <w:r>
        <w:rPr>
          <w:rFonts w:ascii="Times New Roman" w:hAnsi="Times New Roman" w:eastAsia="宋体" w:cs="Times New Roman"/>
          <w:bCs/>
          <w:kern w:val="0"/>
          <w:sz w:val="24"/>
          <w:szCs w:val="21"/>
        </w:rPr>
        <w:t xml:space="preserve">4.9.4 </w:t>
      </w:r>
      <w:r>
        <w:rPr>
          <w:rFonts w:hint="eastAsia" w:ascii="Times New Roman" w:hAnsi="Times New Roman" w:eastAsia="宋体" w:cs="Times New Roman"/>
          <w:kern w:val="0"/>
          <w:sz w:val="24"/>
          <w:szCs w:val="21"/>
        </w:rPr>
        <w:t>铰链式快掀前窗，气弹簧助力开启，方便设备维护，开启时间不超过10秒，并保证其密封性。</w:t>
      </w:r>
    </w:p>
    <w:p w14:paraId="2CF72BC7">
      <w:pPr>
        <w:numPr>
          <w:ilvl w:val="2"/>
          <w:numId w:val="20"/>
        </w:numPr>
        <w:spacing w:line="360" w:lineRule="auto"/>
        <w:ind w:left="1418" w:hanging="567"/>
        <w:rPr>
          <w:rFonts w:hint="eastAsia" w:ascii="Times New Roman" w:hAnsi="Times New Roman" w:eastAsia="宋体" w:cs="Times New Roman"/>
          <w:sz w:val="24"/>
          <w:szCs w:val="21"/>
        </w:rPr>
      </w:pPr>
      <w:r>
        <w:rPr>
          <w:rFonts w:hint="eastAsia" w:ascii="Times New Roman" w:hAnsi="Times New Roman" w:eastAsia="宋体" w:cs="Times New Roman"/>
          <w:sz w:val="24"/>
          <w:szCs w:val="21"/>
        </w:rPr>
        <w:t>手套孔径不小于 220mm；手套采用丁基橡胶材质，厚度 0.4mm。</w:t>
      </w:r>
    </w:p>
    <w:p w14:paraId="41355319">
      <w:pPr>
        <w:numPr>
          <w:ilvl w:val="2"/>
          <w:numId w:val="20"/>
        </w:numPr>
        <w:spacing w:line="360" w:lineRule="auto"/>
        <w:ind w:left="1418" w:hanging="567"/>
        <w:rPr>
          <w:rFonts w:hint="eastAsia" w:ascii="Times New Roman" w:hAnsi="Times New Roman" w:eastAsia="宋体" w:cs="Times New Roman"/>
          <w:sz w:val="24"/>
          <w:szCs w:val="21"/>
        </w:rPr>
      </w:pPr>
      <w:r>
        <w:rPr>
          <w:rFonts w:hint="eastAsia" w:ascii="Times New Roman" w:hAnsi="Times New Roman" w:eastAsia="宋体" w:cs="Times New Roman"/>
          <w:sz w:val="24"/>
          <w:szCs w:val="21"/>
        </w:rPr>
        <w:t>箱体支架高度不小于 690mm。进出气口分别配有两个灰尘过滤器，过滤能力 0.3μm，更换方便。前置式照明，LED 灯管，安装于前窗面板上端，前窗加贴漫反射膜，避免灯光反射，照明系统为 PLC 控制，彩色触摸屏操作。箱体内配有电源接口，多孔插座。</w:t>
      </w:r>
    </w:p>
    <w:p w14:paraId="29D22143">
      <w:pPr>
        <w:numPr>
          <w:ilvl w:val="2"/>
          <w:numId w:val="20"/>
        </w:numPr>
        <w:spacing w:line="360" w:lineRule="auto"/>
        <w:ind w:left="1418" w:hanging="567"/>
        <w:rPr>
          <w:rFonts w:hint="eastAsia" w:ascii="Times New Roman" w:hAnsi="Times New Roman" w:eastAsia="宋体" w:cs="Times New Roman"/>
          <w:sz w:val="24"/>
          <w:szCs w:val="21"/>
        </w:rPr>
      </w:pPr>
      <w:r>
        <w:rPr>
          <w:rFonts w:hint="eastAsia" w:ascii="Times New Roman" w:hAnsi="Times New Roman" w:eastAsia="宋体" w:cs="Times New Roman"/>
          <w:sz w:val="24"/>
          <w:szCs w:val="21"/>
        </w:rPr>
        <w:t>过渡舱：与箱体之间采用法兰式连接，方便拆卸。位于手套箱右侧，直径150mm，长度</w:t>
      </w:r>
      <w:r>
        <w:rPr>
          <w:rFonts w:ascii="Times New Roman" w:hAnsi="Times New Roman" w:eastAsia="宋体" w:cs="Times New Roman"/>
          <w:sz w:val="24"/>
          <w:szCs w:val="21"/>
        </w:rPr>
        <w:t xml:space="preserve"> 400mm</w:t>
      </w:r>
      <w:r>
        <w:rPr>
          <w:rFonts w:hint="eastAsia" w:ascii="Times New Roman" w:hAnsi="Times New Roman" w:eastAsia="宋体" w:cs="Times New Roman"/>
          <w:sz w:val="24"/>
          <w:szCs w:val="21"/>
        </w:rPr>
        <w:t>；配有不锈钢双向移动滑盘。铝合金材质舱门，厚度 10mm，O型圈密封。极限真空度: &lt;3 Pa。抽气/补气方式： 手动控制。抽气/补气管径：不小于 8mm。</w:t>
      </w:r>
    </w:p>
    <w:p w14:paraId="09744750">
      <w:pPr>
        <w:numPr>
          <w:ilvl w:val="2"/>
          <w:numId w:val="20"/>
        </w:numPr>
        <w:spacing w:line="360" w:lineRule="auto"/>
        <w:ind w:left="1418" w:hanging="567"/>
        <w:rPr>
          <w:rFonts w:hint="eastAsia" w:ascii="Times New Roman" w:hAnsi="Times New Roman" w:eastAsia="宋体" w:cs="Times New Roman"/>
          <w:sz w:val="24"/>
          <w:szCs w:val="21"/>
        </w:rPr>
      </w:pPr>
      <w:r>
        <w:rPr>
          <w:rFonts w:hint="eastAsia" w:ascii="Times New Roman" w:hAnsi="Times New Roman" w:eastAsia="宋体" w:cs="Times New Roman"/>
          <w:sz w:val="24"/>
          <w:szCs w:val="21"/>
        </w:rPr>
        <w:t>气体净化系统：独立单元，位于箱体下方。净化柱数量： 2个。每个净化柱 ： 填充材料（分子筛不少于 6.5kg，铜触媒不小于 5.5kg）。循环风机： 流量 0~90m³/h，必须安装变频器，并自动变频；循环流量大，运行稳定，密封外壳可拆卸，维修方便。真空泵： EDWARDS RV12 油旋泵，流量 12m³/h，配有原装油雾过滤器。</w:t>
      </w:r>
    </w:p>
    <w:p w14:paraId="3BAE588B">
      <w:pPr>
        <w:numPr>
          <w:ilvl w:val="2"/>
          <w:numId w:val="20"/>
        </w:numPr>
        <w:spacing w:line="360" w:lineRule="auto"/>
        <w:ind w:left="1418" w:hanging="567"/>
        <w:rPr>
          <w:rFonts w:hint="eastAsia" w:ascii="Times New Roman" w:hAnsi="Times New Roman" w:eastAsia="宋体" w:cs="Times New Roman"/>
          <w:sz w:val="24"/>
          <w:szCs w:val="21"/>
        </w:rPr>
      </w:pPr>
      <w:r>
        <w:rPr>
          <w:rFonts w:hint="eastAsia" w:ascii="Times New Roman" w:hAnsi="Times New Roman" w:eastAsia="宋体" w:cs="Times New Roman"/>
          <w:sz w:val="24"/>
          <w:szCs w:val="21"/>
        </w:rPr>
        <w:t>控制系统：具有自诊断功能、断电保护功能，循环控制及再生功能等。箱体压力控制： PLC 自动控制。箱体再生系统： 一键式启动，自动再生程序。可控气氛：水＜1ppm, 氧＜1ppm。操作屏：触摸屏，中文界面，操作便捷。箱体气氛置换： 全自动清洗箱体气氛置换清洗功能，一键式启动。节能运行模式： 在保证系统运行稳定和安全的前提下，可有效降低能耗；循环管道：DN40；配有水冷热交换器，根据需要可以接通冷却水。不锈钢集成阀座控制，不接受散装电磁阀组合。</w:t>
      </w:r>
    </w:p>
    <w:p w14:paraId="632E4A3A">
      <w:pPr>
        <w:numPr>
          <w:ilvl w:val="2"/>
          <w:numId w:val="20"/>
        </w:numPr>
        <w:spacing w:line="360" w:lineRule="auto"/>
        <w:ind w:left="1418" w:hanging="567"/>
        <w:rPr>
          <w:rFonts w:hint="eastAsia" w:ascii="Times New Roman" w:hAnsi="Times New Roman" w:eastAsia="宋体" w:cs="Times New Roman"/>
          <w:sz w:val="24"/>
          <w:szCs w:val="21"/>
        </w:rPr>
      </w:pPr>
      <w:r>
        <w:rPr>
          <w:rFonts w:hint="eastAsia" w:ascii="Times New Roman" w:hAnsi="Times New Roman" w:eastAsia="宋体" w:cs="Times New Roman"/>
          <w:sz w:val="24"/>
          <w:szCs w:val="21"/>
        </w:rPr>
        <w:t>水探头：露点式水探头，免维护，不需要定期涂酸以恢复其活性。量程范围 0-1000ppm，耐腐蚀，免维护，寿命长接口规格：DN 40 KF。安装位置：箱体出气管路上。</w:t>
      </w:r>
    </w:p>
    <w:p w14:paraId="0DB4B467">
      <w:pPr>
        <w:numPr>
          <w:ilvl w:val="2"/>
          <w:numId w:val="20"/>
        </w:numPr>
        <w:spacing w:line="360" w:lineRule="auto"/>
        <w:ind w:left="1418" w:hanging="567"/>
        <w:rPr>
          <w:rFonts w:hint="eastAsia" w:ascii="Times New Roman" w:hAnsi="Times New Roman" w:eastAsia="宋体" w:cs="Times New Roman"/>
          <w:sz w:val="24"/>
          <w:szCs w:val="21"/>
        </w:rPr>
      </w:pPr>
      <w:r>
        <w:rPr>
          <w:rFonts w:hint="eastAsia" w:ascii="Times New Roman" w:hAnsi="Times New Roman" w:eastAsia="宋体" w:cs="Times New Roman"/>
          <w:sz w:val="24"/>
          <w:szCs w:val="21"/>
        </w:rPr>
        <w:t>氧探头：氧化锆式氧探头，免维护。量程范围 0-1000ppm，耐腐蚀，免维护，寿命长接口规格：DN 40 KF。安装位置：箱体出气管路上。</w:t>
      </w:r>
    </w:p>
    <w:p w14:paraId="147CD7F1">
      <w:pPr>
        <w:numPr>
          <w:ilvl w:val="2"/>
          <w:numId w:val="20"/>
        </w:numPr>
        <w:spacing w:line="360" w:lineRule="auto"/>
        <w:ind w:left="1418" w:hanging="567"/>
        <w:rPr>
          <w:rFonts w:hint="eastAsia" w:ascii="Times New Roman" w:hAnsi="Times New Roman" w:eastAsia="宋体" w:cs="Times New Roman"/>
          <w:sz w:val="24"/>
          <w:szCs w:val="21"/>
        </w:rPr>
      </w:pPr>
      <w:r>
        <w:rPr>
          <w:rFonts w:hint="eastAsia" w:ascii="Times New Roman" w:hAnsi="Times New Roman" w:eastAsia="宋体" w:cs="Times New Roman"/>
          <w:sz w:val="24"/>
          <w:szCs w:val="21"/>
        </w:rPr>
        <w:t>溶剂吸附装置：用于清除手套箱内的溶剂蒸汽，保护净化材料。通过旁路系统连接到循环管路中，手动阀控制，根据需要开启或关闭。更换材料时可以通过抽真空、补气进行气氛置换，进而不影响系统内的气氛质。活性碳填充量不小于6公斤。</w:t>
      </w:r>
    </w:p>
    <w:p w14:paraId="5F0F85D0">
      <w:pPr>
        <w:numPr>
          <w:ilvl w:val="2"/>
          <w:numId w:val="20"/>
        </w:numPr>
        <w:spacing w:line="360" w:lineRule="auto"/>
        <w:ind w:left="1418" w:hanging="567"/>
        <w:rPr>
          <w:rFonts w:hint="eastAsia" w:ascii="Times New Roman" w:hAnsi="Times New Roman" w:eastAsia="宋体" w:cs="Times New Roman"/>
          <w:sz w:val="24"/>
          <w:szCs w:val="21"/>
        </w:rPr>
      </w:pPr>
      <w:r>
        <w:rPr>
          <w:rFonts w:hint="eastAsia" w:ascii="Times New Roman" w:hAnsi="Times New Roman" w:eastAsia="宋体" w:cs="Times New Roman"/>
          <w:sz w:val="24"/>
          <w:szCs w:val="21"/>
        </w:rPr>
        <w:t>箱体冷却单元：位于箱体顶端，PLC控制，可降低箱体内温度，温度可控范围：15-30℃。</w:t>
      </w:r>
    </w:p>
    <w:p w14:paraId="55956E02">
      <w:pPr>
        <w:spacing w:line="360" w:lineRule="auto"/>
        <w:rPr>
          <w:rFonts w:hint="eastAsia" w:ascii="Times New Roman" w:hAnsi="Times New Roman" w:eastAsia="宋体" w:cs="Times New Roman"/>
          <w:sz w:val="24"/>
          <w:szCs w:val="21"/>
        </w:rPr>
      </w:pPr>
    </w:p>
    <w:p w14:paraId="3F3BFEC6">
      <w:pPr>
        <w:numPr>
          <w:ilvl w:val="1"/>
          <w:numId w:val="6"/>
        </w:numPr>
        <w:spacing w:line="360" w:lineRule="auto"/>
        <w:ind w:left="992" w:hanging="567"/>
        <w:rPr>
          <w:rFonts w:hint="eastAsia" w:ascii="Times New Roman" w:hAnsi="Times New Roman" w:eastAsia="宋体" w:cs="Times New Roman"/>
          <w:b/>
          <w:sz w:val="24"/>
          <w:szCs w:val="21"/>
        </w:rPr>
      </w:pPr>
      <w:r>
        <w:rPr>
          <w:rFonts w:hint="eastAsia" w:ascii="Times New Roman" w:hAnsi="Times New Roman" w:eastAsia="宋体" w:cs="Times New Roman"/>
          <w:b/>
          <w:sz w:val="24"/>
          <w:szCs w:val="21"/>
        </w:rPr>
        <w:t>系统软件</w:t>
      </w:r>
    </w:p>
    <w:p w14:paraId="655437B4">
      <w:pPr>
        <w:numPr>
          <w:ilvl w:val="2"/>
          <w:numId w:val="21"/>
        </w:numPr>
        <w:spacing w:line="360" w:lineRule="auto"/>
        <w:ind w:left="1418" w:hanging="567"/>
        <w:rPr>
          <w:rFonts w:hint="eastAsia" w:ascii="Times New Roman" w:hAnsi="Times New Roman" w:eastAsia="宋体" w:cs="宋体"/>
          <w:kern w:val="0"/>
          <w:sz w:val="24"/>
          <w:szCs w:val="21"/>
        </w:rPr>
      </w:pPr>
      <w:r>
        <w:rPr>
          <w:rFonts w:hint="eastAsia" w:ascii="Times New Roman" w:hAnsi="Times New Roman" w:eastAsia="宋体" w:cs="宋体"/>
          <w:kern w:val="0"/>
          <w:sz w:val="24"/>
          <w:szCs w:val="21"/>
        </w:rPr>
        <w:t>仪器所需软件包的要求：能够进行高通量的实验设计、执行；允许至少一个指定操作者获得使用软件的永久许可；具有在操作者、实验室或站点层面的数据安全和访问控制功能。实验设计和执行实验的用户界面直观简洁。</w:t>
      </w:r>
    </w:p>
    <w:p w14:paraId="6E64CF40">
      <w:pPr>
        <w:numPr>
          <w:ilvl w:val="2"/>
          <w:numId w:val="21"/>
        </w:numPr>
        <w:spacing w:line="360" w:lineRule="auto"/>
        <w:ind w:left="1418" w:hanging="567"/>
        <w:rPr>
          <w:rFonts w:hint="eastAsia" w:ascii="Times New Roman" w:hAnsi="Times New Roman" w:eastAsia="宋体" w:cs="宋体"/>
          <w:kern w:val="0"/>
          <w:sz w:val="24"/>
          <w:szCs w:val="21"/>
        </w:rPr>
      </w:pPr>
      <w:r>
        <w:rPr>
          <w:rFonts w:hint="eastAsia" w:ascii="Times New Roman" w:hAnsi="Times New Roman" w:eastAsia="宋体" w:cs="宋体"/>
          <w:kern w:val="0"/>
          <w:sz w:val="24"/>
          <w:szCs w:val="21"/>
        </w:rPr>
        <w:t>系统使用 Python 脚本运行，操作人员可对脚本进行修改；操作人员可创建新的/定制的 Python 脚本来控制系统。</w:t>
      </w:r>
    </w:p>
    <w:p w14:paraId="66D554FD">
      <w:pPr>
        <w:numPr>
          <w:ilvl w:val="2"/>
          <w:numId w:val="21"/>
        </w:numPr>
        <w:spacing w:line="360" w:lineRule="auto"/>
        <w:ind w:left="1418" w:hanging="567"/>
        <w:rPr>
          <w:rFonts w:hint="eastAsia" w:ascii="Times New Roman" w:hAnsi="Times New Roman" w:eastAsia="宋体" w:cs="宋体"/>
          <w:kern w:val="0"/>
          <w:sz w:val="24"/>
          <w:szCs w:val="21"/>
        </w:rPr>
      </w:pPr>
      <w:r>
        <w:rPr>
          <w:rFonts w:hint="eastAsia" w:ascii="Times New Roman" w:hAnsi="Times New Roman" w:eastAsia="宋体" w:cs="宋体"/>
          <w:kern w:val="0"/>
          <w:sz w:val="24"/>
          <w:szCs w:val="21"/>
        </w:rPr>
        <w:t>实验结果可导出为常见的文件格式，如 csv、txt、pdf 等。可使用不同的可视化工具分析实验结果，包括可视化、二维条形图、电子表格格式等。软件可跟踪实验过程，并通过整体实验 ID 进行保存。</w:t>
      </w:r>
    </w:p>
    <w:p w14:paraId="7FDB9713">
      <w:pPr>
        <w:numPr>
          <w:ilvl w:val="2"/>
          <w:numId w:val="21"/>
        </w:numPr>
        <w:spacing w:line="360" w:lineRule="auto"/>
        <w:ind w:left="1418" w:hanging="567"/>
        <w:rPr>
          <w:rFonts w:hint="eastAsia" w:ascii="Times New Roman" w:hAnsi="Times New Roman" w:eastAsia="宋体" w:cs="宋体"/>
          <w:kern w:val="0"/>
          <w:sz w:val="24"/>
          <w:szCs w:val="21"/>
        </w:rPr>
      </w:pPr>
      <w:r>
        <w:rPr>
          <w:rFonts w:hint="eastAsia" w:ascii="Times New Roman" w:hAnsi="Times New Roman" w:eastAsia="宋体" w:cs="宋体"/>
          <w:kern w:val="0"/>
          <w:sz w:val="24"/>
          <w:szCs w:val="21"/>
        </w:rPr>
        <w:t>支持未来通过升级以实现与外部建模、机器学习（ML）和人工智能（AI）工具兼容的能力。也支持未来通过升级以实现与第三方分析表征设备（例如XRD、NMR、TGA等）进行数据整合的能力。</w:t>
      </w:r>
    </w:p>
    <w:p w14:paraId="1946CFF9">
      <w:pPr>
        <w:numPr>
          <w:ilvl w:val="1"/>
          <w:numId w:val="6"/>
        </w:numPr>
        <w:spacing w:line="360" w:lineRule="auto"/>
        <w:ind w:left="992" w:hanging="567"/>
        <w:rPr>
          <w:rFonts w:hint="eastAsia" w:ascii="Times New Roman" w:hAnsi="Times New Roman" w:eastAsia="宋体" w:cs="Times New Roman"/>
          <w:b/>
          <w:sz w:val="24"/>
          <w:szCs w:val="21"/>
        </w:rPr>
      </w:pPr>
      <w:r>
        <w:rPr>
          <w:rFonts w:hint="eastAsia" w:ascii="Times New Roman" w:hAnsi="Times New Roman" w:eastAsia="宋体" w:cs="Times New Roman"/>
          <w:b/>
          <w:sz w:val="24"/>
          <w:szCs w:val="21"/>
        </w:rPr>
        <w:t>可升级性及系统开放性</w:t>
      </w:r>
    </w:p>
    <w:p w14:paraId="6A57771B">
      <w:pPr>
        <w:numPr>
          <w:ilvl w:val="2"/>
          <w:numId w:val="22"/>
        </w:numPr>
        <w:spacing w:line="360" w:lineRule="auto"/>
        <w:ind w:left="1418" w:hanging="567"/>
        <w:rPr>
          <w:rFonts w:hint="eastAsia" w:ascii="Times New Roman" w:hAnsi="Times New Roman" w:eastAsia="宋体" w:cs="宋体"/>
          <w:kern w:val="0"/>
          <w:sz w:val="24"/>
          <w:szCs w:val="21"/>
        </w:rPr>
      </w:pPr>
      <w:r>
        <w:rPr>
          <w:rFonts w:hint="eastAsia" w:ascii="Times New Roman" w:hAnsi="Times New Roman" w:eastAsia="宋体" w:cs="宋体"/>
          <w:kern w:val="0"/>
          <w:sz w:val="24"/>
          <w:szCs w:val="21"/>
        </w:rPr>
        <w:t>系统应是模块化的，需提供可验证的驱动所有模块功能的通讯协议。必要时系统模块将来可以升级。</w:t>
      </w:r>
    </w:p>
    <w:p w14:paraId="1509D325">
      <w:pPr>
        <w:numPr>
          <w:ilvl w:val="2"/>
          <w:numId w:val="22"/>
        </w:numPr>
        <w:spacing w:line="360" w:lineRule="auto"/>
        <w:ind w:left="1418" w:hanging="567"/>
        <w:rPr>
          <w:rFonts w:hint="eastAsia" w:ascii="Times New Roman" w:hAnsi="Times New Roman" w:eastAsia="宋体" w:cs="宋体"/>
          <w:kern w:val="0"/>
          <w:sz w:val="24"/>
          <w:szCs w:val="21"/>
        </w:rPr>
      </w:pPr>
      <w:r>
        <w:rPr>
          <w:rFonts w:hint="eastAsia" w:ascii="Times New Roman" w:hAnsi="Times New Roman" w:eastAsia="宋体" w:cs="宋体"/>
          <w:kern w:val="0"/>
          <w:sz w:val="24"/>
          <w:szCs w:val="21"/>
        </w:rPr>
        <w:t>系统硬件应支持主流的通信协议（例如RS232，CAN总线等），支持用户自主开发软件进行控制。支持未来升级后通过供应商的软件控制平台交付/集成的所有硬件。</w:t>
      </w:r>
    </w:p>
    <w:p w14:paraId="3B7FA4B5">
      <w:pPr>
        <w:numPr>
          <w:ilvl w:val="1"/>
          <w:numId w:val="23"/>
        </w:numPr>
        <w:spacing w:line="360" w:lineRule="auto"/>
        <w:ind w:left="890" w:hanging="465"/>
        <w:rPr>
          <w:rFonts w:hint="eastAsia" w:ascii="Times New Roman" w:hAnsi="Times New Roman" w:eastAsia="宋体" w:cs="Times New Roman"/>
          <w:b/>
          <w:sz w:val="24"/>
          <w:szCs w:val="21"/>
        </w:rPr>
      </w:pPr>
      <w:r>
        <w:rPr>
          <w:rFonts w:hint="eastAsia" w:ascii="Times New Roman" w:hAnsi="Times New Roman" w:eastAsia="宋体" w:cs="Times New Roman"/>
          <w:b/>
          <w:sz w:val="24"/>
          <w:szCs w:val="21"/>
        </w:rPr>
        <w:t>远程诊断服务</w:t>
      </w:r>
    </w:p>
    <w:p w14:paraId="0FDA134F">
      <w:pPr>
        <w:numPr>
          <w:ilvl w:val="2"/>
          <w:numId w:val="23"/>
        </w:numPr>
        <w:spacing w:line="360" w:lineRule="auto"/>
        <w:ind w:left="1570" w:hanging="720"/>
        <w:rPr>
          <w:rFonts w:hint="eastAsia" w:ascii="Times New Roman" w:hAnsi="Times New Roman" w:eastAsia="宋体" w:cs="宋体"/>
          <w:kern w:val="0"/>
          <w:sz w:val="24"/>
          <w:szCs w:val="21"/>
        </w:rPr>
      </w:pPr>
      <w:r>
        <w:rPr>
          <w:rFonts w:hint="eastAsia" w:ascii="Times New Roman" w:hAnsi="Times New Roman" w:eastAsia="宋体" w:cs="宋体"/>
          <w:kern w:val="0"/>
          <w:sz w:val="24"/>
          <w:szCs w:val="21"/>
        </w:rPr>
        <w:t>供应商须具备提供远程诊断服务的能力，能够通过安全、可靠的技术手段，对设备或系统进行远程诊断、故障排查与问题定位。</w:t>
      </w:r>
    </w:p>
    <w:p w14:paraId="03FE7DEB">
      <w:pPr>
        <w:numPr>
          <w:ilvl w:val="0"/>
          <w:numId w:val="1"/>
        </w:numPr>
        <w:spacing w:line="360" w:lineRule="auto"/>
        <w:ind w:left="360" w:hanging="360"/>
        <w:rPr>
          <w:rFonts w:hint="eastAsia" w:ascii="Times New Roman" w:hAnsi="Times New Roman" w:eastAsia="宋体" w:cs="Times New Roman"/>
          <w:b/>
          <w:sz w:val="24"/>
          <w:szCs w:val="21"/>
        </w:rPr>
      </w:pPr>
      <w:r>
        <w:rPr>
          <w:rFonts w:hint="eastAsia" w:ascii="Times New Roman" w:hAnsi="Times New Roman" w:eastAsia="宋体" w:cs="Times New Roman"/>
          <w:b/>
          <w:sz w:val="24"/>
          <w:szCs w:val="21"/>
        </w:rPr>
        <w:t>安全和其他标准：</w:t>
      </w:r>
    </w:p>
    <w:p w14:paraId="6FE228D4">
      <w:pPr>
        <w:tabs>
          <w:tab w:val="left" w:pos="720"/>
          <w:tab w:val="left" w:pos="900"/>
        </w:tabs>
        <w:adjustRightInd w:val="0"/>
        <w:spacing w:line="360" w:lineRule="auto"/>
        <w:rPr>
          <w:rFonts w:hint="eastAsia" w:ascii="Times New Roman" w:hAnsi="Times New Roman" w:eastAsia="宋体" w:cs="Times New Roman"/>
          <w:sz w:val="24"/>
          <w:szCs w:val="21"/>
        </w:rPr>
      </w:pPr>
      <w:r>
        <w:rPr>
          <w:rFonts w:hint="eastAsia" w:ascii="Times New Roman" w:hAnsi="Times New Roman" w:eastAsia="宋体" w:cs="Times New Roman"/>
          <w:sz w:val="24"/>
          <w:szCs w:val="21"/>
        </w:rPr>
        <w:t xml:space="preserve"> </w:t>
      </w:r>
      <w:r>
        <w:rPr>
          <w:rFonts w:ascii="Times New Roman" w:hAnsi="Times New Roman" w:eastAsia="宋体" w:cs="Times New Roman"/>
          <w:sz w:val="24"/>
          <w:szCs w:val="21"/>
        </w:rPr>
        <w:t xml:space="preserve"> </w:t>
      </w:r>
      <w:r>
        <w:rPr>
          <w:rFonts w:hint="eastAsia" w:ascii="Times New Roman" w:hAnsi="Times New Roman" w:eastAsia="宋体" w:cs="Times New Roman"/>
          <w:b/>
          <w:sz w:val="24"/>
          <w:szCs w:val="21"/>
        </w:rPr>
        <w:t>#</w:t>
      </w:r>
      <w:r>
        <w:rPr>
          <w:rFonts w:ascii="Times New Roman" w:hAnsi="Times New Roman" w:eastAsia="宋体" w:cs="Times New Roman"/>
          <w:sz w:val="24"/>
          <w:szCs w:val="21"/>
        </w:rPr>
        <w:t xml:space="preserve"> 5.1  </w:t>
      </w:r>
      <w:r>
        <w:rPr>
          <w:rFonts w:hint="eastAsia" w:ascii="Times New Roman" w:hAnsi="Times New Roman" w:eastAsia="宋体" w:cs="Times New Roman"/>
          <w:sz w:val="24"/>
          <w:szCs w:val="21"/>
        </w:rPr>
        <w:t>厂商需获得ISO9001:2015质量管理体系认证，须提供相关证书文件。</w:t>
      </w:r>
    </w:p>
    <w:p w14:paraId="36A99AF5">
      <w:pPr>
        <w:numPr>
          <w:ilvl w:val="1"/>
          <w:numId w:val="24"/>
        </w:numPr>
        <w:tabs>
          <w:tab w:val="left" w:pos="720"/>
          <w:tab w:val="left" w:pos="900"/>
        </w:tabs>
        <w:adjustRightInd w:val="0"/>
        <w:spacing w:line="360" w:lineRule="auto"/>
        <w:ind w:left="992" w:hanging="567"/>
        <w:rPr>
          <w:rFonts w:hint="eastAsia" w:ascii="Times New Roman" w:hAnsi="Times New Roman" w:eastAsia="宋体" w:cs="Times New Roman"/>
          <w:sz w:val="24"/>
          <w:szCs w:val="21"/>
        </w:rPr>
      </w:pPr>
      <w:r>
        <w:rPr>
          <w:rFonts w:hint="eastAsia" w:ascii="Times New Roman" w:hAnsi="Times New Roman" w:eastAsia="宋体" w:cs="Times New Roman"/>
          <w:sz w:val="24"/>
          <w:szCs w:val="21"/>
        </w:rPr>
        <w:t>环境控制：系统安装在无水无氧和常规实验室环境自由切换的手套箱内，可确保特定类型的化学反应置于恰当的操作氛围之中。</w:t>
      </w:r>
    </w:p>
    <w:p w14:paraId="2356280F">
      <w:pPr>
        <w:numPr>
          <w:ilvl w:val="1"/>
          <w:numId w:val="24"/>
        </w:numPr>
        <w:tabs>
          <w:tab w:val="left" w:pos="720"/>
          <w:tab w:val="left" w:pos="900"/>
        </w:tabs>
        <w:adjustRightInd w:val="0"/>
        <w:spacing w:line="360" w:lineRule="auto"/>
        <w:ind w:left="992" w:hanging="567"/>
        <w:rPr>
          <w:rFonts w:hint="eastAsia" w:ascii="Times New Roman" w:hAnsi="Times New Roman" w:eastAsia="宋体" w:cs="Times New Roman"/>
          <w:sz w:val="24"/>
          <w:szCs w:val="21"/>
        </w:rPr>
      </w:pPr>
      <w:r>
        <w:rPr>
          <w:rFonts w:hint="eastAsia" w:ascii="Times New Roman" w:hAnsi="Times New Roman" w:eastAsia="宋体" w:cs="Times New Roman"/>
          <w:sz w:val="24"/>
          <w:szCs w:val="21"/>
        </w:rPr>
        <w:t>机械安全：有足够空间以允许机械臂在工作操作期间自由移动。系统必须包括停止机械臂运动的联锁装置，在机械臂运动时，操作人员或异物进入工作区域，须立即停止运动或降速运行并作出软件提醒，以确保操作员的安全，只有在工作人员确认安全后，方可在软件中确认以恢复正常运行。</w:t>
      </w:r>
    </w:p>
    <w:p w14:paraId="4DBF7F15">
      <w:pPr>
        <w:numPr>
          <w:ilvl w:val="1"/>
          <w:numId w:val="24"/>
        </w:numPr>
        <w:tabs>
          <w:tab w:val="left" w:pos="720"/>
          <w:tab w:val="left" w:pos="900"/>
        </w:tabs>
        <w:adjustRightInd w:val="0"/>
        <w:spacing w:line="360" w:lineRule="auto"/>
        <w:ind w:left="992" w:hanging="567"/>
        <w:rPr>
          <w:rFonts w:hint="eastAsia" w:ascii="Times New Roman" w:hAnsi="Times New Roman" w:eastAsia="宋体" w:cs="Times New Roman"/>
          <w:sz w:val="24"/>
          <w:szCs w:val="21"/>
        </w:rPr>
      </w:pPr>
      <w:r>
        <w:rPr>
          <w:rFonts w:hint="eastAsia" w:ascii="Times New Roman" w:hAnsi="Times New Roman" w:eastAsia="宋体" w:cs="Times New Roman"/>
          <w:sz w:val="24"/>
          <w:szCs w:val="21"/>
        </w:rPr>
        <w:t>电气安全：系统须具有接地和内置断路器、熔断器等安全措施以保证电气安全。</w:t>
      </w:r>
    </w:p>
    <w:p w14:paraId="10F4A84F">
      <w:pPr>
        <w:numPr>
          <w:ilvl w:val="1"/>
          <w:numId w:val="24"/>
        </w:numPr>
        <w:tabs>
          <w:tab w:val="left" w:pos="720"/>
          <w:tab w:val="left" w:pos="900"/>
        </w:tabs>
        <w:adjustRightInd w:val="0"/>
        <w:spacing w:line="360" w:lineRule="auto"/>
        <w:ind w:left="992" w:hanging="567"/>
        <w:rPr>
          <w:rFonts w:hint="eastAsia" w:ascii="Times New Roman" w:hAnsi="Times New Roman" w:eastAsia="宋体" w:cs="Times New Roman"/>
          <w:sz w:val="24"/>
          <w:szCs w:val="21"/>
        </w:rPr>
      </w:pPr>
      <w:r>
        <w:rPr>
          <w:rFonts w:hint="eastAsia" w:ascii="Times New Roman" w:hAnsi="Times New Roman" w:eastAsia="宋体" w:cs="Times New Roman"/>
          <w:sz w:val="24"/>
          <w:szCs w:val="21"/>
        </w:rPr>
        <w:t>有害气体排放：系统须具有将有害气体直接排入实验室排风系统或指定的气体管道的能力。</w:t>
      </w:r>
    </w:p>
    <w:p w14:paraId="29F731B1">
      <w:pPr>
        <w:numPr>
          <w:ilvl w:val="1"/>
          <w:numId w:val="24"/>
        </w:numPr>
        <w:tabs>
          <w:tab w:val="left" w:pos="720"/>
          <w:tab w:val="left" w:pos="900"/>
        </w:tabs>
        <w:adjustRightInd w:val="0"/>
        <w:spacing w:line="360" w:lineRule="auto"/>
        <w:ind w:left="992" w:hanging="567"/>
        <w:rPr>
          <w:rFonts w:hint="eastAsia" w:ascii="Times New Roman" w:hAnsi="Times New Roman" w:eastAsia="宋体" w:cs="Times New Roman"/>
          <w:sz w:val="24"/>
          <w:szCs w:val="21"/>
        </w:rPr>
      </w:pPr>
      <w:r>
        <w:rPr>
          <w:rFonts w:hint="eastAsia" w:ascii="Times New Roman" w:hAnsi="Times New Roman" w:eastAsia="宋体" w:cs="Times New Roman"/>
          <w:sz w:val="24"/>
          <w:szCs w:val="21"/>
        </w:rPr>
        <w:t>高温防护：温控模块除系统控制软件可查看实时温度外，须在模块上集成高温状态指示（例如指示灯），以提醒操作人员注意高温危险。</w:t>
      </w:r>
    </w:p>
    <w:p w14:paraId="5121B587">
      <w:pPr>
        <w:numPr>
          <w:ilvl w:val="1"/>
          <w:numId w:val="24"/>
        </w:numPr>
        <w:tabs>
          <w:tab w:val="left" w:pos="720"/>
          <w:tab w:val="left" w:pos="900"/>
        </w:tabs>
        <w:adjustRightInd w:val="0"/>
        <w:spacing w:line="360" w:lineRule="auto"/>
        <w:ind w:left="992" w:hanging="567"/>
        <w:rPr>
          <w:rFonts w:hint="eastAsia" w:ascii="Times New Roman" w:hAnsi="Times New Roman" w:eastAsia="宋体" w:cs="Times New Roman"/>
          <w:sz w:val="24"/>
          <w:szCs w:val="21"/>
        </w:rPr>
      </w:pPr>
      <w:r>
        <w:rPr>
          <w:rFonts w:hint="eastAsia" w:ascii="Times New Roman" w:hAnsi="Times New Roman" w:eastAsia="宋体" w:cs="Times New Roman"/>
          <w:sz w:val="24"/>
          <w:szCs w:val="21"/>
        </w:rPr>
        <w:t>废液排放：系统须包含将废液经由手套箱进行收集的废液装置，该装置须具有与手套箱功能相同的气体置换系统，以保证在废液收集及废液罐移除前后，手套箱气氛不被破坏。</w:t>
      </w:r>
    </w:p>
    <w:p w14:paraId="3A3AA580">
      <w:pPr>
        <w:numPr>
          <w:ilvl w:val="0"/>
          <w:numId w:val="1"/>
        </w:numPr>
        <w:spacing w:line="360" w:lineRule="auto"/>
        <w:ind w:left="360" w:hanging="360"/>
        <w:rPr>
          <w:rFonts w:hint="eastAsia" w:ascii="Times New Roman" w:hAnsi="Times New Roman" w:eastAsia="宋体" w:cs="Times New Roman"/>
          <w:b/>
          <w:sz w:val="24"/>
          <w:szCs w:val="21"/>
        </w:rPr>
      </w:pPr>
      <w:r>
        <w:rPr>
          <w:rFonts w:hint="eastAsia" w:ascii="Times New Roman" w:hAnsi="Times New Roman" w:eastAsia="宋体" w:cs="Times New Roman"/>
          <w:b/>
          <w:sz w:val="24"/>
          <w:szCs w:val="21"/>
        </w:rPr>
        <w:t>配套辅助设备</w:t>
      </w:r>
    </w:p>
    <w:p w14:paraId="5E3881E9">
      <w:pPr>
        <w:numPr>
          <w:ilvl w:val="1"/>
          <w:numId w:val="25"/>
        </w:numPr>
        <w:spacing w:line="360" w:lineRule="auto"/>
        <w:ind w:left="992" w:hanging="567"/>
        <w:rPr>
          <w:rFonts w:hint="eastAsia" w:ascii="Times New Roman" w:hAnsi="Times New Roman" w:eastAsia="宋体" w:cs="Times New Roman"/>
          <w:sz w:val="24"/>
          <w:szCs w:val="21"/>
        </w:rPr>
      </w:pPr>
      <w:r>
        <w:rPr>
          <w:rFonts w:hint="eastAsia" w:ascii="Times New Roman" w:hAnsi="Times New Roman" w:eastAsia="宋体" w:cs="Times New Roman"/>
          <w:sz w:val="24"/>
          <w:szCs w:val="21"/>
        </w:rPr>
        <w:t>控制工作站：Intel</w:t>
      </w:r>
      <w:r>
        <w:rPr>
          <w:rFonts w:ascii="Times New Roman" w:hAnsi="Times New Roman" w:eastAsia="宋体" w:cs="Times New Roman"/>
          <w:sz w:val="24"/>
          <w:szCs w:val="21"/>
        </w:rPr>
        <w:t xml:space="preserve"> Xe</w:t>
      </w:r>
      <w:r>
        <w:rPr>
          <w:rFonts w:hint="eastAsia" w:ascii="Times New Roman" w:hAnsi="Times New Roman" w:eastAsia="宋体" w:cs="Times New Roman"/>
          <w:sz w:val="24"/>
          <w:szCs w:val="21"/>
        </w:rPr>
        <w:t>on（至强）CPU处理器或等效CPU，不低于32G内存，配置不低于1TB容量硬盘；Windows（英文版</w:t>
      </w:r>
      <w:r>
        <w:rPr>
          <w:rFonts w:ascii="Times New Roman" w:hAnsi="Times New Roman" w:eastAsia="宋体" w:cs="Times New Roman"/>
          <w:sz w:val="24"/>
          <w:szCs w:val="21"/>
        </w:rPr>
        <w:t xml:space="preserve"> </w:t>
      </w:r>
      <w:r>
        <w:rPr>
          <w:rFonts w:hint="eastAsia" w:ascii="Times New Roman" w:hAnsi="Times New Roman" w:eastAsia="宋体" w:cs="Times New Roman"/>
          <w:sz w:val="24"/>
          <w:szCs w:val="21"/>
        </w:rPr>
        <w:t>或 中文版）操作系统；23英寸（或以上）显示器。能够流畅的支撑仪器的正常运转。</w:t>
      </w:r>
    </w:p>
    <w:p w14:paraId="7D214192">
      <w:pPr>
        <w:numPr>
          <w:ilvl w:val="1"/>
          <w:numId w:val="25"/>
        </w:numPr>
        <w:spacing w:line="360" w:lineRule="auto"/>
        <w:ind w:left="992" w:hanging="567"/>
        <w:rPr>
          <w:rFonts w:hint="eastAsia" w:ascii="Times New Roman" w:hAnsi="Times New Roman" w:eastAsia="宋体" w:cs="Times New Roman"/>
          <w:sz w:val="24"/>
          <w:szCs w:val="21"/>
        </w:rPr>
      </w:pPr>
      <w:r>
        <w:rPr>
          <w:rFonts w:hint="eastAsia" w:ascii="Times New Roman" w:hAnsi="Times New Roman" w:eastAsia="宋体" w:cs="Times New Roman"/>
          <w:sz w:val="24"/>
          <w:szCs w:val="21"/>
        </w:rPr>
        <w:t>制冷机：制冷机温度范围：-20℃至180℃；温度稳定性（在-10℃时）：0.01K，制冷机类型：风冷型。最大输送压力：0.9 Bar。适用环境温度范围：5℃至40℃，程序温控（单独使用时）：10个独立控温程序（最多100个程序段）。控制方式：触摸屏控制＋计算机控制，循环液液位指示：透明液位计。</w:t>
      </w:r>
    </w:p>
    <w:p w14:paraId="1A7F8B68">
      <w:pPr>
        <w:numPr>
          <w:ilvl w:val="0"/>
          <w:numId w:val="1"/>
        </w:numPr>
        <w:spacing w:line="360" w:lineRule="auto"/>
        <w:ind w:left="360" w:hanging="360"/>
        <w:rPr>
          <w:rFonts w:hint="eastAsia" w:ascii="Times New Roman" w:hAnsi="Times New Roman" w:eastAsia="宋体" w:cs="Times New Roman"/>
          <w:b/>
          <w:sz w:val="24"/>
          <w:szCs w:val="21"/>
        </w:rPr>
      </w:pPr>
      <w:r>
        <w:rPr>
          <w:rFonts w:hint="eastAsia" w:ascii="Times New Roman" w:hAnsi="Times New Roman" w:eastAsia="宋体" w:cs="Times New Roman"/>
          <w:b/>
          <w:sz w:val="24"/>
          <w:szCs w:val="21"/>
        </w:rPr>
        <w:t>技术服务</w:t>
      </w:r>
    </w:p>
    <w:p w14:paraId="59E4DFC1">
      <w:pPr>
        <w:numPr>
          <w:ilvl w:val="1"/>
          <w:numId w:val="26"/>
        </w:numPr>
        <w:spacing w:line="360" w:lineRule="auto"/>
        <w:ind w:left="992" w:hanging="567"/>
        <w:rPr>
          <w:rFonts w:hint="eastAsia" w:ascii="Times New Roman" w:hAnsi="Times New Roman" w:eastAsia="宋体" w:cs="宋体"/>
          <w:kern w:val="0"/>
          <w:sz w:val="24"/>
          <w:szCs w:val="21"/>
        </w:rPr>
      </w:pPr>
      <w:r>
        <w:rPr>
          <w:rFonts w:hint="eastAsia" w:ascii="Times New Roman" w:hAnsi="Times New Roman" w:eastAsia="宋体" w:cs="宋体"/>
          <w:kern w:val="0"/>
          <w:sz w:val="24"/>
          <w:szCs w:val="21"/>
        </w:rPr>
        <w:t>出厂标准：设备装运前必须完成标准工厂测试，方可发货，以确保所有组件都能在系统规格范围内运行。须附带由生产厂商签发的合格证或准予出厂证明。</w:t>
      </w:r>
    </w:p>
    <w:p w14:paraId="14EF1189">
      <w:pPr>
        <w:numPr>
          <w:ilvl w:val="1"/>
          <w:numId w:val="26"/>
        </w:numPr>
        <w:spacing w:line="360" w:lineRule="auto"/>
        <w:ind w:left="992" w:hanging="567"/>
        <w:rPr>
          <w:rFonts w:hint="eastAsia" w:ascii="Times New Roman" w:hAnsi="Times New Roman" w:eastAsia="宋体" w:cs="宋体"/>
          <w:kern w:val="0"/>
          <w:sz w:val="24"/>
          <w:szCs w:val="21"/>
        </w:rPr>
      </w:pPr>
      <w:r>
        <w:rPr>
          <w:rFonts w:hint="eastAsia" w:ascii="Times New Roman" w:hAnsi="Times New Roman" w:eastAsia="宋体" w:cs="宋体"/>
          <w:kern w:val="0"/>
          <w:sz w:val="24"/>
          <w:szCs w:val="21"/>
        </w:rPr>
        <w:t>保修期：保修期为验收通过之日起12个月，包括原装硬件的更换、维修和软件支持服务、人工、差旅费用。不包括实验所需要的耗材、试剂等消耗品。</w:t>
      </w:r>
    </w:p>
    <w:p w14:paraId="33DB7CE8">
      <w:pPr>
        <w:numPr>
          <w:ilvl w:val="1"/>
          <w:numId w:val="26"/>
        </w:numPr>
        <w:spacing w:line="360" w:lineRule="auto"/>
        <w:ind w:left="992" w:hanging="567"/>
        <w:rPr>
          <w:rFonts w:hint="eastAsia" w:ascii="Times New Roman" w:hAnsi="Times New Roman" w:eastAsia="宋体" w:cs="宋体"/>
          <w:kern w:val="0"/>
          <w:sz w:val="24"/>
          <w:szCs w:val="21"/>
        </w:rPr>
      </w:pPr>
      <w:r>
        <w:rPr>
          <w:rFonts w:hint="eastAsia" w:ascii="Times New Roman" w:hAnsi="Times New Roman" w:eastAsia="宋体" w:cs="宋体"/>
          <w:kern w:val="0"/>
          <w:sz w:val="24"/>
          <w:szCs w:val="21"/>
        </w:rPr>
        <w:t>货物清点：仪器到达需方后，需方通知供方到需方现场共同开箱检查；若有缺项，供方应立即补齐；而且，当所有应提供的物品齐全后，方才继续进行安装、调试。供方承担由于包装不妥、运输而引起的货物锈蚀、损伤和丢失的责任。</w:t>
      </w:r>
    </w:p>
    <w:p w14:paraId="4FF7A392">
      <w:pPr>
        <w:numPr>
          <w:ilvl w:val="1"/>
          <w:numId w:val="26"/>
        </w:numPr>
        <w:spacing w:line="360" w:lineRule="auto"/>
        <w:ind w:left="992" w:hanging="567"/>
        <w:rPr>
          <w:rFonts w:hint="eastAsia" w:ascii="Times New Roman" w:hAnsi="Times New Roman" w:eastAsia="宋体" w:cs="宋体"/>
          <w:kern w:val="0"/>
          <w:sz w:val="24"/>
          <w:szCs w:val="21"/>
        </w:rPr>
      </w:pPr>
      <w:r>
        <w:rPr>
          <w:rFonts w:hint="eastAsia" w:ascii="Times New Roman" w:hAnsi="Times New Roman" w:eastAsia="宋体" w:cs="宋体"/>
          <w:kern w:val="0"/>
          <w:sz w:val="24"/>
          <w:szCs w:val="21"/>
        </w:rPr>
        <w:t>安装调试：设备到达客户指定地点后，须由生产厂家工程师提供标准安装调试服务，包括设备硬件、软件的安装，设备定位、基本功能测试，及等同于标准工厂测试的现场测试，测试完成后须提供现场测试报告及附件（测试项目、测试方法、测试数据、测试报告）</w:t>
      </w:r>
    </w:p>
    <w:p w14:paraId="68F9CF4F">
      <w:pPr>
        <w:numPr>
          <w:ilvl w:val="1"/>
          <w:numId w:val="26"/>
        </w:numPr>
        <w:spacing w:line="360" w:lineRule="auto"/>
        <w:ind w:left="992" w:hanging="567"/>
        <w:rPr>
          <w:rFonts w:hint="eastAsia" w:ascii="Times New Roman" w:hAnsi="Times New Roman" w:eastAsia="宋体" w:cs="宋体"/>
          <w:kern w:val="0"/>
          <w:sz w:val="24"/>
          <w:szCs w:val="21"/>
        </w:rPr>
      </w:pPr>
      <w:r>
        <w:rPr>
          <w:rFonts w:hint="eastAsia" w:ascii="Times New Roman" w:hAnsi="Times New Roman" w:eastAsia="宋体" w:cs="宋体"/>
          <w:kern w:val="0"/>
          <w:sz w:val="24"/>
          <w:szCs w:val="21"/>
        </w:rPr>
        <w:t>维修响应时间：8小时内响应，48小时内到现场。</w:t>
      </w:r>
    </w:p>
    <w:p w14:paraId="66557192">
      <w:pPr>
        <w:numPr>
          <w:ilvl w:val="1"/>
          <w:numId w:val="26"/>
        </w:numPr>
        <w:spacing w:line="360" w:lineRule="auto"/>
        <w:ind w:left="992" w:hanging="567"/>
        <w:rPr>
          <w:rFonts w:hint="eastAsia" w:ascii="Times New Roman" w:hAnsi="Times New Roman" w:eastAsia="宋体" w:cs="宋体"/>
          <w:kern w:val="0"/>
          <w:sz w:val="24"/>
          <w:szCs w:val="21"/>
        </w:rPr>
      </w:pPr>
      <w:r>
        <w:rPr>
          <w:rFonts w:hint="eastAsia" w:ascii="Times New Roman" w:hAnsi="Times New Roman" w:eastAsia="宋体" w:cs="宋体"/>
          <w:kern w:val="0"/>
          <w:sz w:val="24"/>
          <w:szCs w:val="21"/>
        </w:rPr>
        <w:t>人员培训：必须提供完善的培训，包括不少于3天的现场使用培训，和不少于2天的设备管理人员培训。</w:t>
      </w:r>
    </w:p>
    <w:p w14:paraId="411AED40">
      <w:pPr>
        <w:numPr>
          <w:ilvl w:val="1"/>
          <w:numId w:val="26"/>
        </w:numPr>
        <w:spacing w:line="360" w:lineRule="auto"/>
        <w:ind w:left="992" w:hanging="567"/>
        <w:rPr>
          <w:rFonts w:hint="eastAsia" w:ascii="Times New Roman" w:hAnsi="Times New Roman" w:eastAsia="宋体" w:cs="宋体"/>
          <w:kern w:val="0"/>
          <w:sz w:val="24"/>
          <w:szCs w:val="21"/>
        </w:rPr>
      </w:pPr>
      <w:r>
        <w:rPr>
          <w:rFonts w:hint="eastAsia" w:ascii="Times New Roman" w:hAnsi="Times New Roman" w:eastAsia="宋体" w:cs="宋体"/>
          <w:kern w:val="0"/>
          <w:sz w:val="24"/>
          <w:szCs w:val="21"/>
        </w:rPr>
        <w:t>交货地点：中国科学院兰州化学物理研究所</w:t>
      </w:r>
    </w:p>
    <w:p w14:paraId="683999B4">
      <w:pPr>
        <w:numPr>
          <w:ilvl w:val="1"/>
          <w:numId w:val="26"/>
        </w:numPr>
        <w:spacing w:line="360" w:lineRule="auto"/>
        <w:ind w:left="992" w:hanging="567"/>
        <w:rPr>
          <w:rFonts w:hint="eastAsia" w:ascii="Times New Roman" w:hAnsi="Times New Roman" w:eastAsia="宋体" w:cs="宋体"/>
          <w:kern w:val="0"/>
          <w:sz w:val="24"/>
          <w:szCs w:val="21"/>
        </w:rPr>
      </w:pPr>
      <w:r>
        <w:rPr>
          <w:rFonts w:hint="eastAsia" w:ascii="Times New Roman" w:hAnsi="Times New Roman" w:eastAsia="宋体" w:cs="宋体"/>
          <w:kern w:val="0"/>
          <w:sz w:val="24"/>
          <w:szCs w:val="21"/>
        </w:rPr>
        <w:t>交货时间：合同签订后8个月内。</w:t>
      </w:r>
    </w:p>
    <w:p w14:paraId="5ECF98D3">
      <w:pPr>
        <w:tabs>
          <w:tab w:val="left" w:pos="420"/>
        </w:tabs>
        <w:spacing w:line="360" w:lineRule="auto"/>
        <w:rPr>
          <w:rFonts w:hint="eastAsia" w:ascii="Times New Roman" w:hAnsi="Times New Roman" w:eastAsia="宋体" w:cs="Times New Roman"/>
          <w:b/>
          <w:sz w:val="24"/>
          <w:szCs w:val="21"/>
        </w:rPr>
      </w:pPr>
      <w:r>
        <w:rPr>
          <w:rFonts w:hint="eastAsia" w:ascii="Times New Roman" w:hAnsi="Times New Roman" w:eastAsia="宋体" w:cs="Times New Roman"/>
          <w:b/>
          <w:sz w:val="24"/>
          <w:szCs w:val="21"/>
        </w:rPr>
        <w:t>8</w:t>
      </w:r>
      <w:r>
        <w:rPr>
          <w:rFonts w:ascii="Times New Roman" w:hAnsi="Times New Roman" w:eastAsia="宋体" w:cs="Times New Roman"/>
          <w:b/>
          <w:sz w:val="24"/>
          <w:szCs w:val="21"/>
        </w:rPr>
        <w:t xml:space="preserve">.  </w:t>
      </w:r>
      <w:r>
        <w:rPr>
          <w:rFonts w:hint="eastAsia" w:ascii="Times New Roman" w:hAnsi="Times New Roman" w:eastAsia="宋体" w:cs="Times New Roman"/>
          <w:b/>
          <w:sz w:val="24"/>
          <w:szCs w:val="21"/>
        </w:rPr>
        <w:t>付款方式</w:t>
      </w:r>
    </w:p>
    <w:p w14:paraId="20E75FCA">
      <w:pPr>
        <w:spacing w:line="360" w:lineRule="auto"/>
        <w:ind w:firstLine="424" w:firstLineChars="177"/>
        <w:rPr>
          <w:rFonts w:hint="eastAsia" w:ascii="宋体" w:hAnsi="宋体" w:eastAsia="宋体" w:cs="Times New Roman"/>
          <w:b/>
          <w:sz w:val="28"/>
          <w:szCs w:val="28"/>
        </w:rPr>
      </w:pPr>
      <w:r>
        <w:rPr>
          <w:rFonts w:hint="eastAsia" w:ascii="Times New Roman" w:hAnsi="Times New Roman" w:eastAsia="宋体" w:cs="Times New Roman"/>
          <w:bCs/>
          <w:sz w:val="24"/>
          <w:szCs w:val="21"/>
        </w:rPr>
        <w:t>合同签订后，采购人向中标人支付合同总价款的50%作为预付款，货物到达交货地点，经中标人安装、调试、试运行、培训，采购人验收合格后，由采购人向中标人支付合同总价款的45％，剩余的5%作为质保金。待设备质保期满，且无任何质量问题后，买方无息支付剩余的合同货款。</w:t>
      </w:r>
    </w:p>
    <w:p w14:paraId="28E4262E">
      <w:bookmarkStart w:id="1" w:name="_GoBack"/>
      <w:bookmarkEnd w:id="1"/>
    </w:p>
    <w:sectPr>
      <w:pgSz w:w="11906" w:h="16838"/>
      <w:pgMar w:top="1418" w:right="1418" w:bottom="1418" w:left="1418" w:header="851" w:footer="992" w:gutter="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Bookman Old Style">
    <w:altName w:val="Segoe Print"/>
    <w:panose1 w:val="02050604050505020204"/>
    <w:charset w:val="00"/>
    <w:family w:val="roman"/>
    <w:pitch w:val="default"/>
    <w:sig w:usb0="00000000" w:usb1="00000000" w:usb2="00000000" w:usb3="00000000" w:csb0="0000009F" w:csb1="00000000"/>
  </w:font>
  <w:font w:name="Segoe UI Symbol">
    <w:panose1 w:val="020B0502040204020203"/>
    <w:charset w:val="00"/>
    <w:family w:val="swiss"/>
    <w:pitch w:val="default"/>
    <w:sig w:usb0="800001E3" w:usb1="1200FFEF" w:usb2="00040000" w:usb3="04000000" w:csb0="00000001" w:csb1="40000000"/>
  </w:font>
  <w:font w:name="Segoe Print">
    <w:panose1 w:val="02000600000000000000"/>
    <w:charset w:val="00"/>
    <w:family w:val="auto"/>
    <w:pitch w:val="default"/>
    <w:sig w:usb0="0000028F" w:usb1="00000000" w:usb2="00000000" w:usb3="00000000" w:csb0="2000009F" w:csb1="4701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5D2089F"/>
    <w:multiLevelType w:val="multilevel"/>
    <w:tmpl w:val="05D2089F"/>
    <w:lvl w:ilvl="0" w:tentative="0">
      <w:start w:val="5"/>
      <w:numFmt w:val="decimal"/>
      <w:lvlText w:val="%1"/>
      <w:lvlJc w:val="left"/>
      <w:pPr>
        <w:ind w:left="425" w:hanging="425"/>
      </w:pPr>
      <w:rPr>
        <w:rFonts w:hint="eastAsia"/>
      </w:rPr>
    </w:lvl>
    <w:lvl w:ilvl="1" w:tentative="0">
      <w:start w:val="1"/>
      <w:numFmt w:val="decimal"/>
      <w:lvlText w:val="%1.%2"/>
      <w:lvlJc w:val="left"/>
      <w:pPr>
        <w:ind w:left="992" w:hanging="567"/>
      </w:pPr>
      <w:rPr>
        <w:rFonts w:hint="eastAsia"/>
      </w:rPr>
    </w:lvl>
    <w:lvl w:ilvl="2" w:tentative="0">
      <w:start w:val="1"/>
      <w:numFmt w:val="decimal"/>
      <w:lvlText w:val="4.3.%3"/>
      <w:lvlJc w:val="left"/>
      <w:pPr>
        <w:ind w:left="1418" w:hanging="567"/>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1">
    <w:nsid w:val="08D20FA5"/>
    <w:multiLevelType w:val="multilevel"/>
    <w:tmpl w:val="08D20FA5"/>
    <w:lvl w:ilvl="0" w:tentative="0">
      <w:start w:val="5"/>
      <w:numFmt w:val="decimal"/>
      <w:lvlText w:val="%1"/>
      <w:lvlJc w:val="left"/>
      <w:pPr>
        <w:ind w:left="425" w:hanging="425"/>
      </w:pPr>
      <w:rPr>
        <w:rFonts w:hint="eastAsia"/>
      </w:rPr>
    </w:lvl>
    <w:lvl w:ilvl="1" w:tentative="0">
      <w:start w:val="1"/>
      <w:numFmt w:val="decimal"/>
      <w:lvlText w:val="%1.%2"/>
      <w:lvlJc w:val="left"/>
      <w:pPr>
        <w:ind w:left="992" w:hanging="567"/>
      </w:pPr>
      <w:rPr>
        <w:rFonts w:hint="eastAsia"/>
      </w:rPr>
    </w:lvl>
    <w:lvl w:ilvl="2" w:tentative="0">
      <w:start w:val="1"/>
      <w:numFmt w:val="decimal"/>
      <w:lvlText w:val="4.2.%3"/>
      <w:lvlJc w:val="left"/>
      <w:pPr>
        <w:ind w:left="1418" w:hanging="567"/>
      </w:pPr>
      <w:rPr>
        <w:rFonts w:hint="eastAsia"/>
        <w:color w:val="000000"/>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2">
    <w:nsid w:val="098B4143"/>
    <w:multiLevelType w:val="multilevel"/>
    <w:tmpl w:val="098B4143"/>
    <w:lvl w:ilvl="0" w:tentative="0">
      <w:start w:val="5"/>
      <w:numFmt w:val="decimal"/>
      <w:lvlText w:val="%1"/>
      <w:lvlJc w:val="left"/>
      <w:pPr>
        <w:ind w:left="425" w:hanging="425"/>
      </w:pPr>
      <w:rPr>
        <w:rFonts w:hint="eastAsia"/>
      </w:rPr>
    </w:lvl>
    <w:lvl w:ilvl="1" w:tentative="0">
      <w:start w:val="1"/>
      <w:numFmt w:val="decimal"/>
      <w:lvlText w:val="%1.%2"/>
      <w:lvlJc w:val="left"/>
      <w:pPr>
        <w:ind w:left="992" w:hanging="567"/>
      </w:pPr>
      <w:rPr>
        <w:rFonts w:hint="eastAsia"/>
      </w:rPr>
    </w:lvl>
    <w:lvl w:ilvl="2" w:tentative="0">
      <w:start w:val="2"/>
      <w:numFmt w:val="decimal"/>
      <w:lvlText w:val="4.8.%3"/>
      <w:lvlJc w:val="left"/>
      <w:pPr>
        <w:ind w:left="1418" w:hanging="567"/>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3">
    <w:nsid w:val="105839C3"/>
    <w:multiLevelType w:val="multilevel"/>
    <w:tmpl w:val="105839C3"/>
    <w:lvl w:ilvl="0" w:tentative="0">
      <w:start w:val="1"/>
      <w:numFmt w:val="decimal"/>
      <w:lvlText w:val="%1"/>
      <w:lvlJc w:val="left"/>
      <w:pPr>
        <w:ind w:left="425" w:hanging="425"/>
      </w:pPr>
    </w:lvl>
    <w:lvl w:ilvl="1" w:tentative="0">
      <w:start w:val="1"/>
      <w:numFmt w:val="decimal"/>
      <w:lvlText w:val="%1.%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abstractNum w:abstractNumId="4">
    <w:nsid w:val="10647636"/>
    <w:multiLevelType w:val="multilevel"/>
    <w:tmpl w:val="10647636"/>
    <w:lvl w:ilvl="0" w:tentative="0">
      <w:start w:val="5"/>
      <w:numFmt w:val="decimal"/>
      <w:lvlText w:val="%1"/>
      <w:lvlJc w:val="left"/>
      <w:pPr>
        <w:ind w:left="425" w:hanging="425"/>
      </w:pPr>
      <w:rPr>
        <w:rFonts w:hint="eastAsia"/>
      </w:rPr>
    </w:lvl>
    <w:lvl w:ilvl="1" w:tentative="0">
      <w:start w:val="1"/>
      <w:numFmt w:val="decimal"/>
      <w:lvlText w:val="%1.%2"/>
      <w:lvlJc w:val="left"/>
      <w:pPr>
        <w:ind w:left="992" w:hanging="567"/>
      </w:pPr>
      <w:rPr>
        <w:rFonts w:hint="eastAsia"/>
      </w:rPr>
    </w:lvl>
    <w:lvl w:ilvl="2" w:tentative="0">
      <w:start w:val="4"/>
      <w:numFmt w:val="decimal"/>
      <w:lvlText w:val="4.3.%3"/>
      <w:lvlJc w:val="left"/>
      <w:pPr>
        <w:ind w:left="1418" w:hanging="567"/>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5">
    <w:nsid w:val="148B4BB2"/>
    <w:multiLevelType w:val="multilevel"/>
    <w:tmpl w:val="148B4BB2"/>
    <w:lvl w:ilvl="0" w:tentative="0">
      <w:start w:val="5"/>
      <w:numFmt w:val="decimal"/>
      <w:lvlText w:val="%1"/>
      <w:lvlJc w:val="left"/>
      <w:pPr>
        <w:ind w:left="425" w:hanging="425"/>
      </w:pPr>
      <w:rPr>
        <w:rFonts w:hint="eastAsia"/>
      </w:rPr>
    </w:lvl>
    <w:lvl w:ilvl="1" w:tentative="0">
      <w:start w:val="1"/>
      <w:numFmt w:val="decimal"/>
      <w:lvlText w:val="%1.%2"/>
      <w:lvlJc w:val="left"/>
      <w:pPr>
        <w:ind w:left="992" w:hanging="567"/>
      </w:pPr>
      <w:rPr>
        <w:rFonts w:hint="eastAsia"/>
      </w:rPr>
    </w:lvl>
    <w:lvl w:ilvl="2" w:tentative="0">
      <w:start w:val="1"/>
      <w:numFmt w:val="decimal"/>
      <w:lvlText w:val="4.6.%3"/>
      <w:lvlJc w:val="left"/>
      <w:pPr>
        <w:ind w:left="1418" w:hanging="567"/>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6">
    <w:nsid w:val="2B726965"/>
    <w:multiLevelType w:val="multilevel"/>
    <w:tmpl w:val="2B726965"/>
    <w:lvl w:ilvl="0" w:tentative="0">
      <w:start w:val="5"/>
      <w:numFmt w:val="decimal"/>
      <w:lvlText w:val="%1"/>
      <w:lvlJc w:val="left"/>
      <w:pPr>
        <w:ind w:left="425" w:hanging="425"/>
      </w:pPr>
      <w:rPr>
        <w:rFonts w:hint="eastAsia"/>
      </w:rPr>
    </w:lvl>
    <w:lvl w:ilvl="1" w:tentative="0">
      <w:start w:val="2"/>
      <w:numFmt w:val="decimal"/>
      <w:lvlText w:val="5.%2"/>
      <w:lvlJc w:val="left"/>
      <w:pPr>
        <w:ind w:left="992" w:hanging="567"/>
      </w:pPr>
      <w:rPr>
        <w:rFonts w:hint="eastAsia"/>
      </w:rPr>
    </w:lvl>
    <w:lvl w:ilvl="2" w:tentative="0">
      <w:start w:val="1"/>
      <w:numFmt w:val="decimal"/>
      <w:lvlText w:val="5.12.%3"/>
      <w:lvlJc w:val="left"/>
      <w:pPr>
        <w:ind w:left="1418" w:hanging="567"/>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7">
    <w:nsid w:val="2DD755A9"/>
    <w:multiLevelType w:val="multilevel"/>
    <w:tmpl w:val="2DD755A9"/>
    <w:lvl w:ilvl="0" w:tentative="0">
      <w:start w:val="5"/>
      <w:numFmt w:val="decimal"/>
      <w:lvlText w:val="%1"/>
      <w:lvlJc w:val="left"/>
      <w:pPr>
        <w:ind w:left="425" w:hanging="425"/>
      </w:pPr>
      <w:rPr>
        <w:rFonts w:hint="eastAsia"/>
      </w:rPr>
    </w:lvl>
    <w:lvl w:ilvl="1" w:tentative="0">
      <w:start w:val="1"/>
      <w:numFmt w:val="decimal"/>
      <w:lvlText w:val="%1.%2"/>
      <w:lvlJc w:val="left"/>
      <w:pPr>
        <w:ind w:left="992" w:hanging="567"/>
      </w:pPr>
      <w:rPr>
        <w:rFonts w:hint="eastAsia"/>
      </w:rPr>
    </w:lvl>
    <w:lvl w:ilvl="2" w:tentative="0">
      <w:start w:val="1"/>
      <w:numFmt w:val="decimal"/>
      <w:lvlText w:val="4.11.%3"/>
      <w:lvlJc w:val="left"/>
      <w:pPr>
        <w:ind w:left="1418" w:hanging="567"/>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8">
    <w:nsid w:val="2E0E7E8D"/>
    <w:multiLevelType w:val="multilevel"/>
    <w:tmpl w:val="2E0E7E8D"/>
    <w:lvl w:ilvl="0" w:tentative="0">
      <w:start w:val="1"/>
      <w:numFmt w:val="decimal"/>
      <w:lvlText w:val="%1"/>
      <w:lvlJc w:val="left"/>
      <w:pPr>
        <w:ind w:left="425" w:hanging="425"/>
      </w:pPr>
      <w:rPr>
        <w:rFonts w:hint="eastAsia"/>
      </w:rPr>
    </w:lvl>
    <w:lvl w:ilvl="1" w:tentative="0">
      <w:start w:val="4"/>
      <w:numFmt w:val="decimal"/>
      <w:lvlText w:val="2.%2"/>
      <w:lvlJc w:val="left"/>
      <w:pPr>
        <w:ind w:left="992" w:hanging="567"/>
      </w:pPr>
      <w:rPr>
        <w:rFonts w:hint="eastAsia"/>
      </w:rPr>
    </w:lvl>
    <w:lvl w:ilvl="2" w:tentative="0">
      <w:start w:val="1"/>
      <w:numFmt w:val="decimal"/>
      <w:lvlText w:val="%1.%2.%3"/>
      <w:lvlJc w:val="left"/>
      <w:pPr>
        <w:ind w:left="1418" w:hanging="567"/>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9">
    <w:nsid w:val="34E611B8"/>
    <w:multiLevelType w:val="multilevel"/>
    <w:tmpl w:val="34E611B8"/>
    <w:lvl w:ilvl="0" w:tentative="0">
      <w:start w:val="5"/>
      <w:numFmt w:val="decimal"/>
      <w:lvlText w:val="%1"/>
      <w:lvlJc w:val="left"/>
      <w:pPr>
        <w:ind w:left="425" w:hanging="425"/>
      </w:pPr>
      <w:rPr>
        <w:rFonts w:hint="eastAsia"/>
      </w:rPr>
    </w:lvl>
    <w:lvl w:ilvl="1" w:tentative="0">
      <w:start w:val="1"/>
      <w:numFmt w:val="decimal"/>
      <w:lvlText w:val="%1.%2"/>
      <w:lvlJc w:val="left"/>
      <w:pPr>
        <w:ind w:left="992" w:hanging="567"/>
      </w:pPr>
      <w:rPr>
        <w:rFonts w:hint="eastAsia"/>
      </w:rPr>
    </w:lvl>
    <w:lvl w:ilvl="2" w:tentative="0">
      <w:start w:val="7"/>
      <w:numFmt w:val="decimal"/>
      <w:lvlText w:val="4.%2.%3"/>
      <w:lvlJc w:val="left"/>
      <w:pPr>
        <w:ind w:left="1418" w:hanging="567"/>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10">
    <w:nsid w:val="3EBB4CEC"/>
    <w:multiLevelType w:val="multilevel"/>
    <w:tmpl w:val="3EBB4CEC"/>
    <w:lvl w:ilvl="0" w:tentative="0">
      <w:start w:val="5"/>
      <w:numFmt w:val="decimal"/>
      <w:lvlText w:val="%1"/>
      <w:lvlJc w:val="left"/>
      <w:pPr>
        <w:ind w:left="425" w:hanging="425"/>
      </w:pPr>
      <w:rPr>
        <w:rFonts w:hint="eastAsia"/>
      </w:rPr>
    </w:lvl>
    <w:lvl w:ilvl="1" w:tentative="0">
      <w:start w:val="1"/>
      <w:numFmt w:val="decimal"/>
      <w:lvlText w:val="%1.%2"/>
      <w:lvlJc w:val="left"/>
      <w:pPr>
        <w:ind w:left="992" w:hanging="567"/>
      </w:pPr>
      <w:rPr>
        <w:rFonts w:hint="eastAsia"/>
      </w:rPr>
    </w:lvl>
    <w:lvl w:ilvl="2" w:tentative="0">
      <w:start w:val="5"/>
      <w:numFmt w:val="decimal"/>
      <w:lvlText w:val="4.9.%3"/>
      <w:lvlJc w:val="left"/>
      <w:pPr>
        <w:ind w:left="1418" w:hanging="567"/>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11">
    <w:nsid w:val="49B60C05"/>
    <w:multiLevelType w:val="multilevel"/>
    <w:tmpl w:val="49B60C05"/>
    <w:lvl w:ilvl="0" w:tentative="0">
      <w:start w:val="4"/>
      <w:numFmt w:val="decimal"/>
      <w:lvlText w:val="%1"/>
      <w:lvlJc w:val="left"/>
      <w:pPr>
        <w:ind w:left="465" w:hanging="465"/>
      </w:pPr>
      <w:rPr>
        <w:rFonts w:hint="default"/>
      </w:rPr>
    </w:lvl>
    <w:lvl w:ilvl="1" w:tentative="0">
      <w:start w:val="12"/>
      <w:numFmt w:val="decimal"/>
      <w:lvlText w:val="%1.%2"/>
      <w:lvlJc w:val="left"/>
      <w:pPr>
        <w:ind w:left="890" w:hanging="465"/>
      </w:pPr>
      <w:rPr>
        <w:rFonts w:hint="default"/>
      </w:rPr>
    </w:lvl>
    <w:lvl w:ilvl="2" w:tentative="0">
      <w:start w:val="1"/>
      <w:numFmt w:val="decimal"/>
      <w:lvlText w:val="%1.%2.%3"/>
      <w:lvlJc w:val="left"/>
      <w:pPr>
        <w:ind w:left="1570" w:hanging="720"/>
      </w:pPr>
      <w:rPr>
        <w:rFonts w:hint="default"/>
      </w:rPr>
    </w:lvl>
    <w:lvl w:ilvl="3" w:tentative="0">
      <w:start w:val="1"/>
      <w:numFmt w:val="decimal"/>
      <w:lvlText w:val="%1.%2.%3.%4"/>
      <w:lvlJc w:val="left"/>
      <w:pPr>
        <w:ind w:left="1995" w:hanging="720"/>
      </w:pPr>
      <w:rPr>
        <w:rFonts w:hint="default"/>
      </w:rPr>
    </w:lvl>
    <w:lvl w:ilvl="4" w:tentative="0">
      <w:start w:val="1"/>
      <w:numFmt w:val="decimal"/>
      <w:lvlText w:val="%1.%2.%3.%4.%5"/>
      <w:lvlJc w:val="left"/>
      <w:pPr>
        <w:ind w:left="2780" w:hanging="1080"/>
      </w:pPr>
      <w:rPr>
        <w:rFonts w:hint="default"/>
      </w:rPr>
    </w:lvl>
    <w:lvl w:ilvl="5" w:tentative="0">
      <w:start w:val="1"/>
      <w:numFmt w:val="decimal"/>
      <w:lvlText w:val="%1.%2.%3.%4.%5.%6"/>
      <w:lvlJc w:val="left"/>
      <w:pPr>
        <w:ind w:left="3565" w:hanging="1440"/>
      </w:pPr>
      <w:rPr>
        <w:rFonts w:hint="default"/>
      </w:rPr>
    </w:lvl>
    <w:lvl w:ilvl="6" w:tentative="0">
      <w:start w:val="1"/>
      <w:numFmt w:val="decimal"/>
      <w:lvlText w:val="%1.%2.%3.%4.%5.%6.%7"/>
      <w:lvlJc w:val="left"/>
      <w:pPr>
        <w:ind w:left="3990" w:hanging="1440"/>
      </w:pPr>
      <w:rPr>
        <w:rFonts w:hint="default"/>
      </w:rPr>
    </w:lvl>
    <w:lvl w:ilvl="7" w:tentative="0">
      <w:start w:val="1"/>
      <w:numFmt w:val="decimal"/>
      <w:lvlText w:val="%1.%2.%3.%4.%5.%6.%7.%8"/>
      <w:lvlJc w:val="left"/>
      <w:pPr>
        <w:ind w:left="4775" w:hanging="1800"/>
      </w:pPr>
      <w:rPr>
        <w:rFonts w:hint="default"/>
      </w:rPr>
    </w:lvl>
    <w:lvl w:ilvl="8" w:tentative="0">
      <w:start w:val="1"/>
      <w:numFmt w:val="decimal"/>
      <w:lvlText w:val="%1.%2.%3.%4.%5.%6.%7.%8.%9"/>
      <w:lvlJc w:val="left"/>
      <w:pPr>
        <w:ind w:left="5200" w:hanging="1800"/>
      </w:pPr>
      <w:rPr>
        <w:rFonts w:hint="default"/>
      </w:rPr>
    </w:lvl>
  </w:abstractNum>
  <w:abstractNum w:abstractNumId="12">
    <w:nsid w:val="4C6D2DDC"/>
    <w:multiLevelType w:val="multilevel"/>
    <w:tmpl w:val="4C6D2DDC"/>
    <w:lvl w:ilvl="0" w:tentative="0">
      <w:start w:val="1"/>
      <w:numFmt w:val="decimal"/>
      <w:lvlText w:val="%1"/>
      <w:lvlJc w:val="left"/>
      <w:pPr>
        <w:ind w:left="425" w:hanging="425"/>
      </w:pPr>
      <w:rPr>
        <w:rFonts w:hint="eastAsia"/>
      </w:rPr>
    </w:lvl>
    <w:lvl w:ilvl="1" w:tentative="0">
      <w:start w:val="1"/>
      <w:numFmt w:val="decimal"/>
      <w:lvlText w:val="2.%2"/>
      <w:lvlJc w:val="left"/>
      <w:pPr>
        <w:ind w:left="992" w:hanging="567"/>
      </w:pPr>
      <w:rPr>
        <w:rFonts w:hint="eastAsia"/>
      </w:rPr>
    </w:lvl>
    <w:lvl w:ilvl="2" w:tentative="0">
      <w:start w:val="1"/>
      <w:numFmt w:val="decimal"/>
      <w:lvlText w:val="%1.%2.%3"/>
      <w:lvlJc w:val="left"/>
      <w:pPr>
        <w:ind w:left="1418" w:hanging="567"/>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13">
    <w:nsid w:val="50A168C2"/>
    <w:multiLevelType w:val="multilevel"/>
    <w:tmpl w:val="50A168C2"/>
    <w:lvl w:ilvl="0" w:tentative="0">
      <w:start w:val="5"/>
      <w:numFmt w:val="decimal"/>
      <w:lvlText w:val="%1"/>
      <w:lvlJc w:val="left"/>
      <w:pPr>
        <w:ind w:left="425" w:hanging="425"/>
      </w:pPr>
      <w:rPr>
        <w:rFonts w:hint="eastAsia"/>
      </w:rPr>
    </w:lvl>
    <w:lvl w:ilvl="1" w:tentative="0">
      <w:start w:val="1"/>
      <w:numFmt w:val="decimal"/>
      <w:lvlText w:val="%1.%2"/>
      <w:lvlJc w:val="left"/>
      <w:pPr>
        <w:ind w:left="992" w:hanging="567"/>
      </w:pPr>
      <w:rPr>
        <w:rFonts w:hint="eastAsia"/>
      </w:rPr>
    </w:lvl>
    <w:lvl w:ilvl="2" w:tentative="0">
      <w:start w:val="1"/>
      <w:numFmt w:val="decimal"/>
      <w:lvlText w:val="4.%2.%3"/>
      <w:lvlJc w:val="left"/>
      <w:pPr>
        <w:ind w:left="1418" w:hanging="567"/>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14">
    <w:nsid w:val="51963FF9"/>
    <w:multiLevelType w:val="multilevel"/>
    <w:tmpl w:val="51963FF9"/>
    <w:lvl w:ilvl="0" w:tentative="0">
      <w:start w:val="3"/>
      <w:numFmt w:val="decimal"/>
      <w:lvlText w:val="%1"/>
      <w:lvlJc w:val="left"/>
      <w:pPr>
        <w:ind w:left="425" w:hanging="425"/>
      </w:pPr>
    </w:lvl>
    <w:lvl w:ilvl="1" w:tentative="0">
      <w:start w:val="1"/>
      <w:numFmt w:val="decimal"/>
      <w:lvlText w:val="%1.%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abstractNum w:abstractNumId="15">
    <w:nsid w:val="611C2B8E"/>
    <w:multiLevelType w:val="multilevel"/>
    <w:tmpl w:val="611C2B8E"/>
    <w:lvl w:ilvl="0" w:tentative="0">
      <w:start w:val="5"/>
      <w:numFmt w:val="decimal"/>
      <w:lvlText w:val="%1"/>
      <w:lvlJc w:val="left"/>
      <w:pPr>
        <w:ind w:left="425" w:hanging="425"/>
      </w:pPr>
      <w:rPr>
        <w:rFonts w:hint="eastAsia"/>
      </w:rPr>
    </w:lvl>
    <w:lvl w:ilvl="1" w:tentative="0">
      <w:start w:val="1"/>
      <w:numFmt w:val="decimal"/>
      <w:lvlText w:val="%1.%2"/>
      <w:lvlJc w:val="left"/>
      <w:pPr>
        <w:ind w:left="992" w:hanging="567"/>
      </w:pPr>
      <w:rPr>
        <w:rFonts w:hint="eastAsia"/>
      </w:rPr>
    </w:lvl>
    <w:lvl w:ilvl="2" w:tentative="0">
      <w:start w:val="1"/>
      <w:numFmt w:val="decimal"/>
      <w:lvlText w:val="4.5.%3"/>
      <w:lvlJc w:val="left"/>
      <w:pPr>
        <w:ind w:left="1418" w:hanging="567"/>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16">
    <w:nsid w:val="61733482"/>
    <w:multiLevelType w:val="multilevel"/>
    <w:tmpl w:val="61733482"/>
    <w:lvl w:ilvl="0" w:tentative="0">
      <w:start w:val="5"/>
      <w:numFmt w:val="decimal"/>
      <w:lvlText w:val="%1"/>
      <w:lvlJc w:val="left"/>
      <w:pPr>
        <w:ind w:left="425" w:hanging="425"/>
      </w:pPr>
      <w:rPr>
        <w:rFonts w:hint="eastAsia"/>
      </w:rPr>
    </w:lvl>
    <w:lvl w:ilvl="1" w:tentative="0">
      <w:start w:val="1"/>
      <w:numFmt w:val="decimal"/>
      <w:lvlText w:val="%1.%2"/>
      <w:lvlJc w:val="left"/>
      <w:pPr>
        <w:ind w:left="992" w:hanging="567"/>
      </w:pPr>
      <w:rPr>
        <w:rFonts w:hint="eastAsia"/>
      </w:rPr>
    </w:lvl>
    <w:lvl w:ilvl="2" w:tentative="0">
      <w:start w:val="3"/>
      <w:numFmt w:val="decimal"/>
      <w:lvlText w:val="4.6.%3"/>
      <w:lvlJc w:val="left"/>
      <w:pPr>
        <w:ind w:left="1418" w:hanging="567"/>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17">
    <w:nsid w:val="61891E65"/>
    <w:multiLevelType w:val="multilevel"/>
    <w:tmpl w:val="61891E65"/>
    <w:lvl w:ilvl="0" w:tentative="0">
      <w:start w:val="5"/>
      <w:numFmt w:val="decimal"/>
      <w:lvlText w:val="%1"/>
      <w:lvlJc w:val="left"/>
      <w:pPr>
        <w:ind w:left="425" w:hanging="425"/>
      </w:pPr>
      <w:rPr>
        <w:rFonts w:hint="eastAsia"/>
      </w:rPr>
    </w:lvl>
    <w:lvl w:ilvl="1" w:tentative="0">
      <w:start w:val="1"/>
      <w:numFmt w:val="decimal"/>
      <w:lvlText w:val="%1.%2"/>
      <w:lvlJc w:val="left"/>
      <w:pPr>
        <w:ind w:left="992" w:hanging="567"/>
      </w:pPr>
      <w:rPr>
        <w:rFonts w:hint="eastAsia"/>
      </w:rPr>
    </w:lvl>
    <w:lvl w:ilvl="2" w:tentative="0">
      <w:start w:val="2"/>
      <w:numFmt w:val="decimal"/>
      <w:lvlText w:val="4.4.%3"/>
      <w:lvlJc w:val="left"/>
      <w:pPr>
        <w:ind w:left="1418" w:hanging="567"/>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18">
    <w:nsid w:val="68485310"/>
    <w:multiLevelType w:val="multilevel"/>
    <w:tmpl w:val="68485310"/>
    <w:lvl w:ilvl="0" w:tentative="0">
      <w:start w:val="5"/>
      <w:numFmt w:val="decimal"/>
      <w:lvlText w:val="%1"/>
      <w:lvlJc w:val="left"/>
      <w:pPr>
        <w:ind w:left="425" w:hanging="425"/>
      </w:pPr>
      <w:rPr>
        <w:rFonts w:hint="eastAsia"/>
      </w:rPr>
    </w:lvl>
    <w:lvl w:ilvl="1" w:tentative="0">
      <w:start w:val="1"/>
      <w:numFmt w:val="decimal"/>
      <w:lvlText w:val="%1.%2"/>
      <w:lvlJc w:val="left"/>
      <w:pPr>
        <w:ind w:left="992" w:hanging="567"/>
      </w:pPr>
      <w:rPr>
        <w:rFonts w:hint="eastAsia"/>
      </w:rPr>
    </w:lvl>
    <w:lvl w:ilvl="2" w:tentative="0">
      <w:start w:val="2"/>
      <w:numFmt w:val="decimal"/>
      <w:lvlText w:val="4.9.%3"/>
      <w:lvlJc w:val="left"/>
      <w:pPr>
        <w:ind w:left="1418" w:hanging="567"/>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19">
    <w:nsid w:val="6FB12C8E"/>
    <w:multiLevelType w:val="multilevel"/>
    <w:tmpl w:val="6FB12C8E"/>
    <w:lvl w:ilvl="0" w:tentative="0">
      <w:start w:val="5"/>
      <w:numFmt w:val="decimal"/>
      <w:lvlText w:val="%1"/>
      <w:lvlJc w:val="left"/>
      <w:pPr>
        <w:ind w:left="425" w:hanging="425"/>
      </w:pPr>
      <w:rPr>
        <w:rFonts w:hint="eastAsia"/>
      </w:rPr>
    </w:lvl>
    <w:lvl w:ilvl="1" w:tentative="0">
      <w:start w:val="1"/>
      <w:numFmt w:val="decimal"/>
      <w:lvlText w:val="%1.%2"/>
      <w:lvlJc w:val="left"/>
      <w:pPr>
        <w:ind w:left="992" w:hanging="567"/>
      </w:pPr>
      <w:rPr>
        <w:rFonts w:hint="eastAsia"/>
      </w:rPr>
    </w:lvl>
    <w:lvl w:ilvl="2" w:tentative="0">
      <w:start w:val="5"/>
      <w:numFmt w:val="decimal"/>
      <w:lvlText w:val="4.2.%3"/>
      <w:lvlJc w:val="left"/>
      <w:pPr>
        <w:ind w:left="1418" w:hanging="567"/>
      </w:pPr>
      <w:rPr>
        <w:rFonts w:hint="eastAsia"/>
        <w:color w:val="000000"/>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20">
    <w:nsid w:val="7098532D"/>
    <w:multiLevelType w:val="multilevel"/>
    <w:tmpl w:val="7098532D"/>
    <w:lvl w:ilvl="0" w:tentative="0">
      <w:start w:val="5"/>
      <w:numFmt w:val="decimal"/>
      <w:lvlText w:val="%1"/>
      <w:lvlJc w:val="left"/>
      <w:pPr>
        <w:ind w:left="425" w:hanging="425"/>
      </w:pPr>
      <w:rPr>
        <w:rFonts w:hint="eastAsia"/>
      </w:rPr>
    </w:lvl>
    <w:lvl w:ilvl="1" w:tentative="0">
      <w:start w:val="1"/>
      <w:numFmt w:val="decimal"/>
      <w:lvlText w:val="4.%2"/>
      <w:lvlJc w:val="left"/>
      <w:pPr>
        <w:ind w:left="992" w:hanging="567"/>
      </w:pPr>
      <w:rPr>
        <w:rFonts w:hint="eastAsia"/>
      </w:rPr>
    </w:lvl>
    <w:lvl w:ilvl="2" w:tentative="0">
      <w:start w:val="1"/>
      <w:numFmt w:val="decimal"/>
      <w:lvlText w:val="%1.%2.%3"/>
      <w:lvlJc w:val="left"/>
      <w:pPr>
        <w:ind w:left="1418" w:hanging="567"/>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21">
    <w:nsid w:val="72AE4E7C"/>
    <w:multiLevelType w:val="multilevel"/>
    <w:tmpl w:val="72AE4E7C"/>
    <w:lvl w:ilvl="0" w:tentative="0">
      <w:start w:val="5"/>
      <w:numFmt w:val="decimal"/>
      <w:lvlText w:val="%1"/>
      <w:lvlJc w:val="left"/>
      <w:pPr>
        <w:ind w:left="425" w:hanging="425"/>
      </w:pPr>
      <w:rPr>
        <w:rFonts w:hint="eastAsia"/>
      </w:rPr>
    </w:lvl>
    <w:lvl w:ilvl="1" w:tentative="0">
      <w:start w:val="1"/>
      <w:numFmt w:val="decimal"/>
      <w:lvlText w:val="%1.%2"/>
      <w:lvlJc w:val="left"/>
      <w:pPr>
        <w:ind w:left="992" w:hanging="567"/>
      </w:pPr>
      <w:rPr>
        <w:rFonts w:hint="eastAsia"/>
      </w:rPr>
    </w:lvl>
    <w:lvl w:ilvl="2" w:tentative="0">
      <w:start w:val="1"/>
      <w:numFmt w:val="decimal"/>
      <w:lvlText w:val="4.10.%3"/>
      <w:lvlJc w:val="left"/>
      <w:pPr>
        <w:ind w:left="1418" w:hanging="567"/>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22">
    <w:nsid w:val="72B422A0"/>
    <w:multiLevelType w:val="multilevel"/>
    <w:tmpl w:val="72B422A0"/>
    <w:lvl w:ilvl="0" w:tentative="0">
      <w:start w:val="5"/>
      <w:numFmt w:val="decimal"/>
      <w:lvlText w:val="%1"/>
      <w:lvlJc w:val="left"/>
      <w:pPr>
        <w:ind w:left="425" w:hanging="425"/>
      </w:pPr>
      <w:rPr>
        <w:rFonts w:hint="eastAsia"/>
      </w:rPr>
    </w:lvl>
    <w:lvl w:ilvl="1" w:tentative="0">
      <w:start w:val="1"/>
      <w:numFmt w:val="decimal"/>
      <w:lvlText w:val="6.%2"/>
      <w:lvlJc w:val="left"/>
      <w:pPr>
        <w:ind w:left="992" w:hanging="567"/>
      </w:pPr>
      <w:rPr>
        <w:rFonts w:hint="eastAsia"/>
      </w:rPr>
    </w:lvl>
    <w:lvl w:ilvl="2" w:tentative="0">
      <w:start w:val="1"/>
      <w:numFmt w:val="decimal"/>
      <w:lvlText w:val="5.12.%3"/>
      <w:lvlJc w:val="left"/>
      <w:pPr>
        <w:ind w:left="1418" w:hanging="567"/>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23">
    <w:nsid w:val="7CE362B6"/>
    <w:multiLevelType w:val="multilevel"/>
    <w:tmpl w:val="7CE362B6"/>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4">
    <w:nsid w:val="7E462078"/>
    <w:multiLevelType w:val="multilevel"/>
    <w:tmpl w:val="7E462078"/>
    <w:lvl w:ilvl="0" w:tentative="0">
      <w:start w:val="5"/>
      <w:numFmt w:val="decimal"/>
      <w:lvlText w:val="%1"/>
      <w:lvlJc w:val="left"/>
      <w:pPr>
        <w:ind w:left="425" w:hanging="425"/>
      </w:pPr>
      <w:rPr>
        <w:rFonts w:hint="eastAsia"/>
      </w:rPr>
    </w:lvl>
    <w:lvl w:ilvl="1" w:tentative="0">
      <w:start w:val="1"/>
      <w:numFmt w:val="decimal"/>
      <w:lvlText w:val="7.%2"/>
      <w:lvlJc w:val="left"/>
      <w:pPr>
        <w:ind w:left="992" w:hanging="567"/>
      </w:pPr>
      <w:rPr>
        <w:rFonts w:hint="eastAsia"/>
      </w:rPr>
    </w:lvl>
    <w:lvl w:ilvl="2" w:tentative="0">
      <w:start w:val="1"/>
      <w:numFmt w:val="decimal"/>
      <w:lvlText w:val="5.10.%3"/>
      <w:lvlJc w:val="left"/>
      <w:pPr>
        <w:ind w:left="1418" w:hanging="567"/>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25">
    <w:nsid w:val="7F635E01"/>
    <w:multiLevelType w:val="multilevel"/>
    <w:tmpl w:val="7F635E01"/>
    <w:lvl w:ilvl="0" w:tentative="0">
      <w:start w:val="5"/>
      <w:numFmt w:val="decimal"/>
      <w:lvlText w:val="%1"/>
      <w:lvlJc w:val="left"/>
      <w:pPr>
        <w:ind w:left="425" w:hanging="425"/>
      </w:pPr>
      <w:rPr>
        <w:rFonts w:hint="eastAsia"/>
      </w:rPr>
    </w:lvl>
    <w:lvl w:ilvl="1" w:tentative="0">
      <w:start w:val="1"/>
      <w:numFmt w:val="decimal"/>
      <w:lvlText w:val="%1.%2"/>
      <w:lvlJc w:val="left"/>
      <w:pPr>
        <w:ind w:left="992" w:hanging="567"/>
      </w:pPr>
      <w:rPr>
        <w:rFonts w:hint="eastAsia"/>
      </w:rPr>
    </w:lvl>
    <w:lvl w:ilvl="2" w:tentative="0">
      <w:start w:val="2"/>
      <w:numFmt w:val="decimal"/>
      <w:lvlText w:val="4.7.%3"/>
      <w:lvlJc w:val="left"/>
      <w:pPr>
        <w:ind w:left="1418" w:hanging="567"/>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num w:numId="1">
    <w:abstractNumId w:val="23"/>
  </w:num>
  <w:num w:numId="2">
    <w:abstractNumId w:val="3"/>
  </w:num>
  <w:num w:numId="3">
    <w:abstractNumId w:val="12"/>
  </w:num>
  <w:num w:numId="4">
    <w:abstractNumId w:val="8"/>
  </w:num>
  <w:num w:numId="5">
    <w:abstractNumId w:val="14"/>
  </w:num>
  <w:num w:numId="6">
    <w:abstractNumId w:val="20"/>
  </w:num>
  <w:num w:numId="7">
    <w:abstractNumId w:val="13"/>
  </w:num>
  <w:num w:numId="8">
    <w:abstractNumId w:val="9"/>
  </w:num>
  <w:num w:numId="9">
    <w:abstractNumId w:val="1"/>
  </w:num>
  <w:num w:numId="10">
    <w:abstractNumId w:val="19"/>
  </w:num>
  <w:num w:numId="11">
    <w:abstractNumId w:val="0"/>
  </w:num>
  <w:num w:numId="12">
    <w:abstractNumId w:val="4"/>
  </w:num>
  <w:num w:numId="13">
    <w:abstractNumId w:val="17"/>
  </w:num>
  <w:num w:numId="14">
    <w:abstractNumId w:val="15"/>
  </w:num>
  <w:num w:numId="15">
    <w:abstractNumId w:val="5"/>
  </w:num>
  <w:num w:numId="16">
    <w:abstractNumId w:val="16"/>
  </w:num>
  <w:num w:numId="17">
    <w:abstractNumId w:val="25"/>
  </w:num>
  <w:num w:numId="18">
    <w:abstractNumId w:val="2"/>
  </w:num>
  <w:num w:numId="19">
    <w:abstractNumId w:val="18"/>
  </w:num>
  <w:num w:numId="20">
    <w:abstractNumId w:val="10"/>
  </w:num>
  <w:num w:numId="21">
    <w:abstractNumId w:val="21"/>
  </w:num>
  <w:num w:numId="22">
    <w:abstractNumId w:val="7"/>
  </w:num>
  <w:num w:numId="23">
    <w:abstractNumId w:val="11"/>
  </w:num>
  <w:num w:numId="24">
    <w:abstractNumId w:val="6"/>
  </w:num>
  <w:num w:numId="25">
    <w:abstractNumId w:val="22"/>
  </w:num>
  <w:num w:numId="2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CCE2672"/>
    <w:rsid w:val="4CCE267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Plain Text"/>
    <w:qFormat/>
    <w:uiPriority w:val="99"/>
    <w:pPr>
      <w:widowControl w:val="0"/>
      <w:jc w:val="both"/>
    </w:pPr>
    <w:rPr>
      <w:rFonts w:ascii="宋体" w:hAnsi="Courier New" w:eastAsia="宋体" w:cs="Times New Roman"/>
      <w:kern w:val="2"/>
      <w:sz w:val="21"/>
      <w:szCs w:val="20"/>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12</Pages>
  <Words>0</Words>
  <Characters>0</Characters>
  <Lines>0</Lines>
  <Paragraphs>0</Paragraphs>
  <TotalTime>0</TotalTime>
  <ScaleCrop>false</ScaleCrop>
  <LinksUpToDate>false</LinksUpToDate>
  <CharactersWithSpaces>0</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2025-10-15T10:29:00Z</dcterms:created>
  <dc:creator>顾嘉宁</dc:creator>
  <cp:lastModifiedBy>顾嘉宁</cp:lastModifiedBy>
  <dcterms:modified xsi:type="dcterms:W3CDTF">2025-10-15T10:29:57Z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2B4D8C0C8D8D40A8A829543C79148159_11</vt:lpwstr>
  </property>
  <property fmtid="{D5CDD505-2E9C-101B-9397-08002B2CF9AE}" pid="4" name="KSOTemplateDocerSaveRecord">
    <vt:lpwstr>eyJoZGlkIjoiYzVmMzM0Y2VmM2Y5Njk1NzhmNzU4NGI2OTkxOTk5MTkiLCJ1c2VySWQiOiIxNjYzMDExNDYwIn0=</vt:lpwstr>
  </property>
</Properties>
</file>