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1"/>
        </w:numPr>
        <w:shd w:val="clear" w:color="auto" w:fill="auto"/>
        <w:kinsoku/>
        <w:wordWrap/>
        <w:overflowPunct/>
        <w:topLinePunct w:val="0"/>
        <w:autoSpaceDE/>
        <w:autoSpaceDN/>
        <w:bidi w:val="0"/>
        <w:adjustRightInd w:val="0"/>
        <w:snapToGrid w:val="0"/>
        <w:spacing w:line="360" w:lineRule="auto"/>
        <w:ind w:left="0" w:leftChars="0" w:right="0" w:rightChars="0" w:firstLine="643" w:firstLineChars="200"/>
        <w:jc w:val="center"/>
        <w:textAlignment w:val="auto"/>
        <w:outlineLvl w:val="1"/>
        <w:rPr>
          <w:rFonts w:hint="eastAsia" w:ascii="黑体" w:hAnsi="黑体" w:eastAsia="黑体"/>
          <w:b/>
          <w:bCs/>
          <w:color w:val="auto"/>
          <w:sz w:val="32"/>
          <w:szCs w:val="32"/>
        </w:rPr>
      </w:pPr>
      <w:bookmarkStart w:id="0" w:name="_Toc31452"/>
      <w:r>
        <w:rPr>
          <w:rFonts w:hint="eastAsia" w:ascii="黑体" w:hAnsi="黑体" w:eastAsia="黑体"/>
          <w:b/>
          <w:bCs/>
          <w:color w:val="auto"/>
          <w:sz w:val="32"/>
          <w:szCs w:val="32"/>
        </w:rPr>
        <w:t>采购需求</w:t>
      </w:r>
      <w:bookmarkEnd w:id="0"/>
      <w:bookmarkStart w:id="1" w:name="_Toc16112"/>
    </w:p>
    <w:bookmarkEnd w:id="1"/>
    <w:p>
      <w:pPr>
        <w:bidi w:val="0"/>
        <w:spacing w:line="360" w:lineRule="auto"/>
        <w:ind w:left="0" w:leftChars="0" w:firstLine="482" w:firstLineChars="200"/>
        <w:rPr>
          <w:rFonts w:hint="eastAsia" w:ascii="宋体" w:hAnsi="宋体" w:eastAsia="宋体" w:cs="宋体"/>
          <w:b/>
          <w:bCs/>
          <w:color w:val="auto"/>
          <w:sz w:val="24"/>
          <w:szCs w:val="24"/>
          <w:lang w:val="en-US" w:eastAsia="en-US"/>
        </w:rPr>
      </w:pPr>
      <w:r>
        <w:rPr>
          <w:rFonts w:hint="eastAsia" w:ascii="宋体" w:hAnsi="宋体" w:eastAsia="宋体" w:cs="宋体"/>
          <w:b/>
          <w:bCs/>
          <w:color w:val="auto"/>
          <w:sz w:val="24"/>
          <w:szCs w:val="24"/>
          <w:lang w:val="en-US" w:eastAsia="zh-CN"/>
        </w:rPr>
        <w:t xml:space="preserve">一、项目概况 </w:t>
      </w:r>
    </w:p>
    <w:p>
      <w:pPr>
        <w:bidi w:val="0"/>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1、项目名称：嘉禾县2023年国土变更调查项目</w:t>
      </w:r>
    </w:p>
    <w:p>
      <w:pPr>
        <w:bidi w:val="0"/>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2、预算金额：670000.00元</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3、项目</w:t>
      </w:r>
      <w:r>
        <w:rPr>
          <w:rFonts w:hint="eastAsia" w:ascii="宋体" w:hAnsi="宋体" w:eastAsia="宋体" w:cs="宋体"/>
          <w:color w:val="auto"/>
          <w:sz w:val="24"/>
          <w:szCs w:val="24"/>
          <w:lang w:val="en-US" w:eastAsia="en-US"/>
        </w:rPr>
        <w:t>服务地点：采购人指定地。</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4、采购内容：嘉禾县2023年国土变更调查</w:t>
      </w:r>
    </w:p>
    <w:p>
      <w:pPr>
        <w:bidi w:val="0"/>
        <w:spacing w:line="360" w:lineRule="auto"/>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val="en-US" w:eastAsia="en-US"/>
        </w:rPr>
        <w:t>、</w:t>
      </w:r>
      <w:r>
        <w:rPr>
          <w:rFonts w:hint="eastAsia" w:ascii="宋体" w:hAnsi="宋体" w:eastAsia="宋体" w:cs="宋体"/>
          <w:b/>
          <w:bCs/>
          <w:color w:val="auto"/>
          <w:sz w:val="24"/>
          <w:szCs w:val="24"/>
          <w:lang w:val="en-US" w:eastAsia="zh-CN"/>
        </w:rPr>
        <w:t>项目依据</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根据湖南省自然资源厅办公室文件湘自资办发〔2023〕61号《关于统筹开展2023年日常变更调查和年度国土变更调查工作的通知》要求，根据自然资源部工作安排，从2023年开始，在年度国土变更调查基础上全面开展日常变更调查工作，进一步提高国土变更调查成果的时效性和准确性。</w:t>
      </w:r>
    </w:p>
    <w:p>
      <w:pPr>
        <w:bidi w:val="0"/>
        <w:spacing w:line="360" w:lineRule="auto"/>
        <w:ind w:left="0" w:leftChars="0" w:firstLine="482" w:firstLineChars="200"/>
        <w:rPr>
          <w:rFonts w:hint="eastAsia" w:ascii="宋体" w:hAnsi="宋体" w:eastAsia="宋体" w:cs="宋体"/>
          <w:b/>
          <w:bCs/>
          <w:color w:val="auto"/>
          <w:sz w:val="24"/>
          <w:szCs w:val="24"/>
          <w:lang w:val="en-US" w:eastAsia="en-US"/>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val="en-US" w:eastAsia="en-US"/>
        </w:rPr>
        <w:t>、服务内容及要求</w:t>
      </w:r>
    </w:p>
    <w:p>
      <w:pPr>
        <w:numPr>
          <w:ilvl w:val="0"/>
          <w:numId w:val="0"/>
        </w:numPr>
        <w:tabs>
          <w:tab w:val="left" w:pos="228"/>
        </w:tabs>
        <w:spacing w:line="360" w:lineRule="auto"/>
        <w:jc w:val="both"/>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图斑来源</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（一）国家图斑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1．2023年上半年地类变化监测图斑；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2．2023年度国土变更调查监测图斑；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3．2022年度国土变更调查跟踪图斑，包括承诺举证图斑、无法到达图斑、“互联网+”在线核查问题图斑等；</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4．土地卫片执法图斑、矿山卫片执法图斑、耕地卫片监督及各类自然资源督察执法图斑。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5．永久基本农田划界成果核实处置工作中下发的非耕地图斑。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（二）省级图斑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省级综合监测中发现的变化图斑，包括所有变化图斑及违法用地、耕地数量、补充耕地项目后期管护、农民建房、非法露天采矿、生态保护红线等专题监测图斑。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（三）市县图斑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1、实施土地开发、整理、复垦、城乡建设用地增减挂钩、高标准农田建设、恢复耕地等工程或项目或农民自主开发，形成的新增耕地图斑；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2、管理数据范围内变化图斑，包括批准用地范围内的各类新增建设用地、新增设施农用地等二级地类变化等图斑；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3、生态保护修复、违法违规用地整改、退耕还林还草、河湖治理、各专项整治等工作实施涉及的地类变化图斑；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4、林草湿调查监测发现的变化图斑和林地转入转出图斑；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5、日常变更管理工作中发现的数据库地类与实地不一致的图斑。</w:t>
      </w:r>
    </w:p>
    <w:p>
      <w:pPr>
        <w:numPr>
          <w:ilvl w:val="0"/>
          <w:numId w:val="0"/>
        </w:numPr>
        <w:spacing w:line="360" w:lineRule="auto"/>
        <w:jc w:val="both"/>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变更范围</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（一）应及时纳入日常变更调查的情形；</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1．已落实耕种并出土长苗的新增耕地；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2．经批准的建设用地范围内开工建设的或未经批准但已有明显建（构）筑物的建设用地（含临时用地）；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3．已经上图入库的设施农用地；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4．现状已形成的农村道路、沟渠、坑塘水面、园地、林地和草地等其他农用地；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5．灾毁耕地形成的未利用地；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6．永久基本农田划定成果核实处置工作中，因整改恢复等涉及地类变化的图斑。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（二）可作为持续跟踪图斑暂不变更的情形</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1．正在变化过程中，暂无法确定变化范围或地类的；</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2．已发生变化，涉及耕地“非农化”“非粮化”，拟近期整改恢复的；</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3．实施轮作或属于季节性变化，年内会落实耕种的耕地。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4.持续跟踪图斑，在2023年度国土变更调查时仍未恢复原状的，按现状调查进行地类变更。</w:t>
      </w:r>
    </w:p>
    <w:p>
      <w:pPr>
        <w:numPr>
          <w:ilvl w:val="0"/>
          <w:numId w:val="0"/>
        </w:numPr>
        <w:spacing w:line="360" w:lineRule="auto"/>
        <w:jc w:val="both"/>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工作安排</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（一）时间安排</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以12月31日为统一时点，综合日常变更、年中变更和国家下发图斑，开展年度变更。汇总日常变更和年中变更成果，建立县级基本库，依据自然资源部年度国土变更调查工作的统一部署和安排，开展后续工作。</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（二）资料收集</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1．基础资料</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包括上年度国土变更调查数据库、遥感影像、各类自然资源管理数据等。</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2．监测图斑和举证照片</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包括国家图斑、省级图斑、市县图斑和其他不一致图斑及举证资料。</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（三）工作平台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1．举证平台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以湖南国土调查在线举证系统为基础，完善相关功能，构建统一的外业举证平台，实现国土变更调查、自然资源综合监测、卫片执法、补充耕地项目验收确认、增减挂钩项目验收确认、耕地进出平衡转进耕地认定、恢复耕地认定等各项工作的外业举证统一在该平台完成。</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2．应用平台</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以“三调”应用平台为基础，扩展成果管理模块，市县日常变更、年中变更和年度变更成果的实时更新和查询浏览，省、时、县三级互联共享，为自然资源管理工作提供应用。</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（四）信息填报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（1）统一采用湖南日常变更工作平台上报日常变更调查图斑和年度国土变更调查图斑，省厅不再受理其他方式上报的图斑。</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（2）上报时按软件提示填写完整信息，包括地类、图斑细化属性、种植属性、耕地类型等，并提交外业举证照片。</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涉及土地开发、生态修复、增减挂钩、恢复耕地、高标准农田建设等项目，除基本信息外，还应填写项目名称、项目编号（补充耕地项目填写耕地占补平衡动态监管系统验收备案时的项目编号，增减挂钩项目填写城乡建设用地增减挂钩在线监管系统生成的电子监管码，其他项目没有编号的可不填）、地块名称等信息。</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（4）审批范围内开工建设按建设用地调查的，上报时需上传建设用地审批或备案资料（含勘测定界图）。</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（5）设施农业用地在日常变更调查前需完成备案及上图入库，上报时需上传自然资源部设施农业用地监管系统中已备案的界面截图（需清晰显示备案号）。</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（6）已建成通车道路的变更，需上传审批或备案资料（含征地范围）。</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新增耕地的变更严格按照《关于规范日常变更调查新增耕地核实认定工作的通知》的要求上报。形成耕地占补平衡和增减挂钩指标的，附件中上传竣工图、分辨率优于0.2米的高清正射影像图并套合图斑范围；不形成耕地占补平衡和增减挂钩指标的，附件中上传全景照片（用红色实线标识图斑范围），可使用地面移动终端拍摄或无人机航拍。</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（8）灾毁耕地的变更，上报时需上传相关佐证材料（包括民政部门和农业农村部门的证明、自然资源部门的灾毁情况说明、媒体报道等）。</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（五）职责分工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1．省级</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（1）负责全省日常变更调查工作的组织和统筹；</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（2）负责全省技术指导、进度控制、成果检查核查、对重要情况开展外业核查、临时库建设、成果上报、数据共享应用和日常变更工作平台的建设与运行维护；</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（3）负责省级综合监测中已外业举证图斑（除新增耕地、推土区、未变化图斑外）的上图、入库和上报。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2．市级</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负责组织所辖县市区开展日常变更调查工作，按要求对新增耕地和其他图斑进行审核。</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3．县级</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（1）负责根据国家图斑、省级图斑（不含省级已上图入库部分）、自主提取图斑开展上图、入库、上报和审核工作；</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（2）对省级上图入库图斑进行核实确认、审核、上报。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（6）质量管控</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1．县级自查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县级对日常变更、年中变更和年度变更成果进行100%自检，确保图、数、表与实地一致。</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2．市级复查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市级对日常变更中县级上报的变化图斑、年中变更和年度变更成果进行复核，对流量变化较大的异常情况进行分析核实。</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3．省级核查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省级对日常变更、年中变更和年度变更成果进行100%内业核查，根据内业核查情况，结合市级抽取图斑开展外业核查。</w:t>
      </w:r>
    </w:p>
    <w:p>
      <w:pPr>
        <w:bidi w:val="0"/>
        <w:spacing w:line="360" w:lineRule="auto"/>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四、商务要求：</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1、</w:t>
      </w:r>
      <w:r>
        <w:rPr>
          <w:rFonts w:hint="eastAsia" w:ascii="宋体" w:hAnsi="宋体" w:eastAsia="宋体" w:cs="宋体"/>
          <w:color w:val="auto"/>
          <w:sz w:val="24"/>
          <w:szCs w:val="24"/>
          <w:vertAlign w:val="baseline"/>
          <w:lang w:val="en-US" w:eastAsia="en-US"/>
        </w:rPr>
        <w:t>服务质量要求</w:t>
      </w:r>
      <w:r>
        <w:rPr>
          <w:rFonts w:hint="eastAsia" w:ascii="宋体" w:hAnsi="宋体" w:eastAsia="宋体" w:cs="宋体"/>
          <w:color w:val="auto"/>
          <w:sz w:val="24"/>
          <w:szCs w:val="24"/>
          <w:vertAlign w:val="baseline"/>
          <w:lang w:val="en-US" w:eastAsia="zh-CN"/>
        </w:rPr>
        <w:t>：</w:t>
      </w:r>
      <w:r>
        <w:rPr>
          <w:rFonts w:hint="eastAsia" w:ascii="宋体" w:hAnsi="宋体" w:eastAsia="宋体" w:cs="宋体"/>
          <w:color w:val="auto"/>
          <w:sz w:val="24"/>
          <w:szCs w:val="24"/>
          <w:vertAlign w:val="baseline"/>
          <w:lang w:val="en-US" w:eastAsia="en-US"/>
        </w:rPr>
        <w:t>成交供应商须按照工作要求，在规定时间内开展工作，并依法出具成果文件。</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2</w:t>
      </w:r>
      <w:r>
        <w:rPr>
          <w:rFonts w:hint="eastAsia" w:ascii="宋体" w:hAnsi="宋体" w:eastAsia="宋体" w:cs="宋体"/>
          <w:color w:val="auto"/>
          <w:sz w:val="24"/>
          <w:szCs w:val="24"/>
          <w:vertAlign w:val="baseline"/>
          <w:lang w:val="en-US" w:eastAsia="en-US"/>
        </w:rPr>
        <w:t>、服务时间</w:t>
      </w:r>
      <w:r>
        <w:rPr>
          <w:rFonts w:hint="eastAsia" w:ascii="宋体" w:hAnsi="宋体" w:eastAsia="宋体" w:cs="宋体"/>
          <w:color w:val="auto"/>
          <w:sz w:val="24"/>
          <w:szCs w:val="24"/>
          <w:vertAlign w:val="baseline"/>
          <w:lang w:val="en-US" w:eastAsia="zh-CN"/>
        </w:rPr>
        <w:t>要求</w:t>
      </w:r>
      <w:r>
        <w:rPr>
          <w:rFonts w:hint="eastAsia" w:ascii="宋体" w:hAnsi="宋体" w:eastAsia="宋体" w:cs="宋体"/>
          <w:color w:val="auto"/>
          <w:sz w:val="24"/>
          <w:szCs w:val="24"/>
          <w:vertAlign w:val="baseline"/>
          <w:lang w:val="en-US" w:eastAsia="en-US"/>
        </w:rPr>
        <w:t>：最终成果交付按照国家和省级规定的时间节点提交数据成果。</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3、</w:t>
      </w:r>
      <w:r>
        <w:rPr>
          <w:rFonts w:hint="eastAsia" w:ascii="宋体" w:hAnsi="宋体" w:eastAsia="宋体" w:cs="宋体"/>
          <w:color w:val="auto"/>
          <w:sz w:val="24"/>
          <w:szCs w:val="24"/>
          <w:vertAlign w:val="baseline"/>
          <w:lang w:val="en-US" w:eastAsia="en-US"/>
        </w:rPr>
        <w:t>验收标准：</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（1）</w:t>
      </w:r>
      <w:r>
        <w:rPr>
          <w:rFonts w:hint="eastAsia" w:ascii="宋体" w:hAnsi="宋体" w:eastAsia="宋体" w:cs="宋体"/>
          <w:color w:val="auto"/>
          <w:sz w:val="24"/>
          <w:szCs w:val="24"/>
          <w:vertAlign w:val="baseline"/>
          <w:lang w:val="en-US" w:eastAsia="en-US"/>
        </w:rPr>
        <w:t>所采购服务严格按照采购文件及采购人要求参数进行验收，同时满足国家相关规范、规定要求。</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（2）</w:t>
      </w:r>
      <w:r>
        <w:rPr>
          <w:rFonts w:hint="eastAsia" w:ascii="宋体" w:hAnsi="宋体" w:eastAsia="宋体" w:cs="宋体"/>
          <w:color w:val="auto"/>
          <w:sz w:val="24"/>
          <w:szCs w:val="24"/>
          <w:vertAlign w:val="baseline"/>
          <w:lang w:val="en-US" w:eastAsia="en-US"/>
        </w:rPr>
        <w:t>供应商需接受</w:t>
      </w:r>
      <w:r>
        <w:rPr>
          <w:rFonts w:hint="eastAsia" w:ascii="宋体" w:hAnsi="宋体" w:eastAsia="宋体" w:cs="宋体"/>
          <w:color w:val="auto"/>
          <w:sz w:val="24"/>
          <w:szCs w:val="24"/>
          <w:vertAlign w:val="baseline"/>
          <w:lang w:val="en-US" w:eastAsia="zh-CN"/>
        </w:rPr>
        <w:t>嘉禾县自然资源局</w:t>
      </w:r>
      <w:r>
        <w:rPr>
          <w:rFonts w:hint="eastAsia" w:ascii="宋体" w:hAnsi="宋体" w:eastAsia="宋体" w:cs="宋体"/>
          <w:color w:val="auto"/>
          <w:sz w:val="24"/>
          <w:szCs w:val="24"/>
          <w:vertAlign w:val="baseline"/>
          <w:lang w:val="en-US" w:eastAsia="en-US"/>
        </w:rPr>
        <w:t>对成果质量和工作进度的全程跟踪监督和检查，其生产的调查成果需在规定时间内通过相关核查。</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（3）</w:t>
      </w:r>
      <w:r>
        <w:rPr>
          <w:rFonts w:hint="eastAsia" w:ascii="宋体" w:hAnsi="宋体" w:eastAsia="宋体" w:cs="宋体"/>
          <w:color w:val="auto"/>
          <w:sz w:val="24"/>
          <w:szCs w:val="24"/>
          <w:vertAlign w:val="baseline"/>
          <w:lang w:val="en-US" w:eastAsia="en-US"/>
        </w:rPr>
        <w:t>项目验收国家有强制性规定的，按国家规定执行，验收费用由成交供应商承担。</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en-US"/>
        </w:rPr>
      </w:pPr>
      <w:r>
        <w:rPr>
          <w:rFonts w:hint="eastAsia" w:ascii="宋体" w:hAnsi="宋体" w:eastAsia="宋体" w:cs="宋体"/>
          <w:color w:val="auto"/>
          <w:sz w:val="24"/>
          <w:szCs w:val="24"/>
          <w:vertAlign w:val="baseline"/>
          <w:lang w:val="en-US" w:eastAsia="zh-CN"/>
        </w:rPr>
        <w:t>（4）</w:t>
      </w:r>
      <w:r>
        <w:rPr>
          <w:rFonts w:hint="eastAsia" w:ascii="宋体" w:hAnsi="宋体" w:eastAsia="宋体" w:cs="宋体"/>
          <w:color w:val="auto"/>
          <w:sz w:val="24"/>
          <w:szCs w:val="24"/>
          <w:vertAlign w:val="baseline"/>
          <w:lang w:val="en-US" w:eastAsia="en-US"/>
        </w:rPr>
        <w:t>项目核查不合格的，由供应商返工直至合格，有关返工、再行核查，以及给采购人造成的损失等费用由供应商承担。连续两次项目验收不合格的，所造成的一切后果由供应商承担。</w:t>
      </w:r>
    </w:p>
    <w:p>
      <w:pPr>
        <w:numPr>
          <w:ilvl w:val="0"/>
          <w:numId w:val="0"/>
        </w:numPr>
        <w:spacing w:line="360" w:lineRule="auto"/>
        <w:ind w:firstLine="480" w:firstLineChars="20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w:t>
      </w:r>
      <w:r>
        <w:rPr>
          <w:rFonts w:hint="eastAsia" w:ascii="宋体" w:hAnsi="宋体" w:eastAsia="宋体" w:cs="宋体"/>
          <w:color w:val="auto"/>
          <w:sz w:val="24"/>
          <w:szCs w:val="24"/>
          <w:vertAlign w:val="baseline"/>
          <w:lang w:val="en-US" w:eastAsia="en-US"/>
        </w:rPr>
        <w:t>供应商在技术服务过程中，因其工作失误或者拒不接受</w:t>
      </w:r>
      <w:r>
        <w:rPr>
          <w:rFonts w:hint="eastAsia" w:ascii="宋体" w:hAnsi="宋体" w:eastAsia="宋体" w:cs="宋体"/>
          <w:color w:val="auto"/>
          <w:sz w:val="24"/>
          <w:szCs w:val="24"/>
          <w:vertAlign w:val="baseline"/>
          <w:lang w:val="en-US" w:eastAsia="zh-CN"/>
        </w:rPr>
        <w:t>嘉禾县自然资源局</w:t>
      </w:r>
      <w:r>
        <w:rPr>
          <w:rFonts w:hint="eastAsia" w:ascii="宋体" w:hAnsi="宋体" w:eastAsia="宋体" w:cs="宋体"/>
          <w:color w:val="auto"/>
          <w:sz w:val="24"/>
          <w:szCs w:val="24"/>
          <w:vertAlign w:val="baseline"/>
          <w:lang w:val="en-US" w:eastAsia="en-US"/>
        </w:rPr>
        <w:t>的监督检查，造成严重后果的，由供应商承担责任。具体表现在包括但不限于在工作中应当变更而未变更到位和不应当变更的图斑由于工作失误而变更，致使人民群众受到经济损失的；因供应商不服从工作安排造成恶劣影响的；因供应商工作不到位，变更工作受到上级通报批评或者影响考核的。</w:t>
      </w:r>
    </w:p>
    <w:p>
      <w:pPr>
        <w:bidi w:val="0"/>
        <w:spacing w:line="360" w:lineRule="auto"/>
        <w:ind w:left="0" w:leftChars="0"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五、付款方式:</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vertAlign w:val="baseline"/>
          <w:lang w:val="en-US" w:eastAsia="zh-CN"/>
        </w:rPr>
        <w:t>采购项目完工且验收合格后一个月内支付中标金额的50%、其余款项在6个月内付清。</w:t>
      </w:r>
    </w:p>
    <w:p>
      <w:pPr>
        <w:bidi w:val="0"/>
        <w:spacing w:line="360" w:lineRule="auto"/>
        <w:ind w:left="0" w:leftChars="0" w:firstLine="482" w:firstLineChars="200"/>
        <w:rPr>
          <w:rFonts w:hint="eastAsia" w:ascii="宋体" w:hAnsi="宋体" w:eastAsia="宋体" w:cs="宋体"/>
          <w:b/>
          <w:bCs/>
          <w:color w:val="auto"/>
          <w:sz w:val="24"/>
          <w:szCs w:val="24"/>
          <w:lang w:val="en-US" w:eastAsia="en-US"/>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lang w:val="en-US" w:eastAsia="en-US"/>
        </w:rPr>
        <w:t>、其他要求</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-469265</wp:posOffset>
                </wp:positionH>
                <wp:positionV relativeFrom="paragraph">
                  <wp:posOffset>1310005</wp:posOffset>
                </wp:positionV>
                <wp:extent cx="1259205" cy="281940"/>
                <wp:effectExtent l="488950" t="0" r="0" b="0"/>
                <wp:wrapNone/>
                <wp:docPr id="11" name="文本框 11"/>
                <wp:cNvGraphicFramePr/>
                <a:graphic xmlns:a="http://schemas.openxmlformats.org/drawingml/2006/main">
                  <a:graphicData uri="http://schemas.microsoft.com/office/word/2010/wordprocessingShape">
                    <wps:wsp>
                      <wps:cNvSpPr txBox="1"/>
                      <wps:spPr>
                        <a:xfrm rot="5400000">
                          <a:off x="-469806" y="1319477"/>
                          <a:ext cx="1259205" cy="281940"/>
                        </a:xfrm>
                        <a:prstGeom prst="rect">
                          <a:avLst/>
                        </a:prstGeom>
                        <a:noFill/>
                        <a:ln w="0" cap="flat">
                          <a:noFill/>
                          <a:prstDash val="solid"/>
                          <a:miter lim="0"/>
                        </a:ln>
                        <a:effectLst/>
                      </wps:spPr>
                      <wps:txbx>
                        <w:txbxContent>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Cs w:val="21"/>
                                <w:lang w:eastAsia="en-US"/>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95pt;margin-top:103.15pt;height:22.2pt;width:99.15pt;rotation:5898240f;z-index:251659264;mso-width-relative:page;mso-height-relative:page;" filled="f" stroked="f" coordsize="21600,21600" o:gfxdata="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GV+9FvZAAAACwEAAA8AAAAAAAAAAQAgAAAAIgAAAGRycy9kb3ducmV2LnhtbFBL&#10;AQIUABQAAAAIAIdO4kBqDwBAZwIAALMEAAAOAAAAAAAAAAEAIAAAACgBAABkcnMvZTJvRG9jLnht&#10;bFBLBQYAAAAABgAGAFkBAAABBgAAAAA=&#10;">
                <v:path/>
                <v:fill on="f" focussize="0,0"/>
                <v:stroke on="f" weight="0pt" miterlimit="0" joinstyle="miter"/>
                <v:imagedata o:title=""/>
                <o:lock v:ext="edit" aspectratio="f"/>
                <v:textbox inset="0mm,0mm,0mm,0mm">
                  <w:txbxContent>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Cs w:val="21"/>
                          <w:lang w:eastAsia="en-US"/>
                        </w:rPr>
                      </w:pPr>
                    </w:p>
                  </w:txbxContent>
                </v:textbox>
              </v:shape>
            </w:pict>
          </mc:Fallback>
        </mc:AlternateContent>
      </w:r>
      <w:r>
        <w:rPr>
          <w:rFonts w:hint="eastAsia" w:ascii="宋体" w:hAnsi="宋体" w:eastAsia="宋体" w:cs="宋体"/>
          <w:color w:val="auto"/>
          <w:sz w:val="24"/>
          <w:szCs w:val="24"/>
          <w:lang w:val="en-US" w:eastAsia="en-US"/>
        </w:rPr>
        <w:t>1、本项目采用费用包千方式服务，投标人应根据项目要求和现场情况，投标总报价应包括但不限于项目所需的设备设施，人员的工资、补贴、食宿、交通、社保、保险，管理费、财务费、税费与项目相关的成果评审费、利润等所有费用。一旦</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en-US" w:eastAsia="en-US"/>
        </w:rPr>
        <w:t>，在项目服务实施中发现存在任何遗漏，均由成交供应商免费提供，采购人不再支付任何费用。</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2、投标人应在</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en-US" w:eastAsia="en-US"/>
        </w:rPr>
        <w:t>后及时组织技术力量及管理团队做好项目实施工作，因为组织管理不力造成延误、赔偿、违约、责任及风险等，均由成交供应商自行承担，除非采购人自愿提供必要的政策支持义务外，采购人不承担任何补偿和责任。</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3、成交供应商如若发现有提供虚假证明资料，将取消成交资格。</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4、供应商</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en-US" w:eastAsia="en-US"/>
        </w:rPr>
        <w:t>后，不得进行分包或者转包，否则，取消</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lang w:val="en-US" w:eastAsia="en-US"/>
        </w:rPr>
        <w:t>资格，已签订的合同自动失效。</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5、其他未尽事宜由供需双方在采购合同中详细约定。</w:t>
      </w:r>
    </w:p>
    <w:p>
      <w:pPr>
        <w:bidi w:val="0"/>
        <w:spacing w:line="360" w:lineRule="auto"/>
        <w:ind w:left="0" w:leftChars="0" w:firstLine="480" w:firstLineChars="200"/>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en-US"/>
        </w:rPr>
        <w:t>6、对于上述项目要求，投标人应在投标文件中进行回应，作出承</w:t>
      </w:r>
      <w:bookmarkStart w:id="2" w:name="_GoBack"/>
      <w:bookmarkEnd w:id="2"/>
      <w:r>
        <w:rPr>
          <w:rFonts w:hint="eastAsia" w:ascii="宋体" w:hAnsi="宋体" w:eastAsia="宋体" w:cs="宋体"/>
          <w:color w:val="auto"/>
          <w:sz w:val="24"/>
          <w:szCs w:val="24"/>
          <w:lang w:val="en-US" w:eastAsia="en-US"/>
        </w:rPr>
        <w:t>诺及说明。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24D16"/>
    <w:multiLevelType w:val="singleLevel"/>
    <w:tmpl w:val="B6C24D16"/>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0ZDJhMzgwMTc2MjkzZTM2YTJhZTBkNDIwZjFiNWQifQ=="/>
  </w:docVars>
  <w:rsids>
    <w:rsidRoot w:val="7C8D5A2E"/>
    <w:rsid w:val="7C8D5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First Indent"/>
    <w:qFormat/>
    <w:uiPriority w:val="0"/>
    <w:pPr>
      <w:widowControl w:val="0"/>
      <w:spacing w:after="120" w:line="360" w:lineRule="exact"/>
      <w:ind w:left="400" w:leftChars="400" w:firstLine="420" w:firstLineChars="100"/>
      <w:jc w:val="both"/>
    </w:pPr>
    <w:rPr>
      <w:rFonts w:ascii="Times New Roman" w:hAnsi="Times New Roman" w:eastAsia="楷体_GB2312"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2026-09-10T04:07:00Z</dcterms:created>
  <dc:creator>Administrator</dc:creator>
  <cp:lastModifiedBy>Administrator</cp:lastModifiedBy>
  <dcterms:modified xsi:type="dcterms:W3CDTF">2026-09-10T04:07:53Z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0277D0279335470AA035F000EC8DB4EB</vt:lpwstr>
  </property>
</Properties>
</file>