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30416E">
      <w:pPr>
        <w:pStyle w:val="2"/>
        <w:jc w:val="center"/>
        <w:rPr>
          <w:rFonts w:hint="eastAsia" w:hAnsi="宋体" w:cs="宋体"/>
          <w:b/>
          <w:color w:val="auto"/>
          <w:kern w:val="44"/>
          <w:sz w:val="36"/>
          <w:szCs w:val="44"/>
          <w:lang w:val="en-US" w:eastAsia="zh-CN"/>
        </w:rPr>
      </w:pPr>
      <w:bookmarkStart w:id="0" w:name="_Toc19103"/>
      <w:bookmarkStart w:id="1" w:name="_Toc8062"/>
      <w:bookmarkStart w:id="2" w:name="_Toc28752"/>
      <w:bookmarkStart w:id="8" w:name="_GoBack"/>
      <w:bookmarkEnd w:id="8"/>
      <w:r>
        <w:rPr>
          <w:rFonts w:hint="eastAsia" w:hAnsi="宋体" w:cs="宋体"/>
          <w:b/>
          <w:color w:val="auto"/>
          <w:kern w:val="44"/>
          <w:sz w:val="36"/>
          <w:szCs w:val="44"/>
          <w:lang w:val="en-US" w:eastAsia="zh-CN"/>
        </w:rPr>
        <w:t>采购需求</w:t>
      </w:r>
    </w:p>
    <w:p w14:paraId="3E41B73B">
      <w:pPr>
        <w:pStyle w:val="2"/>
        <w:rPr>
          <w:color w:val="auto"/>
          <w:sz w:val="28"/>
          <w:szCs w:val="28"/>
        </w:rPr>
      </w:pPr>
      <w:r>
        <w:rPr>
          <w:rFonts w:hint="eastAsia"/>
          <w:color w:val="auto"/>
          <w:sz w:val="28"/>
          <w:szCs w:val="28"/>
        </w:rPr>
        <w:t>一、项目概述</w:t>
      </w:r>
      <w:bookmarkEnd w:id="0"/>
      <w:bookmarkEnd w:id="1"/>
    </w:p>
    <w:p w14:paraId="19543B94">
      <w:pPr>
        <w:wordWrap w:val="0"/>
        <w:topLinePunct/>
        <w:snapToGrid w:val="0"/>
        <w:spacing w:line="360" w:lineRule="auto"/>
        <w:ind w:firstLine="480" w:firstLineChars="200"/>
        <w:rPr>
          <w:rFonts w:hint="eastAsia" w:hAnsi="宋体" w:cs="宋体"/>
          <w:color w:val="auto"/>
          <w:sz w:val="24"/>
        </w:rPr>
      </w:pPr>
      <w:r>
        <w:rPr>
          <w:rFonts w:hint="eastAsia" w:hAnsi="宋体" w:cs="宋体"/>
          <w:color w:val="auto"/>
          <w:sz w:val="24"/>
        </w:rPr>
        <w:t>本项目采购的设备将用于四川大学江安校区第一基础教学楼D座的解剖实验室，旨在进一步改善江安校区解剖楼的通风、温湿度及噪音等实验环境。拟购置智能废气净化设备、组合式排风机组、数字化粒子净化模块、全新风屋顶式空气处理机组、解剖专用无影智控层流罩、语音交互版智慧物联核心监控系统、智慧终端控制器、人工智能物联网组网设备、AI数字人智能交互控制平台、移动式微方净化系统、臭氧浓度变送器、风速变送器、空气质量变送器、温湿度变送器、静压式消声模块、风机软启动变频器、风管、保温棉、阀门、电气控制柜等设备一批。</w:t>
      </w:r>
    </w:p>
    <w:p w14:paraId="1B9A4D89">
      <w:pPr>
        <w:pStyle w:val="2"/>
        <w:numPr>
          <w:ilvl w:val="1"/>
          <w:numId w:val="0"/>
        </w:numPr>
        <w:rPr>
          <w:color w:val="auto"/>
          <w:sz w:val="28"/>
          <w:szCs w:val="28"/>
        </w:rPr>
      </w:pPr>
      <w:bookmarkStart w:id="3" w:name="_Toc4060"/>
      <w:bookmarkStart w:id="4" w:name="_Toc30119"/>
      <w:r>
        <w:rPr>
          <w:rFonts w:hint="eastAsia" w:ascii="宋体" w:hAnsi="宋体" w:cs="宋体"/>
          <w:color w:val="auto"/>
          <w:sz w:val="28"/>
          <w:szCs w:val="28"/>
        </w:rPr>
        <w:t>二、</w:t>
      </w:r>
      <w:r>
        <w:rPr>
          <w:rFonts w:hint="eastAsia"/>
          <w:color w:val="auto"/>
          <w:sz w:val="28"/>
          <w:szCs w:val="28"/>
        </w:rPr>
        <w:t>项目清单及技术参数要求</w:t>
      </w:r>
      <w:bookmarkEnd w:id="3"/>
      <w:bookmarkEnd w:id="4"/>
    </w:p>
    <w:p w14:paraId="66B66A89">
      <w:pPr>
        <w:widowControl/>
        <w:jc w:val="left"/>
        <w:rPr>
          <w:rFonts w:hint="eastAsia" w:hAnsi="宋体" w:cs="宋体"/>
          <w:color w:val="auto"/>
          <w:sz w:val="24"/>
          <w:szCs w:val="24"/>
          <w:lang w:bidi="ar"/>
        </w:rPr>
      </w:pPr>
      <w:r>
        <w:rPr>
          <w:rFonts w:hint="eastAsia" w:hAnsi="宋体" w:cs="宋体"/>
          <w:color w:val="auto"/>
          <w:sz w:val="24"/>
          <w:szCs w:val="24"/>
          <w:lang w:bidi="ar"/>
        </w:rPr>
        <w:t>本项目的核心产品：无影智控层流罩、语音交互版智慧物联核心监控系统</w:t>
      </w:r>
    </w:p>
    <w:p w14:paraId="32EF6EC1">
      <w:pPr>
        <w:widowControl/>
        <w:jc w:val="left"/>
        <w:rPr>
          <w:rFonts w:hint="eastAsia" w:hAnsi="宋体" w:cs="宋体"/>
          <w:color w:val="auto"/>
          <w:sz w:val="24"/>
          <w:szCs w:val="24"/>
          <w:lang w:bidi="ar"/>
        </w:rPr>
      </w:pPr>
    </w:p>
    <w:tbl>
      <w:tblPr>
        <w:tblStyle w:val="6"/>
        <w:tblW w:w="4972" w:type="pct"/>
        <w:tblInd w:w="0" w:type="dxa"/>
        <w:tblLayout w:type="fixed"/>
        <w:tblCellMar>
          <w:top w:w="0" w:type="dxa"/>
          <w:left w:w="108" w:type="dxa"/>
          <w:bottom w:w="0" w:type="dxa"/>
          <w:right w:w="108" w:type="dxa"/>
        </w:tblCellMar>
      </w:tblPr>
      <w:tblGrid>
        <w:gridCol w:w="591"/>
        <w:gridCol w:w="1072"/>
        <w:gridCol w:w="4477"/>
        <w:gridCol w:w="641"/>
        <w:gridCol w:w="722"/>
        <w:gridCol w:w="971"/>
      </w:tblGrid>
      <w:tr w14:paraId="1C8A22CD">
        <w:tblPrEx>
          <w:tblCellMar>
            <w:top w:w="0" w:type="dxa"/>
            <w:left w:w="108" w:type="dxa"/>
            <w:bottom w:w="0" w:type="dxa"/>
            <w:right w:w="108" w:type="dxa"/>
          </w:tblCellMar>
        </w:tblPrEx>
        <w:trPr>
          <w:trHeight w:val="1000" w:hRule="atLeast"/>
        </w:trPr>
        <w:tc>
          <w:tcPr>
            <w:tcW w:w="348" w:type="pct"/>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tcPr>
          <w:p w14:paraId="03F59197">
            <w:pPr>
              <w:widowControl/>
              <w:textAlignment w:val="center"/>
              <w:rPr>
                <w:rFonts w:hint="eastAsia" w:hAnsi="宋体" w:cs="宋体"/>
                <w:color w:val="auto"/>
                <w:sz w:val="24"/>
                <w:szCs w:val="24"/>
              </w:rPr>
            </w:pPr>
            <w:r>
              <w:rPr>
                <w:rFonts w:hint="eastAsia" w:hAnsi="宋体" w:cs="宋体"/>
                <w:color w:val="auto"/>
                <w:sz w:val="24"/>
                <w:szCs w:val="24"/>
                <w:lang w:bidi="ar"/>
              </w:rPr>
              <w:t>序号</w:t>
            </w:r>
          </w:p>
        </w:tc>
        <w:tc>
          <w:tcPr>
            <w:tcW w:w="632" w:type="pct"/>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tcPr>
          <w:p w14:paraId="6E39706C">
            <w:pPr>
              <w:widowControl/>
              <w:jc w:val="center"/>
              <w:textAlignment w:val="center"/>
              <w:rPr>
                <w:rFonts w:hint="eastAsia" w:hAnsi="宋体" w:cs="宋体"/>
                <w:color w:val="auto"/>
                <w:sz w:val="24"/>
                <w:szCs w:val="24"/>
              </w:rPr>
            </w:pPr>
            <w:r>
              <w:rPr>
                <w:rFonts w:hint="eastAsia" w:hAnsi="宋体" w:cs="宋体"/>
                <w:color w:val="auto"/>
                <w:sz w:val="24"/>
                <w:szCs w:val="24"/>
              </w:rPr>
              <w:t>标的名称/（货物名称）</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tcPr>
          <w:p w14:paraId="6260F98D">
            <w:pPr>
              <w:widowControl/>
              <w:jc w:val="center"/>
              <w:textAlignment w:val="center"/>
              <w:rPr>
                <w:rFonts w:hint="eastAsia" w:hAnsi="宋体" w:cs="宋体"/>
                <w:color w:val="auto"/>
                <w:sz w:val="24"/>
                <w:szCs w:val="24"/>
              </w:rPr>
            </w:pPr>
            <w:r>
              <w:rPr>
                <w:rFonts w:hint="eastAsia" w:hAnsi="宋体" w:cs="宋体"/>
                <w:color w:val="auto"/>
                <w:sz w:val="24"/>
                <w:szCs w:val="24"/>
                <w:lang w:bidi="ar"/>
              </w:rPr>
              <w:t>技术参数要求</w:t>
            </w:r>
          </w:p>
        </w:tc>
        <w:tc>
          <w:tcPr>
            <w:tcW w:w="378" w:type="pct"/>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tcPr>
          <w:p w14:paraId="0CAED158">
            <w:pPr>
              <w:widowControl/>
              <w:jc w:val="center"/>
              <w:textAlignment w:val="center"/>
              <w:rPr>
                <w:rFonts w:hint="eastAsia" w:hAnsi="宋体" w:cs="宋体"/>
                <w:color w:val="auto"/>
                <w:sz w:val="24"/>
                <w:szCs w:val="24"/>
              </w:rPr>
            </w:pPr>
            <w:r>
              <w:rPr>
                <w:rFonts w:hint="eastAsia" w:hAnsi="宋体" w:cs="宋体"/>
                <w:color w:val="auto"/>
                <w:sz w:val="24"/>
                <w:szCs w:val="24"/>
                <w:lang w:bidi="ar"/>
              </w:rPr>
              <w:t>★单位</w:t>
            </w:r>
          </w:p>
        </w:tc>
        <w:tc>
          <w:tcPr>
            <w:tcW w:w="426" w:type="pct"/>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tcPr>
          <w:p w14:paraId="1890D5D4">
            <w:pPr>
              <w:widowControl/>
              <w:jc w:val="center"/>
              <w:textAlignment w:val="center"/>
              <w:rPr>
                <w:rFonts w:hint="eastAsia" w:hAnsi="宋体" w:cs="宋体"/>
                <w:color w:val="auto"/>
                <w:sz w:val="24"/>
                <w:szCs w:val="24"/>
              </w:rPr>
            </w:pPr>
            <w:r>
              <w:rPr>
                <w:rFonts w:hint="eastAsia" w:hAnsi="宋体" w:cs="宋体"/>
                <w:color w:val="auto"/>
                <w:sz w:val="24"/>
                <w:szCs w:val="24"/>
                <w:lang w:bidi="ar"/>
              </w:rPr>
              <w:t>★数量</w:t>
            </w:r>
          </w:p>
        </w:tc>
        <w:tc>
          <w:tcPr>
            <w:tcW w:w="573" w:type="pct"/>
            <w:tcBorders>
              <w:top w:val="single" w:color="000000" w:themeColor="text1" w:sz="4" w:space="0"/>
              <w:left w:val="single" w:color="000000" w:themeColor="text1" w:sz="4" w:space="0"/>
              <w:bottom w:val="single" w:color="000000" w:themeColor="text1" w:sz="4" w:space="0"/>
              <w:right w:val="single" w:color="000000" w:themeColor="text1" w:sz="4" w:space="0"/>
            </w:tcBorders>
            <w:noWrap/>
            <w:vAlign w:val="center"/>
          </w:tcPr>
          <w:p w14:paraId="4E27B64A">
            <w:pPr>
              <w:widowControl/>
              <w:jc w:val="center"/>
              <w:textAlignment w:val="center"/>
              <w:rPr>
                <w:rFonts w:hint="eastAsia" w:ascii="微软雅黑" w:hAnsi="微软雅黑" w:eastAsia="微软雅黑" w:cs="微软雅黑"/>
                <w:color w:val="auto"/>
                <w:sz w:val="24"/>
                <w:szCs w:val="24"/>
                <w:lang w:bidi="ar"/>
              </w:rPr>
            </w:pPr>
            <w:r>
              <w:rPr>
                <w:rFonts w:hint="eastAsia" w:hAnsi="宋体" w:cs="宋体"/>
                <w:color w:val="auto"/>
                <w:sz w:val="24"/>
                <w:szCs w:val="24"/>
                <w:lang w:bidi="ar"/>
              </w:rPr>
              <w:t>★单价最高限价（元）</w:t>
            </w:r>
          </w:p>
        </w:tc>
      </w:tr>
      <w:tr w14:paraId="7C000449">
        <w:tblPrEx>
          <w:tblCellMar>
            <w:top w:w="0" w:type="dxa"/>
            <w:left w:w="108" w:type="dxa"/>
            <w:bottom w:w="0" w:type="dxa"/>
            <w:right w:w="108" w:type="dxa"/>
          </w:tblCellMar>
        </w:tblPrEx>
        <w:trPr>
          <w:trHeight w:val="1000" w:hRule="atLeast"/>
        </w:trPr>
        <w:tc>
          <w:tcPr>
            <w:tcW w:w="348" w:type="pct"/>
            <w:tcBorders>
              <w:top w:val="single" w:color="000000" w:themeColor="text1" w:sz="4" w:space="0"/>
              <w:left w:val="single" w:color="000000" w:sz="4" w:space="0"/>
              <w:bottom w:val="single" w:color="000000" w:sz="4" w:space="0"/>
              <w:right w:val="single" w:color="000000" w:sz="4" w:space="0"/>
            </w:tcBorders>
            <w:vAlign w:val="center"/>
          </w:tcPr>
          <w:p w14:paraId="6CADFE60">
            <w:pPr>
              <w:widowControl/>
              <w:jc w:val="center"/>
              <w:textAlignment w:val="center"/>
              <w:rPr>
                <w:rFonts w:hint="eastAsia" w:hAnsi="宋体" w:cs="宋体"/>
                <w:color w:val="auto"/>
                <w:sz w:val="24"/>
                <w:szCs w:val="24"/>
              </w:rPr>
            </w:pPr>
            <w:r>
              <w:rPr>
                <w:rFonts w:hint="eastAsia" w:hAnsi="宋体" w:cs="宋体"/>
                <w:color w:val="auto"/>
                <w:sz w:val="24"/>
                <w:szCs w:val="24"/>
                <w:lang w:bidi="ar"/>
              </w:rPr>
              <w:t>1</w:t>
            </w:r>
          </w:p>
        </w:tc>
        <w:tc>
          <w:tcPr>
            <w:tcW w:w="632" w:type="pct"/>
            <w:tcBorders>
              <w:top w:val="single" w:color="000000" w:themeColor="text1" w:sz="4" w:space="0"/>
              <w:left w:val="single" w:color="000000" w:sz="4" w:space="0"/>
              <w:bottom w:val="single" w:color="000000" w:sz="4" w:space="0"/>
              <w:right w:val="single" w:color="000000" w:sz="4" w:space="0"/>
            </w:tcBorders>
            <w:vAlign w:val="center"/>
          </w:tcPr>
          <w:p w14:paraId="150EE19B">
            <w:pPr>
              <w:widowControl/>
              <w:jc w:val="center"/>
              <w:textAlignment w:val="center"/>
              <w:rPr>
                <w:rFonts w:hint="eastAsia" w:hAnsi="宋体" w:cs="宋体"/>
                <w:color w:val="auto"/>
                <w:sz w:val="24"/>
                <w:szCs w:val="24"/>
              </w:rPr>
            </w:pPr>
            <w:r>
              <w:rPr>
                <w:rFonts w:hint="eastAsia" w:hAnsi="宋体" w:cs="宋体"/>
                <w:color w:val="auto"/>
                <w:sz w:val="24"/>
                <w:szCs w:val="24"/>
                <w:lang w:bidi="ar"/>
              </w:rPr>
              <w:t>智能废气净化设备</w:t>
            </w:r>
          </w:p>
        </w:tc>
        <w:tc>
          <w:tcPr>
            <w:tcW w:w="2640" w:type="pct"/>
            <w:tcBorders>
              <w:top w:val="single" w:color="000000" w:themeColor="text1" w:sz="4" w:space="0"/>
              <w:left w:val="single" w:color="000000" w:sz="4" w:space="0"/>
              <w:bottom w:val="single" w:color="000000" w:sz="4" w:space="0"/>
              <w:right w:val="single" w:color="000000" w:sz="4" w:space="0"/>
            </w:tcBorders>
            <w:vAlign w:val="center"/>
          </w:tcPr>
          <w:p w14:paraId="702EB40F">
            <w:pPr>
              <w:widowControl/>
              <w:jc w:val="left"/>
              <w:textAlignment w:val="center"/>
              <w:rPr>
                <w:rFonts w:hint="eastAsia" w:hAnsi="宋体" w:cs="宋体"/>
                <w:color w:val="auto"/>
                <w:sz w:val="24"/>
                <w:szCs w:val="24"/>
              </w:rPr>
            </w:pPr>
            <w:r>
              <w:rPr>
                <w:rFonts w:hint="eastAsia" w:hAnsi="宋体" w:cs="宋体"/>
                <w:color w:val="auto"/>
                <w:sz w:val="24"/>
                <w:szCs w:val="24"/>
                <w:lang w:bidi="ar"/>
              </w:rPr>
              <w:t>1.外排废气处理量：≥20000m³/h。</w:t>
            </w:r>
            <w:r>
              <w:rPr>
                <w:rFonts w:hint="eastAsia" w:hAnsi="宋体" w:cs="宋体"/>
                <w:color w:val="auto"/>
                <w:sz w:val="24"/>
                <w:szCs w:val="24"/>
                <w:lang w:bidi="ar"/>
              </w:rPr>
              <w:br w:type="textWrapping"/>
            </w:r>
            <w:r>
              <w:rPr>
                <w:rFonts w:hint="eastAsia" w:hAnsi="宋体" w:cs="宋体"/>
                <w:color w:val="auto"/>
                <w:sz w:val="24"/>
                <w:szCs w:val="24"/>
                <w:lang w:bidi="ar"/>
              </w:rPr>
              <w:t>▲2.采用国标304不锈钢箱体，通过GB/T20878-2024</w:t>
            </w:r>
            <w:r>
              <w:rPr>
                <w:rFonts w:hAnsi="宋体" w:cs="宋体"/>
                <w:b w:val="0"/>
                <w:bCs w:val="0"/>
                <w:color w:val="auto"/>
                <w:sz w:val="24"/>
                <w:szCs w:val="24"/>
              </w:rPr>
              <w:t>不锈钢 牌号及化学成分</w:t>
            </w:r>
            <w:r>
              <w:rPr>
                <w:rFonts w:hint="eastAsia" w:hAnsi="宋体" w:cs="宋体"/>
                <w:color w:val="auto"/>
                <w:sz w:val="24"/>
                <w:szCs w:val="24"/>
                <w:lang w:bidi="ar"/>
              </w:rPr>
              <w:t>标准判定，其中Cr≥18，Ni≥8。提供由国家认可的检测机构出具的带CMA标识的检测报告扫描件。</w:t>
            </w:r>
            <w:r>
              <w:rPr>
                <w:rFonts w:hint="eastAsia" w:hAnsi="宋体" w:cs="宋体"/>
                <w:color w:val="auto"/>
                <w:sz w:val="24"/>
                <w:szCs w:val="24"/>
                <w:lang w:bidi="ar"/>
              </w:rPr>
              <w:br w:type="textWrapping"/>
            </w:r>
            <w:r>
              <w:rPr>
                <w:rFonts w:hint="eastAsia" w:hAnsi="宋体" w:cs="宋体"/>
                <w:color w:val="auto"/>
                <w:sz w:val="24"/>
                <w:szCs w:val="24"/>
                <w:lang w:bidi="ar"/>
              </w:rPr>
              <w:t>3.智能废气净化设备能去除挥发性有机物（VOC），无机物，硫化氢，甲醛，氨气，硫醇类等主要污染物，能去除恶臭味。</w:t>
            </w:r>
            <w:r>
              <w:rPr>
                <w:rFonts w:hint="eastAsia" w:hAnsi="宋体" w:cs="宋体"/>
                <w:color w:val="auto"/>
                <w:sz w:val="24"/>
                <w:szCs w:val="24"/>
                <w:lang w:bidi="ar"/>
              </w:rPr>
              <w:br w:type="textWrapping"/>
            </w:r>
            <w:r>
              <w:rPr>
                <w:rFonts w:hint="eastAsia" w:hAnsi="宋体" w:cs="宋体"/>
                <w:color w:val="auto"/>
                <w:sz w:val="24"/>
                <w:szCs w:val="24"/>
                <w:lang w:bidi="ar"/>
              </w:rPr>
              <w:t>4.智能废气净化设备具有高能光束微波裂解功能和高能离子净化功能。</w:t>
            </w:r>
            <w:r>
              <w:rPr>
                <w:rFonts w:hint="eastAsia" w:hAnsi="宋体" w:cs="宋体"/>
                <w:color w:val="auto"/>
                <w:sz w:val="24"/>
                <w:szCs w:val="24"/>
                <w:lang w:bidi="ar"/>
              </w:rPr>
              <w:br w:type="textWrapping"/>
            </w:r>
            <w:r>
              <w:rPr>
                <w:rFonts w:hint="eastAsia" w:hAnsi="宋体" w:cs="宋体"/>
                <w:color w:val="auto"/>
                <w:sz w:val="24"/>
                <w:szCs w:val="24"/>
                <w:lang w:bidi="ar"/>
              </w:rPr>
              <w:t>4.1高能光束微波裂解功能，运用高能光束及臭氧对恶臭气体进行协同分解氧化反应，使恶臭气体物质降解转化成低分子化合物、水和二氧化碳，再通过排风管道排出室外，达到脱臭及杀灭细菌的目的。</w:t>
            </w:r>
            <w:r>
              <w:rPr>
                <w:rFonts w:hint="eastAsia" w:hAnsi="宋体" w:cs="宋体"/>
                <w:color w:val="auto"/>
                <w:sz w:val="24"/>
                <w:szCs w:val="24"/>
                <w:lang w:bidi="ar"/>
              </w:rPr>
              <w:br w:type="textWrapping"/>
            </w:r>
            <w:r>
              <w:rPr>
                <w:rFonts w:hint="eastAsia" w:hAnsi="宋体" w:cs="宋体"/>
                <w:color w:val="auto"/>
                <w:sz w:val="24"/>
                <w:szCs w:val="24"/>
                <w:lang w:bidi="ar"/>
              </w:rPr>
              <w:t>4.2高能离子净化功能，通过高动能的电子和离子击穿和破坏细菌和病毒的细胞膜，达到消毒杀菌的作用。</w:t>
            </w:r>
            <w:r>
              <w:rPr>
                <w:rFonts w:hint="eastAsia" w:hAnsi="宋体" w:cs="宋体"/>
                <w:color w:val="auto"/>
                <w:sz w:val="24"/>
                <w:szCs w:val="24"/>
                <w:lang w:bidi="ar"/>
              </w:rPr>
              <w:br w:type="textWrapping"/>
            </w:r>
            <w:r>
              <w:rPr>
                <w:rFonts w:hint="eastAsia" w:hAnsi="宋体" w:cs="宋体"/>
                <w:color w:val="auto"/>
                <w:sz w:val="24"/>
                <w:szCs w:val="24"/>
                <w:lang w:bidi="ar"/>
              </w:rPr>
              <w:t>5.无耗材：废气通过排风机动力进入排风管道，通过废气净化设备，使恶臭气体通过本设备进行脱臭分解净化，无需添加任何物质参与化学反应，无耗材，后期不产生固废。</w:t>
            </w:r>
            <w:r>
              <w:rPr>
                <w:rFonts w:hint="eastAsia" w:hAnsi="宋体" w:cs="宋体"/>
                <w:color w:val="auto"/>
                <w:sz w:val="24"/>
                <w:szCs w:val="24"/>
                <w:lang w:bidi="ar"/>
              </w:rPr>
              <w:br w:type="textWrapping"/>
            </w:r>
            <w:r>
              <w:rPr>
                <w:rFonts w:hint="eastAsia" w:hAnsi="宋体" w:cs="宋体"/>
                <w:color w:val="auto"/>
                <w:sz w:val="24"/>
                <w:szCs w:val="24"/>
                <w:lang w:bidi="ar"/>
              </w:rPr>
              <w:t>6.适应性强：无需预处理，恶臭气体无需进行特殊的预处理，设备工作环境温度在摄氏-30℃～95℃之间，湿度在30%～98%、PH值在2～13之间均可正常工作。可适应高浓度，大气量，不同恶臭气体物质的脱臭净化处理，可每天 24 小时连续工作，运行稳定可靠。</w:t>
            </w:r>
            <w:r>
              <w:rPr>
                <w:rFonts w:hint="eastAsia" w:hAnsi="宋体" w:cs="宋体"/>
                <w:color w:val="auto"/>
                <w:sz w:val="24"/>
                <w:szCs w:val="24"/>
                <w:lang w:bidi="ar"/>
              </w:rPr>
              <w:br w:type="textWrapping"/>
            </w:r>
            <w:r>
              <w:rPr>
                <w:rFonts w:hint="eastAsia" w:hAnsi="宋体" w:cs="宋体"/>
                <w:color w:val="auto"/>
                <w:sz w:val="24"/>
                <w:szCs w:val="24"/>
                <w:lang w:bidi="ar"/>
              </w:rPr>
              <w:t>7.运行成本低：本设备运行无噪音，可根据实际情况频繁启停设备，无需专人管理和日常维护，设备能耗低，设备风阻极低＜50pa。</w:t>
            </w:r>
            <w:r>
              <w:rPr>
                <w:rFonts w:hint="eastAsia" w:hAnsi="宋体" w:cs="宋体"/>
                <w:color w:val="auto"/>
                <w:sz w:val="24"/>
                <w:szCs w:val="24"/>
                <w:lang w:bidi="ar"/>
              </w:rPr>
              <w:br w:type="textWrapping"/>
            </w:r>
            <w:r>
              <w:rPr>
                <w:rFonts w:hint="eastAsia" w:hAnsi="宋体" w:cs="宋体"/>
                <w:color w:val="auto"/>
                <w:sz w:val="24"/>
                <w:szCs w:val="24"/>
                <w:lang w:bidi="ar"/>
              </w:rPr>
              <w:t>▲8.设备运行性能、装配质量、控制系统、机械安全、电气安装、空载运行试验等达到GB/T5226.1-2019 机械电气安全 机械电气设备 第1部分:通用技术条件相关标准。提供由国家认可的检测机构出具的带CMA标识的检测报告扫描件。</w:t>
            </w:r>
          </w:p>
        </w:tc>
        <w:tc>
          <w:tcPr>
            <w:tcW w:w="378" w:type="pct"/>
            <w:tcBorders>
              <w:top w:val="single" w:color="000000" w:themeColor="text1" w:sz="4" w:space="0"/>
              <w:left w:val="single" w:color="000000" w:sz="4" w:space="0"/>
              <w:bottom w:val="single" w:color="000000" w:sz="4" w:space="0"/>
              <w:right w:val="single" w:color="000000" w:sz="4" w:space="0"/>
            </w:tcBorders>
            <w:noWrap/>
            <w:vAlign w:val="center"/>
          </w:tcPr>
          <w:p w14:paraId="4F747C69">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themeColor="text1" w:sz="4" w:space="0"/>
              <w:left w:val="single" w:color="000000" w:sz="4" w:space="0"/>
              <w:bottom w:val="single" w:color="000000" w:sz="4" w:space="0"/>
              <w:right w:val="single" w:color="000000" w:sz="4" w:space="0"/>
            </w:tcBorders>
            <w:noWrap/>
            <w:vAlign w:val="center"/>
          </w:tcPr>
          <w:p w14:paraId="31118ADB">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themeColor="text1" w:sz="4" w:space="0"/>
              <w:left w:val="single" w:color="000000" w:sz="4" w:space="0"/>
              <w:bottom w:val="single" w:color="000000" w:sz="4" w:space="0"/>
              <w:right w:val="single" w:color="000000" w:sz="4" w:space="0"/>
            </w:tcBorders>
            <w:noWrap/>
            <w:vAlign w:val="center"/>
          </w:tcPr>
          <w:p w14:paraId="16225920">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br w:type="textWrapping"/>
            </w:r>
            <w:r>
              <w:rPr>
                <w:rFonts w:hint="eastAsia" w:hAnsi="宋体" w:cs="宋体"/>
                <w:color w:val="auto"/>
                <w:sz w:val="24"/>
                <w:szCs w:val="24"/>
                <w:lang w:bidi="ar"/>
              </w:rPr>
              <w:t>106,800.00</w:t>
            </w:r>
          </w:p>
        </w:tc>
      </w:tr>
      <w:tr w14:paraId="5BDC092D">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700FA6C5">
            <w:pPr>
              <w:widowControl/>
              <w:jc w:val="center"/>
              <w:textAlignment w:val="center"/>
              <w:rPr>
                <w:rFonts w:hint="eastAsia" w:hAnsi="宋体" w:cs="宋体"/>
                <w:color w:val="auto"/>
                <w:sz w:val="24"/>
                <w:szCs w:val="24"/>
              </w:rPr>
            </w:pPr>
            <w:r>
              <w:rPr>
                <w:rFonts w:hint="eastAsia" w:hAnsi="宋体" w:cs="宋体"/>
                <w:color w:val="auto"/>
                <w:sz w:val="24"/>
                <w:szCs w:val="24"/>
                <w:lang w:bidi="ar"/>
              </w:rPr>
              <w:t>2</w:t>
            </w:r>
          </w:p>
        </w:tc>
        <w:tc>
          <w:tcPr>
            <w:tcW w:w="632" w:type="pct"/>
            <w:tcBorders>
              <w:top w:val="single" w:color="000000" w:sz="4" w:space="0"/>
              <w:left w:val="single" w:color="000000" w:sz="4" w:space="0"/>
              <w:bottom w:val="single" w:color="000000" w:sz="4" w:space="0"/>
              <w:right w:val="nil"/>
            </w:tcBorders>
            <w:vAlign w:val="center"/>
          </w:tcPr>
          <w:p w14:paraId="08577144">
            <w:pPr>
              <w:widowControl/>
              <w:jc w:val="center"/>
              <w:textAlignment w:val="center"/>
              <w:rPr>
                <w:rFonts w:hint="eastAsia" w:hAnsi="宋体" w:cs="宋体"/>
                <w:color w:val="auto"/>
                <w:sz w:val="24"/>
                <w:szCs w:val="24"/>
              </w:rPr>
            </w:pPr>
            <w:r>
              <w:rPr>
                <w:rFonts w:hint="eastAsia" w:hAnsi="宋体" w:cs="宋体"/>
                <w:color w:val="auto"/>
                <w:sz w:val="24"/>
                <w:szCs w:val="24"/>
                <w:lang w:bidi="ar"/>
              </w:rPr>
              <w:t>组合式排风机组</w:t>
            </w:r>
          </w:p>
        </w:tc>
        <w:tc>
          <w:tcPr>
            <w:tcW w:w="2640" w:type="pct"/>
            <w:tcBorders>
              <w:top w:val="single" w:color="000000" w:sz="4" w:space="0"/>
              <w:left w:val="single" w:color="000000" w:sz="4" w:space="0"/>
              <w:bottom w:val="single" w:color="000000" w:sz="4" w:space="0"/>
              <w:right w:val="single" w:color="000000" w:sz="4" w:space="0"/>
            </w:tcBorders>
            <w:vAlign w:val="center"/>
          </w:tcPr>
          <w:p w14:paraId="55F28486">
            <w:pPr>
              <w:widowControl/>
              <w:jc w:val="left"/>
              <w:textAlignment w:val="center"/>
              <w:rPr>
                <w:rFonts w:hint="eastAsia" w:hAnsi="宋体" w:cs="宋体"/>
                <w:color w:val="auto"/>
                <w:sz w:val="24"/>
                <w:szCs w:val="24"/>
              </w:rPr>
            </w:pPr>
            <w:r>
              <w:rPr>
                <w:rFonts w:hint="eastAsia" w:hAnsi="宋体" w:cs="宋体"/>
                <w:color w:val="auto"/>
                <w:sz w:val="24"/>
                <w:szCs w:val="24"/>
                <w:lang w:bidi="ar"/>
              </w:rPr>
              <w:t>1.空气过滤器处理量：≥20000m³/h。</w:t>
            </w:r>
            <w:r>
              <w:rPr>
                <w:rFonts w:hint="eastAsia" w:hAnsi="宋体" w:cs="宋体"/>
                <w:color w:val="auto"/>
                <w:sz w:val="24"/>
                <w:szCs w:val="24"/>
                <w:lang w:bidi="ar"/>
              </w:rPr>
              <w:br w:type="textWrapping"/>
            </w:r>
            <w:r>
              <w:rPr>
                <w:rFonts w:hint="eastAsia" w:hAnsi="宋体" w:cs="宋体"/>
                <w:color w:val="auto"/>
                <w:sz w:val="24"/>
                <w:szCs w:val="24"/>
                <w:lang w:bidi="ar"/>
              </w:rPr>
              <w:t>2.余压：≥650Pa，380V，≥4KW，噪声：＜70dB（A）。</w:t>
            </w:r>
            <w:r>
              <w:rPr>
                <w:rFonts w:hint="eastAsia" w:hAnsi="宋体" w:cs="宋体"/>
                <w:color w:val="auto"/>
                <w:sz w:val="24"/>
                <w:szCs w:val="24"/>
                <w:lang w:bidi="ar"/>
              </w:rPr>
              <w:br w:type="textWrapping"/>
            </w:r>
            <w:r>
              <w:rPr>
                <w:rFonts w:hint="eastAsia" w:hAnsi="宋体" w:cs="宋体"/>
                <w:color w:val="auto"/>
                <w:sz w:val="24"/>
                <w:szCs w:val="24"/>
                <w:lang w:bidi="ar"/>
              </w:rPr>
              <w:t>3.内置自动增氧模式层和智能空气测控器。反应段前段带多点自平衡负压引流系统。</w:t>
            </w:r>
            <w:r>
              <w:rPr>
                <w:rFonts w:hint="eastAsia" w:hAnsi="宋体" w:cs="宋体"/>
                <w:color w:val="auto"/>
                <w:sz w:val="24"/>
                <w:szCs w:val="24"/>
                <w:lang w:bidi="ar"/>
              </w:rPr>
              <w:br w:type="textWrapping"/>
            </w:r>
            <w:r>
              <w:rPr>
                <w:rFonts w:hint="eastAsia" w:hAnsi="宋体" w:cs="宋体"/>
                <w:color w:val="auto"/>
                <w:sz w:val="24"/>
                <w:szCs w:val="24"/>
                <w:lang w:bidi="ar"/>
              </w:rPr>
              <w:t>4.要求可与语音交互版智慧物联核心监控系统无缝连接，可远程开启及关闭。</w:t>
            </w:r>
            <w:r>
              <w:rPr>
                <w:rFonts w:hint="eastAsia" w:hAnsi="宋体" w:cs="宋体"/>
                <w:color w:val="auto"/>
                <w:sz w:val="24"/>
                <w:szCs w:val="24"/>
                <w:lang w:bidi="ar"/>
              </w:rPr>
              <w:br w:type="textWrapping"/>
            </w:r>
            <w:r>
              <w:rPr>
                <w:rFonts w:hint="eastAsia" w:hAnsi="宋体" w:cs="宋体"/>
                <w:color w:val="auto"/>
                <w:sz w:val="24"/>
                <w:szCs w:val="24"/>
                <w:lang w:bidi="ar"/>
              </w:rPr>
              <w:t>5.隔热断冷桥设计：柜式风机，采用难燃型聚氨酯发泡保温材料隔热板保温壁板，扣封型空气处理机组箱体内部的所有金属都通过聚氨酯发泡和断冷桥复合材料与金属隔断，杜绝了箱体冷桥；机组框架及壁板之间粘贴保温密封条。</w:t>
            </w:r>
            <w:r>
              <w:rPr>
                <w:rFonts w:hint="eastAsia" w:hAnsi="宋体" w:cs="宋体"/>
                <w:color w:val="auto"/>
                <w:sz w:val="24"/>
                <w:szCs w:val="24"/>
                <w:lang w:bidi="ar"/>
              </w:rPr>
              <w:br w:type="textWrapping"/>
            </w:r>
            <w:r>
              <w:rPr>
                <w:rFonts w:hint="eastAsia" w:hAnsi="宋体" w:cs="宋体"/>
                <w:color w:val="auto"/>
                <w:sz w:val="24"/>
                <w:szCs w:val="24"/>
                <w:lang w:bidi="ar"/>
              </w:rPr>
              <w:t>6.含风机设备的基础安装服务。</w:t>
            </w:r>
          </w:p>
        </w:tc>
        <w:tc>
          <w:tcPr>
            <w:tcW w:w="378" w:type="pct"/>
            <w:tcBorders>
              <w:top w:val="single" w:color="000000" w:sz="4" w:space="0"/>
              <w:left w:val="single" w:color="000000" w:sz="4" w:space="0"/>
              <w:bottom w:val="single" w:color="000000" w:sz="4" w:space="0"/>
              <w:right w:val="single" w:color="000000" w:sz="4" w:space="0"/>
            </w:tcBorders>
            <w:vAlign w:val="center"/>
          </w:tcPr>
          <w:p w14:paraId="18D69DE6">
            <w:pPr>
              <w:widowControl/>
              <w:jc w:val="center"/>
              <w:textAlignment w:val="center"/>
              <w:rPr>
                <w:rFonts w:hint="eastAsia" w:hAnsi="宋体" w:cs="宋体"/>
                <w:color w:val="auto"/>
                <w:sz w:val="24"/>
                <w:szCs w:val="24"/>
              </w:rPr>
            </w:pPr>
            <w:r>
              <w:rPr>
                <w:rFonts w:hint="eastAsia" w:hAnsi="宋体" w:cs="宋体"/>
                <w:color w:val="auto"/>
                <w:sz w:val="24"/>
                <w:szCs w:val="24"/>
                <w:lang w:bidi="ar"/>
              </w:rPr>
              <w:t>台</w:t>
            </w:r>
          </w:p>
        </w:tc>
        <w:tc>
          <w:tcPr>
            <w:tcW w:w="426" w:type="pct"/>
            <w:tcBorders>
              <w:top w:val="single" w:color="000000" w:sz="4" w:space="0"/>
              <w:left w:val="single" w:color="000000" w:sz="4" w:space="0"/>
              <w:bottom w:val="single" w:color="000000" w:sz="4" w:space="0"/>
              <w:right w:val="single" w:color="000000" w:sz="4" w:space="0"/>
            </w:tcBorders>
            <w:vAlign w:val="center"/>
          </w:tcPr>
          <w:p w14:paraId="11A79A76">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72948130">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21,000.00</w:t>
            </w:r>
          </w:p>
        </w:tc>
      </w:tr>
      <w:tr w14:paraId="7D9B0C7A">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3EB4CD39">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632" w:type="pct"/>
            <w:tcBorders>
              <w:top w:val="single" w:color="000000" w:sz="4" w:space="0"/>
              <w:left w:val="single" w:color="000000" w:sz="4" w:space="0"/>
              <w:bottom w:val="single" w:color="000000" w:sz="4" w:space="0"/>
              <w:right w:val="nil"/>
            </w:tcBorders>
            <w:vAlign w:val="center"/>
          </w:tcPr>
          <w:p w14:paraId="61CA6CBC">
            <w:pPr>
              <w:widowControl/>
              <w:jc w:val="center"/>
              <w:textAlignment w:val="center"/>
              <w:rPr>
                <w:rFonts w:hint="eastAsia" w:hAnsi="宋体" w:cs="宋体"/>
                <w:color w:val="auto"/>
                <w:sz w:val="24"/>
                <w:szCs w:val="24"/>
              </w:rPr>
            </w:pPr>
            <w:r>
              <w:rPr>
                <w:rFonts w:hint="eastAsia" w:hAnsi="宋体" w:cs="宋体"/>
                <w:color w:val="auto"/>
                <w:sz w:val="24"/>
                <w:szCs w:val="24"/>
                <w:lang w:bidi="ar"/>
              </w:rPr>
              <w:t>数字化粒子净化模块</w:t>
            </w:r>
          </w:p>
        </w:tc>
        <w:tc>
          <w:tcPr>
            <w:tcW w:w="2640" w:type="pct"/>
            <w:tcBorders>
              <w:top w:val="single" w:color="000000" w:sz="4" w:space="0"/>
              <w:left w:val="single" w:color="000000" w:sz="4" w:space="0"/>
              <w:bottom w:val="single" w:color="000000" w:sz="4" w:space="0"/>
              <w:right w:val="single" w:color="000000" w:sz="4" w:space="0"/>
            </w:tcBorders>
            <w:vAlign w:val="center"/>
          </w:tcPr>
          <w:p w14:paraId="67BEFE6A">
            <w:pPr>
              <w:widowControl/>
              <w:jc w:val="left"/>
              <w:textAlignment w:val="center"/>
              <w:rPr>
                <w:rFonts w:hint="eastAsia" w:hAnsi="宋体" w:cs="宋体"/>
                <w:color w:val="auto"/>
                <w:sz w:val="24"/>
                <w:szCs w:val="24"/>
              </w:rPr>
            </w:pPr>
            <w:r>
              <w:rPr>
                <w:rFonts w:hint="eastAsia" w:hAnsi="宋体" w:cs="宋体"/>
                <w:color w:val="auto"/>
                <w:sz w:val="24"/>
                <w:szCs w:val="24"/>
                <w:lang w:bidi="ar"/>
              </w:rPr>
              <w:t>1.离子主机安装于新风管道中，离子释放单元与空气流向和风管采用垂直安装方式，确保送风通过电离模块表面，充分接触并完全反应，最大程度激发离子活性。通过室内送风末端送入实验室，具有主动捕捉有害气体，全覆盖净化的特性。</w:t>
            </w:r>
            <w:r>
              <w:rPr>
                <w:rFonts w:hint="eastAsia" w:hAnsi="宋体" w:cs="宋体"/>
                <w:color w:val="auto"/>
                <w:sz w:val="24"/>
                <w:szCs w:val="24"/>
                <w:lang w:bidi="ar"/>
              </w:rPr>
              <w:br w:type="textWrapping"/>
            </w:r>
            <w:r>
              <w:rPr>
                <w:rFonts w:hint="eastAsia" w:hAnsi="宋体" w:cs="宋体"/>
                <w:color w:val="auto"/>
                <w:sz w:val="24"/>
                <w:szCs w:val="24"/>
                <w:lang w:bidi="ar"/>
              </w:rPr>
              <w:t>2.设备利用空气进行介质壁垒放电，产生双离子及高能粒子以及连锁生成的OH自由基，包括正离子水合物、超氧基阴离子等，其中OH自由基以及高能粒子具有强氧化性和高能分解能力，能够打开VOC、甲醛、二甲苯、烷类、硫化氢、氨等分子化学键，将其分解成二氧化碳、水及碳化合物，起到净化空气的作用。</w:t>
            </w:r>
            <w:r>
              <w:rPr>
                <w:rFonts w:hint="eastAsia" w:hAnsi="宋体" w:cs="宋体"/>
                <w:color w:val="auto"/>
                <w:sz w:val="24"/>
                <w:szCs w:val="24"/>
                <w:lang w:bidi="ar"/>
              </w:rPr>
              <w:br w:type="textWrapping"/>
            </w:r>
            <w:r>
              <w:rPr>
                <w:rFonts w:hint="eastAsia" w:hAnsi="宋体" w:cs="宋体"/>
                <w:color w:val="auto"/>
                <w:sz w:val="24"/>
                <w:szCs w:val="24"/>
                <w:lang w:bidi="ar"/>
              </w:rPr>
              <w:t>3.设备运行中，离子簇碰撞产生电击，能够破坏微生物，如细菌、病毒等的细胞结构并使其丧失活性，起到消杀作用。</w:t>
            </w:r>
            <w:r>
              <w:rPr>
                <w:rFonts w:hint="eastAsia" w:hAnsi="宋体" w:cs="宋体"/>
                <w:color w:val="auto"/>
                <w:sz w:val="24"/>
                <w:szCs w:val="24"/>
                <w:lang w:bidi="ar"/>
              </w:rPr>
              <w:br w:type="textWrapping"/>
            </w:r>
            <w:r>
              <w:rPr>
                <w:rFonts w:hint="eastAsia" w:hAnsi="宋体" w:cs="宋体"/>
                <w:color w:val="auto"/>
                <w:sz w:val="24"/>
                <w:szCs w:val="24"/>
                <w:lang w:bidi="ar"/>
              </w:rPr>
              <w:t>4.设备尺寸：260*350*200mm（±30mm）；其中底座尺寸：260*160*200mm（±30mm）；离子释放单元尺寸：长度190mm（±30mm），直径45mm（±10mm），每套设备含4台离子释放单元，功率：≤55W。设备使用寿命不小于10年。</w:t>
            </w:r>
            <w:r>
              <w:rPr>
                <w:rFonts w:hint="eastAsia" w:hAnsi="宋体" w:cs="宋体"/>
                <w:color w:val="auto"/>
                <w:sz w:val="24"/>
                <w:szCs w:val="24"/>
                <w:lang w:bidi="ar"/>
              </w:rPr>
              <w:br w:type="textWrapping"/>
            </w:r>
            <w:r>
              <w:rPr>
                <w:rFonts w:hint="eastAsia" w:hAnsi="宋体" w:cs="宋体"/>
                <w:color w:val="auto"/>
                <w:sz w:val="24"/>
                <w:szCs w:val="24"/>
                <w:lang w:bidi="ar"/>
              </w:rPr>
              <w:t>5.电压：AC220V±10V，50±10Hz。</w:t>
            </w:r>
            <w:r>
              <w:rPr>
                <w:rFonts w:hint="eastAsia" w:hAnsi="宋体" w:cs="宋体"/>
                <w:color w:val="auto"/>
                <w:sz w:val="24"/>
                <w:szCs w:val="24"/>
                <w:lang w:bidi="ar"/>
              </w:rPr>
              <w:br w:type="textWrapping"/>
            </w:r>
            <w:r>
              <w:rPr>
                <w:rFonts w:hint="eastAsia" w:hAnsi="宋体" w:cs="宋体"/>
                <w:color w:val="auto"/>
                <w:sz w:val="24"/>
                <w:szCs w:val="24"/>
                <w:lang w:bidi="ar"/>
              </w:rPr>
              <w:t>6.设备采用金属底座，防腐喷涂，离子发生装置固定于绝缘透明模块上，内部至少能显示电子变压器、控制主板、内部线路。</w:t>
            </w:r>
            <w:r>
              <w:rPr>
                <w:rFonts w:hint="eastAsia" w:hAnsi="宋体" w:cs="宋体"/>
                <w:color w:val="auto"/>
                <w:sz w:val="24"/>
                <w:szCs w:val="24"/>
                <w:lang w:bidi="ar"/>
              </w:rPr>
              <w:br w:type="textWrapping"/>
            </w:r>
            <w:r>
              <w:rPr>
                <w:rFonts w:hint="eastAsia" w:hAnsi="宋体" w:cs="宋体"/>
                <w:color w:val="auto"/>
                <w:sz w:val="24"/>
                <w:szCs w:val="24"/>
                <w:lang w:bidi="ar"/>
              </w:rPr>
              <w:t>▲7.双极屏蔽电离技术，负离子量≥20000个/cm³（符合QB/T 4982-2023家用和类似用途电器用负离子发生器标准），室内空气甲醛去除率≥95%，臭氧浓度≤0.16mg/m³，符合GB/T 18883-2022</w:t>
            </w:r>
            <w:r>
              <w:rPr>
                <w:rFonts w:hAnsi="宋体" w:cs="宋体"/>
                <w:b w:val="0"/>
                <w:bCs w:val="0"/>
                <w:color w:val="auto"/>
                <w:sz w:val="24"/>
                <w:szCs w:val="24"/>
              </w:rPr>
              <w:t>室内空气质量标准</w:t>
            </w:r>
            <w:r>
              <w:rPr>
                <w:rFonts w:hint="eastAsia" w:hAnsi="宋体" w:cs="宋体"/>
                <w:color w:val="auto"/>
                <w:sz w:val="24"/>
                <w:szCs w:val="24"/>
                <w:lang w:bidi="ar"/>
              </w:rPr>
              <w:t>要求。提供由国家认可的检测机构出具的带CMA标识的检测报告扫描件。</w:t>
            </w:r>
            <w:r>
              <w:rPr>
                <w:rFonts w:hint="eastAsia" w:hAnsi="宋体" w:cs="宋体"/>
                <w:color w:val="auto"/>
                <w:sz w:val="24"/>
                <w:szCs w:val="24"/>
                <w:lang w:bidi="ar"/>
              </w:rPr>
              <w:br w:type="textWrapping"/>
            </w:r>
            <w:r>
              <w:rPr>
                <w:rFonts w:hint="eastAsia" w:hAnsi="宋体" w:cs="宋体"/>
                <w:color w:val="auto"/>
                <w:sz w:val="24"/>
                <w:szCs w:val="24"/>
                <w:lang w:bidi="ar"/>
              </w:rPr>
              <w:t>8.底座有设备把手，具有开关切换键和电源插座，并有≥6组串联信号接口和≥4组串联警报接口，设备便携式安装，方便维护保养。</w:t>
            </w:r>
            <w:r>
              <w:rPr>
                <w:rFonts w:hint="eastAsia" w:hAnsi="宋体" w:cs="宋体"/>
                <w:color w:val="auto"/>
                <w:sz w:val="24"/>
                <w:szCs w:val="24"/>
                <w:lang w:bidi="ar"/>
              </w:rPr>
              <w:br w:type="textWrapping"/>
            </w:r>
            <w:r>
              <w:rPr>
                <w:rFonts w:hint="eastAsia" w:hAnsi="宋体" w:cs="宋体"/>
                <w:color w:val="auto"/>
                <w:sz w:val="24"/>
                <w:szCs w:val="24"/>
                <w:lang w:bidi="ar"/>
              </w:rPr>
              <w:t>9.离子释放单元采用螺纹护套安装，具有安全牢固的接地装置，确保安全和稳定性。</w:t>
            </w:r>
            <w:r>
              <w:rPr>
                <w:rFonts w:hint="eastAsia" w:hAnsi="宋体" w:cs="宋体"/>
                <w:color w:val="auto"/>
                <w:sz w:val="24"/>
                <w:szCs w:val="24"/>
                <w:lang w:bidi="ar"/>
              </w:rPr>
              <w:br w:type="textWrapping"/>
            </w:r>
            <w:r>
              <w:rPr>
                <w:rFonts w:hint="eastAsia" w:hAnsi="宋体" w:cs="宋体"/>
                <w:color w:val="auto"/>
                <w:sz w:val="24"/>
                <w:szCs w:val="24"/>
                <w:lang w:bidi="ar"/>
              </w:rPr>
              <w:t>10.设备具有过流保护功能，具有温控保护功能。</w:t>
            </w:r>
            <w:r>
              <w:rPr>
                <w:rFonts w:hint="eastAsia" w:hAnsi="宋体" w:cs="宋体"/>
                <w:color w:val="auto"/>
                <w:sz w:val="24"/>
                <w:szCs w:val="24"/>
                <w:lang w:bidi="ar"/>
              </w:rPr>
              <w:br w:type="textWrapping"/>
            </w:r>
            <w:r>
              <w:rPr>
                <w:rFonts w:hint="eastAsia" w:hAnsi="宋体" w:cs="宋体"/>
                <w:color w:val="auto"/>
                <w:sz w:val="24"/>
                <w:szCs w:val="24"/>
                <w:lang w:bidi="ar"/>
              </w:rPr>
              <w:t>11.工作环境温度和湿度的适用范围大，温度在摄氏-30℃~55℃之间，湿度在30%~98%，能符合本项目自然环境下使用，无须保温保湿，操作管理及维护简便，只需每半年清洗和检查，无需专人管理。</w:t>
            </w:r>
          </w:p>
        </w:tc>
        <w:tc>
          <w:tcPr>
            <w:tcW w:w="378" w:type="pct"/>
            <w:tcBorders>
              <w:top w:val="single" w:color="000000" w:sz="4" w:space="0"/>
              <w:left w:val="single" w:color="000000" w:sz="4" w:space="0"/>
              <w:bottom w:val="single" w:color="000000" w:sz="4" w:space="0"/>
              <w:right w:val="single" w:color="000000" w:sz="4" w:space="0"/>
            </w:tcBorders>
            <w:vAlign w:val="center"/>
          </w:tcPr>
          <w:p w14:paraId="5EA92A53">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6D041952">
            <w:pPr>
              <w:widowControl/>
              <w:jc w:val="center"/>
              <w:textAlignment w:val="center"/>
              <w:rPr>
                <w:rFonts w:hint="eastAsia" w:hAnsi="宋体" w:cs="宋体"/>
                <w:color w:val="auto"/>
                <w:sz w:val="24"/>
                <w:szCs w:val="24"/>
              </w:rPr>
            </w:pPr>
            <w:r>
              <w:rPr>
                <w:rFonts w:hint="eastAsia" w:hAnsi="宋体" w:cs="宋体"/>
                <w:color w:val="auto"/>
                <w:sz w:val="24"/>
                <w:szCs w:val="24"/>
                <w:lang w:bidi="ar"/>
              </w:rPr>
              <w:t>6</w:t>
            </w:r>
          </w:p>
        </w:tc>
        <w:tc>
          <w:tcPr>
            <w:tcW w:w="573" w:type="pct"/>
            <w:tcBorders>
              <w:top w:val="single" w:color="000000" w:sz="4" w:space="0"/>
              <w:left w:val="single" w:color="000000" w:sz="4" w:space="0"/>
              <w:bottom w:val="single" w:color="000000" w:sz="4" w:space="0"/>
              <w:right w:val="single" w:color="000000" w:sz="4" w:space="0"/>
            </w:tcBorders>
            <w:vAlign w:val="center"/>
          </w:tcPr>
          <w:p w14:paraId="7DD556AB">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79,500.00</w:t>
            </w:r>
          </w:p>
        </w:tc>
      </w:tr>
      <w:tr w14:paraId="665D4C10">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40DC365F">
            <w:pPr>
              <w:widowControl/>
              <w:jc w:val="center"/>
              <w:textAlignment w:val="center"/>
              <w:rPr>
                <w:rFonts w:hint="eastAsia" w:hAnsi="宋体" w:cs="宋体"/>
                <w:color w:val="auto"/>
                <w:sz w:val="24"/>
                <w:szCs w:val="24"/>
              </w:rPr>
            </w:pPr>
            <w:r>
              <w:rPr>
                <w:rFonts w:hint="eastAsia" w:hAnsi="宋体" w:cs="宋体"/>
                <w:color w:val="auto"/>
                <w:sz w:val="24"/>
                <w:szCs w:val="24"/>
                <w:lang w:bidi="ar"/>
              </w:rPr>
              <w:t>4</w:t>
            </w:r>
          </w:p>
        </w:tc>
        <w:tc>
          <w:tcPr>
            <w:tcW w:w="632" w:type="pct"/>
            <w:tcBorders>
              <w:top w:val="single" w:color="000000" w:sz="4" w:space="0"/>
              <w:left w:val="single" w:color="000000" w:sz="4" w:space="0"/>
              <w:bottom w:val="single" w:color="000000" w:sz="4" w:space="0"/>
              <w:right w:val="nil"/>
            </w:tcBorders>
            <w:vAlign w:val="center"/>
          </w:tcPr>
          <w:p w14:paraId="58307EC5">
            <w:pPr>
              <w:widowControl/>
              <w:jc w:val="center"/>
              <w:textAlignment w:val="center"/>
              <w:rPr>
                <w:rFonts w:hint="eastAsia" w:hAnsi="宋体" w:cs="宋体"/>
                <w:color w:val="auto"/>
                <w:sz w:val="24"/>
                <w:szCs w:val="24"/>
              </w:rPr>
            </w:pPr>
            <w:r>
              <w:rPr>
                <w:rFonts w:hint="eastAsia" w:hAnsi="宋体" w:cs="宋体"/>
                <w:color w:val="auto"/>
                <w:sz w:val="24"/>
                <w:szCs w:val="24"/>
                <w:lang w:bidi="ar"/>
              </w:rPr>
              <w:t>全新风屋顶式空气处理机组</w:t>
            </w:r>
          </w:p>
        </w:tc>
        <w:tc>
          <w:tcPr>
            <w:tcW w:w="2640" w:type="pct"/>
            <w:tcBorders>
              <w:top w:val="single" w:color="000000" w:sz="4" w:space="0"/>
              <w:left w:val="single" w:color="000000" w:sz="4" w:space="0"/>
              <w:bottom w:val="single" w:color="000000" w:sz="4" w:space="0"/>
              <w:right w:val="single" w:color="000000" w:sz="4" w:space="0"/>
            </w:tcBorders>
            <w:vAlign w:val="center"/>
          </w:tcPr>
          <w:p w14:paraId="4C9FA83D">
            <w:pPr>
              <w:widowControl/>
              <w:jc w:val="left"/>
              <w:textAlignment w:val="center"/>
              <w:rPr>
                <w:rFonts w:hint="eastAsia" w:hAnsi="宋体" w:cs="宋体"/>
                <w:color w:val="auto"/>
                <w:sz w:val="24"/>
                <w:szCs w:val="24"/>
              </w:rPr>
            </w:pPr>
            <w:r>
              <w:rPr>
                <w:rFonts w:hint="eastAsia" w:hAnsi="宋体" w:cs="宋体"/>
                <w:color w:val="auto"/>
                <w:sz w:val="24"/>
                <w:szCs w:val="24"/>
                <w:lang w:bidi="ar"/>
              </w:rPr>
              <w:t>1.新风量：≥14000m³/h，冷量≥150KW，热量≥151KW。</w:t>
            </w:r>
            <w:r>
              <w:rPr>
                <w:rFonts w:hint="eastAsia" w:hAnsi="宋体" w:cs="宋体"/>
                <w:color w:val="auto"/>
                <w:sz w:val="24"/>
                <w:szCs w:val="24"/>
                <w:lang w:bidi="ar"/>
              </w:rPr>
              <w:br w:type="textWrapping"/>
            </w:r>
            <w:r>
              <w:rPr>
                <w:rFonts w:hint="eastAsia" w:hAnsi="宋体" w:cs="宋体"/>
                <w:color w:val="auto"/>
                <w:sz w:val="24"/>
                <w:szCs w:val="24"/>
                <w:lang w:bidi="ar"/>
              </w:rPr>
              <w:t>2.功率≥55.2kw，余压≥400Pa。</w:t>
            </w:r>
            <w:r>
              <w:rPr>
                <w:rFonts w:hint="eastAsia" w:hAnsi="宋体" w:cs="宋体"/>
                <w:color w:val="auto"/>
                <w:sz w:val="24"/>
                <w:szCs w:val="24"/>
                <w:lang w:bidi="ar"/>
              </w:rPr>
              <w:br w:type="textWrapping"/>
            </w:r>
            <w:r>
              <w:rPr>
                <w:rFonts w:hint="eastAsia" w:hAnsi="宋体" w:cs="宋体"/>
                <w:color w:val="auto"/>
                <w:sz w:val="24"/>
                <w:szCs w:val="24"/>
                <w:lang w:bidi="ar"/>
              </w:rPr>
              <w:t>3.电源：380V/220V， 50HZ；</w:t>
            </w:r>
            <w:r>
              <w:rPr>
                <w:rFonts w:hint="eastAsia" w:hAnsi="宋体" w:cs="宋体"/>
                <w:color w:val="auto"/>
                <w:sz w:val="24"/>
                <w:szCs w:val="24"/>
                <w:lang w:bidi="ar"/>
              </w:rPr>
              <w:br w:type="textWrapping"/>
            </w:r>
            <w:r>
              <w:rPr>
                <w:rFonts w:hint="eastAsia" w:hAnsi="宋体" w:cs="宋体"/>
                <w:color w:val="auto"/>
                <w:sz w:val="24"/>
                <w:szCs w:val="24"/>
                <w:lang w:bidi="ar"/>
              </w:rPr>
              <w:t>4.过滤精度：≥2um；过滤效率：≥90％ ；</w:t>
            </w:r>
            <w:r>
              <w:rPr>
                <w:rFonts w:hint="eastAsia" w:hAnsi="宋体" w:cs="宋体"/>
                <w:color w:val="auto"/>
                <w:sz w:val="24"/>
                <w:szCs w:val="24"/>
                <w:lang w:bidi="ar"/>
              </w:rPr>
              <w:br w:type="textWrapping"/>
            </w:r>
            <w:r>
              <w:rPr>
                <w:rFonts w:hint="eastAsia" w:hAnsi="宋体" w:cs="宋体"/>
                <w:color w:val="auto"/>
                <w:sz w:val="24"/>
                <w:szCs w:val="24"/>
                <w:lang w:bidi="ar"/>
              </w:rPr>
              <w:t>5.过滤阻损Pa：初阻≤100Pa,终阻≤1000Pa；</w:t>
            </w:r>
            <w:r>
              <w:rPr>
                <w:rFonts w:hint="eastAsia" w:hAnsi="宋体" w:cs="宋体"/>
                <w:color w:val="auto"/>
                <w:sz w:val="24"/>
                <w:szCs w:val="24"/>
                <w:lang w:bidi="ar"/>
              </w:rPr>
              <w:br w:type="textWrapping"/>
            </w:r>
            <w:r>
              <w:rPr>
                <w:rFonts w:hint="eastAsia" w:hAnsi="宋体" w:cs="宋体"/>
                <w:color w:val="auto"/>
                <w:sz w:val="24"/>
                <w:szCs w:val="24"/>
                <w:lang w:bidi="ar"/>
              </w:rPr>
              <w:t>6.高静压的屋顶式空气处理机组。</w:t>
            </w:r>
            <w:r>
              <w:rPr>
                <w:rFonts w:hint="eastAsia" w:hAnsi="宋体" w:cs="宋体"/>
                <w:color w:val="auto"/>
                <w:sz w:val="24"/>
                <w:szCs w:val="24"/>
                <w:lang w:bidi="ar"/>
              </w:rPr>
              <w:br w:type="textWrapping"/>
            </w:r>
            <w:r>
              <w:rPr>
                <w:rFonts w:hint="eastAsia" w:hAnsi="宋体" w:cs="宋体"/>
                <w:color w:val="auto"/>
                <w:sz w:val="24"/>
                <w:szCs w:val="24"/>
                <w:lang w:bidi="ar"/>
              </w:rPr>
              <w:t>7.要求可与语音交互版智慧物联核心监控系统无缝连接，可远程开启及关闭。</w:t>
            </w:r>
            <w:r>
              <w:rPr>
                <w:rFonts w:hint="eastAsia" w:hAnsi="宋体" w:cs="宋体"/>
                <w:color w:val="auto"/>
                <w:sz w:val="24"/>
                <w:szCs w:val="24"/>
                <w:lang w:bidi="ar"/>
              </w:rPr>
              <w:br w:type="textWrapping"/>
            </w:r>
            <w:r>
              <w:rPr>
                <w:rFonts w:hint="eastAsia" w:hAnsi="宋体" w:cs="宋体"/>
                <w:color w:val="auto"/>
                <w:sz w:val="24"/>
                <w:szCs w:val="24"/>
                <w:lang w:bidi="ar"/>
              </w:rPr>
              <w:t>8.隔热断冷桥设计：柜式风机，采用难燃型聚氨酯发泡保温材料隔热板保温壁板，扣封型空气处理机组箱体内部的所有金属都通过聚氨酯发泡和断冷桥复合材料与金属隔断，杜绝了箱体冷桥；机组框架及壁板之间粘贴保温密封条。</w:t>
            </w:r>
            <w:r>
              <w:rPr>
                <w:rFonts w:hint="eastAsia" w:hAnsi="宋体" w:cs="宋体"/>
                <w:color w:val="auto"/>
                <w:sz w:val="24"/>
                <w:szCs w:val="24"/>
                <w:lang w:bidi="ar"/>
              </w:rPr>
              <w:br w:type="textWrapping"/>
            </w:r>
            <w:r>
              <w:rPr>
                <w:rFonts w:hint="eastAsia" w:hAnsi="宋体" w:cs="宋体"/>
                <w:color w:val="auto"/>
                <w:sz w:val="24"/>
                <w:szCs w:val="24"/>
                <w:lang w:bidi="ar"/>
              </w:rPr>
              <w:t>9.含空气处理机组设备的基础安装服务。</w:t>
            </w:r>
          </w:p>
        </w:tc>
        <w:tc>
          <w:tcPr>
            <w:tcW w:w="378" w:type="pct"/>
            <w:tcBorders>
              <w:top w:val="single" w:color="000000" w:sz="4" w:space="0"/>
              <w:left w:val="single" w:color="000000" w:sz="4" w:space="0"/>
              <w:bottom w:val="single" w:color="000000" w:sz="4" w:space="0"/>
              <w:right w:val="single" w:color="000000" w:sz="4" w:space="0"/>
            </w:tcBorders>
            <w:vAlign w:val="center"/>
          </w:tcPr>
          <w:p w14:paraId="7184F12B">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6CB98464">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5C88B4F4">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br w:type="textWrapping"/>
            </w:r>
            <w:r>
              <w:rPr>
                <w:rFonts w:hint="eastAsia" w:hAnsi="宋体" w:cs="宋体"/>
                <w:color w:val="auto"/>
                <w:sz w:val="24"/>
                <w:szCs w:val="24"/>
                <w:lang w:bidi="ar"/>
              </w:rPr>
              <w:t>148,500.00</w:t>
            </w:r>
          </w:p>
        </w:tc>
      </w:tr>
      <w:tr w14:paraId="1DD23328">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73D9FA7A">
            <w:pPr>
              <w:widowControl/>
              <w:jc w:val="center"/>
              <w:textAlignment w:val="center"/>
              <w:rPr>
                <w:rFonts w:hint="eastAsia" w:hAnsi="宋体" w:cs="宋体"/>
                <w:color w:val="auto"/>
                <w:sz w:val="24"/>
                <w:szCs w:val="24"/>
              </w:rPr>
            </w:pPr>
            <w:r>
              <w:rPr>
                <w:rFonts w:hint="eastAsia" w:hAnsi="宋体" w:cs="宋体"/>
                <w:color w:val="auto"/>
                <w:sz w:val="24"/>
                <w:szCs w:val="24"/>
                <w:lang w:bidi="ar"/>
              </w:rPr>
              <w:t>5</w:t>
            </w:r>
          </w:p>
        </w:tc>
        <w:tc>
          <w:tcPr>
            <w:tcW w:w="632" w:type="pct"/>
            <w:tcBorders>
              <w:top w:val="single" w:color="000000" w:sz="4" w:space="0"/>
              <w:left w:val="single" w:color="000000" w:sz="4" w:space="0"/>
              <w:bottom w:val="single" w:color="000000" w:sz="4" w:space="0"/>
              <w:right w:val="single" w:color="000000" w:sz="4" w:space="0"/>
            </w:tcBorders>
            <w:vAlign w:val="center"/>
          </w:tcPr>
          <w:p w14:paraId="57179C09">
            <w:pPr>
              <w:widowControl/>
              <w:jc w:val="center"/>
              <w:textAlignment w:val="center"/>
              <w:rPr>
                <w:rFonts w:hint="eastAsia" w:hAnsi="宋体" w:cs="宋体"/>
                <w:color w:val="auto"/>
                <w:sz w:val="24"/>
                <w:szCs w:val="24"/>
              </w:rPr>
            </w:pPr>
            <w:r>
              <w:rPr>
                <w:rFonts w:hint="eastAsia" w:hAnsi="宋体" w:cs="宋体"/>
                <w:color w:val="auto"/>
                <w:sz w:val="24"/>
                <w:szCs w:val="24"/>
                <w:lang w:bidi="ar"/>
              </w:rPr>
              <w:t>无影智控层流罩【核心产品】</w:t>
            </w:r>
          </w:p>
        </w:tc>
        <w:tc>
          <w:tcPr>
            <w:tcW w:w="2640" w:type="pct"/>
            <w:tcBorders>
              <w:top w:val="single" w:color="000000" w:sz="4" w:space="0"/>
              <w:left w:val="single" w:color="000000" w:sz="4" w:space="0"/>
              <w:bottom w:val="single" w:color="000000" w:sz="4" w:space="0"/>
              <w:right w:val="single" w:color="000000" w:sz="4" w:space="0"/>
            </w:tcBorders>
            <w:vAlign w:val="center"/>
          </w:tcPr>
          <w:p w14:paraId="05868989">
            <w:pPr>
              <w:pStyle w:val="3"/>
              <w:widowControl/>
              <w:numPr>
                <w:ilvl w:val="0"/>
                <w:numId w:val="1"/>
              </w:numPr>
              <w:textAlignment w:val="center"/>
              <w:rPr>
                <w:rFonts w:hint="eastAsia" w:hAnsi="宋体" w:cs="宋体"/>
                <w:color w:val="auto"/>
                <w:sz w:val="24"/>
                <w:szCs w:val="24"/>
                <w:lang w:bidi="ar"/>
              </w:rPr>
            </w:pPr>
            <w:r>
              <w:rPr>
                <w:rFonts w:hint="eastAsia" w:hAnsi="宋体" w:cs="宋体"/>
                <w:color w:val="auto"/>
                <w:sz w:val="24"/>
                <w:szCs w:val="24"/>
                <w:lang w:bidi="ar"/>
              </w:rPr>
              <w:t>尺寸：长2190mm*宽1000mm（±30mm）。</w:t>
            </w:r>
            <w:r>
              <w:rPr>
                <w:rFonts w:hint="eastAsia" w:hAnsi="宋体" w:cs="宋体"/>
                <w:color w:val="auto"/>
                <w:sz w:val="24"/>
                <w:szCs w:val="24"/>
                <w:lang w:bidi="ar"/>
              </w:rPr>
              <w:br w:type="textWrapping"/>
            </w:r>
            <w:r>
              <w:rPr>
                <w:rFonts w:hint="eastAsia" w:hAnsi="宋体" w:cs="宋体"/>
                <w:color w:val="auto"/>
                <w:sz w:val="24"/>
                <w:szCs w:val="24"/>
                <w:lang w:bidi="ar"/>
              </w:rPr>
              <w:t>2.至少包括具有双模式无影照明系统、智慧物联智控模式和层流系统；双模式无影照明系统包含普通照明和无影照明两个模块。</w:t>
            </w:r>
            <w:r>
              <w:rPr>
                <w:rFonts w:hint="eastAsia" w:hAnsi="宋体" w:cs="宋体"/>
                <w:color w:val="auto"/>
                <w:sz w:val="24"/>
                <w:szCs w:val="24"/>
                <w:lang w:bidi="ar"/>
              </w:rPr>
              <w:br w:type="textWrapping"/>
            </w:r>
            <w:r>
              <w:rPr>
                <w:rFonts w:hint="eastAsia" w:hAnsi="宋体" w:cs="宋体"/>
                <w:color w:val="auto"/>
                <w:sz w:val="24"/>
                <w:szCs w:val="24"/>
                <w:lang w:bidi="ar"/>
              </w:rPr>
              <w:t>3.双模式无影照明系统：到达解剖台（现学校使用解剖台尺寸长2100*宽800*高800mm（±50mm））操作台面的照明光束呈倒锥形分布，以避免眼睛疲劳。</w:t>
            </w:r>
          </w:p>
          <w:p w14:paraId="209FF511">
            <w:pPr>
              <w:pStyle w:val="3"/>
              <w:widowControl/>
              <w:numPr>
                <w:ilvl w:val="255"/>
                <w:numId w:val="0"/>
              </w:numPr>
              <w:textAlignment w:val="center"/>
              <w:rPr>
                <w:rFonts w:hint="eastAsia" w:hAnsi="宋体" w:cs="宋体"/>
                <w:color w:val="auto"/>
                <w:sz w:val="24"/>
                <w:szCs w:val="24"/>
              </w:rPr>
            </w:pPr>
            <w:r>
              <w:rPr>
                <w:rFonts w:hint="eastAsia" w:hAnsi="宋体" w:cs="宋体"/>
                <w:color w:val="auto"/>
                <w:sz w:val="24"/>
                <w:szCs w:val="24"/>
                <w:lang w:bidi="ar"/>
              </w:rPr>
              <w:t>4.其中普通照明、无影照明、紫外辐射及蓝光危害、解剖台中心照度和边缘照度、无影率、无影照明系统灯珠要求等满足4.1-4.3要求：</w:t>
            </w:r>
            <w:r>
              <w:rPr>
                <w:rFonts w:hint="eastAsia" w:hAnsi="宋体" w:cs="宋体"/>
                <w:color w:val="auto"/>
                <w:sz w:val="24"/>
                <w:szCs w:val="24"/>
                <w:lang w:bidi="ar"/>
              </w:rPr>
              <w:br w:type="textWrapping"/>
            </w:r>
            <w:r>
              <w:rPr>
                <w:rFonts w:hint="eastAsia" w:hAnsi="宋体" w:cs="宋体"/>
                <w:color w:val="auto"/>
                <w:sz w:val="24"/>
                <w:szCs w:val="24"/>
                <w:lang w:bidi="ar"/>
              </w:rPr>
              <w:t>▲4.1普通照明40W（±10%），电压24V，显色指数≥82，光通量≥500流明。层流布气装置上的无影照明320W（±10%），电压24V，显色指数≥90，光通量≥1600流明。灯珠数量≥300个，确保照明深腔底部时保持清晰可见。光束未受任何遮挡时，解剖台的中心照度（距照明下1200mm，右侧边缘500mm处）大于6500lx，解剖台操作区域内、解剖台面边缘（里侧中间）照度不小于3300lx。提供由国家认可的检测机构出具的带CMA标识的检测报告扫描件。</w:t>
            </w:r>
            <w:r>
              <w:rPr>
                <w:rFonts w:hint="eastAsia" w:hAnsi="宋体" w:cs="宋体"/>
                <w:color w:val="auto"/>
                <w:sz w:val="24"/>
                <w:szCs w:val="24"/>
                <w:lang w:bidi="ar"/>
              </w:rPr>
              <w:br w:type="textWrapping"/>
            </w:r>
            <w:r>
              <w:rPr>
                <w:rFonts w:hint="eastAsia" w:hAnsi="宋体" w:cs="宋体"/>
                <w:color w:val="auto"/>
                <w:sz w:val="24"/>
                <w:szCs w:val="24"/>
                <w:lang w:bidi="ar"/>
              </w:rPr>
              <w:t>▲4.2层流布气装置上的照明紫外辐射满足在200mm距离处测得的蓝光危害等级不超过RG1。层流布气装置上的统一眩光值(UGR)满足GB/T 9468-2008</w:t>
            </w:r>
            <w:r>
              <w:rPr>
                <w:rFonts w:hAnsi="宋体" w:cs="宋体"/>
                <w:b w:val="0"/>
                <w:bCs w:val="0"/>
                <w:color w:val="auto"/>
                <w:sz w:val="24"/>
                <w:szCs w:val="24"/>
              </w:rPr>
              <w:t>灯具分布光度测量的一般要求</w:t>
            </w:r>
            <w:r>
              <w:rPr>
                <w:rFonts w:hint="eastAsia" w:hAnsi="宋体" w:cs="宋体"/>
                <w:color w:val="auto"/>
                <w:sz w:val="24"/>
                <w:szCs w:val="24"/>
                <w:lang w:bidi="ar"/>
              </w:rPr>
              <w:t>，在该标准下测得的统一眩光值(UGR)≤25。提供由国家认可的检测机构出具的带CMA标识的检测报告扫描件。</w:t>
            </w:r>
            <w:r>
              <w:rPr>
                <w:rFonts w:hint="eastAsia" w:hAnsi="宋体" w:cs="宋体"/>
                <w:color w:val="auto"/>
                <w:sz w:val="24"/>
                <w:szCs w:val="24"/>
                <w:lang w:bidi="ar"/>
              </w:rPr>
              <w:br w:type="textWrapping"/>
            </w:r>
            <w:r>
              <w:rPr>
                <w:rFonts w:hint="eastAsia" w:hAnsi="宋体" w:cs="宋体"/>
                <w:color w:val="auto"/>
                <w:sz w:val="24"/>
                <w:szCs w:val="24"/>
                <w:lang w:bidi="ar"/>
              </w:rPr>
              <w:t>▲4.3无影智控层流罩无影效果满足以下无影率指标：单遮板≥70%，双遮板≥65%，深腔≥90%，单遮板深腔底部≥50%，双遮板深腔底部≥70%。</w:t>
            </w:r>
            <w:r>
              <w:rPr>
                <w:rFonts w:hint="eastAsia" w:hAnsi="宋体" w:cs="宋体"/>
                <w:color w:val="auto"/>
                <w:sz w:val="24"/>
                <w:lang w:bidi="ar"/>
              </w:rPr>
              <w:t>需提供国家认可的第三方检测机构出具的检测报告复印件或者提供投标产品生产厂家发布的技术白皮书（技术书册）或官网链接及产品官网参数截图予以佐证，并加盖投标人公章）</w:t>
            </w:r>
            <w:r>
              <w:rPr>
                <w:rFonts w:hint="eastAsia" w:hAnsi="宋体" w:cs="宋体"/>
                <w:color w:val="auto"/>
                <w:sz w:val="24"/>
                <w:szCs w:val="24"/>
                <w:lang w:bidi="ar"/>
              </w:rPr>
              <w:t>。</w:t>
            </w:r>
            <w:r>
              <w:rPr>
                <w:rFonts w:hint="eastAsia" w:hAnsi="宋体" w:cs="宋体"/>
                <w:color w:val="auto"/>
                <w:sz w:val="24"/>
                <w:szCs w:val="24"/>
                <w:lang w:bidi="ar"/>
              </w:rPr>
              <w:br w:type="textWrapping"/>
            </w:r>
            <w:r>
              <w:rPr>
                <w:rFonts w:hint="eastAsia" w:hAnsi="宋体" w:cs="宋体"/>
                <w:color w:val="auto"/>
                <w:sz w:val="24"/>
                <w:szCs w:val="24"/>
                <w:lang w:bidi="ar"/>
              </w:rPr>
              <w:t>▲5.智控模式：①采用智慧物联智控模式，普通照明和无影照明可分开独立控制，实现本地端控制和远程端控制双模式控制方式。②本地端控制模式通过语音交互版智慧物联核心监控系统，控制无影层流罩的无影照明的开关、亮度的调节（0-100%灵活无极调光）。③远程端控制模式通过APP端实现远程实时监控和控制无影照明的开关、亮度的调节。（</w:t>
            </w:r>
            <w:r>
              <w:rPr>
                <w:rFonts w:hint="eastAsia" w:hAnsi="宋体" w:cs="宋体"/>
                <w:color w:val="auto"/>
                <w:sz w:val="24"/>
                <w:szCs w:val="24"/>
                <w:lang w:val="en-US" w:eastAsia="zh-CN" w:bidi="ar"/>
              </w:rPr>
              <w:t>提供符合本项指标要求的实景拍摄下的实物演示视频或</w:t>
            </w:r>
            <w:r>
              <w:rPr>
                <w:rFonts w:hint="eastAsia" w:hAnsi="宋体" w:cs="宋体"/>
                <w:color w:val="auto"/>
                <w:sz w:val="24"/>
                <w:lang w:bidi="ar"/>
              </w:rPr>
              <w:t>国家认可的第三方检测机构出具的检测报告复印件或官网链接及产品官网参数截图予以佐证</w:t>
            </w:r>
            <w:r>
              <w:rPr>
                <w:rFonts w:hint="eastAsia" w:hAnsi="宋体" w:cs="宋体"/>
                <w:color w:val="auto"/>
                <w:sz w:val="24"/>
                <w:szCs w:val="24"/>
                <w:lang w:bidi="ar"/>
              </w:rPr>
              <w:t>，并加盖投标人公章）</w:t>
            </w:r>
            <w:r>
              <w:rPr>
                <w:rFonts w:hint="eastAsia" w:hAnsi="宋体" w:cs="宋体"/>
                <w:color w:val="auto"/>
                <w:sz w:val="24"/>
                <w:szCs w:val="24"/>
                <w:lang w:bidi="ar"/>
              </w:rPr>
              <w:br w:type="textWrapping"/>
            </w:r>
            <w:r>
              <w:rPr>
                <w:rFonts w:hint="eastAsia" w:hAnsi="宋体" w:cs="宋体"/>
                <w:color w:val="auto"/>
                <w:sz w:val="24"/>
                <w:szCs w:val="24"/>
                <w:lang w:bidi="ar"/>
              </w:rPr>
              <w:t>▲6.层流系统：采用多形态孔状组合均匀分布，内置导流装置，使新风均匀传输并送入实验室；采用圆孔和槽孔相结合的方式，圆孔直径≥5mm，槽孔直径≥3mm *20mm；层流孔数≥2600个。提供由国家认可的检测机构出具的带CMA标识的检测报告扫描件。</w:t>
            </w:r>
          </w:p>
        </w:tc>
        <w:tc>
          <w:tcPr>
            <w:tcW w:w="378" w:type="pct"/>
            <w:tcBorders>
              <w:top w:val="single" w:color="000000" w:sz="4" w:space="0"/>
              <w:left w:val="single" w:color="000000" w:sz="4" w:space="0"/>
              <w:bottom w:val="single" w:color="000000" w:sz="4" w:space="0"/>
              <w:right w:val="single" w:color="000000" w:sz="4" w:space="0"/>
            </w:tcBorders>
            <w:vAlign w:val="center"/>
          </w:tcPr>
          <w:p w14:paraId="086CBD13">
            <w:pPr>
              <w:widowControl/>
              <w:jc w:val="center"/>
              <w:textAlignment w:val="center"/>
              <w:rPr>
                <w:rFonts w:hint="eastAsia" w:hAnsi="宋体" w:cs="宋体"/>
                <w:color w:val="auto"/>
                <w:sz w:val="24"/>
                <w:szCs w:val="24"/>
              </w:rPr>
            </w:pPr>
            <w:r>
              <w:rPr>
                <w:rFonts w:hint="eastAsia" w:hAnsi="宋体" w:cs="宋体"/>
                <w:color w:val="auto"/>
                <w:sz w:val="24"/>
                <w:szCs w:val="24"/>
                <w:lang w:bidi="ar"/>
              </w:rPr>
              <w:t>个</w:t>
            </w:r>
          </w:p>
        </w:tc>
        <w:tc>
          <w:tcPr>
            <w:tcW w:w="426" w:type="pct"/>
            <w:tcBorders>
              <w:top w:val="single" w:color="000000" w:sz="4" w:space="0"/>
              <w:left w:val="single" w:color="000000" w:sz="4" w:space="0"/>
              <w:bottom w:val="single" w:color="000000" w:sz="4" w:space="0"/>
              <w:right w:val="single" w:color="000000" w:sz="4" w:space="0"/>
            </w:tcBorders>
            <w:vAlign w:val="center"/>
          </w:tcPr>
          <w:p w14:paraId="32ADFCBA">
            <w:pPr>
              <w:widowControl/>
              <w:jc w:val="center"/>
              <w:textAlignment w:val="center"/>
              <w:rPr>
                <w:rFonts w:hint="eastAsia" w:hAnsi="宋体" w:cs="宋体"/>
                <w:color w:val="auto"/>
                <w:sz w:val="24"/>
                <w:szCs w:val="24"/>
              </w:rPr>
            </w:pPr>
            <w:r>
              <w:rPr>
                <w:rFonts w:hint="eastAsia" w:hAnsi="宋体" w:cs="宋体"/>
                <w:color w:val="auto"/>
                <w:sz w:val="24"/>
                <w:szCs w:val="24"/>
                <w:lang w:bidi="ar"/>
              </w:rPr>
              <w:t>52</w:t>
            </w:r>
          </w:p>
        </w:tc>
        <w:tc>
          <w:tcPr>
            <w:tcW w:w="573" w:type="pct"/>
            <w:tcBorders>
              <w:top w:val="single" w:color="000000" w:sz="4" w:space="0"/>
              <w:left w:val="single" w:color="000000" w:sz="4" w:space="0"/>
              <w:bottom w:val="single" w:color="000000" w:sz="4" w:space="0"/>
              <w:right w:val="single" w:color="000000" w:sz="4" w:space="0"/>
            </w:tcBorders>
            <w:vAlign w:val="center"/>
          </w:tcPr>
          <w:p w14:paraId="02898E3B">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14,980.00</w:t>
            </w:r>
          </w:p>
        </w:tc>
      </w:tr>
      <w:tr w14:paraId="10C5597A">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6001CCA5">
            <w:pPr>
              <w:widowControl/>
              <w:jc w:val="center"/>
              <w:textAlignment w:val="center"/>
              <w:rPr>
                <w:rFonts w:hint="eastAsia" w:hAnsi="宋体" w:cs="宋体"/>
                <w:color w:val="auto"/>
                <w:sz w:val="24"/>
                <w:szCs w:val="24"/>
              </w:rPr>
            </w:pPr>
            <w:r>
              <w:rPr>
                <w:rFonts w:hint="eastAsia" w:hAnsi="宋体" w:cs="宋体"/>
                <w:color w:val="auto"/>
                <w:sz w:val="24"/>
                <w:szCs w:val="24"/>
                <w:lang w:bidi="ar"/>
              </w:rPr>
              <w:t>6</w:t>
            </w:r>
          </w:p>
        </w:tc>
        <w:tc>
          <w:tcPr>
            <w:tcW w:w="632" w:type="pct"/>
            <w:tcBorders>
              <w:top w:val="single" w:color="000000" w:sz="4" w:space="0"/>
              <w:left w:val="single" w:color="000000" w:sz="4" w:space="0"/>
              <w:bottom w:val="single" w:color="000000" w:sz="4" w:space="0"/>
              <w:right w:val="single" w:color="000000" w:sz="4" w:space="0"/>
            </w:tcBorders>
            <w:vAlign w:val="center"/>
          </w:tcPr>
          <w:p w14:paraId="27EFC01B">
            <w:pPr>
              <w:widowControl/>
              <w:jc w:val="center"/>
              <w:textAlignment w:val="center"/>
              <w:rPr>
                <w:rFonts w:hint="eastAsia" w:hAnsi="宋体" w:cs="宋体"/>
                <w:color w:val="auto"/>
                <w:sz w:val="24"/>
                <w:szCs w:val="24"/>
              </w:rPr>
            </w:pPr>
            <w:r>
              <w:rPr>
                <w:rFonts w:hint="eastAsia" w:hAnsi="宋体" w:cs="宋体"/>
                <w:color w:val="auto"/>
                <w:sz w:val="24"/>
                <w:szCs w:val="24"/>
                <w:lang w:bidi="ar"/>
              </w:rPr>
              <w:t>语音交互版智慧物联核心监控系统【核心产品】</w:t>
            </w:r>
          </w:p>
        </w:tc>
        <w:tc>
          <w:tcPr>
            <w:tcW w:w="2640" w:type="pct"/>
            <w:tcBorders>
              <w:top w:val="single" w:color="000000" w:sz="4" w:space="0"/>
              <w:left w:val="single" w:color="000000" w:sz="4" w:space="0"/>
              <w:bottom w:val="single" w:color="000000" w:sz="4" w:space="0"/>
              <w:right w:val="single" w:color="000000" w:sz="4" w:space="0"/>
            </w:tcBorders>
            <w:vAlign w:val="center"/>
          </w:tcPr>
          <w:p w14:paraId="284FAC10">
            <w:pPr>
              <w:widowControl/>
              <w:jc w:val="left"/>
              <w:textAlignment w:val="center"/>
              <w:rPr>
                <w:rFonts w:hint="eastAsia" w:hAnsi="宋体" w:cs="宋体"/>
                <w:color w:val="auto"/>
                <w:sz w:val="24"/>
                <w:szCs w:val="24"/>
                <w:lang w:bidi="ar"/>
              </w:rPr>
            </w:pPr>
            <w:r>
              <w:rPr>
                <w:rFonts w:hint="eastAsia" w:ascii="楷体" w:hAnsi="楷体" w:eastAsia="楷体" w:cs="楷体"/>
                <w:color w:val="auto"/>
                <w:sz w:val="24"/>
                <w:szCs w:val="24"/>
                <w:lang w:bidi="ar"/>
              </w:rPr>
              <w:t>★</w:t>
            </w:r>
            <w:r>
              <w:rPr>
                <w:rFonts w:hint="eastAsia" w:hAnsi="宋体" w:cs="宋体"/>
                <w:color w:val="auto"/>
                <w:sz w:val="24"/>
                <w:szCs w:val="24"/>
                <w:lang w:bidi="ar"/>
              </w:rPr>
              <w:t>1.智慧物联核心监控系统采用LED触摸式控制，尺寸≥158mm*249mm，界面显示四川大学实验室定制设备名称，家用控制设备和开关面板式不予接受，所有数据必须集中到一个控制器上。</w:t>
            </w:r>
            <w:r>
              <w:rPr>
                <w:rFonts w:hint="eastAsia" w:hAnsi="宋体" w:cs="宋体"/>
                <w:color w:val="auto"/>
                <w:sz w:val="24"/>
                <w:szCs w:val="24"/>
                <w:lang w:bidi="ar"/>
              </w:rPr>
              <w:br w:type="textWrapping"/>
            </w:r>
            <w:r>
              <w:rPr>
                <w:rFonts w:hint="eastAsia" w:hAnsi="宋体" w:cs="宋体"/>
                <w:color w:val="auto"/>
                <w:sz w:val="24"/>
                <w:szCs w:val="24"/>
                <w:lang w:bidi="ar"/>
              </w:rPr>
              <w:t>2.智慧物联LED触摸式本地端控制功能：</w:t>
            </w:r>
            <w:r>
              <w:rPr>
                <w:rFonts w:hint="eastAsia" w:hAnsi="宋体" w:cs="宋体"/>
                <w:color w:val="auto"/>
                <w:sz w:val="24"/>
                <w:szCs w:val="24"/>
                <w:lang w:bidi="ar"/>
              </w:rPr>
              <w:br w:type="textWrapping"/>
            </w:r>
            <w:r>
              <w:rPr>
                <w:rFonts w:hint="eastAsia" w:hAnsi="宋体" w:cs="宋体"/>
                <w:color w:val="auto"/>
                <w:sz w:val="24"/>
                <w:szCs w:val="24"/>
                <w:lang w:bidi="ar"/>
              </w:rPr>
              <w:t>▲2.1智慧物联核心监控系统至少显示：①空气质量（优良差）②甲醛浓度③离子浓度④环境温度和环境湿度⑤调节风速：可手动从0%调整到100%调节⑥显示当前风速值(m/s)⑦当前模式：手动和自动模式⑧上课模式和下课模式⑨排风（开和关）、新风（开和关）、离子（开和关）、空调（开和关）、层流照明系统（开和关）。提供投标产品</w:t>
            </w:r>
            <w:r>
              <w:rPr>
                <w:rFonts w:hint="eastAsia" w:hAnsi="宋体" w:cs="宋体"/>
                <w:color w:val="auto"/>
                <w:sz w:val="24"/>
                <w:szCs w:val="24"/>
                <w:lang w:val="en-US" w:eastAsia="zh-CN" w:bidi="ar"/>
              </w:rPr>
              <w:t>显示</w:t>
            </w:r>
            <w:r>
              <w:rPr>
                <w:rFonts w:hint="eastAsia" w:hAnsi="宋体" w:cs="宋体"/>
                <w:color w:val="auto"/>
                <w:sz w:val="24"/>
                <w:szCs w:val="24"/>
                <w:lang w:bidi="ar"/>
              </w:rPr>
              <w:t>界面</w:t>
            </w:r>
            <w:r>
              <w:rPr>
                <w:rFonts w:hint="eastAsia" w:hAnsi="宋体" w:cs="宋体"/>
                <w:color w:val="auto"/>
                <w:sz w:val="24"/>
                <w:szCs w:val="24"/>
                <w:lang w:val="en-US" w:eastAsia="zh-CN" w:bidi="ar"/>
              </w:rPr>
              <w:t>符合本项指标要求</w:t>
            </w:r>
            <w:r>
              <w:rPr>
                <w:rFonts w:hint="eastAsia" w:hAnsi="宋体" w:cs="宋体"/>
                <w:color w:val="auto"/>
                <w:sz w:val="24"/>
                <w:szCs w:val="24"/>
                <w:lang w:bidi="ar"/>
              </w:rPr>
              <w:t>的设备实拍照片或生产厂家发布的技术白皮书(技术书册)或官网链接及产品官网参数截图予以佐证，并加盖投标人公章。</w:t>
            </w:r>
            <w:r>
              <w:rPr>
                <w:rFonts w:hint="eastAsia" w:hAnsi="宋体" w:cs="宋体"/>
                <w:color w:val="auto"/>
                <w:sz w:val="24"/>
                <w:szCs w:val="24"/>
                <w:lang w:bidi="ar"/>
              </w:rPr>
              <w:br w:type="textWrapping"/>
            </w:r>
            <w:r>
              <w:rPr>
                <w:rFonts w:hint="eastAsia" w:hAnsi="宋体" w:cs="宋体"/>
                <w:color w:val="auto"/>
                <w:sz w:val="24"/>
                <w:szCs w:val="24"/>
                <w:lang w:bidi="ar"/>
              </w:rPr>
              <w:t>2.2分级菜单至少包括解剖实验室环境检测系统、通风净化系统、预约定时、运行监测、报警管理等控制模块。界面三维显示解剖实验室场景，软件动态模拟无影智控层流罩送风、实验室排风气流效果。</w:t>
            </w:r>
            <w:r>
              <w:rPr>
                <w:rFonts w:hint="eastAsia" w:hAnsi="宋体" w:cs="宋体"/>
                <w:color w:val="auto"/>
                <w:sz w:val="24"/>
                <w:szCs w:val="24"/>
                <w:lang w:bidi="ar"/>
              </w:rPr>
              <w:br w:type="textWrapping"/>
            </w:r>
            <w:r>
              <w:rPr>
                <w:rFonts w:hint="eastAsia" w:hAnsi="宋体" w:cs="宋体"/>
                <w:color w:val="auto"/>
                <w:sz w:val="24"/>
                <w:szCs w:val="24"/>
                <w:lang w:bidi="ar"/>
              </w:rPr>
              <w:t xml:space="preserve">2.3屏保界面至少包括：①风速值②室内温湿度值③甲醛浓度值④日期时间⑤空气质量⑥上课下课一键控制。 </w:t>
            </w:r>
            <w:r>
              <w:rPr>
                <w:rFonts w:hint="eastAsia" w:hAnsi="宋体" w:cs="宋体"/>
                <w:color w:val="auto"/>
                <w:sz w:val="24"/>
                <w:szCs w:val="24"/>
                <w:lang w:bidi="ar"/>
              </w:rPr>
              <w:br w:type="textWrapping"/>
            </w:r>
            <w:r>
              <w:rPr>
                <w:rFonts w:hint="eastAsia" w:hAnsi="宋体" w:cs="宋体"/>
                <w:color w:val="auto"/>
                <w:sz w:val="24"/>
                <w:szCs w:val="24"/>
                <w:lang w:bidi="ar"/>
              </w:rPr>
              <w:t xml:space="preserve">2.4环境监测界面至少包括：①离子浓度②甲醛浓度③温度和湿度④风速⑤空气质量等级⑥净化效率⑦上课下课一键控制。 </w:t>
            </w:r>
            <w:r>
              <w:rPr>
                <w:rFonts w:hint="eastAsia" w:hAnsi="宋体" w:cs="宋体"/>
                <w:color w:val="auto"/>
                <w:sz w:val="24"/>
                <w:szCs w:val="24"/>
                <w:lang w:bidi="ar"/>
              </w:rPr>
              <w:br w:type="textWrapping"/>
            </w:r>
            <w:r>
              <w:rPr>
                <w:rFonts w:hint="eastAsia" w:hAnsi="宋体" w:cs="宋体"/>
                <w:color w:val="auto"/>
                <w:sz w:val="24"/>
                <w:szCs w:val="24"/>
                <w:lang w:bidi="ar"/>
              </w:rPr>
              <w:t>2.5通风净化界面至少包括：①空调的开关②空调温度预设③空调制冷制热调节④手自动切换⑤风速调节⑥新风和排风（开和关）⑦离子（开和关）⑧层流照明（开和关）⑨讲台电源（开和关）⑩上课下课一键控制。</w:t>
            </w:r>
            <w:r>
              <w:rPr>
                <w:rFonts w:hint="eastAsia" w:hAnsi="宋体" w:cs="宋体"/>
                <w:color w:val="auto"/>
                <w:sz w:val="24"/>
                <w:szCs w:val="24"/>
                <w:lang w:bidi="ar"/>
              </w:rPr>
              <w:br w:type="textWrapping"/>
            </w:r>
            <w:r>
              <w:rPr>
                <w:rFonts w:hint="eastAsia" w:hAnsi="宋体" w:cs="宋体"/>
                <w:color w:val="auto"/>
                <w:sz w:val="24"/>
                <w:szCs w:val="24"/>
                <w:lang w:bidi="ar"/>
              </w:rPr>
              <w:t>2.6预约定时界面至少包括：①预约场景设定②定时开和关③控制模式选择④星期选择⑤开始与结束时间设定⑥上课下课一键控制。</w:t>
            </w:r>
            <w:r>
              <w:rPr>
                <w:rFonts w:hint="eastAsia" w:hAnsi="宋体" w:cs="宋体"/>
                <w:color w:val="auto"/>
                <w:sz w:val="24"/>
                <w:szCs w:val="24"/>
                <w:lang w:bidi="ar"/>
              </w:rPr>
              <w:br w:type="textWrapping"/>
            </w:r>
            <w:r>
              <w:rPr>
                <w:rFonts w:hint="eastAsia" w:hAnsi="宋体" w:cs="宋体"/>
                <w:color w:val="auto"/>
                <w:sz w:val="24"/>
                <w:szCs w:val="24"/>
                <w:lang w:bidi="ar"/>
              </w:rPr>
              <w:t>▲2.7运行监测界面至少包括：①空调运行参数显示②新风变频器运行监测③排风变频器运行监测④上课下课一键控制。</w:t>
            </w:r>
            <w:r>
              <w:rPr>
                <w:rFonts w:hint="eastAsia" w:hAnsi="宋体" w:cs="宋体"/>
                <w:color w:val="auto"/>
                <w:sz w:val="24"/>
                <w:lang w:bidi="ar"/>
              </w:rPr>
              <w:t>需提供国家认可的第三方检测机构出具的检测报告复印件或者提供投标产品生产厂家发布的技术白皮书（技术书册）或官网链接及产品官网参数截图予以佐证，并加盖投标人公章</w:t>
            </w:r>
          </w:p>
          <w:p w14:paraId="4095643B">
            <w:pPr>
              <w:widowControl/>
              <w:jc w:val="left"/>
              <w:textAlignment w:val="center"/>
              <w:rPr>
                <w:rFonts w:hint="eastAsia" w:hAnsi="宋体" w:cs="宋体"/>
                <w:color w:val="auto"/>
                <w:sz w:val="24"/>
                <w:szCs w:val="24"/>
              </w:rPr>
            </w:pPr>
            <w:r>
              <w:rPr>
                <w:rFonts w:hint="eastAsia" w:hAnsi="宋体" w:cs="宋体"/>
                <w:color w:val="auto"/>
                <w:sz w:val="24"/>
                <w:szCs w:val="24"/>
                <w:lang w:bidi="ar"/>
              </w:rPr>
              <w:t>2.8报警管理界面至少包括：①当前报警内容显示②所有报警记录显示③上课下课一键控制。</w:t>
            </w:r>
            <w:r>
              <w:rPr>
                <w:rFonts w:hint="eastAsia" w:hAnsi="宋体" w:cs="宋体"/>
                <w:color w:val="auto"/>
                <w:sz w:val="24"/>
                <w:szCs w:val="24"/>
                <w:lang w:bidi="ar"/>
              </w:rPr>
              <w:br w:type="textWrapping"/>
            </w:r>
            <w:r>
              <w:rPr>
                <w:rFonts w:hint="eastAsia" w:hAnsi="宋体" w:cs="宋体"/>
                <w:color w:val="auto"/>
                <w:sz w:val="24"/>
                <w:szCs w:val="24"/>
                <w:lang w:bidi="ar"/>
              </w:rPr>
              <w:t>▲2.9智慧物联本地端有AI语音交互功能，可以通过语音唤醒控制功能，对新风、排风、空调、离子等进行开启和关闭，AI语音可以针对指令进行控制并语音告知实施情况。提供由国家认可的检测机构出具的带CMA标识的检测报告扫描件。</w:t>
            </w:r>
            <w:r>
              <w:rPr>
                <w:rFonts w:hint="eastAsia" w:hAnsi="宋体" w:cs="宋体"/>
                <w:color w:val="auto"/>
                <w:sz w:val="24"/>
                <w:szCs w:val="24"/>
                <w:lang w:bidi="ar"/>
              </w:rPr>
              <w:br w:type="textWrapping"/>
            </w:r>
            <w:r>
              <w:rPr>
                <w:rFonts w:hint="eastAsia" w:hAnsi="宋体" w:cs="宋体"/>
                <w:color w:val="auto"/>
                <w:sz w:val="24"/>
                <w:szCs w:val="24"/>
                <w:lang w:bidi="ar"/>
              </w:rPr>
              <w:t>▲2.10脑神经网络处理器支持DNN/TDNN/RNN 等主流神经网络架构，集成高性能卷积计算单元，加速语音算法处理。具有高精度语音识别（支持汉语、英语等多语种），双麦阵列支持远场拾音，拾音距离≥4米。提供由国家认可的检测机构出具的带CMA标识的检测报告扫描件。</w:t>
            </w:r>
            <w:r>
              <w:rPr>
                <w:rFonts w:hint="eastAsia" w:hAnsi="宋体" w:cs="宋体"/>
                <w:color w:val="auto"/>
                <w:sz w:val="24"/>
                <w:szCs w:val="24"/>
                <w:lang w:bidi="ar"/>
              </w:rPr>
              <w:br w:type="textWrapping"/>
            </w:r>
            <w:r>
              <w:rPr>
                <w:rFonts w:hint="eastAsia" w:hAnsi="宋体" w:cs="宋体"/>
                <w:color w:val="auto"/>
                <w:sz w:val="24"/>
                <w:szCs w:val="24"/>
                <w:lang w:bidi="ar"/>
              </w:rPr>
              <w:t>▲2.11具有回声消除和环境噪声抑制功能，实测安静环境&gt;98%，噪声环境&gt;92%。提供由国家认可的检测机构出具的带CMA标识的检测报告扫描件。</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23AD9E0A">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7E5B226D">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noWrap/>
            <w:vAlign w:val="center"/>
          </w:tcPr>
          <w:p w14:paraId="33E04A47">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53,600.00</w:t>
            </w:r>
          </w:p>
        </w:tc>
      </w:tr>
      <w:tr w14:paraId="24A16368">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7B7BCC92">
            <w:pPr>
              <w:widowControl/>
              <w:jc w:val="center"/>
              <w:textAlignment w:val="center"/>
              <w:rPr>
                <w:rFonts w:hint="eastAsia" w:hAnsi="宋体" w:cs="宋体"/>
                <w:color w:val="auto"/>
                <w:sz w:val="24"/>
                <w:szCs w:val="24"/>
              </w:rPr>
            </w:pPr>
            <w:r>
              <w:rPr>
                <w:rFonts w:hint="eastAsia" w:hAnsi="宋体" w:cs="宋体"/>
                <w:color w:val="auto"/>
                <w:sz w:val="24"/>
                <w:szCs w:val="24"/>
                <w:lang w:bidi="ar"/>
              </w:rPr>
              <w:t>7</w:t>
            </w:r>
          </w:p>
        </w:tc>
        <w:tc>
          <w:tcPr>
            <w:tcW w:w="632" w:type="pct"/>
            <w:tcBorders>
              <w:top w:val="single" w:color="000000" w:sz="4" w:space="0"/>
              <w:left w:val="single" w:color="000000" w:sz="4" w:space="0"/>
              <w:bottom w:val="single" w:color="000000" w:sz="4" w:space="0"/>
              <w:right w:val="nil"/>
            </w:tcBorders>
            <w:vAlign w:val="center"/>
          </w:tcPr>
          <w:p w14:paraId="7BFFD91A">
            <w:pPr>
              <w:widowControl/>
              <w:jc w:val="center"/>
              <w:textAlignment w:val="center"/>
              <w:rPr>
                <w:rFonts w:hint="eastAsia" w:hAnsi="宋体" w:cs="宋体"/>
                <w:color w:val="auto"/>
                <w:sz w:val="24"/>
                <w:szCs w:val="24"/>
              </w:rPr>
            </w:pPr>
            <w:r>
              <w:rPr>
                <w:rFonts w:hint="eastAsia" w:hAnsi="宋体" w:cs="宋体"/>
                <w:color w:val="auto"/>
                <w:sz w:val="24"/>
                <w:szCs w:val="24"/>
                <w:lang w:bidi="ar"/>
              </w:rPr>
              <w:t>智慧终端控制器</w:t>
            </w:r>
          </w:p>
        </w:tc>
        <w:tc>
          <w:tcPr>
            <w:tcW w:w="2640" w:type="pct"/>
            <w:tcBorders>
              <w:top w:val="single" w:color="000000" w:sz="4" w:space="0"/>
              <w:left w:val="single" w:color="000000" w:sz="4" w:space="0"/>
              <w:bottom w:val="single" w:color="000000" w:sz="4" w:space="0"/>
              <w:right w:val="single" w:color="000000" w:sz="4" w:space="0"/>
            </w:tcBorders>
            <w:vAlign w:val="center"/>
          </w:tcPr>
          <w:p w14:paraId="559FE684">
            <w:pPr>
              <w:widowControl/>
              <w:jc w:val="left"/>
              <w:textAlignment w:val="center"/>
              <w:rPr>
                <w:rFonts w:hint="eastAsia" w:hAnsi="宋体" w:cs="宋体"/>
                <w:color w:val="auto"/>
                <w:sz w:val="24"/>
                <w:szCs w:val="24"/>
              </w:rPr>
            </w:pPr>
            <w:r>
              <w:rPr>
                <w:rFonts w:hint="eastAsia" w:hAnsi="宋体" w:cs="宋体"/>
                <w:color w:val="auto"/>
                <w:sz w:val="24"/>
                <w:szCs w:val="24"/>
                <w:lang w:bidi="ar"/>
              </w:rPr>
              <w:t>1.输出：DC24V±8%，Max500mA，具有过电流保护；</w:t>
            </w:r>
            <w:r>
              <w:rPr>
                <w:rFonts w:hint="eastAsia" w:hAnsi="宋体" w:cs="宋体"/>
                <w:color w:val="auto"/>
                <w:sz w:val="24"/>
                <w:szCs w:val="24"/>
                <w:lang w:bidi="ar"/>
              </w:rPr>
              <w:br w:type="textWrapping"/>
            </w:r>
            <w:r>
              <w:rPr>
                <w:rFonts w:hint="eastAsia" w:hAnsi="宋体" w:cs="宋体"/>
                <w:color w:val="auto"/>
                <w:sz w:val="24"/>
                <w:szCs w:val="24"/>
                <w:lang w:bidi="ar"/>
              </w:rPr>
              <w:t>2.工作环境温度：-10℃~60℃ 存储温度：-20℃~70℃；</w:t>
            </w:r>
            <w:r>
              <w:rPr>
                <w:rFonts w:hint="eastAsia" w:hAnsi="宋体" w:cs="宋体"/>
                <w:color w:val="auto"/>
                <w:sz w:val="24"/>
                <w:szCs w:val="24"/>
                <w:lang w:bidi="ar"/>
              </w:rPr>
              <w:br w:type="textWrapping"/>
            </w:r>
            <w:r>
              <w:rPr>
                <w:rFonts w:hint="eastAsia" w:hAnsi="宋体" w:cs="宋体"/>
                <w:color w:val="auto"/>
                <w:sz w:val="24"/>
                <w:szCs w:val="24"/>
                <w:lang w:bidi="ar"/>
              </w:rPr>
              <w:t>3.工作环境湿度：5%~95%（无结露）；</w:t>
            </w:r>
            <w:r>
              <w:rPr>
                <w:rFonts w:hint="eastAsia" w:hAnsi="宋体" w:cs="宋体"/>
                <w:color w:val="auto"/>
                <w:sz w:val="24"/>
                <w:szCs w:val="24"/>
                <w:lang w:bidi="ar"/>
              </w:rPr>
              <w:br w:type="textWrapping"/>
            </w:r>
            <w:r>
              <w:rPr>
                <w:rFonts w:hint="eastAsia" w:hAnsi="宋体" w:cs="宋体"/>
                <w:color w:val="auto"/>
                <w:sz w:val="24"/>
                <w:szCs w:val="24"/>
                <w:lang w:bidi="ar"/>
              </w:rPr>
              <w:t>4.支持WiFi通讯和以太网联网方式，至少3路串口通讯，支持VPN下载；</w:t>
            </w:r>
            <w:r>
              <w:rPr>
                <w:rFonts w:hint="eastAsia" w:hAnsi="宋体" w:cs="宋体"/>
                <w:color w:val="auto"/>
                <w:sz w:val="24"/>
                <w:szCs w:val="24"/>
                <w:lang w:bidi="ar"/>
              </w:rPr>
              <w:br w:type="textWrapping"/>
            </w:r>
            <w:r>
              <w:rPr>
                <w:rFonts w:hint="eastAsia" w:hAnsi="宋体" w:cs="宋体"/>
                <w:color w:val="auto"/>
                <w:sz w:val="24"/>
                <w:szCs w:val="24"/>
                <w:lang w:bidi="ar"/>
              </w:rPr>
              <w:t>5.至少12点输入(含2点100KHz），8点继电器输出：配置USB下载口和2个串口及以太网；支持物联网通讯扩展；支持1块BD扩展，支持8块模块扩展；220VAC电源输入；</w:t>
            </w:r>
            <w:r>
              <w:rPr>
                <w:rFonts w:hint="eastAsia" w:hAnsi="宋体" w:cs="宋体"/>
                <w:color w:val="auto"/>
                <w:sz w:val="24"/>
                <w:szCs w:val="24"/>
                <w:lang w:bidi="ar"/>
              </w:rPr>
              <w:br w:type="textWrapping"/>
            </w:r>
            <w:r>
              <w:rPr>
                <w:rFonts w:hint="eastAsia" w:hAnsi="宋体" w:cs="宋体"/>
                <w:color w:val="auto"/>
                <w:sz w:val="24"/>
                <w:szCs w:val="24"/>
                <w:lang w:bidi="ar"/>
              </w:rPr>
              <w:t>6.Miscro USB：支持下载，在线监控；</w:t>
            </w:r>
            <w:r>
              <w:rPr>
                <w:rFonts w:hint="eastAsia" w:hAnsi="宋体" w:cs="宋体"/>
                <w:color w:val="auto"/>
                <w:sz w:val="24"/>
                <w:szCs w:val="24"/>
                <w:lang w:bidi="ar"/>
              </w:rPr>
              <w:br w:type="textWrapping"/>
            </w:r>
            <w:r>
              <w:rPr>
                <w:rFonts w:hint="eastAsia" w:hAnsi="宋体" w:cs="宋体"/>
                <w:color w:val="auto"/>
                <w:sz w:val="24"/>
                <w:szCs w:val="24"/>
                <w:lang w:bidi="ar"/>
              </w:rPr>
              <w:t>7.RS232/RS485：至少2个，RS232/485可任意选择，串口通讯，波特率：4800~921600Bps；</w:t>
            </w:r>
            <w:r>
              <w:rPr>
                <w:rFonts w:hint="eastAsia" w:hAnsi="宋体" w:cs="宋体"/>
                <w:color w:val="auto"/>
                <w:sz w:val="24"/>
                <w:szCs w:val="24"/>
                <w:lang w:bidi="ar"/>
              </w:rPr>
              <w:br w:type="textWrapping"/>
            </w:r>
            <w:r>
              <w:rPr>
                <w:rFonts w:hint="eastAsia" w:hAnsi="宋体" w:cs="宋体"/>
                <w:color w:val="auto"/>
                <w:sz w:val="24"/>
                <w:szCs w:val="24"/>
                <w:lang w:bidi="ar"/>
              </w:rPr>
              <w:t>8.以太网：至少1个，Modbus Tcp Slave；</w:t>
            </w:r>
            <w:r>
              <w:rPr>
                <w:rFonts w:hint="eastAsia" w:hAnsi="宋体" w:cs="宋体"/>
                <w:color w:val="auto"/>
                <w:sz w:val="24"/>
                <w:szCs w:val="24"/>
                <w:lang w:bidi="ar"/>
              </w:rPr>
              <w:br w:type="textWrapping"/>
            </w:r>
            <w:r>
              <w:rPr>
                <w:rFonts w:hint="eastAsia" w:hAnsi="宋体" w:cs="宋体"/>
                <w:color w:val="auto"/>
                <w:sz w:val="24"/>
                <w:szCs w:val="24"/>
                <w:lang w:bidi="ar"/>
              </w:rPr>
              <w:t>9.至少4路模拟量输入模块，专用右侧模拟量扩展模块；</w:t>
            </w:r>
            <w:r>
              <w:rPr>
                <w:rFonts w:hint="eastAsia" w:hAnsi="宋体" w:cs="宋体"/>
                <w:color w:val="auto"/>
                <w:sz w:val="24"/>
                <w:szCs w:val="24"/>
                <w:lang w:bidi="ar"/>
              </w:rPr>
              <w:br w:type="textWrapping"/>
            </w:r>
            <w:r>
              <w:rPr>
                <w:rFonts w:hint="eastAsia" w:hAnsi="宋体" w:cs="宋体"/>
                <w:color w:val="auto"/>
                <w:sz w:val="24"/>
                <w:szCs w:val="24"/>
                <w:lang w:bidi="ar"/>
              </w:rPr>
              <w:t>10.至少支持2点AI输入，2点AO输出，专用右侧模拟量扩展模块。</w:t>
            </w:r>
            <w:r>
              <w:rPr>
                <w:rFonts w:hint="eastAsia" w:hAnsi="宋体" w:cs="宋体"/>
                <w:color w:val="auto"/>
                <w:sz w:val="24"/>
                <w:szCs w:val="24"/>
                <w:lang w:bidi="ar"/>
              </w:rPr>
              <w:br w:type="textWrapping"/>
            </w:r>
            <w:r>
              <w:rPr>
                <w:rFonts w:hint="eastAsia" w:hAnsi="宋体" w:cs="宋体"/>
                <w:color w:val="auto"/>
                <w:sz w:val="24"/>
                <w:szCs w:val="24"/>
                <w:lang w:bidi="ar"/>
              </w:rPr>
              <w:t>11.支持物联网模块、支持边缘计算、免电源下载、远程下载与配置、隐藏式BD模块接口。</w:t>
            </w:r>
          </w:p>
        </w:tc>
        <w:tc>
          <w:tcPr>
            <w:tcW w:w="378" w:type="pct"/>
            <w:tcBorders>
              <w:top w:val="single" w:color="000000" w:sz="4" w:space="0"/>
              <w:left w:val="single" w:color="000000" w:sz="4" w:space="0"/>
              <w:bottom w:val="single" w:color="000000" w:sz="4" w:space="0"/>
              <w:right w:val="single" w:color="000000" w:sz="4" w:space="0"/>
            </w:tcBorders>
            <w:vAlign w:val="center"/>
          </w:tcPr>
          <w:p w14:paraId="46F3F84E">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000A028F">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7559E45C">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24,800.00</w:t>
            </w:r>
          </w:p>
        </w:tc>
      </w:tr>
      <w:tr w14:paraId="713724BE">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477BAD46">
            <w:pPr>
              <w:widowControl/>
              <w:jc w:val="center"/>
              <w:textAlignment w:val="center"/>
              <w:rPr>
                <w:rFonts w:hint="eastAsia" w:hAnsi="宋体" w:cs="宋体"/>
                <w:color w:val="auto"/>
                <w:sz w:val="24"/>
                <w:szCs w:val="24"/>
              </w:rPr>
            </w:pPr>
            <w:r>
              <w:rPr>
                <w:rFonts w:hint="eastAsia" w:hAnsi="宋体" w:cs="宋体"/>
                <w:color w:val="auto"/>
                <w:sz w:val="24"/>
                <w:szCs w:val="24"/>
                <w:lang w:bidi="ar"/>
              </w:rPr>
              <w:t>8</w:t>
            </w:r>
          </w:p>
        </w:tc>
        <w:tc>
          <w:tcPr>
            <w:tcW w:w="632" w:type="pct"/>
            <w:tcBorders>
              <w:top w:val="single" w:color="000000" w:sz="4" w:space="0"/>
              <w:left w:val="single" w:color="000000" w:sz="4" w:space="0"/>
              <w:bottom w:val="single" w:color="000000" w:sz="4" w:space="0"/>
              <w:right w:val="single" w:color="000000" w:sz="4" w:space="0"/>
            </w:tcBorders>
            <w:vAlign w:val="center"/>
          </w:tcPr>
          <w:p w14:paraId="08404047">
            <w:pPr>
              <w:widowControl/>
              <w:jc w:val="center"/>
              <w:textAlignment w:val="center"/>
              <w:rPr>
                <w:rFonts w:hint="eastAsia" w:hAnsi="宋体" w:cs="宋体"/>
                <w:color w:val="auto"/>
                <w:sz w:val="24"/>
              </w:rPr>
            </w:pPr>
            <w:r>
              <w:rPr>
                <w:rFonts w:hint="eastAsia" w:hAnsi="宋体" w:cs="宋体"/>
                <w:color w:val="auto"/>
                <w:sz w:val="24"/>
                <w:szCs w:val="24"/>
                <w:lang w:bidi="ar"/>
              </w:rPr>
              <w:t>人工智能物联网组网设备</w:t>
            </w:r>
          </w:p>
        </w:tc>
        <w:tc>
          <w:tcPr>
            <w:tcW w:w="2640" w:type="pct"/>
            <w:tcBorders>
              <w:top w:val="single" w:color="000000" w:sz="4" w:space="0"/>
              <w:left w:val="single" w:color="000000" w:sz="4" w:space="0"/>
              <w:bottom w:val="single" w:color="000000" w:sz="4" w:space="0"/>
              <w:right w:val="single" w:color="000000" w:sz="4" w:space="0"/>
            </w:tcBorders>
            <w:vAlign w:val="center"/>
          </w:tcPr>
          <w:p w14:paraId="2740DB9B">
            <w:pPr>
              <w:widowControl/>
              <w:jc w:val="left"/>
              <w:textAlignment w:val="center"/>
              <w:rPr>
                <w:rFonts w:hint="eastAsia" w:hAnsi="宋体" w:cs="宋体"/>
                <w:color w:val="auto"/>
                <w:sz w:val="24"/>
                <w:szCs w:val="24"/>
              </w:rPr>
            </w:pPr>
            <w:r>
              <w:rPr>
                <w:rFonts w:hint="eastAsia" w:hAnsi="宋体" w:cs="宋体"/>
                <w:color w:val="auto"/>
                <w:sz w:val="24"/>
                <w:szCs w:val="24"/>
                <w:lang w:bidi="ar"/>
              </w:rPr>
              <w:t>1.网络性能：支持2.4G/5G双频 Wi-Fi6、蓝牙5.0、Zigbee和Thread通信协议，确保在多设备同时连接时仍能稳定运行，满足高密度场景需求。</w:t>
            </w:r>
            <w:r>
              <w:rPr>
                <w:rFonts w:hint="eastAsia" w:hAnsi="宋体" w:cs="宋体"/>
                <w:color w:val="auto"/>
                <w:sz w:val="24"/>
                <w:szCs w:val="24"/>
                <w:lang w:bidi="ar"/>
              </w:rPr>
              <w:br w:type="textWrapping"/>
            </w:r>
            <w:r>
              <w:rPr>
                <w:rFonts w:hint="eastAsia" w:hAnsi="宋体" w:cs="宋体"/>
                <w:color w:val="auto"/>
                <w:sz w:val="24"/>
                <w:szCs w:val="24"/>
                <w:lang w:bidi="ar"/>
              </w:rPr>
              <w:t>2.智能中继与网络优化：支持子节点/主节点数据中继功能，主节点可代理子节点与Modbus网关通信。</w:t>
            </w:r>
            <w:r>
              <w:rPr>
                <w:rFonts w:hint="eastAsia" w:hAnsi="宋体" w:cs="宋体"/>
                <w:color w:val="auto"/>
                <w:sz w:val="24"/>
                <w:szCs w:val="24"/>
                <w:lang w:bidi="ar"/>
              </w:rPr>
              <w:br w:type="textWrapping"/>
            </w:r>
            <w:r>
              <w:rPr>
                <w:rFonts w:hint="eastAsia" w:hAnsi="宋体" w:cs="宋体"/>
                <w:color w:val="auto"/>
                <w:sz w:val="24"/>
                <w:szCs w:val="24"/>
                <w:lang w:bidi="ar"/>
              </w:rPr>
              <w:t>3.多功能接口兼容：提供至少1路0-10V输出、3路输入接口、2路继电器控制及1个以太网口，满足层流、离子、录播设备等多种设备的无线控制需求。</w:t>
            </w:r>
            <w:r>
              <w:rPr>
                <w:rFonts w:hint="eastAsia" w:hAnsi="宋体" w:cs="宋体"/>
                <w:color w:val="auto"/>
                <w:sz w:val="24"/>
                <w:szCs w:val="24"/>
                <w:lang w:bidi="ar"/>
              </w:rPr>
              <w:br w:type="textWrapping"/>
            </w:r>
            <w:r>
              <w:rPr>
                <w:rFonts w:hint="eastAsia" w:hAnsi="宋体" w:cs="宋体"/>
                <w:color w:val="auto"/>
                <w:sz w:val="24"/>
                <w:szCs w:val="24"/>
                <w:lang w:bidi="ar"/>
              </w:rPr>
              <w:t>4.设备可扩展性：设备预留扩展接口，支持功能升级和设备扩展。</w:t>
            </w:r>
            <w:r>
              <w:rPr>
                <w:rFonts w:hint="eastAsia" w:hAnsi="宋体" w:cs="宋体"/>
                <w:color w:val="auto"/>
                <w:sz w:val="24"/>
                <w:szCs w:val="24"/>
                <w:lang w:bidi="ar"/>
              </w:rPr>
              <w:br w:type="textWrapping"/>
            </w:r>
            <w:r>
              <w:rPr>
                <w:rFonts w:hint="eastAsia" w:hAnsi="宋体" w:cs="宋体"/>
                <w:color w:val="auto"/>
                <w:sz w:val="24"/>
                <w:szCs w:val="24"/>
                <w:lang w:bidi="ar"/>
              </w:rPr>
              <w:t>5.含本项目系统正常运行的通排风净化系统集成和安装配套。</w:t>
            </w:r>
          </w:p>
        </w:tc>
        <w:tc>
          <w:tcPr>
            <w:tcW w:w="378" w:type="pct"/>
            <w:tcBorders>
              <w:top w:val="single" w:color="000000" w:sz="4" w:space="0"/>
              <w:left w:val="single" w:color="000000" w:sz="4" w:space="0"/>
              <w:bottom w:val="single" w:color="000000" w:sz="4" w:space="0"/>
              <w:right w:val="single" w:color="000000" w:sz="4" w:space="0"/>
            </w:tcBorders>
            <w:noWrap/>
            <w:vAlign w:val="center"/>
          </w:tcPr>
          <w:p w14:paraId="3A6B3260">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noWrap/>
            <w:vAlign w:val="center"/>
          </w:tcPr>
          <w:p w14:paraId="666F86A4">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noWrap/>
            <w:vAlign w:val="center"/>
          </w:tcPr>
          <w:p w14:paraId="581B108C">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14,000.00</w:t>
            </w:r>
          </w:p>
        </w:tc>
      </w:tr>
      <w:tr w14:paraId="151276A5">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4B5E6DE3">
            <w:pPr>
              <w:widowControl/>
              <w:jc w:val="center"/>
              <w:textAlignment w:val="center"/>
              <w:rPr>
                <w:rFonts w:hint="eastAsia" w:hAnsi="宋体" w:cs="宋体"/>
                <w:color w:val="auto"/>
                <w:sz w:val="24"/>
                <w:szCs w:val="24"/>
              </w:rPr>
            </w:pPr>
            <w:r>
              <w:rPr>
                <w:rFonts w:hint="eastAsia" w:hAnsi="宋体" w:cs="宋体"/>
                <w:color w:val="auto"/>
                <w:sz w:val="24"/>
                <w:szCs w:val="24"/>
                <w:lang w:bidi="ar"/>
              </w:rPr>
              <w:t>9</w:t>
            </w:r>
          </w:p>
        </w:tc>
        <w:tc>
          <w:tcPr>
            <w:tcW w:w="632" w:type="pct"/>
            <w:tcBorders>
              <w:top w:val="single" w:color="000000" w:sz="4" w:space="0"/>
              <w:left w:val="single" w:color="000000" w:sz="4" w:space="0"/>
              <w:bottom w:val="single" w:color="000000" w:sz="4" w:space="0"/>
              <w:right w:val="single" w:color="000000" w:sz="4" w:space="0"/>
            </w:tcBorders>
            <w:vAlign w:val="center"/>
          </w:tcPr>
          <w:p w14:paraId="4D25C57C">
            <w:pPr>
              <w:widowControl/>
              <w:jc w:val="center"/>
              <w:textAlignment w:val="center"/>
              <w:rPr>
                <w:rFonts w:hint="eastAsia" w:hAnsi="宋体" w:cs="宋体"/>
                <w:color w:val="auto"/>
                <w:sz w:val="24"/>
                <w:szCs w:val="24"/>
              </w:rPr>
            </w:pPr>
            <w:r>
              <w:rPr>
                <w:rFonts w:hint="eastAsia" w:hAnsi="宋体" w:cs="宋体"/>
                <w:color w:val="auto"/>
                <w:sz w:val="24"/>
                <w:szCs w:val="24"/>
                <w:lang w:bidi="ar"/>
              </w:rPr>
              <w:t>AI数字人智能交互控制平台</w:t>
            </w:r>
          </w:p>
        </w:tc>
        <w:tc>
          <w:tcPr>
            <w:tcW w:w="2640" w:type="pct"/>
            <w:tcBorders>
              <w:top w:val="single" w:color="000000" w:sz="4" w:space="0"/>
              <w:left w:val="single" w:color="000000" w:sz="4" w:space="0"/>
              <w:bottom w:val="single" w:color="000000" w:sz="4" w:space="0"/>
              <w:right w:val="single" w:color="000000" w:sz="4" w:space="0"/>
            </w:tcBorders>
            <w:vAlign w:val="center"/>
          </w:tcPr>
          <w:p w14:paraId="20EABB73">
            <w:pPr>
              <w:pStyle w:val="3"/>
              <w:widowControl/>
              <w:textAlignment w:val="center"/>
              <w:rPr>
                <w:rFonts w:hint="eastAsia" w:hAnsi="宋体" w:cs="宋体"/>
                <w:color w:val="auto"/>
                <w:sz w:val="24"/>
                <w:szCs w:val="24"/>
                <w:lang w:bidi="ar"/>
              </w:rPr>
            </w:pPr>
            <w:r>
              <w:rPr>
                <w:rFonts w:hint="eastAsia" w:hAnsi="宋体" w:cs="宋体"/>
                <w:color w:val="auto"/>
                <w:sz w:val="24"/>
                <w:szCs w:val="24"/>
                <w:lang w:bidi="ar"/>
              </w:rPr>
              <w:t>1.空气品质远程控制功能</w:t>
            </w:r>
            <w:r>
              <w:rPr>
                <w:rFonts w:hint="eastAsia" w:hAnsi="宋体" w:cs="宋体"/>
                <w:color w:val="auto"/>
                <w:sz w:val="24"/>
                <w:szCs w:val="24"/>
                <w:lang w:bidi="ar"/>
              </w:rPr>
              <w:br w:type="textWrapping"/>
            </w:r>
            <w:r>
              <w:rPr>
                <w:rFonts w:hint="eastAsia" w:hAnsi="宋体" w:cs="宋体"/>
                <w:color w:val="auto"/>
                <w:sz w:val="24"/>
                <w:szCs w:val="24"/>
                <w:lang w:bidi="ar"/>
              </w:rPr>
              <w:t>▲1.1空气净化管理模块，可显示和控制①空气质量（优良差）②甲醛浓度③离子浓度④环境温度和环境湿度⑤调节风速：可手动从0%调整到 100%调节⑥显示当前风速值（m/s)⑦当前模式：手动和自动模式⑧排风（开和关）、新风（开和关）、离子（开和关）、空调（开和关）、照明系统（开和关）。提供投标产品</w:t>
            </w:r>
            <w:r>
              <w:rPr>
                <w:rFonts w:hint="eastAsia" w:hAnsi="宋体" w:cs="宋体"/>
                <w:color w:val="auto"/>
                <w:sz w:val="24"/>
                <w:szCs w:val="24"/>
                <w:lang w:val="en-US" w:eastAsia="zh-CN" w:bidi="ar"/>
              </w:rPr>
              <w:t>显示</w:t>
            </w:r>
            <w:r>
              <w:rPr>
                <w:rFonts w:hint="eastAsia" w:hAnsi="宋体" w:cs="宋体"/>
                <w:color w:val="auto"/>
                <w:sz w:val="24"/>
                <w:szCs w:val="24"/>
                <w:lang w:bidi="ar"/>
              </w:rPr>
              <w:t>界面</w:t>
            </w:r>
            <w:r>
              <w:rPr>
                <w:rFonts w:hint="eastAsia" w:hAnsi="宋体" w:cs="宋体"/>
                <w:color w:val="auto"/>
                <w:sz w:val="24"/>
                <w:szCs w:val="24"/>
                <w:lang w:val="en-US" w:eastAsia="zh-CN" w:bidi="ar"/>
              </w:rPr>
              <w:t>符合本项指标要求</w:t>
            </w:r>
            <w:r>
              <w:rPr>
                <w:rFonts w:hint="eastAsia" w:hAnsi="宋体" w:cs="宋体"/>
                <w:color w:val="auto"/>
                <w:sz w:val="24"/>
                <w:szCs w:val="24"/>
                <w:lang w:bidi="ar"/>
              </w:rPr>
              <w:t>的设备实拍照片或生产厂家发布的技术白皮书(技术书册)或官网链接及产品官网参数截图予以佐证，并加盖投标人公章。</w:t>
            </w:r>
            <w:r>
              <w:rPr>
                <w:rFonts w:hint="eastAsia" w:hAnsi="宋体" w:cs="宋体"/>
                <w:color w:val="auto"/>
                <w:sz w:val="24"/>
                <w:szCs w:val="24"/>
                <w:lang w:bidi="ar"/>
              </w:rPr>
              <w:br w:type="textWrapping"/>
            </w:r>
            <w:r>
              <w:rPr>
                <w:rFonts w:hint="eastAsia" w:hAnsi="宋体" w:cs="宋体"/>
                <w:color w:val="auto"/>
                <w:sz w:val="24"/>
                <w:szCs w:val="24"/>
                <w:lang w:bidi="ar"/>
              </w:rPr>
              <w:t>1.2管理模块，APP 具有操作日志和定时预约设备功能。①界面上体现设置定时，并能设置设备开启时间段，精确到具体日期和时间。②有全天开启和全天关闭功能。外网接入点中标后由采购人提供。</w:t>
            </w:r>
            <w:r>
              <w:rPr>
                <w:rFonts w:hint="eastAsia" w:hAnsi="宋体" w:cs="宋体"/>
                <w:color w:val="auto"/>
                <w:sz w:val="24"/>
                <w:szCs w:val="24"/>
                <w:lang w:bidi="ar"/>
              </w:rPr>
              <w:br w:type="textWrapping"/>
            </w:r>
            <w:r>
              <w:rPr>
                <w:rFonts w:hint="eastAsia" w:hAnsi="宋体" w:cs="宋体"/>
                <w:color w:val="auto"/>
                <w:sz w:val="24"/>
                <w:szCs w:val="24"/>
                <w:lang w:bidi="ar"/>
              </w:rPr>
              <w:t>▲2.①APP内置高拟真AI数字人形象，支持实时唇动同步，确保语音交互时的自然表现；②用户可通过语音或文本输入，与数字人进行智能对话；③系统具备动态分析与决策能力，能够理解上下文，结合用户需求与环境状态（如光线、设备状态）进行智能判断；主动推理，提供个性化建议；实时交互并联动控制系统做出反应。（</w:t>
            </w:r>
            <w:r>
              <w:rPr>
                <w:rFonts w:hint="eastAsia" w:hAnsi="宋体" w:cs="宋体"/>
                <w:color w:val="auto"/>
                <w:sz w:val="24"/>
                <w:szCs w:val="24"/>
                <w:lang w:val="en-US" w:eastAsia="zh-CN" w:bidi="ar"/>
              </w:rPr>
              <w:t>提供符合本项指标要求的实景拍摄下的实物演示视频或</w:t>
            </w:r>
            <w:r>
              <w:rPr>
                <w:rFonts w:hint="eastAsia" w:hAnsi="宋体" w:cs="宋体"/>
                <w:color w:val="auto"/>
                <w:sz w:val="24"/>
                <w:lang w:bidi="ar"/>
              </w:rPr>
              <w:t>国家认可的第三方检测机构出具的检测报告复印件或官网链接及产品官网参数截图予以佐证</w:t>
            </w:r>
            <w:r>
              <w:rPr>
                <w:rFonts w:hint="eastAsia" w:hAnsi="宋体" w:cs="宋体"/>
                <w:color w:val="auto"/>
                <w:sz w:val="24"/>
                <w:szCs w:val="24"/>
                <w:lang w:bidi="ar"/>
              </w:rPr>
              <w:t>），并加盖投标人公章</w:t>
            </w:r>
            <w:r>
              <w:rPr>
                <w:rFonts w:hint="eastAsia" w:hAnsi="宋体" w:cs="宋体"/>
                <w:color w:val="auto"/>
                <w:sz w:val="24"/>
                <w:szCs w:val="24"/>
                <w:lang w:bidi="ar"/>
              </w:rPr>
              <w:br w:type="textWrapping"/>
            </w:r>
            <w:r>
              <w:rPr>
                <w:rFonts w:hint="eastAsia" w:hAnsi="宋体" w:cs="宋体"/>
                <w:color w:val="auto"/>
                <w:sz w:val="24"/>
                <w:szCs w:val="24"/>
                <w:lang w:bidi="ar"/>
              </w:rPr>
              <w:t>3.智慧云台硬件：屏幕≥10英寸；分辨率不低于2560x1600；运行内存不低于8G；机身内存不小于128G；有多连点控制单元，操作台可移动式智能控制，无需固定。</w:t>
            </w:r>
          </w:p>
        </w:tc>
        <w:tc>
          <w:tcPr>
            <w:tcW w:w="378" w:type="pct"/>
            <w:tcBorders>
              <w:top w:val="single" w:color="000000" w:sz="4" w:space="0"/>
              <w:left w:val="single" w:color="000000" w:sz="4" w:space="0"/>
              <w:bottom w:val="single" w:color="000000" w:sz="4" w:space="0"/>
              <w:right w:val="single" w:color="000000" w:sz="4" w:space="0"/>
            </w:tcBorders>
            <w:vAlign w:val="center"/>
          </w:tcPr>
          <w:p w14:paraId="6524E7DA">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4469AE58">
            <w:pPr>
              <w:widowControl/>
              <w:jc w:val="center"/>
              <w:textAlignment w:val="center"/>
              <w:rPr>
                <w:rFonts w:hint="eastAsia" w:hAnsi="宋体" w:cs="宋体"/>
                <w:color w:val="auto"/>
                <w:sz w:val="24"/>
                <w:szCs w:val="24"/>
              </w:rPr>
            </w:pPr>
            <w:r>
              <w:rPr>
                <w:rFonts w:hint="eastAsia" w:hAnsi="宋体" w:cs="宋体"/>
                <w:color w:val="auto"/>
                <w:sz w:val="24"/>
                <w:szCs w:val="24"/>
                <w:lang w:bidi="ar"/>
              </w:rPr>
              <w:t>1</w:t>
            </w:r>
          </w:p>
        </w:tc>
        <w:tc>
          <w:tcPr>
            <w:tcW w:w="573" w:type="pct"/>
            <w:tcBorders>
              <w:top w:val="single" w:color="000000" w:sz="4" w:space="0"/>
              <w:left w:val="single" w:color="000000" w:sz="4" w:space="0"/>
              <w:bottom w:val="single" w:color="000000" w:sz="4" w:space="0"/>
              <w:right w:val="single" w:color="000000" w:sz="4" w:space="0"/>
            </w:tcBorders>
            <w:vAlign w:val="center"/>
          </w:tcPr>
          <w:p w14:paraId="42F7E745">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3,600.00</w:t>
            </w:r>
          </w:p>
        </w:tc>
      </w:tr>
      <w:tr w14:paraId="30BAE3D8">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46F71E64">
            <w:pPr>
              <w:widowControl/>
              <w:jc w:val="center"/>
              <w:textAlignment w:val="center"/>
              <w:rPr>
                <w:rFonts w:hint="eastAsia" w:hAnsi="宋体" w:cs="宋体"/>
                <w:color w:val="auto"/>
                <w:sz w:val="24"/>
                <w:szCs w:val="24"/>
              </w:rPr>
            </w:pPr>
            <w:r>
              <w:rPr>
                <w:rFonts w:hint="eastAsia" w:hAnsi="宋体" w:cs="宋体"/>
                <w:color w:val="auto"/>
                <w:sz w:val="24"/>
                <w:szCs w:val="24"/>
                <w:lang w:bidi="ar"/>
              </w:rPr>
              <w:t>10</w:t>
            </w:r>
          </w:p>
        </w:tc>
        <w:tc>
          <w:tcPr>
            <w:tcW w:w="632" w:type="pct"/>
            <w:tcBorders>
              <w:top w:val="single" w:color="000000" w:sz="4" w:space="0"/>
              <w:left w:val="single" w:color="000000" w:sz="4" w:space="0"/>
              <w:bottom w:val="single" w:color="000000" w:sz="4" w:space="0"/>
              <w:right w:val="nil"/>
            </w:tcBorders>
            <w:vAlign w:val="center"/>
          </w:tcPr>
          <w:p w14:paraId="3ACCA864">
            <w:pPr>
              <w:widowControl/>
              <w:jc w:val="center"/>
              <w:textAlignment w:val="center"/>
              <w:rPr>
                <w:rFonts w:hint="eastAsia" w:hAnsi="宋体" w:cs="宋体"/>
                <w:color w:val="auto"/>
                <w:sz w:val="24"/>
              </w:rPr>
            </w:pPr>
            <w:r>
              <w:rPr>
                <w:rFonts w:hint="eastAsia" w:hAnsi="宋体" w:cs="宋体"/>
                <w:color w:val="auto"/>
                <w:sz w:val="24"/>
                <w:szCs w:val="24"/>
                <w:lang w:bidi="ar"/>
              </w:rPr>
              <w:t>移动式微方净化系统</w:t>
            </w:r>
          </w:p>
        </w:tc>
        <w:tc>
          <w:tcPr>
            <w:tcW w:w="2640" w:type="pct"/>
            <w:tcBorders>
              <w:top w:val="single" w:color="000000" w:sz="4" w:space="0"/>
              <w:left w:val="single" w:color="000000" w:sz="4" w:space="0"/>
              <w:bottom w:val="single" w:color="000000" w:sz="4" w:space="0"/>
              <w:right w:val="single" w:color="000000" w:sz="4" w:space="0"/>
            </w:tcBorders>
            <w:vAlign w:val="center"/>
          </w:tcPr>
          <w:p w14:paraId="3AC9B0E1">
            <w:pPr>
              <w:widowControl/>
              <w:jc w:val="left"/>
              <w:textAlignment w:val="center"/>
              <w:rPr>
                <w:rFonts w:hint="eastAsia" w:hAnsi="宋体" w:cs="宋体"/>
                <w:color w:val="auto"/>
                <w:sz w:val="24"/>
                <w:szCs w:val="24"/>
              </w:rPr>
            </w:pPr>
            <w:r>
              <w:rPr>
                <w:rFonts w:hint="eastAsia" w:hAnsi="宋体" w:cs="宋体"/>
                <w:color w:val="auto"/>
                <w:sz w:val="24"/>
                <w:szCs w:val="24"/>
                <w:lang w:bidi="ar"/>
              </w:rPr>
              <w:t>1.规格：长238×宽238×高260mm（±10mm）。</w:t>
            </w:r>
            <w:r>
              <w:rPr>
                <w:rFonts w:hint="eastAsia" w:hAnsi="宋体" w:cs="宋体"/>
                <w:color w:val="auto"/>
                <w:sz w:val="24"/>
                <w:szCs w:val="24"/>
                <w:lang w:bidi="ar"/>
              </w:rPr>
              <w:br w:type="textWrapping"/>
            </w:r>
            <w:r>
              <w:rPr>
                <w:rFonts w:hint="eastAsia" w:ascii="楷体" w:hAnsi="楷体" w:eastAsia="楷体" w:cs="楷体"/>
                <w:color w:val="auto"/>
                <w:sz w:val="24"/>
                <w:szCs w:val="24"/>
                <w:lang w:bidi="ar"/>
              </w:rPr>
              <w:t>★</w:t>
            </w:r>
            <w:r>
              <w:rPr>
                <w:rFonts w:hint="eastAsia" w:hAnsi="宋体" w:cs="宋体"/>
                <w:color w:val="auto"/>
                <w:sz w:val="24"/>
                <w:szCs w:val="24"/>
                <w:lang w:bidi="ar"/>
              </w:rPr>
              <w:t>2.医疗级净化模块，有效消除过敏原，防止形成菌落，采用 GB21551.3-2010</w:t>
            </w:r>
            <w:r>
              <w:rPr>
                <w:rFonts w:hAnsi="宋体" w:cs="宋体"/>
                <w:b w:val="0"/>
                <w:bCs w:val="0"/>
                <w:color w:val="auto"/>
                <w:sz w:val="24"/>
                <w:szCs w:val="24"/>
              </w:rPr>
              <w:t>家用和类似用途电器的抗菌、除菌、净化功能 空气净化器的特殊要求</w:t>
            </w:r>
            <w:r>
              <w:rPr>
                <w:rFonts w:hint="eastAsia" w:hAnsi="宋体" w:cs="宋体"/>
                <w:color w:val="auto"/>
                <w:sz w:val="24"/>
                <w:szCs w:val="24"/>
                <w:lang w:bidi="ar"/>
              </w:rPr>
              <w:t>方法进行检测，60 分钟内白色葡萄球菌除菌率≥99.99%。</w:t>
            </w:r>
            <w:r>
              <w:rPr>
                <w:rFonts w:hint="eastAsia" w:hAnsi="宋体" w:cs="宋体"/>
                <w:color w:val="auto"/>
                <w:sz w:val="24"/>
                <w:szCs w:val="24"/>
                <w:lang w:bidi="ar"/>
              </w:rPr>
              <w:br w:type="textWrapping"/>
            </w:r>
            <w:r>
              <w:rPr>
                <w:rFonts w:hint="eastAsia" w:hAnsi="宋体" w:cs="宋体"/>
                <w:color w:val="auto"/>
                <w:sz w:val="24"/>
                <w:szCs w:val="24"/>
                <w:lang w:bidi="ar"/>
              </w:rPr>
              <w:t>3.配置离子设备，尺寸：180×40mm（±30mm）。设备自带传感系统和检测功能，根据室内污染程度进行自动调整状态和启停。</w:t>
            </w:r>
            <w:r>
              <w:rPr>
                <w:rFonts w:hint="eastAsia" w:hAnsi="宋体" w:cs="宋体"/>
                <w:color w:val="auto"/>
                <w:sz w:val="24"/>
                <w:szCs w:val="24"/>
                <w:lang w:bidi="ar"/>
              </w:rPr>
              <w:br w:type="textWrapping"/>
            </w:r>
            <w:r>
              <w:rPr>
                <w:rFonts w:hint="eastAsia" w:hAnsi="宋体" w:cs="宋体"/>
                <w:color w:val="auto"/>
                <w:sz w:val="24"/>
                <w:szCs w:val="24"/>
                <w:lang w:bidi="ar"/>
              </w:rPr>
              <w:t>4.设备至少含智能触发装置和安全模块，尺寸：210mm×210mm（±30mm），安全模块四角固定。</w:t>
            </w:r>
            <w:r>
              <w:rPr>
                <w:rFonts w:hint="eastAsia" w:hAnsi="宋体" w:cs="宋体"/>
                <w:color w:val="auto"/>
                <w:sz w:val="24"/>
                <w:szCs w:val="24"/>
                <w:lang w:bidi="ar"/>
              </w:rPr>
              <w:br w:type="textWrapping"/>
            </w:r>
            <w:r>
              <w:rPr>
                <w:rFonts w:hint="eastAsia" w:hAnsi="宋体" w:cs="宋体"/>
                <w:color w:val="auto"/>
                <w:sz w:val="24"/>
                <w:szCs w:val="24"/>
                <w:lang w:bidi="ar"/>
              </w:rPr>
              <w:t>5.设备内置控制台至少包含通风排除模块、维护警告复位模块。</w:t>
            </w:r>
            <w:r>
              <w:rPr>
                <w:rFonts w:hint="eastAsia" w:hAnsi="宋体" w:cs="宋体"/>
                <w:color w:val="auto"/>
                <w:sz w:val="24"/>
                <w:szCs w:val="24"/>
                <w:lang w:bidi="ar"/>
              </w:rPr>
              <w:br w:type="textWrapping"/>
            </w:r>
            <w:r>
              <w:rPr>
                <w:rFonts w:hint="eastAsia" w:hAnsi="宋体" w:cs="宋体"/>
                <w:color w:val="auto"/>
                <w:sz w:val="24"/>
                <w:szCs w:val="24"/>
                <w:lang w:bidi="ar"/>
              </w:rPr>
              <w:t>6.内置自动计算器（不少于8000H），当需要更换主机时自动警示。</w:t>
            </w:r>
            <w:r>
              <w:rPr>
                <w:rFonts w:hint="eastAsia" w:hAnsi="宋体" w:cs="宋体"/>
                <w:color w:val="auto"/>
                <w:sz w:val="24"/>
                <w:szCs w:val="24"/>
                <w:lang w:bidi="ar"/>
              </w:rPr>
              <w:br w:type="textWrapping"/>
            </w:r>
            <w:r>
              <w:rPr>
                <w:rFonts w:hint="eastAsia" w:hAnsi="宋体" w:cs="宋体"/>
                <w:color w:val="auto"/>
                <w:sz w:val="24"/>
                <w:szCs w:val="24"/>
                <w:lang w:bidi="ar"/>
              </w:rPr>
              <w:t>▲7.设备内置风机，安装不锈钢层流疏导孔，自渗透式循环方式净化，室内相对密闭状态下持续有效降低病毒、细菌的传播性，人机共处式消毒。提供由国家认可的检测机构出具的带CMA标识的检测报告扫描件。</w:t>
            </w:r>
          </w:p>
        </w:tc>
        <w:tc>
          <w:tcPr>
            <w:tcW w:w="378" w:type="pct"/>
            <w:tcBorders>
              <w:top w:val="single" w:color="000000" w:sz="4" w:space="0"/>
              <w:left w:val="single" w:color="000000" w:sz="4" w:space="0"/>
              <w:bottom w:val="single" w:color="000000" w:sz="4" w:space="0"/>
              <w:right w:val="single" w:color="000000" w:sz="4" w:space="0"/>
            </w:tcBorders>
            <w:vAlign w:val="center"/>
          </w:tcPr>
          <w:p w14:paraId="0DCC8B92">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55F071CB">
            <w:pPr>
              <w:widowControl/>
              <w:jc w:val="center"/>
              <w:textAlignment w:val="center"/>
              <w:rPr>
                <w:rFonts w:hint="eastAsia" w:hAnsi="宋体" w:cs="宋体"/>
                <w:color w:val="auto"/>
                <w:sz w:val="24"/>
                <w:szCs w:val="24"/>
              </w:rPr>
            </w:pPr>
            <w:r>
              <w:rPr>
                <w:rFonts w:hint="eastAsia" w:hAnsi="宋体" w:cs="宋体"/>
                <w:color w:val="auto"/>
                <w:sz w:val="24"/>
                <w:szCs w:val="24"/>
                <w:lang w:bidi="ar"/>
              </w:rPr>
              <w:t>1</w:t>
            </w:r>
          </w:p>
        </w:tc>
        <w:tc>
          <w:tcPr>
            <w:tcW w:w="573" w:type="pct"/>
            <w:tcBorders>
              <w:top w:val="single" w:color="000000" w:sz="4" w:space="0"/>
              <w:left w:val="single" w:color="000000" w:sz="4" w:space="0"/>
              <w:bottom w:val="single" w:color="000000" w:sz="4" w:space="0"/>
              <w:right w:val="single" w:color="000000" w:sz="4" w:space="0"/>
            </w:tcBorders>
            <w:vAlign w:val="center"/>
          </w:tcPr>
          <w:p w14:paraId="421E2489">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6,000.00</w:t>
            </w:r>
          </w:p>
        </w:tc>
      </w:tr>
      <w:tr w14:paraId="274A9151">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6DF9E8F8">
            <w:pPr>
              <w:widowControl/>
              <w:jc w:val="center"/>
              <w:textAlignment w:val="center"/>
              <w:rPr>
                <w:rFonts w:hint="eastAsia" w:hAnsi="宋体" w:cs="宋体"/>
                <w:color w:val="auto"/>
                <w:sz w:val="24"/>
                <w:szCs w:val="24"/>
              </w:rPr>
            </w:pPr>
            <w:r>
              <w:rPr>
                <w:rFonts w:hint="eastAsia" w:hAnsi="宋体" w:cs="宋体"/>
                <w:color w:val="auto"/>
                <w:sz w:val="24"/>
                <w:szCs w:val="24"/>
                <w:lang w:bidi="ar"/>
              </w:rPr>
              <w:t>11</w:t>
            </w:r>
          </w:p>
        </w:tc>
        <w:tc>
          <w:tcPr>
            <w:tcW w:w="632" w:type="pct"/>
            <w:tcBorders>
              <w:top w:val="single" w:color="000000" w:sz="4" w:space="0"/>
              <w:left w:val="single" w:color="000000" w:sz="4" w:space="0"/>
              <w:bottom w:val="single" w:color="000000" w:sz="4" w:space="0"/>
              <w:right w:val="nil"/>
            </w:tcBorders>
            <w:vAlign w:val="center"/>
          </w:tcPr>
          <w:p w14:paraId="5C4D51DD">
            <w:pPr>
              <w:widowControl/>
              <w:jc w:val="center"/>
              <w:textAlignment w:val="center"/>
              <w:rPr>
                <w:rFonts w:hint="eastAsia" w:hAnsi="宋体" w:cs="宋体"/>
                <w:color w:val="auto"/>
                <w:sz w:val="24"/>
                <w:szCs w:val="24"/>
              </w:rPr>
            </w:pPr>
            <w:r>
              <w:rPr>
                <w:rFonts w:hint="eastAsia" w:hAnsi="宋体" w:cs="宋体"/>
                <w:color w:val="auto"/>
                <w:sz w:val="24"/>
                <w:szCs w:val="24"/>
                <w:lang w:bidi="ar"/>
              </w:rPr>
              <w:t>臭氧浓度变送器</w:t>
            </w:r>
          </w:p>
        </w:tc>
        <w:tc>
          <w:tcPr>
            <w:tcW w:w="2640" w:type="pct"/>
            <w:tcBorders>
              <w:top w:val="single" w:color="000000" w:sz="4" w:space="0"/>
              <w:left w:val="single" w:color="000000" w:sz="4" w:space="0"/>
              <w:bottom w:val="single" w:color="000000" w:sz="4" w:space="0"/>
              <w:right w:val="single" w:color="000000" w:sz="4" w:space="0"/>
            </w:tcBorders>
            <w:vAlign w:val="center"/>
          </w:tcPr>
          <w:p w14:paraId="0EA254BB">
            <w:pPr>
              <w:widowControl/>
              <w:jc w:val="left"/>
              <w:textAlignment w:val="center"/>
              <w:rPr>
                <w:rFonts w:hint="eastAsia" w:hAnsi="宋体" w:cs="宋体"/>
                <w:color w:val="auto"/>
                <w:sz w:val="24"/>
                <w:szCs w:val="24"/>
                <w:lang w:bidi="ar"/>
              </w:rPr>
            </w:pPr>
            <w:r>
              <w:rPr>
                <w:rFonts w:hint="eastAsia" w:hAnsi="宋体" w:cs="宋体"/>
                <w:color w:val="auto"/>
                <w:sz w:val="24"/>
                <w:szCs w:val="24"/>
                <w:lang w:bidi="ar"/>
              </w:rPr>
              <w:t>1.测量范围：4-20mA ；</w:t>
            </w:r>
            <w:r>
              <w:rPr>
                <w:rFonts w:hint="eastAsia" w:hAnsi="宋体" w:cs="宋体"/>
                <w:color w:val="auto"/>
                <w:sz w:val="24"/>
                <w:szCs w:val="24"/>
                <w:lang w:bidi="ar"/>
              </w:rPr>
              <w:br w:type="textWrapping"/>
            </w:r>
            <w:r>
              <w:rPr>
                <w:rFonts w:hint="eastAsia" w:hAnsi="宋体" w:cs="宋体"/>
                <w:color w:val="auto"/>
                <w:sz w:val="24"/>
                <w:szCs w:val="24"/>
                <w:lang w:bidi="ar"/>
              </w:rPr>
              <w:t>2.电源：24V，50HZ；</w:t>
            </w:r>
            <w:r>
              <w:rPr>
                <w:rFonts w:hint="eastAsia" w:hAnsi="宋体" w:cs="宋体"/>
                <w:color w:val="auto"/>
                <w:sz w:val="24"/>
                <w:szCs w:val="24"/>
                <w:lang w:bidi="ar"/>
              </w:rPr>
              <w:br w:type="textWrapping"/>
            </w:r>
            <w:r>
              <w:rPr>
                <w:rFonts w:hint="eastAsia" w:hAnsi="宋体" w:cs="宋体"/>
                <w:color w:val="auto"/>
                <w:sz w:val="24"/>
                <w:szCs w:val="24"/>
                <w:lang w:bidi="ar"/>
              </w:rPr>
              <w:t>3.测量精度：0.1%；</w:t>
            </w:r>
            <w:r>
              <w:rPr>
                <w:rFonts w:hint="eastAsia" w:hAnsi="宋体" w:cs="宋体"/>
                <w:color w:val="auto"/>
                <w:sz w:val="24"/>
                <w:szCs w:val="24"/>
                <w:lang w:bidi="ar"/>
              </w:rPr>
              <w:br w:type="textWrapping"/>
            </w:r>
            <w:r>
              <w:rPr>
                <w:rFonts w:hint="eastAsia" w:hAnsi="宋体" w:cs="宋体"/>
                <w:color w:val="auto"/>
                <w:sz w:val="24"/>
                <w:szCs w:val="24"/>
                <w:lang w:bidi="ar"/>
              </w:rPr>
              <w:t>4.模拟信号输出，双继电器信号输出，RS485 信号。可兼容各种控制报警器、PLC、DCS等控制系统。</w:t>
            </w:r>
          </w:p>
          <w:p w14:paraId="556396AD">
            <w:pPr>
              <w:widowControl/>
              <w:jc w:val="left"/>
              <w:textAlignment w:val="center"/>
              <w:rPr>
                <w:rFonts w:hint="eastAsia" w:hAnsi="宋体" w:cs="宋体"/>
                <w:color w:val="auto"/>
                <w:sz w:val="24"/>
                <w:szCs w:val="24"/>
              </w:rPr>
            </w:pPr>
            <w:r>
              <w:rPr>
                <w:rFonts w:hint="eastAsia" w:hAnsi="宋体" w:cs="宋体"/>
                <w:color w:val="auto"/>
                <w:sz w:val="24"/>
                <w:szCs w:val="24"/>
                <w:lang w:bidi="ar"/>
              </w:rPr>
              <w:t>5.变送器接入语音交互版智慧物联核心监控系统和智慧终端控制器。</w:t>
            </w:r>
          </w:p>
        </w:tc>
        <w:tc>
          <w:tcPr>
            <w:tcW w:w="378" w:type="pct"/>
            <w:tcBorders>
              <w:top w:val="single" w:color="000000" w:sz="4" w:space="0"/>
              <w:left w:val="single" w:color="000000" w:sz="4" w:space="0"/>
              <w:bottom w:val="single" w:color="000000" w:sz="4" w:space="0"/>
              <w:right w:val="single" w:color="000000" w:sz="4" w:space="0"/>
            </w:tcBorders>
            <w:vAlign w:val="center"/>
          </w:tcPr>
          <w:p w14:paraId="473FB06C">
            <w:pPr>
              <w:widowControl/>
              <w:jc w:val="center"/>
              <w:textAlignment w:val="center"/>
              <w:rPr>
                <w:rFonts w:hint="eastAsia" w:hAnsi="宋体" w:cs="宋体"/>
                <w:color w:val="auto"/>
                <w:sz w:val="24"/>
                <w:szCs w:val="24"/>
              </w:rPr>
            </w:pPr>
            <w:r>
              <w:rPr>
                <w:rFonts w:hint="eastAsia" w:hAnsi="宋体" w:cs="宋体"/>
                <w:color w:val="auto"/>
                <w:sz w:val="24"/>
                <w:szCs w:val="24"/>
                <w:lang w:bidi="ar"/>
              </w:rPr>
              <w:t>台</w:t>
            </w:r>
          </w:p>
        </w:tc>
        <w:tc>
          <w:tcPr>
            <w:tcW w:w="426" w:type="pct"/>
            <w:tcBorders>
              <w:top w:val="single" w:color="000000" w:sz="4" w:space="0"/>
              <w:left w:val="single" w:color="000000" w:sz="4" w:space="0"/>
              <w:bottom w:val="single" w:color="000000" w:sz="4" w:space="0"/>
              <w:right w:val="single" w:color="000000" w:sz="4" w:space="0"/>
            </w:tcBorders>
            <w:vAlign w:val="center"/>
          </w:tcPr>
          <w:p w14:paraId="10BD79E0">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668BEAA2">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5,200.00</w:t>
            </w:r>
          </w:p>
        </w:tc>
      </w:tr>
      <w:tr w14:paraId="5572BFF0">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3FC65D95">
            <w:pPr>
              <w:widowControl/>
              <w:jc w:val="center"/>
              <w:textAlignment w:val="center"/>
              <w:rPr>
                <w:rFonts w:hint="eastAsia" w:hAnsi="宋体" w:cs="宋体"/>
                <w:color w:val="auto"/>
                <w:sz w:val="24"/>
                <w:szCs w:val="24"/>
              </w:rPr>
            </w:pPr>
            <w:r>
              <w:rPr>
                <w:rFonts w:hint="eastAsia" w:hAnsi="宋体" w:cs="宋体"/>
                <w:color w:val="auto"/>
                <w:sz w:val="24"/>
                <w:szCs w:val="24"/>
                <w:lang w:bidi="ar"/>
              </w:rPr>
              <w:t>12</w:t>
            </w:r>
          </w:p>
        </w:tc>
        <w:tc>
          <w:tcPr>
            <w:tcW w:w="632" w:type="pct"/>
            <w:tcBorders>
              <w:top w:val="single" w:color="000000" w:sz="4" w:space="0"/>
              <w:left w:val="single" w:color="000000" w:sz="4" w:space="0"/>
              <w:bottom w:val="single" w:color="000000" w:sz="4" w:space="0"/>
              <w:right w:val="nil"/>
            </w:tcBorders>
            <w:vAlign w:val="center"/>
          </w:tcPr>
          <w:p w14:paraId="7D18122D">
            <w:pPr>
              <w:widowControl/>
              <w:jc w:val="center"/>
              <w:textAlignment w:val="center"/>
              <w:rPr>
                <w:rFonts w:hint="eastAsia" w:hAnsi="宋体" w:cs="宋体"/>
                <w:color w:val="auto"/>
                <w:sz w:val="24"/>
                <w:szCs w:val="24"/>
              </w:rPr>
            </w:pPr>
            <w:r>
              <w:rPr>
                <w:rFonts w:hint="eastAsia" w:hAnsi="宋体" w:cs="宋体"/>
                <w:color w:val="auto"/>
                <w:sz w:val="24"/>
                <w:szCs w:val="24"/>
                <w:lang w:bidi="ar"/>
              </w:rPr>
              <w:t>风速变送器</w:t>
            </w:r>
          </w:p>
        </w:tc>
        <w:tc>
          <w:tcPr>
            <w:tcW w:w="2640" w:type="pct"/>
            <w:tcBorders>
              <w:top w:val="single" w:color="000000" w:sz="4" w:space="0"/>
              <w:left w:val="single" w:color="000000" w:sz="4" w:space="0"/>
              <w:bottom w:val="single" w:color="000000" w:sz="4" w:space="0"/>
              <w:right w:val="single" w:color="000000" w:sz="4" w:space="0"/>
            </w:tcBorders>
            <w:vAlign w:val="center"/>
          </w:tcPr>
          <w:p w14:paraId="5E9FB299">
            <w:pPr>
              <w:widowControl/>
              <w:jc w:val="left"/>
              <w:textAlignment w:val="center"/>
              <w:rPr>
                <w:rFonts w:hint="eastAsia" w:hAnsi="宋体" w:cs="宋体"/>
                <w:color w:val="auto"/>
                <w:sz w:val="24"/>
                <w:szCs w:val="24"/>
              </w:rPr>
            </w:pPr>
            <w:r>
              <w:rPr>
                <w:rFonts w:hint="eastAsia" w:hAnsi="宋体" w:cs="宋体"/>
                <w:color w:val="auto"/>
                <w:sz w:val="24"/>
                <w:szCs w:val="24"/>
                <w:lang w:bidi="ar"/>
              </w:rPr>
              <w:t>1.交流供电 ：最大值 150mA ；</w:t>
            </w:r>
            <w:r>
              <w:rPr>
                <w:rFonts w:hint="eastAsia" w:hAnsi="宋体" w:cs="宋体"/>
                <w:color w:val="auto"/>
                <w:sz w:val="24"/>
                <w:szCs w:val="24"/>
                <w:lang w:bidi="ar"/>
              </w:rPr>
              <w:br w:type="textWrapping"/>
            </w:r>
            <w:r>
              <w:rPr>
                <w:rFonts w:hint="eastAsia" w:hAnsi="宋体" w:cs="宋体"/>
                <w:color w:val="auto"/>
                <w:sz w:val="24"/>
                <w:szCs w:val="24"/>
                <w:lang w:bidi="ar"/>
              </w:rPr>
              <w:t>2.直流供电 ：最小值 90mA ；</w:t>
            </w:r>
            <w:r>
              <w:rPr>
                <w:rFonts w:hint="eastAsia" w:hAnsi="宋体" w:cs="宋体"/>
                <w:color w:val="auto"/>
                <w:sz w:val="24"/>
                <w:szCs w:val="24"/>
                <w:lang w:bidi="ar"/>
              </w:rPr>
              <w:br w:type="textWrapping"/>
            </w:r>
            <w:r>
              <w:rPr>
                <w:rFonts w:hint="eastAsia" w:hAnsi="宋体" w:cs="宋体"/>
                <w:color w:val="auto"/>
                <w:sz w:val="24"/>
                <w:szCs w:val="24"/>
                <w:lang w:bidi="ar"/>
              </w:rPr>
              <w:t>3.风速范围： 0 -15m/s；</w:t>
            </w:r>
            <w:r>
              <w:rPr>
                <w:rFonts w:hint="eastAsia" w:hAnsi="宋体" w:cs="宋体"/>
                <w:color w:val="auto"/>
                <w:sz w:val="24"/>
                <w:szCs w:val="24"/>
                <w:lang w:bidi="ar"/>
              </w:rPr>
              <w:br w:type="textWrapping"/>
            </w:r>
            <w:r>
              <w:rPr>
                <w:rFonts w:hint="eastAsia" w:hAnsi="宋体" w:cs="宋体"/>
                <w:color w:val="auto"/>
                <w:sz w:val="24"/>
                <w:szCs w:val="24"/>
                <w:lang w:bidi="ar"/>
              </w:rPr>
              <w:t>4.输出信号：0 -10V -1mA；</w:t>
            </w:r>
            <w:r>
              <w:rPr>
                <w:rFonts w:hint="eastAsia" w:hAnsi="宋体" w:cs="宋体"/>
                <w:color w:val="auto"/>
                <w:sz w:val="24"/>
                <w:szCs w:val="24"/>
                <w:lang w:bidi="ar"/>
              </w:rPr>
              <w:br w:type="textWrapping"/>
            </w:r>
            <w:r>
              <w:rPr>
                <w:rFonts w:hint="eastAsia" w:hAnsi="宋体" w:cs="宋体"/>
                <w:color w:val="auto"/>
                <w:sz w:val="24"/>
                <w:szCs w:val="24"/>
                <w:lang w:bidi="ar"/>
              </w:rPr>
              <w:t>5.单体调整测试和系统联调功能；</w:t>
            </w:r>
            <w:r>
              <w:rPr>
                <w:rFonts w:hint="eastAsia" w:hAnsi="宋体" w:cs="宋体"/>
                <w:color w:val="auto"/>
                <w:sz w:val="24"/>
                <w:szCs w:val="24"/>
                <w:lang w:bidi="ar"/>
              </w:rPr>
              <w:br w:type="textWrapping"/>
            </w:r>
            <w:r>
              <w:rPr>
                <w:rFonts w:hint="eastAsia" w:hAnsi="宋体" w:cs="宋体"/>
                <w:color w:val="auto"/>
                <w:sz w:val="24"/>
                <w:szCs w:val="24"/>
                <w:lang w:bidi="ar"/>
              </w:rPr>
              <w:t>6.变送器接入语音交互版智慧物联核心监控系统和智慧终端控制器。</w:t>
            </w:r>
          </w:p>
        </w:tc>
        <w:tc>
          <w:tcPr>
            <w:tcW w:w="378" w:type="pct"/>
            <w:tcBorders>
              <w:top w:val="single" w:color="000000" w:sz="4" w:space="0"/>
              <w:left w:val="single" w:color="000000" w:sz="4" w:space="0"/>
              <w:bottom w:val="single" w:color="000000" w:sz="4" w:space="0"/>
              <w:right w:val="single" w:color="000000" w:sz="4" w:space="0"/>
            </w:tcBorders>
            <w:vAlign w:val="center"/>
          </w:tcPr>
          <w:p w14:paraId="20D176F1">
            <w:pPr>
              <w:widowControl/>
              <w:jc w:val="center"/>
              <w:textAlignment w:val="center"/>
              <w:rPr>
                <w:rFonts w:hint="eastAsia" w:hAnsi="宋体" w:cs="宋体"/>
                <w:color w:val="auto"/>
                <w:sz w:val="24"/>
                <w:szCs w:val="24"/>
              </w:rPr>
            </w:pPr>
            <w:r>
              <w:rPr>
                <w:rFonts w:hint="eastAsia" w:hAnsi="宋体" w:cs="宋体"/>
                <w:color w:val="auto"/>
                <w:sz w:val="24"/>
                <w:szCs w:val="24"/>
                <w:lang w:bidi="ar"/>
              </w:rPr>
              <w:t>台</w:t>
            </w:r>
          </w:p>
        </w:tc>
        <w:tc>
          <w:tcPr>
            <w:tcW w:w="426" w:type="pct"/>
            <w:tcBorders>
              <w:top w:val="single" w:color="000000" w:sz="4" w:space="0"/>
              <w:left w:val="single" w:color="000000" w:sz="4" w:space="0"/>
              <w:bottom w:val="single" w:color="000000" w:sz="4" w:space="0"/>
              <w:right w:val="single" w:color="000000" w:sz="4" w:space="0"/>
            </w:tcBorders>
            <w:vAlign w:val="center"/>
          </w:tcPr>
          <w:p w14:paraId="1A4C2BDF">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18BDF6AD">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5,100.00</w:t>
            </w:r>
          </w:p>
        </w:tc>
      </w:tr>
      <w:tr w14:paraId="657D9E69">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5096935D">
            <w:pPr>
              <w:widowControl/>
              <w:jc w:val="center"/>
              <w:textAlignment w:val="center"/>
              <w:rPr>
                <w:rFonts w:hint="eastAsia" w:hAnsi="宋体" w:cs="宋体"/>
                <w:color w:val="auto"/>
                <w:sz w:val="24"/>
                <w:szCs w:val="24"/>
              </w:rPr>
            </w:pPr>
            <w:r>
              <w:rPr>
                <w:rFonts w:hint="eastAsia" w:hAnsi="宋体" w:cs="宋体"/>
                <w:color w:val="auto"/>
                <w:sz w:val="24"/>
                <w:szCs w:val="24"/>
                <w:lang w:bidi="ar"/>
              </w:rPr>
              <w:t>13</w:t>
            </w:r>
          </w:p>
        </w:tc>
        <w:tc>
          <w:tcPr>
            <w:tcW w:w="632" w:type="pct"/>
            <w:tcBorders>
              <w:top w:val="single" w:color="000000" w:sz="4" w:space="0"/>
              <w:left w:val="single" w:color="000000" w:sz="4" w:space="0"/>
              <w:bottom w:val="single" w:color="000000" w:sz="4" w:space="0"/>
              <w:right w:val="nil"/>
            </w:tcBorders>
            <w:vAlign w:val="center"/>
          </w:tcPr>
          <w:p w14:paraId="3D585A5B">
            <w:pPr>
              <w:widowControl/>
              <w:jc w:val="center"/>
              <w:textAlignment w:val="center"/>
              <w:rPr>
                <w:rFonts w:hint="eastAsia" w:hAnsi="宋体" w:cs="宋体"/>
                <w:color w:val="auto"/>
                <w:sz w:val="24"/>
                <w:szCs w:val="24"/>
              </w:rPr>
            </w:pPr>
            <w:r>
              <w:rPr>
                <w:rFonts w:hint="eastAsia" w:hAnsi="宋体" w:cs="宋体"/>
                <w:color w:val="auto"/>
                <w:sz w:val="24"/>
                <w:szCs w:val="24"/>
                <w:lang w:bidi="ar"/>
              </w:rPr>
              <w:t>空气质量变送器</w:t>
            </w:r>
          </w:p>
        </w:tc>
        <w:tc>
          <w:tcPr>
            <w:tcW w:w="2640" w:type="pct"/>
            <w:tcBorders>
              <w:top w:val="single" w:color="000000" w:sz="4" w:space="0"/>
              <w:left w:val="single" w:color="000000" w:sz="4" w:space="0"/>
              <w:bottom w:val="single" w:color="000000" w:sz="4" w:space="0"/>
              <w:right w:val="single" w:color="000000" w:sz="4" w:space="0"/>
            </w:tcBorders>
            <w:vAlign w:val="center"/>
          </w:tcPr>
          <w:p w14:paraId="7643355F">
            <w:pPr>
              <w:widowControl/>
              <w:jc w:val="left"/>
              <w:textAlignment w:val="center"/>
              <w:rPr>
                <w:rFonts w:hint="eastAsia" w:hAnsi="宋体" w:cs="宋体"/>
                <w:color w:val="auto"/>
                <w:sz w:val="24"/>
                <w:szCs w:val="24"/>
                <w:lang w:bidi="ar"/>
              </w:rPr>
            </w:pPr>
            <w:r>
              <w:rPr>
                <w:rFonts w:hint="eastAsia" w:hAnsi="宋体" w:cs="宋体"/>
                <w:color w:val="auto"/>
                <w:sz w:val="24"/>
                <w:szCs w:val="24"/>
                <w:lang w:bidi="ar"/>
              </w:rPr>
              <w:t>1.测量范围:4-20mA；</w:t>
            </w:r>
          </w:p>
          <w:p w14:paraId="1F7D55DF">
            <w:pPr>
              <w:widowControl/>
              <w:jc w:val="left"/>
              <w:textAlignment w:val="center"/>
              <w:rPr>
                <w:rFonts w:hint="eastAsia" w:hAnsi="宋体" w:cs="宋体"/>
                <w:color w:val="auto"/>
                <w:sz w:val="24"/>
                <w:szCs w:val="24"/>
              </w:rPr>
            </w:pPr>
            <w:r>
              <w:rPr>
                <w:rFonts w:hint="eastAsia" w:hAnsi="宋体" w:cs="宋体"/>
                <w:color w:val="auto"/>
                <w:sz w:val="24"/>
                <w:szCs w:val="24"/>
                <w:lang w:bidi="ar"/>
              </w:rPr>
              <w:t>2.测量精度：≥0.1%；</w:t>
            </w:r>
            <w:r>
              <w:rPr>
                <w:rFonts w:hint="eastAsia" w:hAnsi="宋体" w:cs="宋体"/>
                <w:color w:val="auto"/>
                <w:sz w:val="24"/>
                <w:szCs w:val="24"/>
                <w:lang w:bidi="ar"/>
              </w:rPr>
              <w:br w:type="textWrapping"/>
            </w:r>
            <w:r>
              <w:rPr>
                <w:rFonts w:hint="eastAsia" w:hAnsi="宋体" w:cs="宋体"/>
                <w:color w:val="auto"/>
                <w:sz w:val="24"/>
                <w:szCs w:val="24"/>
                <w:lang w:bidi="ar"/>
              </w:rPr>
              <w:t>2.具有自动跟踪零点、满量程、温度补偿功能；</w:t>
            </w:r>
            <w:r>
              <w:rPr>
                <w:rFonts w:hint="eastAsia" w:hAnsi="宋体" w:cs="宋体"/>
                <w:color w:val="auto"/>
                <w:sz w:val="24"/>
                <w:szCs w:val="24"/>
                <w:lang w:bidi="ar"/>
              </w:rPr>
              <w:br w:type="textWrapping"/>
            </w:r>
            <w:r>
              <w:rPr>
                <w:rFonts w:hint="eastAsia" w:hAnsi="宋体" w:cs="宋体"/>
                <w:color w:val="auto"/>
                <w:sz w:val="24"/>
                <w:szCs w:val="24"/>
                <w:lang w:bidi="ar"/>
              </w:rPr>
              <w:t>3.防高浓度气体冲击的自动保护功能；</w:t>
            </w:r>
            <w:r>
              <w:rPr>
                <w:rFonts w:hint="eastAsia" w:hAnsi="宋体" w:cs="宋体"/>
                <w:color w:val="auto"/>
                <w:sz w:val="24"/>
                <w:szCs w:val="24"/>
                <w:lang w:bidi="ar"/>
              </w:rPr>
              <w:br w:type="textWrapping"/>
            </w:r>
            <w:r>
              <w:rPr>
                <w:rFonts w:hint="eastAsia" w:hAnsi="宋体" w:cs="宋体"/>
                <w:color w:val="auto"/>
                <w:sz w:val="24"/>
                <w:szCs w:val="24"/>
                <w:lang w:bidi="ar"/>
              </w:rPr>
              <w:t>4.变送器接入语音交互版智慧物联核心监控系统和智慧终端控制器。</w:t>
            </w:r>
          </w:p>
        </w:tc>
        <w:tc>
          <w:tcPr>
            <w:tcW w:w="378" w:type="pct"/>
            <w:tcBorders>
              <w:top w:val="single" w:color="000000" w:sz="4" w:space="0"/>
              <w:left w:val="single" w:color="000000" w:sz="4" w:space="0"/>
              <w:bottom w:val="single" w:color="000000" w:sz="4" w:space="0"/>
              <w:right w:val="single" w:color="000000" w:sz="4" w:space="0"/>
            </w:tcBorders>
            <w:vAlign w:val="center"/>
          </w:tcPr>
          <w:p w14:paraId="2423E2EE">
            <w:pPr>
              <w:widowControl/>
              <w:jc w:val="center"/>
              <w:textAlignment w:val="center"/>
              <w:rPr>
                <w:rFonts w:hint="eastAsia" w:hAnsi="宋体" w:cs="宋体"/>
                <w:color w:val="auto"/>
                <w:sz w:val="24"/>
                <w:szCs w:val="24"/>
              </w:rPr>
            </w:pPr>
            <w:r>
              <w:rPr>
                <w:rFonts w:hint="eastAsia" w:hAnsi="宋体" w:cs="宋体"/>
                <w:color w:val="auto"/>
                <w:sz w:val="24"/>
                <w:szCs w:val="24"/>
                <w:lang w:bidi="ar"/>
              </w:rPr>
              <w:t>台</w:t>
            </w:r>
          </w:p>
        </w:tc>
        <w:tc>
          <w:tcPr>
            <w:tcW w:w="426" w:type="pct"/>
            <w:tcBorders>
              <w:top w:val="single" w:color="000000" w:sz="4" w:space="0"/>
              <w:left w:val="single" w:color="000000" w:sz="4" w:space="0"/>
              <w:bottom w:val="single" w:color="000000" w:sz="4" w:space="0"/>
              <w:right w:val="single" w:color="000000" w:sz="4" w:space="0"/>
            </w:tcBorders>
            <w:vAlign w:val="center"/>
          </w:tcPr>
          <w:p w14:paraId="2D92B064">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3F9DA39B">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5,100.00</w:t>
            </w:r>
          </w:p>
        </w:tc>
      </w:tr>
      <w:tr w14:paraId="62D5634F">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3346E6D5">
            <w:pPr>
              <w:widowControl/>
              <w:jc w:val="center"/>
              <w:textAlignment w:val="center"/>
              <w:rPr>
                <w:rFonts w:hint="eastAsia" w:hAnsi="宋体" w:cs="宋体"/>
                <w:color w:val="auto"/>
                <w:sz w:val="24"/>
                <w:szCs w:val="24"/>
              </w:rPr>
            </w:pPr>
            <w:r>
              <w:rPr>
                <w:rFonts w:hint="eastAsia" w:hAnsi="宋体" w:cs="宋体"/>
                <w:color w:val="auto"/>
                <w:sz w:val="24"/>
                <w:szCs w:val="24"/>
                <w:lang w:bidi="ar"/>
              </w:rPr>
              <w:t>14</w:t>
            </w:r>
          </w:p>
        </w:tc>
        <w:tc>
          <w:tcPr>
            <w:tcW w:w="632" w:type="pct"/>
            <w:tcBorders>
              <w:top w:val="single" w:color="000000" w:sz="4" w:space="0"/>
              <w:left w:val="single" w:color="000000" w:sz="4" w:space="0"/>
              <w:bottom w:val="single" w:color="000000" w:sz="4" w:space="0"/>
              <w:right w:val="nil"/>
            </w:tcBorders>
            <w:vAlign w:val="center"/>
          </w:tcPr>
          <w:p w14:paraId="0C6EC7E7">
            <w:pPr>
              <w:widowControl/>
              <w:jc w:val="center"/>
              <w:textAlignment w:val="center"/>
              <w:rPr>
                <w:rFonts w:hint="eastAsia" w:hAnsi="宋体" w:cs="宋体"/>
                <w:color w:val="auto"/>
                <w:sz w:val="24"/>
                <w:szCs w:val="24"/>
              </w:rPr>
            </w:pPr>
            <w:r>
              <w:rPr>
                <w:rFonts w:hint="eastAsia" w:hAnsi="宋体" w:cs="宋体"/>
                <w:color w:val="auto"/>
                <w:sz w:val="24"/>
                <w:szCs w:val="24"/>
                <w:lang w:bidi="ar"/>
              </w:rPr>
              <w:t>温湿度变送器</w:t>
            </w:r>
          </w:p>
        </w:tc>
        <w:tc>
          <w:tcPr>
            <w:tcW w:w="2640" w:type="pct"/>
            <w:tcBorders>
              <w:top w:val="single" w:color="000000" w:sz="4" w:space="0"/>
              <w:left w:val="single" w:color="000000" w:sz="4" w:space="0"/>
              <w:bottom w:val="single" w:color="000000" w:sz="4" w:space="0"/>
              <w:right w:val="single" w:color="000000" w:sz="4" w:space="0"/>
            </w:tcBorders>
            <w:vAlign w:val="center"/>
          </w:tcPr>
          <w:p w14:paraId="3AFF7823">
            <w:pPr>
              <w:widowControl/>
              <w:jc w:val="left"/>
              <w:textAlignment w:val="center"/>
              <w:rPr>
                <w:rFonts w:hint="eastAsia" w:hAnsi="宋体" w:cs="宋体"/>
                <w:color w:val="auto"/>
                <w:sz w:val="24"/>
                <w:szCs w:val="24"/>
              </w:rPr>
            </w:pPr>
            <w:r>
              <w:rPr>
                <w:rFonts w:hint="eastAsia" w:hAnsi="宋体" w:cs="宋体"/>
                <w:color w:val="auto"/>
                <w:sz w:val="24"/>
                <w:szCs w:val="24"/>
                <w:lang w:bidi="ar"/>
              </w:rPr>
              <w:t>1.DC24V供电；</w:t>
            </w:r>
            <w:r>
              <w:rPr>
                <w:rFonts w:hint="eastAsia" w:hAnsi="宋体" w:cs="宋体"/>
                <w:color w:val="auto"/>
                <w:sz w:val="24"/>
                <w:szCs w:val="24"/>
                <w:lang w:bidi="ar"/>
              </w:rPr>
              <w:br w:type="textWrapping"/>
            </w:r>
            <w:r>
              <w:rPr>
                <w:rFonts w:hint="eastAsia" w:hAnsi="宋体" w:cs="宋体"/>
                <w:color w:val="auto"/>
                <w:sz w:val="24"/>
                <w:szCs w:val="24"/>
                <w:lang w:bidi="ar"/>
              </w:rPr>
              <w:t>2.LED数码管温湿度显示；</w:t>
            </w:r>
            <w:r>
              <w:rPr>
                <w:rFonts w:hint="eastAsia" w:hAnsi="宋体" w:cs="宋体"/>
                <w:color w:val="auto"/>
                <w:sz w:val="24"/>
                <w:szCs w:val="24"/>
                <w:lang w:bidi="ar"/>
              </w:rPr>
              <w:br w:type="textWrapping"/>
            </w:r>
            <w:r>
              <w:rPr>
                <w:rFonts w:hint="eastAsia" w:hAnsi="宋体" w:cs="宋体"/>
                <w:color w:val="auto"/>
                <w:sz w:val="24"/>
                <w:szCs w:val="24"/>
                <w:lang w:bidi="ar"/>
              </w:rPr>
              <w:t>3.2路（4-20mA/0-10V ）12位AD模拟量输出；</w:t>
            </w:r>
            <w:r>
              <w:rPr>
                <w:rFonts w:hint="eastAsia" w:hAnsi="宋体" w:cs="宋体"/>
                <w:color w:val="auto"/>
                <w:sz w:val="24"/>
                <w:szCs w:val="24"/>
                <w:lang w:bidi="ar"/>
              </w:rPr>
              <w:br w:type="textWrapping"/>
            </w:r>
            <w:r>
              <w:rPr>
                <w:rFonts w:hint="eastAsia" w:hAnsi="宋体" w:cs="宋体"/>
                <w:color w:val="auto"/>
                <w:sz w:val="24"/>
                <w:szCs w:val="24"/>
                <w:lang w:bidi="ar"/>
              </w:rPr>
              <w:t xml:space="preserve">4.模拟输出量：4-20mA/0-10V； </w:t>
            </w:r>
            <w:r>
              <w:rPr>
                <w:rFonts w:hint="eastAsia" w:hAnsi="宋体" w:cs="宋体"/>
                <w:color w:val="auto"/>
                <w:sz w:val="24"/>
                <w:szCs w:val="24"/>
                <w:lang w:bidi="ar"/>
              </w:rPr>
              <w:br w:type="textWrapping"/>
            </w:r>
            <w:r>
              <w:rPr>
                <w:rFonts w:hint="eastAsia" w:hAnsi="宋体" w:cs="宋体"/>
                <w:color w:val="auto"/>
                <w:sz w:val="24"/>
                <w:szCs w:val="24"/>
                <w:lang w:bidi="ar"/>
              </w:rPr>
              <w:t xml:space="preserve">5.温度范围 -40℃到120℃； </w:t>
            </w:r>
            <w:r>
              <w:rPr>
                <w:rFonts w:hint="eastAsia" w:hAnsi="宋体" w:cs="宋体"/>
                <w:color w:val="auto"/>
                <w:sz w:val="24"/>
                <w:szCs w:val="24"/>
                <w:lang w:bidi="ar"/>
              </w:rPr>
              <w:br w:type="textWrapping"/>
            </w:r>
            <w:r>
              <w:rPr>
                <w:rFonts w:hint="eastAsia" w:hAnsi="宋体" w:cs="宋体"/>
                <w:color w:val="auto"/>
                <w:sz w:val="24"/>
                <w:szCs w:val="24"/>
                <w:lang w:bidi="ar"/>
              </w:rPr>
              <w:t>6.湿度范围 0-100%RH ；</w:t>
            </w:r>
            <w:r>
              <w:rPr>
                <w:rFonts w:hint="eastAsia" w:hAnsi="宋体" w:cs="宋体"/>
                <w:color w:val="auto"/>
                <w:sz w:val="24"/>
                <w:szCs w:val="24"/>
                <w:lang w:bidi="ar"/>
              </w:rPr>
              <w:br w:type="textWrapping"/>
            </w:r>
            <w:r>
              <w:rPr>
                <w:rFonts w:hint="eastAsia" w:hAnsi="宋体" w:cs="宋体"/>
                <w:color w:val="auto"/>
                <w:sz w:val="24"/>
                <w:szCs w:val="24"/>
                <w:lang w:bidi="ar"/>
              </w:rPr>
              <w:t xml:space="preserve">7.温度精度 ±0.3℃； </w:t>
            </w:r>
            <w:r>
              <w:rPr>
                <w:rFonts w:hint="eastAsia" w:hAnsi="宋体" w:cs="宋体"/>
                <w:color w:val="auto"/>
                <w:sz w:val="24"/>
                <w:szCs w:val="24"/>
                <w:lang w:bidi="ar"/>
              </w:rPr>
              <w:br w:type="textWrapping"/>
            </w:r>
            <w:r>
              <w:rPr>
                <w:rFonts w:hint="eastAsia" w:hAnsi="宋体" w:cs="宋体"/>
                <w:color w:val="auto"/>
                <w:sz w:val="24"/>
                <w:szCs w:val="24"/>
                <w:lang w:bidi="ar"/>
              </w:rPr>
              <w:t>8.湿度精度 ±2.0%RH；</w:t>
            </w:r>
            <w:r>
              <w:rPr>
                <w:rFonts w:hint="eastAsia" w:hAnsi="宋体" w:cs="宋体"/>
                <w:color w:val="auto"/>
                <w:sz w:val="24"/>
                <w:szCs w:val="24"/>
                <w:lang w:bidi="ar"/>
              </w:rPr>
              <w:br w:type="textWrapping"/>
            </w:r>
            <w:r>
              <w:rPr>
                <w:rFonts w:hint="eastAsia" w:hAnsi="宋体" w:cs="宋体"/>
                <w:color w:val="auto"/>
                <w:sz w:val="24"/>
                <w:szCs w:val="24"/>
                <w:lang w:bidi="ar"/>
              </w:rPr>
              <w:t xml:space="preserve">9.防护等级不低于IP67； </w:t>
            </w:r>
            <w:r>
              <w:rPr>
                <w:rFonts w:hint="eastAsia" w:hAnsi="宋体" w:cs="宋体"/>
                <w:color w:val="auto"/>
                <w:sz w:val="24"/>
                <w:szCs w:val="24"/>
                <w:lang w:bidi="ar"/>
              </w:rPr>
              <w:br w:type="textWrapping"/>
            </w:r>
            <w:r>
              <w:rPr>
                <w:rFonts w:hint="eastAsia" w:hAnsi="宋体" w:cs="宋体"/>
                <w:color w:val="auto"/>
                <w:sz w:val="24"/>
                <w:szCs w:val="24"/>
                <w:lang w:bidi="ar"/>
              </w:rPr>
              <w:t>10.变送器接入语音交互版智慧物联核心监控系统和智慧终端控制器。</w:t>
            </w:r>
          </w:p>
        </w:tc>
        <w:tc>
          <w:tcPr>
            <w:tcW w:w="378" w:type="pct"/>
            <w:tcBorders>
              <w:top w:val="single" w:color="000000" w:sz="4" w:space="0"/>
              <w:left w:val="single" w:color="000000" w:sz="4" w:space="0"/>
              <w:bottom w:val="single" w:color="000000" w:sz="4" w:space="0"/>
              <w:right w:val="single" w:color="000000" w:sz="4" w:space="0"/>
            </w:tcBorders>
            <w:vAlign w:val="center"/>
          </w:tcPr>
          <w:p w14:paraId="4C66853E">
            <w:pPr>
              <w:widowControl/>
              <w:jc w:val="center"/>
              <w:textAlignment w:val="center"/>
              <w:rPr>
                <w:rFonts w:hint="eastAsia" w:hAnsi="宋体" w:cs="宋体"/>
                <w:color w:val="auto"/>
                <w:sz w:val="24"/>
                <w:szCs w:val="24"/>
              </w:rPr>
            </w:pPr>
            <w:r>
              <w:rPr>
                <w:rFonts w:hint="eastAsia" w:hAnsi="宋体" w:cs="宋体"/>
                <w:color w:val="auto"/>
                <w:sz w:val="24"/>
                <w:szCs w:val="24"/>
                <w:lang w:bidi="ar"/>
              </w:rPr>
              <w:t>台</w:t>
            </w:r>
          </w:p>
        </w:tc>
        <w:tc>
          <w:tcPr>
            <w:tcW w:w="426" w:type="pct"/>
            <w:tcBorders>
              <w:top w:val="single" w:color="000000" w:sz="4" w:space="0"/>
              <w:left w:val="single" w:color="000000" w:sz="4" w:space="0"/>
              <w:bottom w:val="single" w:color="000000" w:sz="4" w:space="0"/>
              <w:right w:val="single" w:color="000000" w:sz="4" w:space="0"/>
            </w:tcBorders>
            <w:vAlign w:val="center"/>
          </w:tcPr>
          <w:p w14:paraId="5DC822EA">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713017E8">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4,890.00</w:t>
            </w:r>
          </w:p>
        </w:tc>
      </w:tr>
      <w:tr w14:paraId="34E754E9">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2C9EF346">
            <w:pPr>
              <w:widowControl/>
              <w:jc w:val="center"/>
              <w:textAlignment w:val="center"/>
              <w:rPr>
                <w:rFonts w:hint="eastAsia" w:hAnsi="宋体" w:cs="宋体"/>
                <w:color w:val="auto"/>
                <w:sz w:val="24"/>
                <w:szCs w:val="24"/>
              </w:rPr>
            </w:pPr>
            <w:r>
              <w:rPr>
                <w:rFonts w:hint="eastAsia" w:hAnsi="宋体" w:cs="宋体"/>
                <w:color w:val="auto"/>
                <w:sz w:val="24"/>
                <w:szCs w:val="24"/>
                <w:lang w:bidi="ar"/>
              </w:rPr>
              <w:t>15</w:t>
            </w:r>
          </w:p>
        </w:tc>
        <w:tc>
          <w:tcPr>
            <w:tcW w:w="632" w:type="pct"/>
            <w:tcBorders>
              <w:top w:val="single" w:color="000000" w:sz="4" w:space="0"/>
              <w:left w:val="single" w:color="000000" w:sz="4" w:space="0"/>
              <w:bottom w:val="single" w:color="000000" w:sz="4" w:space="0"/>
              <w:right w:val="single" w:color="000000" w:sz="4" w:space="0"/>
            </w:tcBorders>
            <w:vAlign w:val="center"/>
          </w:tcPr>
          <w:p w14:paraId="570AB113">
            <w:pPr>
              <w:widowControl/>
              <w:jc w:val="center"/>
              <w:textAlignment w:val="center"/>
              <w:rPr>
                <w:rFonts w:hint="eastAsia" w:hAnsi="宋体" w:cs="宋体"/>
                <w:color w:val="auto"/>
                <w:sz w:val="24"/>
                <w:szCs w:val="24"/>
              </w:rPr>
            </w:pPr>
            <w:r>
              <w:rPr>
                <w:rFonts w:hint="eastAsia" w:hAnsi="宋体" w:cs="宋体"/>
                <w:color w:val="auto"/>
                <w:sz w:val="24"/>
                <w:szCs w:val="24"/>
                <w:lang w:bidi="ar"/>
              </w:rPr>
              <w:t>静压式消声模块</w:t>
            </w:r>
          </w:p>
        </w:tc>
        <w:tc>
          <w:tcPr>
            <w:tcW w:w="2640" w:type="pct"/>
            <w:tcBorders>
              <w:top w:val="single" w:color="000000" w:sz="4" w:space="0"/>
              <w:left w:val="single" w:color="000000" w:sz="4" w:space="0"/>
              <w:bottom w:val="single" w:color="000000" w:sz="4" w:space="0"/>
              <w:right w:val="single" w:color="000000" w:sz="4" w:space="0"/>
            </w:tcBorders>
            <w:vAlign w:val="center"/>
          </w:tcPr>
          <w:p w14:paraId="545F858C">
            <w:pPr>
              <w:widowControl/>
              <w:jc w:val="left"/>
              <w:textAlignment w:val="center"/>
              <w:rPr>
                <w:rFonts w:hint="eastAsia" w:hAnsi="宋体" w:cs="宋体"/>
                <w:color w:val="auto"/>
                <w:sz w:val="24"/>
                <w:szCs w:val="24"/>
                <w:lang w:bidi="ar"/>
              </w:rPr>
            </w:pPr>
            <w:r>
              <w:rPr>
                <w:rFonts w:hint="eastAsia" w:hAnsi="宋体" w:cs="宋体"/>
                <w:color w:val="auto"/>
                <w:sz w:val="24"/>
                <w:szCs w:val="24"/>
                <w:lang w:bidi="ar"/>
              </w:rPr>
              <w:t>1.规格：1250*500mm （3个）/1000*800mm（3个）。</w:t>
            </w:r>
          </w:p>
          <w:p w14:paraId="29E7C6FD">
            <w:pPr>
              <w:widowControl/>
              <w:jc w:val="left"/>
              <w:textAlignment w:val="center"/>
              <w:rPr>
                <w:rFonts w:hint="eastAsia" w:hAnsi="宋体" w:cs="宋体"/>
                <w:color w:val="auto"/>
                <w:sz w:val="24"/>
                <w:szCs w:val="24"/>
              </w:rPr>
            </w:pPr>
            <w:r>
              <w:rPr>
                <w:rFonts w:hint="eastAsia" w:hAnsi="宋体" w:cs="宋体"/>
                <w:color w:val="auto"/>
                <w:sz w:val="24"/>
                <w:szCs w:val="24"/>
                <w:lang w:bidi="ar"/>
              </w:rPr>
              <w:t>2.利用消声器内衬消音纤维片，外壳采用镀锌钢板，内壳采用微孔板，对低频及部分中频起消声作用。</w:t>
            </w:r>
            <w:r>
              <w:rPr>
                <w:rFonts w:hint="eastAsia" w:hAnsi="宋体" w:cs="宋体"/>
                <w:color w:val="auto"/>
                <w:sz w:val="24"/>
                <w:szCs w:val="24"/>
                <w:lang w:bidi="ar"/>
              </w:rPr>
              <w:br w:type="textWrapping"/>
            </w:r>
            <w:r>
              <w:rPr>
                <w:rFonts w:hint="eastAsia" w:hAnsi="宋体" w:cs="宋体"/>
                <w:color w:val="auto"/>
                <w:sz w:val="24"/>
                <w:szCs w:val="24"/>
                <w:lang w:bidi="ar"/>
              </w:rPr>
              <w:t>3.共板法兰安装方式。</w:t>
            </w:r>
          </w:p>
        </w:tc>
        <w:tc>
          <w:tcPr>
            <w:tcW w:w="378" w:type="pct"/>
            <w:tcBorders>
              <w:top w:val="single" w:color="000000" w:sz="4" w:space="0"/>
              <w:left w:val="single" w:color="000000" w:sz="4" w:space="0"/>
              <w:bottom w:val="single" w:color="000000" w:sz="4" w:space="0"/>
              <w:right w:val="single" w:color="000000" w:sz="4" w:space="0"/>
            </w:tcBorders>
            <w:vAlign w:val="center"/>
          </w:tcPr>
          <w:p w14:paraId="5CD59980">
            <w:pPr>
              <w:widowControl/>
              <w:jc w:val="center"/>
              <w:textAlignment w:val="center"/>
              <w:rPr>
                <w:rFonts w:hint="eastAsia" w:hAnsi="宋体" w:cs="宋体"/>
                <w:color w:val="auto"/>
                <w:sz w:val="24"/>
                <w:szCs w:val="24"/>
              </w:rPr>
            </w:pPr>
            <w:r>
              <w:rPr>
                <w:rFonts w:hint="eastAsia" w:hAnsi="宋体" w:cs="宋体"/>
                <w:color w:val="auto"/>
                <w:sz w:val="24"/>
                <w:szCs w:val="24"/>
                <w:lang w:bidi="ar"/>
              </w:rPr>
              <w:t>个</w:t>
            </w:r>
          </w:p>
        </w:tc>
        <w:tc>
          <w:tcPr>
            <w:tcW w:w="426" w:type="pct"/>
            <w:tcBorders>
              <w:top w:val="single" w:color="000000" w:sz="4" w:space="0"/>
              <w:left w:val="single" w:color="000000" w:sz="4" w:space="0"/>
              <w:bottom w:val="single" w:color="000000" w:sz="4" w:space="0"/>
              <w:right w:val="single" w:color="000000" w:sz="4" w:space="0"/>
            </w:tcBorders>
            <w:vAlign w:val="center"/>
          </w:tcPr>
          <w:p w14:paraId="60325D6D">
            <w:pPr>
              <w:widowControl/>
              <w:jc w:val="center"/>
              <w:textAlignment w:val="center"/>
              <w:rPr>
                <w:rFonts w:hint="eastAsia" w:hAnsi="宋体" w:cs="宋体"/>
                <w:color w:val="auto"/>
                <w:sz w:val="24"/>
                <w:szCs w:val="24"/>
              </w:rPr>
            </w:pPr>
            <w:r>
              <w:rPr>
                <w:rFonts w:hint="eastAsia" w:hAnsi="宋体" w:cs="宋体"/>
                <w:color w:val="auto"/>
                <w:sz w:val="24"/>
                <w:szCs w:val="24"/>
                <w:lang w:bidi="ar"/>
              </w:rPr>
              <w:t>6</w:t>
            </w:r>
          </w:p>
        </w:tc>
        <w:tc>
          <w:tcPr>
            <w:tcW w:w="573" w:type="pct"/>
            <w:tcBorders>
              <w:top w:val="single" w:color="000000" w:sz="4" w:space="0"/>
              <w:left w:val="single" w:color="000000" w:sz="4" w:space="0"/>
              <w:bottom w:val="single" w:color="000000" w:sz="4" w:space="0"/>
              <w:right w:val="single" w:color="000000" w:sz="4" w:space="0"/>
            </w:tcBorders>
            <w:vAlign w:val="center"/>
          </w:tcPr>
          <w:p w14:paraId="42AAFFB4">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2,500.00</w:t>
            </w:r>
          </w:p>
        </w:tc>
      </w:tr>
      <w:tr w14:paraId="321BA4C1">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0766C3E6">
            <w:pPr>
              <w:widowControl/>
              <w:jc w:val="center"/>
              <w:textAlignment w:val="center"/>
              <w:rPr>
                <w:rFonts w:hint="eastAsia" w:hAnsi="宋体" w:cs="宋体"/>
                <w:color w:val="auto"/>
                <w:sz w:val="24"/>
                <w:szCs w:val="24"/>
              </w:rPr>
            </w:pPr>
            <w:r>
              <w:rPr>
                <w:rFonts w:hint="eastAsia" w:hAnsi="宋体" w:cs="宋体"/>
                <w:color w:val="auto"/>
                <w:sz w:val="24"/>
                <w:szCs w:val="24"/>
                <w:lang w:bidi="ar"/>
              </w:rPr>
              <w:t>16</w:t>
            </w:r>
          </w:p>
        </w:tc>
        <w:tc>
          <w:tcPr>
            <w:tcW w:w="632" w:type="pct"/>
            <w:tcBorders>
              <w:top w:val="single" w:color="000000" w:sz="4" w:space="0"/>
              <w:left w:val="single" w:color="000000" w:sz="4" w:space="0"/>
              <w:bottom w:val="single" w:color="000000" w:sz="4" w:space="0"/>
              <w:right w:val="single" w:color="000000" w:sz="4" w:space="0"/>
            </w:tcBorders>
            <w:vAlign w:val="center"/>
          </w:tcPr>
          <w:p w14:paraId="79FA1F94">
            <w:pPr>
              <w:widowControl/>
              <w:jc w:val="center"/>
              <w:textAlignment w:val="center"/>
              <w:rPr>
                <w:rFonts w:hint="eastAsia" w:hAnsi="宋体" w:cs="宋体"/>
                <w:color w:val="auto"/>
                <w:sz w:val="24"/>
                <w:szCs w:val="24"/>
              </w:rPr>
            </w:pPr>
            <w:r>
              <w:rPr>
                <w:rFonts w:hint="eastAsia" w:hAnsi="宋体" w:cs="宋体"/>
                <w:color w:val="auto"/>
                <w:sz w:val="24"/>
                <w:szCs w:val="24"/>
                <w:lang w:bidi="ar"/>
              </w:rPr>
              <w:t>风机软启动变频器</w:t>
            </w:r>
          </w:p>
        </w:tc>
        <w:tc>
          <w:tcPr>
            <w:tcW w:w="2640" w:type="pct"/>
            <w:tcBorders>
              <w:top w:val="single" w:color="000000" w:sz="4" w:space="0"/>
              <w:left w:val="single" w:color="000000" w:sz="4" w:space="0"/>
              <w:bottom w:val="single" w:color="000000" w:sz="4" w:space="0"/>
              <w:right w:val="single" w:color="000000" w:sz="4" w:space="0"/>
            </w:tcBorders>
            <w:vAlign w:val="center"/>
          </w:tcPr>
          <w:p w14:paraId="13C48A3E">
            <w:pPr>
              <w:widowControl/>
              <w:jc w:val="left"/>
              <w:textAlignment w:val="center"/>
              <w:rPr>
                <w:rFonts w:hint="eastAsia" w:hAnsi="宋体" w:cs="宋体"/>
                <w:color w:val="auto"/>
                <w:sz w:val="24"/>
                <w:szCs w:val="24"/>
              </w:rPr>
            </w:pPr>
            <w:r>
              <w:rPr>
                <w:rFonts w:hint="eastAsia" w:hAnsi="宋体" w:cs="宋体"/>
                <w:color w:val="auto"/>
                <w:sz w:val="24"/>
                <w:szCs w:val="24"/>
                <w:lang w:bidi="ar"/>
              </w:rPr>
              <w:t>输出频率0.1～400Hz，支持设定的V/F曲线及矢量控制，自动转矩提升与自动滑差补偿功能。</w:t>
            </w:r>
          </w:p>
        </w:tc>
        <w:tc>
          <w:tcPr>
            <w:tcW w:w="378" w:type="pct"/>
            <w:tcBorders>
              <w:top w:val="single" w:color="000000" w:sz="4" w:space="0"/>
              <w:left w:val="single" w:color="000000" w:sz="4" w:space="0"/>
              <w:bottom w:val="single" w:color="000000" w:sz="4" w:space="0"/>
              <w:right w:val="single" w:color="000000" w:sz="4" w:space="0"/>
            </w:tcBorders>
            <w:vAlign w:val="center"/>
          </w:tcPr>
          <w:p w14:paraId="31BD06F1">
            <w:pPr>
              <w:widowControl/>
              <w:jc w:val="center"/>
              <w:textAlignment w:val="center"/>
              <w:rPr>
                <w:rFonts w:hint="eastAsia" w:hAnsi="宋体" w:cs="宋体"/>
                <w:color w:val="auto"/>
                <w:sz w:val="24"/>
                <w:szCs w:val="24"/>
              </w:rPr>
            </w:pPr>
            <w:r>
              <w:rPr>
                <w:rFonts w:hint="eastAsia" w:hAnsi="宋体" w:cs="宋体"/>
                <w:color w:val="auto"/>
                <w:sz w:val="24"/>
                <w:szCs w:val="24"/>
                <w:lang w:bidi="ar"/>
              </w:rPr>
              <w:t>个</w:t>
            </w:r>
          </w:p>
        </w:tc>
        <w:tc>
          <w:tcPr>
            <w:tcW w:w="426" w:type="pct"/>
            <w:tcBorders>
              <w:top w:val="single" w:color="000000" w:sz="4" w:space="0"/>
              <w:left w:val="single" w:color="000000" w:sz="4" w:space="0"/>
              <w:bottom w:val="single" w:color="000000" w:sz="4" w:space="0"/>
              <w:right w:val="single" w:color="000000" w:sz="4" w:space="0"/>
            </w:tcBorders>
            <w:vAlign w:val="center"/>
          </w:tcPr>
          <w:p w14:paraId="02D73C4A">
            <w:pPr>
              <w:widowControl/>
              <w:jc w:val="center"/>
              <w:textAlignment w:val="center"/>
              <w:rPr>
                <w:rFonts w:hint="eastAsia" w:hAnsi="宋体" w:cs="宋体"/>
                <w:color w:val="auto"/>
                <w:sz w:val="24"/>
                <w:szCs w:val="24"/>
              </w:rPr>
            </w:pPr>
            <w:r>
              <w:rPr>
                <w:rFonts w:hint="eastAsia" w:hAnsi="宋体" w:cs="宋体"/>
                <w:color w:val="auto"/>
                <w:sz w:val="24"/>
                <w:szCs w:val="24"/>
                <w:lang w:bidi="ar"/>
              </w:rPr>
              <w:t>3</w:t>
            </w:r>
          </w:p>
        </w:tc>
        <w:tc>
          <w:tcPr>
            <w:tcW w:w="573" w:type="pct"/>
            <w:tcBorders>
              <w:top w:val="single" w:color="000000" w:sz="4" w:space="0"/>
              <w:left w:val="single" w:color="000000" w:sz="4" w:space="0"/>
              <w:bottom w:val="single" w:color="000000" w:sz="4" w:space="0"/>
              <w:right w:val="single" w:color="000000" w:sz="4" w:space="0"/>
            </w:tcBorders>
            <w:vAlign w:val="center"/>
          </w:tcPr>
          <w:p w14:paraId="02C1C93E">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3,200.00</w:t>
            </w:r>
          </w:p>
        </w:tc>
      </w:tr>
      <w:tr w14:paraId="59EE22DC">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44163B9F">
            <w:pPr>
              <w:widowControl/>
              <w:jc w:val="center"/>
              <w:textAlignment w:val="center"/>
              <w:rPr>
                <w:rFonts w:hint="eastAsia" w:hAnsi="宋体" w:cs="宋体"/>
                <w:color w:val="auto"/>
                <w:sz w:val="24"/>
                <w:szCs w:val="24"/>
              </w:rPr>
            </w:pPr>
            <w:r>
              <w:rPr>
                <w:rFonts w:hint="eastAsia" w:hAnsi="宋体" w:cs="宋体"/>
                <w:color w:val="auto"/>
                <w:sz w:val="24"/>
                <w:szCs w:val="24"/>
                <w:lang w:bidi="ar"/>
              </w:rPr>
              <w:t>17</w:t>
            </w:r>
          </w:p>
        </w:tc>
        <w:tc>
          <w:tcPr>
            <w:tcW w:w="632" w:type="pct"/>
            <w:tcBorders>
              <w:top w:val="single" w:color="000000" w:sz="4" w:space="0"/>
              <w:left w:val="single" w:color="000000" w:sz="4" w:space="0"/>
              <w:bottom w:val="single" w:color="000000" w:sz="4" w:space="0"/>
              <w:right w:val="single" w:color="000000" w:sz="4" w:space="0"/>
            </w:tcBorders>
            <w:vAlign w:val="center"/>
          </w:tcPr>
          <w:p w14:paraId="60DFDDB4">
            <w:pPr>
              <w:widowControl/>
              <w:jc w:val="center"/>
              <w:textAlignment w:val="center"/>
              <w:rPr>
                <w:rFonts w:hint="eastAsia" w:hAnsi="宋体" w:cs="宋体"/>
                <w:color w:val="auto"/>
                <w:sz w:val="24"/>
                <w:szCs w:val="24"/>
              </w:rPr>
            </w:pPr>
            <w:r>
              <w:rPr>
                <w:rFonts w:hint="eastAsia" w:hAnsi="宋体" w:cs="宋体"/>
                <w:color w:val="auto"/>
                <w:sz w:val="24"/>
                <w:szCs w:val="24"/>
                <w:lang w:bidi="ar"/>
              </w:rPr>
              <w:t>风管</w:t>
            </w:r>
          </w:p>
        </w:tc>
        <w:tc>
          <w:tcPr>
            <w:tcW w:w="2640" w:type="pct"/>
            <w:tcBorders>
              <w:top w:val="single" w:color="000000" w:sz="4" w:space="0"/>
              <w:left w:val="single" w:color="000000" w:sz="4" w:space="0"/>
              <w:bottom w:val="single" w:color="000000" w:sz="4" w:space="0"/>
              <w:right w:val="single" w:color="000000" w:sz="4" w:space="0"/>
            </w:tcBorders>
            <w:vAlign w:val="center"/>
          </w:tcPr>
          <w:p w14:paraId="38BDC5B7">
            <w:pPr>
              <w:widowControl/>
              <w:jc w:val="left"/>
              <w:textAlignment w:val="center"/>
              <w:rPr>
                <w:rFonts w:hint="eastAsia" w:hAnsi="宋体" w:cs="宋体"/>
                <w:color w:val="auto"/>
                <w:sz w:val="24"/>
                <w:szCs w:val="24"/>
              </w:rPr>
            </w:pPr>
            <w:r>
              <w:rPr>
                <w:rFonts w:hint="eastAsia" w:hAnsi="宋体" w:cs="宋体"/>
                <w:color w:val="auto"/>
                <w:sz w:val="24"/>
                <w:szCs w:val="24"/>
                <w:lang w:bidi="ar"/>
              </w:rPr>
              <w:t>1.材质：镀锌钢板；形状：矩形。</w:t>
            </w:r>
            <w:r>
              <w:rPr>
                <w:rFonts w:hint="eastAsia" w:hAnsi="宋体" w:cs="宋体"/>
                <w:color w:val="auto"/>
                <w:sz w:val="24"/>
                <w:szCs w:val="24"/>
                <w:lang w:bidi="ar"/>
              </w:rPr>
              <w:br w:type="textWrapping"/>
            </w:r>
            <w:r>
              <w:rPr>
                <w:rFonts w:hint="eastAsia" w:hAnsi="宋体" w:cs="宋体"/>
                <w:color w:val="auto"/>
                <w:sz w:val="24"/>
                <w:szCs w:val="24"/>
                <w:lang w:bidi="ar"/>
              </w:rPr>
              <w:t>2.风管长边尺寸B≤320mm，板材厚度:δ≥0.5mm；风管长边尺寸320mm＜B≤450mm，板材厚度:δ≥0.6mm，风管长边尺寸450mm＜B≤630mm；板材厚度:δ≥0.75mm；风管长边尺寸630mm＜B≤1000mm，板材厚度:δ≥0.75mm；风管长边尺寸1000mm＜B≤1500mm，板材厚度:δ≥1.0mm。</w:t>
            </w:r>
          </w:p>
        </w:tc>
        <w:tc>
          <w:tcPr>
            <w:tcW w:w="378" w:type="pct"/>
            <w:tcBorders>
              <w:top w:val="single" w:color="000000" w:sz="4" w:space="0"/>
              <w:left w:val="single" w:color="000000" w:sz="4" w:space="0"/>
              <w:bottom w:val="single" w:color="000000" w:sz="4" w:space="0"/>
              <w:right w:val="single" w:color="000000" w:sz="4" w:space="0"/>
            </w:tcBorders>
            <w:vAlign w:val="center"/>
          </w:tcPr>
          <w:p w14:paraId="3273849E">
            <w:pPr>
              <w:widowControl/>
              <w:jc w:val="center"/>
              <w:textAlignment w:val="center"/>
              <w:rPr>
                <w:rFonts w:hint="eastAsia" w:hAnsi="宋体" w:cs="宋体"/>
                <w:color w:val="auto"/>
                <w:sz w:val="24"/>
                <w:szCs w:val="24"/>
              </w:rPr>
            </w:pPr>
            <w:r>
              <w:rPr>
                <w:rFonts w:hint="eastAsia" w:hAnsi="宋体" w:cs="宋体"/>
                <w:color w:val="auto"/>
                <w:sz w:val="24"/>
                <w:szCs w:val="24"/>
                <w:lang w:bidi="ar"/>
              </w:rPr>
              <w:t>平方米</w:t>
            </w:r>
          </w:p>
        </w:tc>
        <w:tc>
          <w:tcPr>
            <w:tcW w:w="426" w:type="pct"/>
            <w:tcBorders>
              <w:top w:val="single" w:color="000000" w:sz="4" w:space="0"/>
              <w:left w:val="single" w:color="000000" w:sz="4" w:space="0"/>
              <w:bottom w:val="single" w:color="000000" w:sz="4" w:space="0"/>
              <w:right w:val="single" w:color="000000" w:sz="4" w:space="0"/>
            </w:tcBorders>
            <w:vAlign w:val="center"/>
          </w:tcPr>
          <w:p w14:paraId="5E2A30AC">
            <w:pPr>
              <w:widowControl/>
              <w:jc w:val="center"/>
              <w:textAlignment w:val="center"/>
              <w:rPr>
                <w:rFonts w:hint="eastAsia" w:hAnsi="宋体" w:cs="宋体"/>
                <w:color w:val="auto"/>
                <w:sz w:val="24"/>
                <w:szCs w:val="24"/>
              </w:rPr>
            </w:pPr>
            <w:r>
              <w:rPr>
                <w:rFonts w:hint="eastAsia" w:hAnsi="宋体" w:cs="宋体"/>
                <w:color w:val="auto"/>
                <w:sz w:val="24"/>
                <w:szCs w:val="24"/>
                <w:lang w:bidi="ar"/>
              </w:rPr>
              <w:t>1000</w:t>
            </w:r>
          </w:p>
        </w:tc>
        <w:tc>
          <w:tcPr>
            <w:tcW w:w="573" w:type="pct"/>
            <w:tcBorders>
              <w:top w:val="single" w:color="000000" w:sz="4" w:space="0"/>
              <w:left w:val="single" w:color="000000" w:sz="4" w:space="0"/>
              <w:bottom w:val="single" w:color="000000" w:sz="4" w:space="0"/>
              <w:right w:val="single" w:color="000000" w:sz="4" w:space="0"/>
            </w:tcBorders>
            <w:vAlign w:val="center"/>
          </w:tcPr>
          <w:p w14:paraId="74EA0871">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186.00</w:t>
            </w:r>
          </w:p>
        </w:tc>
      </w:tr>
      <w:tr w14:paraId="401F5A67">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379618D9">
            <w:pPr>
              <w:widowControl/>
              <w:jc w:val="center"/>
              <w:textAlignment w:val="center"/>
              <w:rPr>
                <w:rFonts w:hint="eastAsia" w:hAnsi="宋体" w:cs="宋体"/>
                <w:color w:val="auto"/>
                <w:sz w:val="24"/>
                <w:szCs w:val="24"/>
              </w:rPr>
            </w:pPr>
            <w:r>
              <w:rPr>
                <w:rFonts w:hint="eastAsia" w:hAnsi="宋体" w:cs="宋体"/>
                <w:color w:val="auto"/>
                <w:sz w:val="24"/>
                <w:szCs w:val="24"/>
                <w:lang w:bidi="ar"/>
              </w:rPr>
              <w:t>18</w:t>
            </w:r>
          </w:p>
        </w:tc>
        <w:tc>
          <w:tcPr>
            <w:tcW w:w="632" w:type="pct"/>
            <w:tcBorders>
              <w:top w:val="single" w:color="000000" w:sz="4" w:space="0"/>
              <w:left w:val="single" w:color="000000" w:sz="4" w:space="0"/>
              <w:bottom w:val="single" w:color="000000" w:sz="4" w:space="0"/>
              <w:right w:val="nil"/>
            </w:tcBorders>
            <w:vAlign w:val="center"/>
          </w:tcPr>
          <w:p w14:paraId="48FB4C76">
            <w:pPr>
              <w:widowControl/>
              <w:jc w:val="center"/>
              <w:textAlignment w:val="center"/>
              <w:rPr>
                <w:rFonts w:hint="eastAsia" w:hAnsi="宋体" w:cs="宋体"/>
                <w:color w:val="auto"/>
                <w:sz w:val="24"/>
                <w:szCs w:val="24"/>
              </w:rPr>
            </w:pPr>
            <w:r>
              <w:rPr>
                <w:rFonts w:hint="eastAsia" w:hAnsi="宋体" w:cs="宋体"/>
                <w:color w:val="auto"/>
                <w:sz w:val="24"/>
                <w:szCs w:val="24"/>
                <w:lang w:bidi="ar"/>
              </w:rPr>
              <w:t>保温棉</w:t>
            </w:r>
          </w:p>
        </w:tc>
        <w:tc>
          <w:tcPr>
            <w:tcW w:w="2640" w:type="pct"/>
            <w:tcBorders>
              <w:top w:val="single" w:color="000000" w:sz="4" w:space="0"/>
              <w:left w:val="single" w:color="000000" w:sz="4" w:space="0"/>
              <w:bottom w:val="single" w:color="000000" w:sz="4" w:space="0"/>
              <w:right w:val="single" w:color="000000" w:sz="4" w:space="0"/>
            </w:tcBorders>
            <w:vAlign w:val="center"/>
          </w:tcPr>
          <w:p w14:paraId="61F92ED4">
            <w:pPr>
              <w:widowControl/>
              <w:jc w:val="left"/>
              <w:textAlignment w:val="center"/>
              <w:rPr>
                <w:rStyle w:val="8"/>
                <w:rFonts w:hAnsi="Calibri" w:cs="Times New Roman"/>
                <w:color w:val="auto"/>
              </w:rPr>
            </w:pPr>
            <w:r>
              <w:rPr>
                <w:rFonts w:hint="eastAsia" w:ascii="楷体" w:hAnsi="楷体" w:eastAsia="楷体" w:cs="楷体"/>
                <w:color w:val="auto"/>
                <w:sz w:val="24"/>
                <w:szCs w:val="24"/>
                <w:lang w:bidi="ar"/>
              </w:rPr>
              <w:t>★</w:t>
            </w:r>
            <w:r>
              <w:rPr>
                <w:rFonts w:hint="eastAsia" w:hAnsi="宋体" w:cs="宋体"/>
                <w:color w:val="auto"/>
                <w:sz w:val="24"/>
                <w:szCs w:val="24"/>
                <w:lang w:bidi="ar"/>
              </w:rPr>
              <w:t>1.不低于国标防火B1级</w:t>
            </w:r>
            <w:r>
              <w:rPr>
                <w:rStyle w:val="8"/>
                <w:rFonts w:hint="eastAsia" w:hAnsi="Calibri" w:cs="Times New Roman"/>
                <w:color w:val="auto"/>
              </w:rPr>
              <w:t>。</w:t>
            </w:r>
          </w:p>
          <w:p w14:paraId="45C0A6E8">
            <w:pPr>
              <w:widowControl/>
              <w:jc w:val="left"/>
              <w:textAlignment w:val="center"/>
              <w:rPr>
                <w:rFonts w:hint="eastAsia" w:hAnsi="宋体" w:cs="宋体"/>
                <w:color w:val="auto"/>
                <w:sz w:val="24"/>
                <w:szCs w:val="24"/>
              </w:rPr>
            </w:pPr>
            <w:r>
              <w:rPr>
                <w:rFonts w:hint="eastAsia" w:hAnsi="宋体" w:cs="宋体"/>
                <w:color w:val="auto"/>
                <w:sz w:val="24"/>
                <w:szCs w:val="24"/>
                <w:lang w:bidi="ar"/>
              </w:rPr>
              <w:t>2.厚度≥25mm橡塑保温棉，室外部分外包铝皮，铝皮厚度≥0.5mm。</w:t>
            </w:r>
          </w:p>
        </w:tc>
        <w:tc>
          <w:tcPr>
            <w:tcW w:w="378" w:type="pct"/>
            <w:tcBorders>
              <w:top w:val="single" w:color="000000" w:sz="4" w:space="0"/>
              <w:left w:val="single" w:color="000000" w:sz="4" w:space="0"/>
              <w:bottom w:val="single" w:color="000000" w:sz="4" w:space="0"/>
              <w:right w:val="single" w:color="000000" w:sz="4" w:space="0"/>
            </w:tcBorders>
            <w:vAlign w:val="center"/>
          </w:tcPr>
          <w:p w14:paraId="16168AA5">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090FB3F9">
            <w:pPr>
              <w:widowControl/>
              <w:jc w:val="center"/>
              <w:textAlignment w:val="center"/>
              <w:rPr>
                <w:rFonts w:hint="eastAsia" w:hAnsi="宋体" w:cs="宋体"/>
                <w:color w:val="auto"/>
                <w:sz w:val="24"/>
                <w:szCs w:val="24"/>
              </w:rPr>
            </w:pPr>
            <w:r>
              <w:rPr>
                <w:rFonts w:hint="eastAsia" w:hAnsi="宋体" w:cs="宋体"/>
                <w:color w:val="auto"/>
                <w:sz w:val="24"/>
                <w:szCs w:val="24"/>
                <w:lang w:bidi="ar"/>
              </w:rPr>
              <w:t>1</w:t>
            </w:r>
          </w:p>
        </w:tc>
        <w:tc>
          <w:tcPr>
            <w:tcW w:w="573" w:type="pct"/>
            <w:tcBorders>
              <w:top w:val="single" w:color="000000" w:sz="4" w:space="0"/>
              <w:left w:val="single" w:color="000000" w:sz="4" w:space="0"/>
              <w:bottom w:val="single" w:color="000000" w:sz="4" w:space="0"/>
              <w:right w:val="single" w:color="000000" w:sz="4" w:space="0"/>
            </w:tcBorders>
            <w:vAlign w:val="center"/>
          </w:tcPr>
          <w:p w14:paraId="4D75228E">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40,000.00</w:t>
            </w:r>
          </w:p>
        </w:tc>
      </w:tr>
      <w:tr w14:paraId="73C55E3B">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5EF6F0C9">
            <w:pPr>
              <w:widowControl/>
              <w:jc w:val="center"/>
              <w:textAlignment w:val="center"/>
              <w:rPr>
                <w:rFonts w:hint="eastAsia" w:hAnsi="宋体" w:cs="宋体"/>
                <w:color w:val="auto"/>
                <w:sz w:val="24"/>
                <w:szCs w:val="24"/>
              </w:rPr>
            </w:pPr>
            <w:r>
              <w:rPr>
                <w:rFonts w:hint="eastAsia" w:hAnsi="宋体" w:cs="宋体"/>
                <w:color w:val="auto"/>
                <w:sz w:val="24"/>
                <w:szCs w:val="24"/>
                <w:lang w:bidi="ar"/>
              </w:rPr>
              <w:t>19</w:t>
            </w:r>
          </w:p>
        </w:tc>
        <w:tc>
          <w:tcPr>
            <w:tcW w:w="632" w:type="pct"/>
            <w:tcBorders>
              <w:top w:val="single" w:color="000000" w:sz="4" w:space="0"/>
              <w:left w:val="single" w:color="000000" w:sz="4" w:space="0"/>
              <w:bottom w:val="single" w:color="000000" w:sz="4" w:space="0"/>
              <w:right w:val="single" w:color="000000" w:sz="4" w:space="0"/>
            </w:tcBorders>
            <w:vAlign w:val="center"/>
          </w:tcPr>
          <w:p w14:paraId="455E998E">
            <w:pPr>
              <w:widowControl/>
              <w:jc w:val="center"/>
              <w:textAlignment w:val="center"/>
              <w:rPr>
                <w:rFonts w:hint="eastAsia" w:hAnsi="宋体" w:cs="宋体"/>
                <w:color w:val="auto"/>
                <w:sz w:val="24"/>
                <w:szCs w:val="24"/>
              </w:rPr>
            </w:pPr>
            <w:r>
              <w:rPr>
                <w:rFonts w:hint="eastAsia" w:hAnsi="宋体" w:cs="宋体"/>
                <w:color w:val="auto"/>
                <w:sz w:val="24"/>
                <w:szCs w:val="24"/>
                <w:lang w:bidi="ar"/>
              </w:rPr>
              <w:t>阀门</w:t>
            </w:r>
          </w:p>
        </w:tc>
        <w:tc>
          <w:tcPr>
            <w:tcW w:w="2640" w:type="pct"/>
            <w:tcBorders>
              <w:top w:val="single" w:color="000000" w:sz="4" w:space="0"/>
              <w:left w:val="single" w:color="000000" w:sz="4" w:space="0"/>
              <w:bottom w:val="single" w:color="000000" w:sz="4" w:space="0"/>
              <w:right w:val="single" w:color="000000" w:sz="4" w:space="0"/>
            </w:tcBorders>
            <w:vAlign w:val="center"/>
          </w:tcPr>
          <w:p w14:paraId="67B7AC33">
            <w:pPr>
              <w:widowControl/>
              <w:jc w:val="left"/>
              <w:textAlignment w:val="center"/>
              <w:rPr>
                <w:rFonts w:hint="eastAsia" w:hAnsi="宋体" w:cs="宋体"/>
                <w:color w:val="auto"/>
                <w:sz w:val="24"/>
                <w:szCs w:val="24"/>
              </w:rPr>
            </w:pPr>
            <w:r>
              <w:rPr>
                <w:rFonts w:hint="eastAsia" w:hAnsi="宋体" w:cs="宋体"/>
                <w:color w:val="auto"/>
                <w:sz w:val="24"/>
                <w:szCs w:val="24"/>
                <w:lang w:bidi="ar"/>
              </w:rPr>
              <w:t>1.手动风量调节阀；材质：阀体为钢板，表面镀锌处理；规格：≥400*200mm，数量≥52个。</w:t>
            </w:r>
            <w:r>
              <w:rPr>
                <w:rFonts w:hint="eastAsia" w:hAnsi="宋体" w:cs="宋体"/>
                <w:color w:val="auto"/>
                <w:sz w:val="24"/>
                <w:szCs w:val="24"/>
                <w:lang w:bidi="ar"/>
              </w:rPr>
              <w:br w:type="textWrapping"/>
            </w:r>
            <w:r>
              <w:rPr>
                <w:rFonts w:hint="eastAsia" w:hAnsi="宋体" w:cs="宋体"/>
                <w:color w:val="auto"/>
                <w:sz w:val="24"/>
                <w:szCs w:val="24"/>
                <w:lang w:bidi="ar"/>
              </w:rPr>
              <w:t>2.电动密闭阀；材质：阀体为钢板，表面镀锌处理；规格：≥1000*400mm，数量≥6个。</w:t>
            </w:r>
            <w:r>
              <w:rPr>
                <w:rFonts w:hint="eastAsia" w:hAnsi="宋体" w:cs="宋体"/>
                <w:color w:val="auto"/>
                <w:sz w:val="24"/>
                <w:szCs w:val="24"/>
                <w:lang w:bidi="ar"/>
              </w:rPr>
              <w:br w:type="textWrapping"/>
            </w:r>
            <w:r>
              <w:rPr>
                <w:rFonts w:hint="eastAsia" w:hAnsi="宋体" w:cs="宋体"/>
                <w:color w:val="auto"/>
                <w:sz w:val="24"/>
                <w:szCs w:val="24"/>
                <w:lang w:bidi="ar"/>
              </w:rPr>
              <w:t>3.70℃防火阀；材质：阀体为钢板，表面镀锌处理；规格：≥1000*400mm，数量≥12个。</w:t>
            </w:r>
          </w:p>
        </w:tc>
        <w:tc>
          <w:tcPr>
            <w:tcW w:w="378" w:type="pct"/>
            <w:tcBorders>
              <w:top w:val="single" w:color="000000" w:sz="4" w:space="0"/>
              <w:left w:val="single" w:color="000000" w:sz="4" w:space="0"/>
              <w:bottom w:val="single" w:color="000000" w:sz="4" w:space="0"/>
              <w:right w:val="single" w:color="000000" w:sz="4" w:space="0"/>
            </w:tcBorders>
            <w:vAlign w:val="center"/>
          </w:tcPr>
          <w:p w14:paraId="3061EADB">
            <w:pPr>
              <w:widowControl/>
              <w:jc w:val="center"/>
              <w:textAlignment w:val="center"/>
              <w:rPr>
                <w:rFonts w:hint="eastAsia" w:hAnsi="宋体" w:cs="宋体"/>
                <w:color w:val="auto"/>
                <w:sz w:val="24"/>
                <w:szCs w:val="24"/>
              </w:rPr>
            </w:pPr>
            <w:r>
              <w:rPr>
                <w:rFonts w:hint="eastAsia" w:hAnsi="宋体" w:cs="宋体"/>
                <w:color w:val="auto"/>
                <w:sz w:val="24"/>
                <w:szCs w:val="24"/>
                <w:lang w:bidi="ar"/>
              </w:rPr>
              <w:t>套</w:t>
            </w:r>
          </w:p>
        </w:tc>
        <w:tc>
          <w:tcPr>
            <w:tcW w:w="426" w:type="pct"/>
            <w:tcBorders>
              <w:top w:val="single" w:color="000000" w:sz="4" w:space="0"/>
              <w:left w:val="single" w:color="000000" w:sz="4" w:space="0"/>
              <w:bottom w:val="single" w:color="000000" w:sz="4" w:space="0"/>
              <w:right w:val="single" w:color="000000" w:sz="4" w:space="0"/>
            </w:tcBorders>
            <w:vAlign w:val="center"/>
          </w:tcPr>
          <w:p w14:paraId="077FC993">
            <w:pPr>
              <w:widowControl/>
              <w:jc w:val="center"/>
              <w:textAlignment w:val="center"/>
              <w:rPr>
                <w:rFonts w:hint="eastAsia" w:hAnsi="宋体" w:cs="宋体"/>
                <w:color w:val="auto"/>
                <w:sz w:val="24"/>
                <w:szCs w:val="24"/>
              </w:rPr>
            </w:pPr>
            <w:r>
              <w:rPr>
                <w:rFonts w:hint="eastAsia" w:hAnsi="宋体" w:cs="宋体"/>
                <w:color w:val="auto"/>
                <w:sz w:val="24"/>
                <w:szCs w:val="24"/>
                <w:lang w:bidi="ar"/>
              </w:rPr>
              <w:t>1</w:t>
            </w:r>
          </w:p>
        </w:tc>
        <w:tc>
          <w:tcPr>
            <w:tcW w:w="573" w:type="pct"/>
            <w:tcBorders>
              <w:top w:val="single" w:color="000000" w:sz="4" w:space="0"/>
              <w:left w:val="single" w:color="000000" w:sz="4" w:space="0"/>
              <w:bottom w:val="single" w:color="000000" w:sz="4" w:space="0"/>
              <w:right w:val="single" w:color="000000" w:sz="4" w:space="0"/>
            </w:tcBorders>
            <w:vAlign w:val="center"/>
          </w:tcPr>
          <w:p w14:paraId="4F9AA358">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46,600.00</w:t>
            </w:r>
          </w:p>
        </w:tc>
      </w:tr>
      <w:tr w14:paraId="2F5FA9D8">
        <w:tblPrEx>
          <w:tblCellMar>
            <w:top w:w="0" w:type="dxa"/>
            <w:left w:w="108" w:type="dxa"/>
            <w:bottom w:w="0" w:type="dxa"/>
            <w:right w:w="108" w:type="dxa"/>
          </w:tblCellMar>
        </w:tblPrEx>
        <w:trPr>
          <w:trHeight w:val="1000" w:hRule="atLeast"/>
        </w:trPr>
        <w:tc>
          <w:tcPr>
            <w:tcW w:w="348" w:type="pct"/>
            <w:tcBorders>
              <w:top w:val="single" w:color="000000" w:sz="4" w:space="0"/>
              <w:left w:val="single" w:color="000000" w:sz="4" w:space="0"/>
              <w:bottom w:val="single" w:color="000000" w:sz="4" w:space="0"/>
              <w:right w:val="single" w:color="000000" w:sz="4" w:space="0"/>
            </w:tcBorders>
            <w:vAlign w:val="center"/>
          </w:tcPr>
          <w:p w14:paraId="082020AA">
            <w:pPr>
              <w:widowControl/>
              <w:jc w:val="center"/>
              <w:textAlignment w:val="center"/>
              <w:rPr>
                <w:rFonts w:hint="eastAsia" w:hAnsi="宋体" w:cs="宋体"/>
                <w:color w:val="auto"/>
                <w:sz w:val="24"/>
                <w:szCs w:val="24"/>
              </w:rPr>
            </w:pPr>
            <w:r>
              <w:rPr>
                <w:rFonts w:hint="eastAsia" w:hAnsi="宋体" w:cs="宋体"/>
                <w:color w:val="auto"/>
                <w:sz w:val="24"/>
                <w:szCs w:val="24"/>
                <w:lang w:bidi="ar"/>
              </w:rPr>
              <w:t>20</w:t>
            </w:r>
          </w:p>
        </w:tc>
        <w:tc>
          <w:tcPr>
            <w:tcW w:w="632" w:type="pct"/>
            <w:tcBorders>
              <w:top w:val="single" w:color="000000" w:sz="4" w:space="0"/>
              <w:left w:val="single" w:color="000000" w:sz="4" w:space="0"/>
              <w:bottom w:val="single" w:color="000000" w:sz="4" w:space="0"/>
              <w:right w:val="nil"/>
            </w:tcBorders>
            <w:vAlign w:val="center"/>
          </w:tcPr>
          <w:p w14:paraId="406415D0">
            <w:pPr>
              <w:widowControl/>
              <w:jc w:val="center"/>
              <w:textAlignment w:val="center"/>
              <w:rPr>
                <w:rFonts w:hint="eastAsia" w:hAnsi="宋体" w:cs="宋体"/>
                <w:color w:val="auto"/>
                <w:sz w:val="24"/>
                <w:szCs w:val="24"/>
              </w:rPr>
            </w:pPr>
            <w:r>
              <w:rPr>
                <w:rFonts w:hint="eastAsia" w:hAnsi="宋体" w:cs="宋体"/>
                <w:color w:val="auto"/>
                <w:sz w:val="24"/>
                <w:szCs w:val="24"/>
                <w:lang w:bidi="ar"/>
              </w:rPr>
              <w:t>电气控制柜</w:t>
            </w:r>
          </w:p>
        </w:tc>
        <w:tc>
          <w:tcPr>
            <w:tcW w:w="2640" w:type="pct"/>
            <w:tcBorders>
              <w:top w:val="single" w:color="000000" w:sz="4" w:space="0"/>
              <w:left w:val="single" w:color="000000" w:sz="4" w:space="0"/>
              <w:bottom w:val="single" w:color="000000" w:sz="4" w:space="0"/>
              <w:right w:val="single" w:color="000000" w:sz="4" w:space="0"/>
            </w:tcBorders>
            <w:vAlign w:val="center"/>
          </w:tcPr>
          <w:p w14:paraId="761EB342">
            <w:pPr>
              <w:widowControl/>
              <w:jc w:val="left"/>
              <w:textAlignment w:val="center"/>
              <w:rPr>
                <w:rFonts w:hint="eastAsia" w:hAnsi="宋体" w:cs="宋体"/>
                <w:color w:val="auto"/>
                <w:sz w:val="24"/>
                <w:szCs w:val="24"/>
              </w:rPr>
            </w:pPr>
            <w:r>
              <w:rPr>
                <w:rFonts w:hint="eastAsia" w:hAnsi="宋体" w:cs="宋体"/>
                <w:color w:val="auto"/>
                <w:sz w:val="24"/>
                <w:szCs w:val="24"/>
                <w:lang w:bidi="ar"/>
              </w:rPr>
              <w:t>1.控制箱箱体防护等级不低于IP44级，箱体镀锌钢板，厚度≥1mm。</w:t>
            </w:r>
            <w:r>
              <w:rPr>
                <w:rFonts w:hint="eastAsia" w:hAnsi="宋体" w:cs="宋体"/>
                <w:color w:val="auto"/>
                <w:sz w:val="24"/>
                <w:szCs w:val="24"/>
                <w:lang w:bidi="ar"/>
              </w:rPr>
              <w:br w:type="textWrapping"/>
            </w:r>
            <w:r>
              <w:rPr>
                <w:rFonts w:hint="eastAsia" w:hAnsi="宋体" w:cs="宋体"/>
                <w:color w:val="auto"/>
                <w:sz w:val="24"/>
                <w:szCs w:val="24"/>
                <w:lang w:bidi="ar"/>
              </w:rPr>
              <w:t>2.从电源源头到供应商总配电箱的这段电源线，其提供、铺设和连接工作由采购人负责完成，承包方负责从总配电箱开始到本项目采购设备的所有管线。</w:t>
            </w:r>
          </w:p>
        </w:tc>
        <w:tc>
          <w:tcPr>
            <w:tcW w:w="378" w:type="pct"/>
            <w:tcBorders>
              <w:top w:val="single" w:color="000000" w:sz="4" w:space="0"/>
              <w:left w:val="single" w:color="000000" w:sz="4" w:space="0"/>
              <w:bottom w:val="single" w:color="000000" w:sz="4" w:space="0"/>
              <w:right w:val="single" w:color="000000" w:sz="4" w:space="0"/>
            </w:tcBorders>
            <w:vAlign w:val="center"/>
          </w:tcPr>
          <w:p w14:paraId="662781D0">
            <w:pPr>
              <w:widowControl/>
              <w:jc w:val="center"/>
              <w:textAlignment w:val="center"/>
              <w:rPr>
                <w:rFonts w:hint="eastAsia" w:hAnsi="宋体" w:cs="宋体"/>
                <w:color w:val="auto"/>
                <w:sz w:val="24"/>
                <w:szCs w:val="24"/>
              </w:rPr>
            </w:pPr>
            <w:r>
              <w:rPr>
                <w:rFonts w:hint="eastAsia" w:hAnsi="宋体" w:cs="宋体"/>
                <w:color w:val="auto"/>
                <w:sz w:val="24"/>
                <w:szCs w:val="24"/>
                <w:lang w:bidi="ar"/>
              </w:rPr>
              <w:t>个</w:t>
            </w:r>
          </w:p>
        </w:tc>
        <w:tc>
          <w:tcPr>
            <w:tcW w:w="426" w:type="pct"/>
            <w:tcBorders>
              <w:top w:val="single" w:color="000000" w:sz="4" w:space="0"/>
              <w:left w:val="single" w:color="000000" w:sz="4" w:space="0"/>
              <w:bottom w:val="single" w:color="000000" w:sz="4" w:space="0"/>
              <w:right w:val="single" w:color="000000" w:sz="4" w:space="0"/>
            </w:tcBorders>
            <w:vAlign w:val="center"/>
          </w:tcPr>
          <w:p w14:paraId="620D4E42">
            <w:pPr>
              <w:widowControl/>
              <w:jc w:val="center"/>
              <w:textAlignment w:val="center"/>
              <w:rPr>
                <w:rFonts w:hint="eastAsia" w:hAnsi="宋体" w:cs="宋体"/>
                <w:color w:val="auto"/>
                <w:sz w:val="24"/>
                <w:szCs w:val="24"/>
              </w:rPr>
            </w:pPr>
            <w:r>
              <w:rPr>
                <w:rFonts w:hint="eastAsia" w:hAnsi="宋体" w:cs="宋体"/>
                <w:color w:val="auto"/>
                <w:sz w:val="24"/>
                <w:szCs w:val="24"/>
                <w:lang w:bidi="ar"/>
              </w:rPr>
              <w:t>1</w:t>
            </w:r>
          </w:p>
        </w:tc>
        <w:tc>
          <w:tcPr>
            <w:tcW w:w="573" w:type="pct"/>
            <w:tcBorders>
              <w:top w:val="single" w:color="000000" w:sz="4" w:space="0"/>
              <w:left w:val="single" w:color="000000" w:sz="4" w:space="0"/>
              <w:bottom w:val="single" w:color="000000" w:sz="4" w:space="0"/>
              <w:right w:val="single" w:color="000000" w:sz="4" w:space="0"/>
            </w:tcBorders>
            <w:vAlign w:val="center"/>
          </w:tcPr>
          <w:p w14:paraId="6F013F81">
            <w:pPr>
              <w:widowControl/>
              <w:jc w:val="center"/>
              <w:textAlignment w:val="center"/>
              <w:rPr>
                <w:rFonts w:hint="eastAsia" w:hAnsi="宋体" w:cs="宋体"/>
                <w:color w:val="auto"/>
                <w:sz w:val="24"/>
                <w:szCs w:val="24"/>
                <w:lang w:bidi="ar"/>
              </w:rPr>
            </w:pPr>
            <w:r>
              <w:rPr>
                <w:rFonts w:hint="eastAsia" w:hAnsi="宋体" w:cs="宋体"/>
                <w:color w:val="auto"/>
                <w:sz w:val="24"/>
                <w:szCs w:val="24"/>
                <w:lang w:bidi="ar"/>
              </w:rPr>
              <w:t>36,500.00</w:t>
            </w:r>
          </w:p>
        </w:tc>
      </w:tr>
    </w:tbl>
    <w:p w14:paraId="56F6F6AC">
      <w:pPr>
        <w:widowControl/>
        <w:jc w:val="left"/>
        <w:textAlignment w:val="center"/>
        <w:rPr>
          <w:rFonts w:hint="eastAsia" w:hAnsi="宋体" w:cs="宋体"/>
          <w:color w:val="auto"/>
          <w:sz w:val="24"/>
          <w:szCs w:val="24"/>
          <w:lang w:bidi="ar"/>
        </w:rPr>
      </w:pPr>
    </w:p>
    <w:p w14:paraId="09ED0D1A">
      <w:pPr>
        <w:widowControl/>
        <w:jc w:val="left"/>
        <w:textAlignment w:val="center"/>
        <w:rPr>
          <w:rFonts w:hint="eastAsia" w:hAnsi="宋体" w:cs="宋体"/>
          <w:color w:val="auto"/>
          <w:sz w:val="24"/>
          <w:szCs w:val="24"/>
        </w:rPr>
      </w:pPr>
      <w:r>
        <w:rPr>
          <w:rFonts w:hAnsi="宋体" w:cs="宋体"/>
          <w:color w:val="auto"/>
          <w:sz w:val="24"/>
          <w:szCs w:val="24"/>
        </w:rPr>
        <w:t>本项目所属行业：工业</w:t>
      </w:r>
    </w:p>
    <w:p w14:paraId="5AB0AD2D">
      <w:pPr>
        <w:widowControl/>
        <w:jc w:val="left"/>
        <w:textAlignment w:val="center"/>
        <w:rPr>
          <w:rFonts w:hint="eastAsia" w:hAnsi="宋体" w:cs="宋体"/>
          <w:color w:val="auto"/>
          <w:sz w:val="24"/>
          <w:szCs w:val="24"/>
        </w:rPr>
      </w:pPr>
      <w:r>
        <w:rPr>
          <w:rFonts w:hAnsi="宋体" w:cs="宋体"/>
          <w:color w:val="auto"/>
          <w:sz w:val="24"/>
          <w:szCs w:val="24"/>
        </w:rPr>
        <w:t>本项目是否允许进口产品</w:t>
      </w:r>
      <w:r>
        <w:rPr>
          <w:rFonts w:hAnsi="宋体" w:cs="宋体"/>
          <w:color w:val="auto"/>
          <w:sz w:val="24"/>
          <w:szCs w:val="24"/>
        </w:rPr>
        <w:tab/>
      </w:r>
      <w:r>
        <w:rPr>
          <w:rFonts w:hAnsi="宋体" w:cs="宋体"/>
          <w:color w:val="auto"/>
          <w:sz w:val="24"/>
          <w:szCs w:val="24"/>
        </w:rPr>
        <w:t>：</w:t>
      </w:r>
      <w:r>
        <w:rPr>
          <w:rFonts w:hint="eastAsia" w:hAnsi="宋体" w:cs="宋体"/>
          <w:color w:val="auto"/>
          <w:sz w:val="24"/>
          <w:szCs w:val="24"/>
        </w:rPr>
        <w:t>无</w:t>
      </w:r>
    </w:p>
    <w:p w14:paraId="4E19A658">
      <w:pPr>
        <w:widowControl/>
        <w:jc w:val="left"/>
        <w:textAlignment w:val="center"/>
        <w:rPr>
          <w:rFonts w:hint="eastAsia" w:hAnsi="宋体" w:cs="宋体"/>
          <w:color w:val="auto"/>
          <w:sz w:val="24"/>
          <w:szCs w:val="24"/>
        </w:rPr>
      </w:pPr>
      <w:r>
        <w:rPr>
          <w:rFonts w:hAnsi="宋体" w:cs="宋体"/>
          <w:color w:val="auto"/>
          <w:sz w:val="24"/>
          <w:szCs w:val="24"/>
        </w:rPr>
        <w:t>属于优先采购节能产品：无</w:t>
      </w:r>
    </w:p>
    <w:p w14:paraId="5D41B0E5">
      <w:pPr>
        <w:widowControl/>
        <w:jc w:val="left"/>
        <w:textAlignment w:val="center"/>
        <w:rPr>
          <w:rFonts w:hint="eastAsia" w:hAnsi="宋体" w:cs="宋体"/>
          <w:color w:val="auto"/>
          <w:sz w:val="24"/>
          <w:szCs w:val="24"/>
        </w:rPr>
      </w:pPr>
      <w:r>
        <w:rPr>
          <w:rFonts w:hAnsi="宋体" w:cs="宋体"/>
          <w:color w:val="auto"/>
          <w:sz w:val="24"/>
          <w:szCs w:val="24"/>
        </w:rPr>
        <w:t>属于强制采购节能产品：无</w:t>
      </w:r>
    </w:p>
    <w:p w14:paraId="50B70B97">
      <w:pPr>
        <w:widowControl/>
        <w:jc w:val="left"/>
        <w:textAlignment w:val="center"/>
        <w:rPr>
          <w:rFonts w:hint="eastAsia" w:hAnsi="宋体" w:cs="宋体"/>
          <w:color w:val="auto"/>
          <w:sz w:val="24"/>
          <w:szCs w:val="24"/>
        </w:rPr>
      </w:pPr>
      <w:r>
        <w:rPr>
          <w:rFonts w:hAnsi="宋体" w:cs="宋体"/>
          <w:color w:val="auto"/>
          <w:sz w:val="24"/>
          <w:szCs w:val="24"/>
        </w:rPr>
        <w:t>属于优先采购环境标志产品：</w:t>
      </w:r>
      <w:r>
        <w:rPr>
          <w:rFonts w:hAnsi="宋体" w:cs="宋体"/>
          <w:color w:val="auto"/>
          <w:sz w:val="24"/>
          <w:szCs w:val="24"/>
          <w:lang w:bidi="ar"/>
        </w:rPr>
        <w:t xml:space="preserve">无  </w:t>
      </w:r>
    </w:p>
    <w:p w14:paraId="53678C0F">
      <w:pPr>
        <w:widowControl/>
        <w:jc w:val="left"/>
        <w:textAlignment w:val="center"/>
        <w:rPr>
          <w:rFonts w:hint="eastAsia" w:hAnsi="宋体" w:cs="宋体"/>
          <w:color w:val="auto"/>
          <w:sz w:val="24"/>
          <w:szCs w:val="24"/>
        </w:rPr>
      </w:pPr>
      <w:r>
        <w:rPr>
          <w:rFonts w:hAnsi="宋体" w:cs="宋体"/>
          <w:color w:val="auto"/>
          <w:sz w:val="24"/>
          <w:szCs w:val="24"/>
        </w:rPr>
        <w:t>注：1、本项目为货物采购项目，仅将本项目中主要货物作为标的物；配件、辅料等材料不作为标的物，也不对其生产厂家做要求。</w:t>
      </w:r>
    </w:p>
    <w:p w14:paraId="20944EDC">
      <w:pPr>
        <w:widowControl/>
        <w:jc w:val="left"/>
        <w:textAlignment w:val="center"/>
        <w:rPr>
          <w:color w:val="auto"/>
        </w:rPr>
      </w:pPr>
      <w:r>
        <w:rPr>
          <w:rFonts w:hAnsi="宋体" w:cs="宋体"/>
          <w:color w:val="auto"/>
          <w:sz w:val="24"/>
          <w:szCs w:val="24"/>
        </w:rPr>
        <w:t>2、本项目引用的相关标准或规范，在采购活动或履约过程中，如有修订或变更，按修订或变更后的标准或规范执行。（供应商提供的产品其出厂时间在新标准执行前的按以前标准执行）</w:t>
      </w:r>
      <w:bookmarkEnd w:id="2"/>
    </w:p>
    <w:p w14:paraId="55DAC765">
      <w:pPr>
        <w:pStyle w:val="2"/>
        <w:rPr>
          <w:rFonts w:hint="eastAsia" w:hAnsi="宋体" w:cs="宋体"/>
          <w:color w:val="auto"/>
          <w:sz w:val="28"/>
          <w:szCs w:val="24"/>
        </w:rPr>
      </w:pPr>
      <w:bookmarkStart w:id="5" w:name="_Toc21094"/>
      <w:bookmarkStart w:id="6" w:name="_Toc2364"/>
      <w:r>
        <w:rPr>
          <w:rFonts w:hint="eastAsia"/>
          <w:color w:val="auto"/>
        </w:rPr>
        <w:t>★三、商务要求</w:t>
      </w:r>
      <w:bookmarkEnd w:id="5"/>
      <w:bookmarkEnd w:id="6"/>
    </w:p>
    <w:p w14:paraId="45204881">
      <w:pPr>
        <w:spacing w:before="120" w:beforeLines="50" w:after="120" w:afterLines="50" w:line="360" w:lineRule="auto"/>
        <w:rPr>
          <w:rFonts w:hint="eastAsia" w:hAnsi="宋体"/>
          <w:bCs/>
          <w:color w:val="auto"/>
          <w:sz w:val="24"/>
        </w:rPr>
      </w:pPr>
      <w:r>
        <w:rPr>
          <w:rFonts w:hint="eastAsia" w:hAnsi="宋体"/>
          <w:bCs/>
          <w:color w:val="auto"/>
          <w:sz w:val="24"/>
        </w:rPr>
        <w:t>（一）交货时间、方式及地点：</w:t>
      </w:r>
    </w:p>
    <w:p w14:paraId="028A5C67">
      <w:pPr>
        <w:spacing w:before="120" w:beforeLines="50" w:after="120" w:afterLines="50" w:line="360" w:lineRule="auto"/>
        <w:rPr>
          <w:rFonts w:hint="eastAsia" w:hAnsi="宋体"/>
          <w:bCs/>
          <w:color w:val="auto"/>
          <w:sz w:val="24"/>
        </w:rPr>
      </w:pPr>
      <w:r>
        <w:rPr>
          <w:rFonts w:hint="eastAsia" w:hAnsi="宋体"/>
          <w:bCs/>
          <w:color w:val="auto"/>
          <w:sz w:val="24"/>
        </w:rPr>
        <w:t>（1）交货时间：政府采购合同签订后30日内，完成货物交付和安装、调试，交付采购人验收。</w:t>
      </w:r>
    </w:p>
    <w:p w14:paraId="6780AE92">
      <w:pPr>
        <w:spacing w:before="120" w:beforeLines="50" w:after="120" w:afterLines="50" w:line="360" w:lineRule="auto"/>
        <w:rPr>
          <w:rFonts w:hint="eastAsia" w:hAnsi="宋体"/>
          <w:bCs/>
          <w:color w:val="auto"/>
          <w:sz w:val="24"/>
        </w:rPr>
      </w:pPr>
      <w:r>
        <w:rPr>
          <w:rFonts w:hint="eastAsia" w:hAnsi="宋体"/>
          <w:bCs/>
          <w:color w:val="auto"/>
          <w:sz w:val="24"/>
        </w:rPr>
        <w:t>（2）交货地点：采购人指定地点。</w:t>
      </w:r>
    </w:p>
    <w:p w14:paraId="67A8F3E5">
      <w:pPr>
        <w:spacing w:before="120" w:beforeLines="50" w:after="120" w:afterLines="50" w:line="360" w:lineRule="auto"/>
        <w:rPr>
          <w:color w:val="auto"/>
        </w:rPr>
      </w:pPr>
      <w:r>
        <w:rPr>
          <w:rFonts w:hint="eastAsia" w:hAnsi="宋体"/>
          <w:bCs/>
          <w:color w:val="auto"/>
          <w:sz w:val="24"/>
        </w:rPr>
        <w:t>(二)付款方式：</w:t>
      </w:r>
      <w:r>
        <w:rPr>
          <w:rFonts w:hint="eastAsia" w:hAnsi="宋体"/>
          <w:color w:val="auto"/>
          <w:sz w:val="24"/>
          <w:szCs w:val="24"/>
        </w:rPr>
        <w:t>甲方在合同生效后</w:t>
      </w:r>
      <w:r>
        <w:rPr>
          <w:rFonts w:hint="eastAsia" w:hAnsi="宋体"/>
          <w:color w:val="auto"/>
          <w:sz w:val="24"/>
          <w:szCs w:val="24"/>
          <w:u w:val="single"/>
        </w:rPr>
        <w:t>7个工作日</w:t>
      </w:r>
      <w:r>
        <w:rPr>
          <w:rFonts w:hint="eastAsia" w:hAnsi="宋体"/>
          <w:color w:val="auto"/>
          <w:sz w:val="24"/>
          <w:szCs w:val="24"/>
        </w:rPr>
        <w:t>内向乙方支付合同金额百分之三十款项作为预付款；全部货物到达现场安装调试完毕并验收合格，建立固定资产后</w:t>
      </w:r>
      <w:r>
        <w:rPr>
          <w:rFonts w:hint="eastAsia" w:hAnsi="宋体"/>
          <w:color w:val="auto"/>
          <w:sz w:val="24"/>
          <w:szCs w:val="24"/>
          <w:u w:val="single"/>
        </w:rPr>
        <w:t>7个工作</w:t>
      </w:r>
      <w:r>
        <w:rPr>
          <w:rFonts w:hint="eastAsia" w:hAnsi="宋体"/>
          <w:color w:val="auto"/>
          <w:sz w:val="24"/>
          <w:szCs w:val="24"/>
        </w:rPr>
        <w:t>日内向乙方支付合同总价的百分之七十款项。若遇甲方寒暑假或财务扎帐时期等原因，付款时间可做适当顺延。</w:t>
      </w:r>
    </w:p>
    <w:p w14:paraId="57A17387">
      <w:pPr>
        <w:spacing w:before="120" w:beforeLines="50" w:after="120" w:afterLines="50" w:line="360" w:lineRule="auto"/>
        <w:rPr>
          <w:rFonts w:hint="eastAsia" w:hAnsi="宋体"/>
          <w:bCs/>
          <w:color w:val="auto"/>
          <w:sz w:val="24"/>
        </w:rPr>
      </w:pPr>
      <w:r>
        <w:rPr>
          <w:rFonts w:hint="eastAsia" w:hAnsi="宋体"/>
          <w:bCs/>
          <w:color w:val="auto"/>
          <w:sz w:val="24"/>
        </w:rPr>
        <w:t>(三)安装调试要求：</w:t>
      </w:r>
    </w:p>
    <w:p w14:paraId="67D9EBFD">
      <w:pPr>
        <w:spacing w:before="120" w:beforeLines="50" w:after="120" w:afterLines="50" w:line="360" w:lineRule="auto"/>
        <w:rPr>
          <w:rFonts w:hint="eastAsia" w:hAnsi="宋体"/>
          <w:bCs/>
          <w:color w:val="auto"/>
          <w:sz w:val="24"/>
        </w:rPr>
      </w:pPr>
      <w:r>
        <w:rPr>
          <w:rFonts w:hint="eastAsia" w:hAnsi="宋体"/>
          <w:bCs/>
          <w:color w:val="auto"/>
          <w:sz w:val="24"/>
        </w:rPr>
        <w:t>由供应商负责到校安装调试，定期维护和终身维修（涉及费用均包含在本次报价中）。</w:t>
      </w:r>
    </w:p>
    <w:p w14:paraId="2E3F42F8">
      <w:pPr>
        <w:spacing w:before="120" w:beforeLines="50" w:after="120" w:afterLines="50" w:line="360" w:lineRule="auto"/>
        <w:rPr>
          <w:rFonts w:hint="eastAsia" w:hAnsi="宋体"/>
          <w:bCs/>
          <w:color w:val="auto"/>
          <w:sz w:val="24"/>
        </w:rPr>
      </w:pPr>
      <w:r>
        <w:rPr>
          <w:rFonts w:hint="eastAsia" w:hAnsi="宋体"/>
          <w:bCs/>
          <w:color w:val="auto"/>
          <w:sz w:val="24"/>
        </w:rPr>
        <w:t>(四)质量及包装要求：中标人提供的货物，须是全新优质（表面无划痕、设计无缺陷等）、无权属争议的，须符合中华人民共和国进口商品质量管理有关法律法规，须符合或优于相关国家标准；中标人应确保货物的包装符合运输要求。如货物不符合验收条件，中标人应负责为该部分货物提供三包服务，所产生的相关费用由中标人负担。</w:t>
      </w:r>
    </w:p>
    <w:p w14:paraId="4BF8F9D0">
      <w:pPr>
        <w:spacing w:before="120" w:beforeLines="50" w:after="120" w:afterLines="50" w:line="360" w:lineRule="auto"/>
        <w:rPr>
          <w:rFonts w:hint="eastAsia" w:hAnsi="宋体"/>
          <w:bCs/>
          <w:color w:val="auto"/>
          <w:sz w:val="24"/>
        </w:rPr>
      </w:pPr>
      <w:bookmarkStart w:id="7" w:name="_Hlk200708636"/>
      <w:r>
        <w:rPr>
          <w:rFonts w:hint="eastAsia" w:hAnsi="宋体"/>
          <w:bCs/>
          <w:color w:val="auto"/>
          <w:sz w:val="24"/>
        </w:rPr>
        <w:t>（五）售后服务要求：</w:t>
      </w:r>
    </w:p>
    <w:p w14:paraId="566592BC">
      <w:pPr>
        <w:spacing w:before="120" w:beforeLines="50" w:after="120" w:afterLines="50" w:line="360" w:lineRule="auto"/>
        <w:rPr>
          <w:rFonts w:hint="eastAsia" w:hAnsi="宋体"/>
          <w:bCs/>
          <w:color w:val="auto"/>
          <w:sz w:val="24"/>
        </w:rPr>
      </w:pPr>
      <w:r>
        <w:rPr>
          <w:rFonts w:hint="eastAsia" w:hAnsi="宋体"/>
          <w:bCs/>
          <w:color w:val="auto"/>
          <w:sz w:val="24"/>
        </w:rPr>
        <w:t>1、交货安装时间为：政府采购合同签订之日起15个日历天内完成交货，交货后10个日历天内完成安装调试工作(技术参数中另有规定的按规定为准)，安装调试后5个日历天内达到验收条件。</w:t>
      </w:r>
    </w:p>
    <w:p w14:paraId="11BB208C">
      <w:pPr>
        <w:spacing w:before="120" w:beforeLines="50" w:after="120" w:afterLines="50" w:line="360" w:lineRule="auto"/>
        <w:rPr>
          <w:rFonts w:hint="eastAsia" w:hAnsi="宋体"/>
          <w:bCs/>
          <w:color w:val="auto"/>
          <w:sz w:val="24"/>
        </w:rPr>
      </w:pPr>
      <w:r>
        <w:rPr>
          <w:rFonts w:hint="eastAsia" w:hAnsi="宋体"/>
          <w:bCs/>
          <w:color w:val="auto"/>
          <w:sz w:val="24"/>
        </w:rPr>
        <w:t>2、交货安装地点：采购人指定地点。</w:t>
      </w:r>
    </w:p>
    <w:p w14:paraId="52DC6410">
      <w:pPr>
        <w:spacing w:before="120" w:beforeLines="50" w:after="120" w:afterLines="50" w:line="360" w:lineRule="auto"/>
        <w:rPr>
          <w:rFonts w:hint="eastAsia" w:hAnsi="宋体"/>
          <w:bCs/>
          <w:color w:val="auto"/>
          <w:sz w:val="24"/>
        </w:rPr>
      </w:pPr>
      <w:r>
        <w:rPr>
          <w:rFonts w:hint="eastAsia" w:hAnsi="宋体"/>
          <w:bCs/>
          <w:color w:val="auto"/>
          <w:sz w:val="24"/>
        </w:rPr>
        <w:t>3、质保期：技术参数中另有规定的按规定为准，参数中未规定的产品质保期为验收合格之日起不低于5年，在质保期内属产品质量问题及服务问题所发生的一切费用由中标人承担。</w:t>
      </w:r>
    </w:p>
    <w:p w14:paraId="6BF7A568">
      <w:pPr>
        <w:spacing w:before="120" w:beforeLines="50" w:after="120" w:afterLines="50" w:line="360" w:lineRule="auto"/>
        <w:rPr>
          <w:rFonts w:hint="eastAsia" w:hAnsi="宋体"/>
          <w:bCs/>
          <w:color w:val="auto"/>
          <w:sz w:val="24"/>
        </w:rPr>
      </w:pPr>
      <w:r>
        <w:rPr>
          <w:rFonts w:hint="eastAsia" w:hAnsi="宋体"/>
          <w:bCs/>
          <w:color w:val="auto"/>
          <w:sz w:val="24"/>
        </w:rPr>
        <w:t>4、由供应商负责到校安装调试，定期维护和终身维修（涉及费用均包含在本次报价中）。</w:t>
      </w:r>
    </w:p>
    <w:p w14:paraId="169180B1">
      <w:pPr>
        <w:spacing w:before="120" w:beforeLines="50" w:after="120" w:afterLines="50" w:line="360" w:lineRule="auto"/>
        <w:rPr>
          <w:rFonts w:hint="eastAsia" w:hAnsi="宋体"/>
          <w:bCs/>
          <w:color w:val="auto"/>
          <w:sz w:val="24"/>
        </w:rPr>
      </w:pPr>
      <w:r>
        <w:rPr>
          <w:rFonts w:hint="eastAsia" w:hAnsi="宋体"/>
          <w:bCs/>
          <w:color w:val="auto"/>
          <w:sz w:val="24"/>
        </w:rPr>
        <w:t>5、对最终用户在安装现场或国内进行人员培训2人以上；（涉及费用均包含在本次报价中）。</w:t>
      </w:r>
    </w:p>
    <w:p w14:paraId="58D61BB9">
      <w:pPr>
        <w:spacing w:before="120" w:beforeLines="50" w:after="120" w:afterLines="50" w:line="360" w:lineRule="auto"/>
        <w:rPr>
          <w:rFonts w:hint="eastAsia" w:hAnsi="宋体"/>
          <w:bCs/>
          <w:color w:val="auto"/>
          <w:sz w:val="24"/>
        </w:rPr>
      </w:pPr>
      <w:r>
        <w:rPr>
          <w:rFonts w:hint="eastAsia" w:hAnsi="宋体"/>
          <w:bCs/>
          <w:color w:val="auto"/>
          <w:sz w:val="24"/>
        </w:rPr>
        <w:t>6、售后服务响应时间：中标人应在采购人报修后2小时内响应，12小时内到场、24小时内完成维修或更换。</w:t>
      </w:r>
    </w:p>
    <w:p w14:paraId="64ECD128">
      <w:pPr>
        <w:spacing w:before="120" w:beforeLines="50" w:after="120" w:afterLines="50" w:line="360" w:lineRule="auto"/>
        <w:rPr>
          <w:rFonts w:hint="eastAsia" w:hAnsi="宋体"/>
          <w:bCs/>
          <w:color w:val="auto"/>
          <w:sz w:val="24"/>
        </w:rPr>
      </w:pPr>
    </w:p>
    <w:bookmarkEnd w:id="7"/>
    <w:p w14:paraId="06CF97E4">
      <w:pPr>
        <w:spacing w:before="120" w:beforeLines="50" w:after="120" w:afterLines="50" w:line="360" w:lineRule="auto"/>
        <w:rPr>
          <w:rFonts w:hint="eastAsia" w:hAnsi="宋体"/>
          <w:bCs/>
          <w:color w:val="auto"/>
          <w:sz w:val="24"/>
        </w:rPr>
      </w:pPr>
      <w:r>
        <w:rPr>
          <w:rFonts w:hint="eastAsia" w:hAnsi="宋体"/>
          <w:bCs/>
          <w:color w:val="auto"/>
          <w:sz w:val="24"/>
        </w:rPr>
        <w:t>（六）报价：投标人的报价是投标人响应招标项目要求的全部工作内容的价格体现，是投标人完成本项目所需的一切费用，是最终用户验收合格后的总价，包括送货上门、包装、运输、安装调试、保险、风险、所有税费、验收合格交付使用及售后服务与备用物件和招标文件规定的其它全部费用，即包干价</w:t>
      </w:r>
    </w:p>
    <w:p w14:paraId="0CFEE9D8">
      <w:pPr>
        <w:spacing w:before="120" w:beforeLines="50" w:after="120" w:afterLines="50" w:line="360" w:lineRule="auto"/>
        <w:rPr>
          <w:rFonts w:hint="eastAsia" w:hAnsi="宋体"/>
          <w:bCs/>
          <w:color w:val="auto"/>
          <w:sz w:val="24"/>
        </w:rPr>
      </w:pPr>
      <w:r>
        <w:rPr>
          <w:rFonts w:hint="eastAsia" w:hAnsi="宋体"/>
          <w:bCs/>
          <w:color w:val="auto"/>
          <w:sz w:val="24"/>
        </w:rPr>
        <w:t>（七）履约验收：</w:t>
      </w:r>
    </w:p>
    <w:p w14:paraId="3450C01C">
      <w:pPr>
        <w:spacing w:before="120" w:beforeLines="50" w:after="120" w:afterLines="50" w:line="360" w:lineRule="auto"/>
        <w:rPr>
          <w:rFonts w:hint="eastAsia" w:hAnsi="宋体"/>
          <w:bCs/>
          <w:color w:val="auto"/>
          <w:sz w:val="24"/>
        </w:rPr>
      </w:pPr>
      <w:r>
        <w:rPr>
          <w:rFonts w:hint="eastAsia" w:hAnsi="宋体"/>
          <w:bCs/>
          <w:color w:val="auto"/>
          <w:sz w:val="24"/>
        </w:rPr>
        <w:t>（1）主体：采购人</w:t>
      </w:r>
    </w:p>
    <w:p w14:paraId="21DDD5F4">
      <w:pPr>
        <w:spacing w:before="120" w:beforeLines="50" w:after="120" w:afterLines="50" w:line="360" w:lineRule="auto"/>
        <w:rPr>
          <w:rFonts w:hint="eastAsia" w:hAnsi="宋体"/>
          <w:bCs/>
          <w:color w:val="auto"/>
          <w:sz w:val="24"/>
        </w:rPr>
      </w:pPr>
      <w:r>
        <w:rPr>
          <w:rFonts w:hint="eastAsia" w:hAnsi="宋体"/>
          <w:bCs/>
          <w:color w:val="auto"/>
          <w:sz w:val="24"/>
        </w:rPr>
        <w:t>（2）时间：安装调试完毕后15个工作日内完成验收</w:t>
      </w:r>
    </w:p>
    <w:p w14:paraId="3932015F">
      <w:pPr>
        <w:spacing w:before="120" w:beforeLines="50" w:after="120" w:afterLines="50" w:line="360" w:lineRule="auto"/>
        <w:rPr>
          <w:rFonts w:hint="eastAsia" w:hAnsi="宋体"/>
          <w:bCs/>
          <w:color w:val="auto"/>
          <w:sz w:val="24"/>
        </w:rPr>
      </w:pPr>
      <w:r>
        <w:rPr>
          <w:rFonts w:hint="eastAsia" w:hAnsi="宋体"/>
          <w:bCs/>
          <w:color w:val="auto"/>
          <w:sz w:val="24"/>
        </w:rPr>
        <w:t>（3）方式：自行验收</w:t>
      </w:r>
    </w:p>
    <w:p w14:paraId="3ADB8789">
      <w:pPr>
        <w:spacing w:before="120" w:beforeLines="50" w:after="120" w:afterLines="50" w:line="360" w:lineRule="auto"/>
        <w:rPr>
          <w:rFonts w:hint="eastAsia" w:hAnsi="宋体"/>
          <w:bCs/>
          <w:color w:val="auto"/>
          <w:sz w:val="24"/>
        </w:rPr>
      </w:pPr>
      <w:r>
        <w:rPr>
          <w:rFonts w:hint="eastAsia" w:hAnsi="宋体"/>
          <w:bCs/>
          <w:color w:val="auto"/>
          <w:sz w:val="24"/>
        </w:rPr>
        <w:t>（4）程序：一次性验收</w:t>
      </w:r>
    </w:p>
    <w:p w14:paraId="43C8D59F">
      <w:pPr>
        <w:spacing w:before="120" w:beforeLines="50" w:after="120" w:afterLines="50" w:line="360" w:lineRule="auto"/>
        <w:rPr>
          <w:rFonts w:hint="eastAsia" w:hAnsi="宋体"/>
          <w:bCs/>
          <w:color w:val="auto"/>
          <w:sz w:val="24"/>
        </w:rPr>
      </w:pPr>
      <w:r>
        <w:rPr>
          <w:rFonts w:hint="eastAsia" w:hAnsi="宋体"/>
          <w:bCs/>
          <w:color w:val="auto"/>
          <w:sz w:val="24"/>
        </w:rPr>
        <w:t>（5）内容和验收标准：按照本项目采购文件中“技术服务要求”、“商务要求”及中标人投标文件进行验收。应严格按照《财政部关于进一步加强政府采购需求和履约验收管理的指导意见》（财库〔2016〕205号）的要求进行验收。</w:t>
      </w:r>
    </w:p>
    <w:p w14:paraId="2BF99426">
      <w:pPr>
        <w:pStyle w:val="2"/>
        <w:rPr>
          <w:color w:val="auto"/>
        </w:rPr>
      </w:pPr>
      <w:r>
        <w:rPr>
          <w:rFonts w:hint="eastAsia"/>
          <w:color w:val="auto"/>
        </w:rPr>
        <w:t>四、其他要求</w:t>
      </w:r>
    </w:p>
    <w:p w14:paraId="6422253A">
      <w:pPr>
        <w:spacing w:before="120" w:beforeLines="50" w:after="120" w:afterLines="50" w:line="360" w:lineRule="auto"/>
        <w:rPr>
          <w:rFonts w:hint="eastAsia" w:hAnsi="宋体" w:cs="宋体"/>
          <w:b/>
          <w:bCs/>
          <w:color w:val="auto"/>
          <w:sz w:val="24"/>
          <w:szCs w:val="24"/>
        </w:rPr>
      </w:pPr>
      <w:r>
        <w:rPr>
          <w:rFonts w:hint="eastAsia" w:hAnsi="宋体"/>
          <w:bCs/>
          <w:color w:val="auto"/>
          <w:sz w:val="24"/>
        </w:rPr>
        <w:t>1、供应商结合本项目采购需求编制售后服务方案：内容包含（</w:t>
      </w:r>
      <w:r>
        <w:rPr>
          <w:rFonts w:hAnsi="宋体" w:cs="宋体"/>
          <w:color w:val="auto"/>
          <w:sz w:val="24"/>
          <w:szCs w:val="24"/>
        </w:rPr>
        <w:t>1）售后响应时间、（2）售后服务人员安排及管理、（3）售后技术支持、（4）售后管理制度以及应急处理措施</w:t>
      </w:r>
    </w:p>
    <w:p w14:paraId="41D2B13A">
      <w:r>
        <w:rPr>
          <w:rFonts w:hint="eastAsia" w:hAnsi="宋体" w:cs="宋体"/>
          <w:b/>
          <w:bCs/>
          <w:color w:val="auto"/>
          <w:sz w:val="24"/>
          <w:szCs w:val="24"/>
        </w:rPr>
        <w:t>注：本章中上述打★号的为本次招标项目的实质性要求，不允许有负偏离，否则作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7F2ECB"/>
    <w:multiLevelType w:val="singleLevel"/>
    <w:tmpl w:val="5C7F2EC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EF4D96"/>
    <w:rsid w:val="25EF4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黑体"/>
      <w:sz w:val="34"/>
      <w:szCs w:val="22"/>
      <w:lang w:val="en-US" w:eastAsia="zh-CN" w:bidi="ar-SA"/>
    </w:rPr>
  </w:style>
  <w:style w:type="paragraph" w:styleId="2">
    <w:name w:val="heading 2"/>
    <w:basedOn w:val="1"/>
    <w:next w:val="1"/>
    <w:qFormat/>
    <w:uiPriority w:val="9"/>
    <w:pPr>
      <w:keepNext/>
      <w:keepLines/>
      <w:spacing w:line="416" w:lineRule="auto"/>
      <w:outlineLvl w:val="1"/>
    </w:pPr>
    <w:rPr>
      <w:rFonts w:ascii="Cambria" w:hAnsi="Cambria" w:cs="Times New Roman"/>
      <w:b/>
      <w:bCs/>
      <w:sz w:val="32"/>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annotation text"/>
    <w:basedOn w:val="1"/>
    <w:qFormat/>
    <w:uiPriority w:val="99"/>
    <w:pPr>
      <w:jc w:val="left"/>
    </w:pPr>
    <w:rPr>
      <w:rFonts w:hAnsi="Calibri" w:cs="Times New Roman"/>
    </w:rPr>
  </w:style>
  <w:style w:type="paragraph" w:styleId="4">
    <w:name w:val="Body Text"/>
    <w:basedOn w:val="1"/>
    <w:next w:val="5"/>
    <w:qFormat/>
    <w:uiPriority w:val="99"/>
    <w:rPr>
      <w:rFonts w:hAnsi="Calibri" w:cs="Times New Roman"/>
    </w:rPr>
  </w:style>
  <w:style w:type="paragraph" w:styleId="5">
    <w:name w:val="Body Text First Indent"/>
    <w:basedOn w:val="4"/>
    <w:qFormat/>
    <w:uiPriority w:val="0"/>
    <w:pPr>
      <w:ind w:firstLine="420" w:firstLineChars="100"/>
    </w:pPr>
    <w:rPr>
      <w:rFonts w:ascii="Cambria" w:hAnsi="Cambria" w:eastAsia="仿宋_GB2312"/>
    </w:rPr>
  </w:style>
  <w:style w:type="character" w:styleId="8">
    <w:name w:val="annotation reference"/>
    <w:qFormat/>
    <w:uiPriority w:val="0"/>
    <w:rPr>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2025-10-28T07:30:00Z</dcterms:created>
  <dc:creator>YG</dc:creator>
  <cp:lastModifiedBy>YG</cp:lastModifiedBy>
  <dcterms:modified xsi:type="dcterms:W3CDTF">2025-10-28T07:34:28Z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F30D1B576D094E798355277E71B8EF2A_11</vt:lpwstr>
  </property>
  <property fmtid="{D5CDD505-2E9C-101B-9397-08002B2CF9AE}" pid="4" name="KSOTemplateDocerSaveRecord">
    <vt:lpwstr>eyJoZGlkIjoiMDlmOTgxNjM2ZDM4NjA3NjFiZDcxNWIxMTgwYzQzMDQiLCJ1c2VySWQiOiIxNzU2ODMzODE4In0=</vt:lpwstr>
  </property>
</Properties>
</file>