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F620A9">
      <w:pPr>
        <w:spacing w:line="360" w:lineRule="auto"/>
        <w:jc w:val="both"/>
        <w:rPr>
          <w:rFonts w:ascii="仿宋_GB2312" w:hAnsi="仿宋_GB2312" w:eastAsia="仿宋_GB2312" w:cs="仿宋_GB2312"/>
          <w:b/>
          <w:color w:val="auto"/>
          <w:sz w:val="52"/>
          <w:szCs w:val="52"/>
        </w:rPr>
      </w:pPr>
    </w:p>
    <w:p w14:paraId="213073D9">
      <w:pPr>
        <w:spacing w:line="360" w:lineRule="auto"/>
        <w:ind w:firstLine="260" w:firstLineChars="50"/>
        <w:jc w:val="center"/>
        <w:rPr>
          <w:rFonts w:ascii="仿宋_GB2312" w:hAnsi="仿宋_GB2312" w:eastAsia="仿宋_GB2312" w:cs="仿宋_GB2312"/>
          <w:b/>
          <w:color w:val="auto"/>
          <w:sz w:val="52"/>
          <w:szCs w:val="52"/>
        </w:rPr>
      </w:pPr>
    </w:p>
    <w:p w14:paraId="2FADC297">
      <w:pPr>
        <w:spacing w:line="360" w:lineRule="auto"/>
        <w:ind w:firstLine="260" w:firstLineChars="50"/>
        <w:jc w:val="center"/>
        <w:rPr>
          <w:rFonts w:ascii="仿宋_GB2312" w:hAnsi="仿宋_GB2312" w:eastAsia="仿宋_GB2312" w:cs="仿宋_GB2312"/>
          <w:b/>
          <w:color w:val="auto"/>
          <w:sz w:val="52"/>
          <w:szCs w:val="52"/>
        </w:rPr>
      </w:pPr>
      <w:r>
        <w:rPr>
          <w:rFonts w:hint="eastAsia" w:ascii="仿宋_GB2312" w:hAnsi="仿宋_GB2312" w:eastAsia="仿宋_GB2312" w:cs="仿宋_GB2312"/>
          <w:b/>
          <w:color w:val="auto"/>
          <w:sz w:val="52"/>
          <w:szCs w:val="52"/>
          <w:lang w:eastAsia="zh-CN"/>
        </w:rPr>
        <w:t>辽宁省消防救援总队丹东市消防救援支队自然灾害应急能力提升工程装备建设项目-石油化工装备项目（三次）</w:t>
      </w:r>
    </w:p>
    <w:p w14:paraId="1519FF52">
      <w:pPr>
        <w:spacing w:line="360" w:lineRule="auto"/>
        <w:ind w:firstLine="120" w:firstLineChars="50"/>
        <w:jc w:val="center"/>
        <w:rPr>
          <w:rFonts w:ascii="仿宋_GB2312" w:hAnsi="仿宋_GB2312" w:eastAsia="仿宋_GB2312" w:cs="仿宋_GB2312"/>
          <w:b/>
          <w:color w:val="auto"/>
          <w:sz w:val="24"/>
        </w:rPr>
      </w:pPr>
    </w:p>
    <w:p w14:paraId="67411A9C">
      <w:pPr>
        <w:spacing w:line="360" w:lineRule="auto"/>
        <w:ind w:firstLine="240" w:firstLineChars="50"/>
        <w:jc w:val="center"/>
        <w:rPr>
          <w:rFonts w:ascii="仿宋_GB2312" w:hAnsi="仿宋_GB2312" w:eastAsia="仿宋_GB2312" w:cs="仿宋_GB2312"/>
          <w:b/>
          <w:color w:val="auto"/>
          <w:sz w:val="48"/>
          <w:szCs w:val="48"/>
        </w:rPr>
      </w:pPr>
      <w:r>
        <w:rPr>
          <w:rFonts w:hint="eastAsia" w:ascii="仿宋_GB2312" w:hAnsi="仿宋_GB2312" w:eastAsia="仿宋_GB2312" w:cs="仿宋_GB2312"/>
          <w:b/>
          <w:color w:val="auto"/>
          <w:sz w:val="48"/>
          <w:szCs w:val="48"/>
        </w:rPr>
        <w:t>货物类公开招标</w:t>
      </w:r>
    </w:p>
    <w:p w14:paraId="127199DC">
      <w:pPr>
        <w:spacing w:line="360" w:lineRule="auto"/>
        <w:ind w:firstLine="120" w:firstLineChars="50"/>
        <w:jc w:val="center"/>
        <w:rPr>
          <w:rFonts w:ascii="仿宋_GB2312" w:hAnsi="仿宋_GB2312" w:eastAsia="仿宋_GB2312" w:cs="仿宋_GB2312"/>
          <w:b/>
          <w:color w:val="auto"/>
          <w:sz w:val="24"/>
        </w:rPr>
      </w:pPr>
    </w:p>
    <w:p w14:paraId="4E3E09C2">
      <w:pPr>
        <w:spacing w:line="360" w:lineRule="auto"/>
        <w:ind w:firstLine="240" w:firstLineChars="50"/>
        <w:jc w:val="center"/>
        <w:rPr>
          <w:rFonts w:ascii="仿宋_GB2312" w:hAnsi="仿宋_GB2312" w:eastAsia="仿宋_GB2312" w:cs="仿宋_GB2312"/>
          <w:b/>
          <w:color w:val="auto"/>
          <w:sz w:val="48"/>
          <w:szCs w:val="48"/>
        </w:rPr>
      </w:pPr>
      <w:r>
        <w:rPr>
          <w:rFonts w:hint="eastAsia" w:ascii="仿宋_GB2312" w:hAnsi="仿宋_GB2312" w:eastAsia="仿宋_GB2312" w:cs="仿宋_GB2312"/>
          <w:b/>
          <w:color w:val="auto"/>
          <w:sz w:val="48"/>
          <w:szCs w:val="48"/>
        </w:rPr>
        <w:t>招标文件</w:t>
      </w:r>
    </w:p>
    <w:p w14:paraId="402E53B3">
      <w:pPr>
        <w:spacing w:line="480" w:lineRule="exact"/>
        <w:jc w:val="center"/>
        <w:rPr>
          <w:rFonts w:ascii="仿宋_GB2312" w:hAnsi="仿宋_GB2312" w:eastAsia="仿宋_GB2312" w:cs="仿宋_GB2312"/>
          <w:b/>
          <w:color w:val="auto"/>
          <w:sz w:val="24"/>
        </w:rPr>
      </w:pPr>
    </w:p>
    <w:p w14:paraId="7B086E7C">
      <w:pPr>
        <w:spacing w:line="480" w:lineRule="exact"/>
        <w:jc w:val="center"/>
        <w:rPr>
          <w:rFonts w:ascii="仿宋_GB2312" w:hAnsi="仿宋_GB2312" w:eastAsia="仿宋_GB2312" w:cs="仿宋_GB2312"/>
          <w:b/>
          <w:color w:val="auto"/>
          <w:sz w:val="24"/>
        </w:rPr>
      </w:pPr>
    </w:p>
    <w:p w14:paraId="0CCB98A4">
      <w:pPr>
        <w:spacing w:line="480" w:lineRule="exact"/>
        <w:jc w:val="center"/>
        <w:rPr>
          <w:rFonts w:ascii="仿宋_GB2312" w:hAnsi="仿宋_GB2312" w:eastAsia="仿宋_GB2312" w:cs="仿宋_GB2312"/>
          <w:b/>
          <w:color w:val="auto"/>
          <w:sz w:val="24"/>
        </w:rPr>
      </w:pPr>
    </w:p>
    <w:p w14:paraId="29D14E3B">
      <w:pPr>
        <w:spacing w:line="480" w:lineRule="exact"/>
        <w:jc w:val="both"/>
        <w:rPr>
          <w:rFonts w:ascii="仿宋_GB2312" w:hAnsi="仿宋_GB2312" w:eastAsia="仿宋_GB2312" w:cs="仿宋_GB2312"/>
          <w:b/>
          <w:color w:val="auto"/>
          <w:sz w:val="24"/>
        </w:rPr>
      </w:pPr>
    </w:p>
    <w:p w14:paraId="6D9C1BCC">
      <w:pPr>
        <w:spacing w:line="480" w:lineRule="exact"/>
        <w:jc w:val="center"/>
        <w:rPr>
          <w:rFonts w:ascii="仿宋_GB2312" w:hAnsi="仿宋_GB2312" w:eastAsia="仿宋_GB2312" w:cs="仿宋_GB2312"/>
          <w:b/>
          <w:color w:val="auto"/>
          <w:sz w:val="24"/>
        </w:rPr>
      </w:pPr>
    </w:p>
    <w:p w14:paraId="733FAE60">
      <w:pPr>
        <w:keepNext w:val="0"/>
        <w:keepLines w:val="0"/>
        <w:pageBreakBefore w:val="0"/>
        <w:widowControl w:val="0"/>
        <w:kinsoku/>
        <w:wordWrap/>
        <w:overflowPunct/>
        <w:topLinePunct w:val="0"/>
        <w:autoSpaceDE/>
        <w:autoSpaceDN/>
        <w:bidi w:val="0"/>
        <w:adjustRightInd/>
        <w:snapToGrid/>
        <w:spacing w:line="360" w:lineRule="auto"/>
        <w:ind w:left="1800" w:hanging="1800" w:hangingChars="500"/>
        <w:textAlignment w:val="auto"/>
        <w:rPr>
          <w:rFonts w:hint="eastAsia" w:ascii="仿宋_GB2312" w:hAnsi="仿宋_GB2312" w:eastAsia="仿宋_GB2312" w:cs="仿宋_GB2312"/>
          <w:b/>
          <w:color w:val="auto"/>
          <w:sz w:val="36"/>
          <w:szCs w:val="36"/>
          <w:lang w:eastAsia="zh-CN"/>
        </w:rPr>
      </w:pPr>
      <w:r>
        <w:rPr>
          <w:rFonts w:hint="eastAsia" w:ascii="仿宋_GB2312" w:hAnsi="仿宋_GB2312" w:eastAsia="仿宋_GB2312" w:cs="仿宋_GB2312"/>
          <w:b/>
          <w:color w:val="auto"/>
          <w:sz w:val="36"/>
          <w:szCs w:val="36"/>
        </w:rPr>
        <w:t>项目名称：</w:t>
      </w:r>
      <w:r>
        <w:rPr>
          <w:rFonts w:hint="eastAsia" w:ascii="仿宋_GB2312" w:hAnsi="仿宋_GB2312" w:eastAsia="仿宋_GB2312" w:cs="仿宋_GB2312"/>
          <w:b/>
          <w:color w:val="auto"/>
          <w:sz w:val="36"/>
          <w:szCs w:val="36"/>
          <w:lang w:eastAsia="zh-CN"/>
        </w:rPr>
        <w:t>辽宁省消防救援总队丹东市消防救援支队自然灾害应急能力提升工程装备建设项目-石油化工装备项目（三次）</w:t>
      </w:r>
    </w:p>
    <w:p w14:paraId="3F4211DD">
      <w:pPr>
        <w:keepNext w:val="0"/>
        <w:keepLines w:val="0"/>
        <w:pageBreakBefore w:val="0"/>
        <w:widowControl w:val="0"/>
        <w:kinsoku/>
        <w:wordWrap/>
        <w:overflowPunct/>
        <w:topLinePunct w:val="0"/>
        <w:autoSpaceDE/>
        <w:autoSpaceDN/>
        <w:bidi w:val="0"/>
        <w:adjustRightInd/>
        <w:snapToGrid/>
        <w:spacing w:line="360" w:lineRule="auto"/>
        <w:ind w:left="1800" w:hanging="1800" w:hangingChars="500"/>
        <w:textAlignment w:val="auto"/>
        <w:rPr>
          <w:rFonts w:hint="default" w:ascii="仿宋_GB2312" w:hAnsi="仿宋_GB2312" w:eastAsia="仿宋_GB2312" w:cs="仿宋_GB2312"/>
          <w:b/>
          <w:color w:val="auto"/>
          <w:sz w:val="36"/>
          <w:szCs w:val="36"/>
          <w:lang w:val="en-US" w:eastAsia="zh-CN"/>
        </w:rPr>
      </w:pPr>
      <w:r>
        <w:rPr>
          <w:rFonts w:hint="eastAsia" w:ascii="仿宋_GB2312" w:hAnsi="仿宋_GB2312" w:eastAsia="仿宋_GB2312" w:cs="仿宋_GB2312"/>
          <w:b/>
          <w:color w:val="auto"/>
          <w:sz w:val="36"/>
          <w:szCs w:val="36"/>
        </w:rPr>
        <w:t>项目编号：</w:t>
      </w:r>
      <w:r>
        <w:rPr>
          <w:rFonts w:hint="eastAsia" w:ascii="仿宋_GB2312" w:hAnsi="仿宋_GB2312" w:eastAsia="仿宋_GB2312" w:cs="仿宋_GB2312"/>
          <w:b/>
          <w:color w:val="auto"/>
          <w:sz w:val="36"/>
          <w:szCs w:val="36"/>
          <w:lang w:val="en-US" w:eastAsia="zh-CN"/>
        </w:rPr>
        <w:t>LNHJCG2024-003H</w:t>
      </w:r>
    </w:p>
    <w:p w14:paraId="55832686">
      <w:pPr>
        <w:keepNext w:val="0"/>
        <w:keepLines w:val="0"/>
        <w:pageBreakBefore w:val="0"/>
        <w:widowControl w:val="0"/>
        <w:kinsoku/>
        <w:wordWrap/>
        <w:overflowPunct/>
        <w:topLinePunct w:val="0"/>
        <w:autoSpaceDE/>
        <w:autoSpaceDN/>
        <w:bidi w:val="0"/>
        <w:adjustRightInd/>
        <w:snapToGrid/>
        <w:spacing w:line="360" w:lineRule="auto"/>
        <w:ind w:left="1800" w:hanging="1800" w:hangingChars="500"/>
        <w:textAlignment w:val="auto"/>
        <w:rPr>
          <w:rFonts w:hint="default" w:ascii="仿宋_GB2312" w:hAnsi="仿宋_GB2312" w:eastAsia="仿宋_GB2312" w:cs="仿宋_GB2312"/>
          <w:b/>
          <w:color w:val="auto"/>
          <w:sz w:val="36"/>
          <w:szCs w:val="36"/>
          <w:lang w:val="en-US" w:eastAsia="zh-CN"/>
        </w:rPr>
      </w:pPr>
      <w:r>
        <w:rPr>
          <w:rFonts w:hint="eastAsia" w:ascii="仿宋_GB2312" w:hAnsi="仿宋_GB2312" w:eastAsia="仿宋_GB2312" w:cs="仿宋_GB2312"/>
          <w:b/>
          <w:color w:val="auto"/>
          <w:sz w:val="36"/>
          <w:szCs w:val="36"/>
          <w:lang w:val="en-US" w:eastAsia="zh-CN"/>
        </w:rPr>
        <w:t>采购单位：丹东市消防救援支队</w:t>
      </w:r>
    </w:p>
    <w:p w14:paraId="5437F0C1">
      <w:pPr>
        <w:keepNext w:val="0"/>
        <w:keepLines w:val="0"/>
        <w:pageBreakBefore w:val="0"/>
        <w:widowControl w:val="0"/>
        <w:kinsoku/>
        <w:wordWrap/>
        <w:overflowPunct/>
        <w:topLinePunct w:val="0"/>
        <w:autoSpaceDE/>
        <w:autoSpaceDN/>
        <w:bidi w:val="0"/>
        <w:adjustRightInd/>
        <w:snapToGrid/>
        <w:spacing w:line="360" w:lineRule="auto"/>
        <w:ind w:left="1800" w:hanging="1800" w:hangingChars="500"/>
        <w:textAlignment w:val="auto"/>
        <w:rPr>
          <w:rFonts w:ascii="仿宋_GB2312" w:hAnsi="仿宋_GB2312" w:eastAsia="仿宋_GB2312" w:cs="仿宋_GB2312"/>
          <w:b/>
          <w:color w:val="auto"/>
          <w:sz w:val="36"/>
          <w:szCs w:val="36"/>
        </w:rPr>
      </w:pPr>
      <w:r>
        <w:rPr>
          <w:rFonts w:hint="eastAsia" w:ascii="仿宋_GB2312" w:hAnsi="仿宋_GB2312" w:eastAsia="仿宋_GB2312" w:cs="仿宋_GB2312"/>
          <w:b/>
          <w:color w:val="auto"/>
          <w:sz w:val="36"/>
          <w:szCs w:val="36"/>
        </w:rPr>
        <w:t>编制单位：</w:t>
      </w:r>
      <w:r>
        <w:rPr>
          <w:rFonts w:hint="eastAsia" w:ascii="仿宋_GB2312" w:hAnsi="仿宋_GB2312" w:eastAsia="仿宋_GB2312" w:cs="仿宋_GB2312"/>
          <w:b/>
          <w:color w:val="auto"/>
          <w:sz w:val="36"/>
          <w:szCs w:val="36"/>
          <w:lang w:val="en-US" w:eastAsia="zh-CN"/>
        </w:rPr>
        <w:t>辽宁恒吉招标代理有限公司</w:t>
      </w:r>
      <w:r>
        <w:rPr>
          <w:rFonts w:hint="eastAsia" w:ascii="仿宋_GB2312" w:hAnsi="仿宋_GB2312" w:eastAsia="仿宋_GB2312" w:cs="仿宋_GB2312"/>
          <w:b/>
          <w:color w:val="auto"/>
          <w:sz w:val="36"/>
          <w:szCs w:val="36"/>
        </w:rPr>
        <w:t xml:space="preserve"> </w:t>
      </w:r>
    </w:p>
    <w:p w14:paraId="3C4B4C39">
      <w:pPr>
        <w:ind w:firstLine="846" w:firstLineChars="235"/>
        <w:jc w:val="center"/>
        <w:rPr>
          <w:rFonts w:ascii="仿宋_GB2312" w:hAnsi="仿宋_GB2312" w:eastAsia="仿宋_GB2312" w:cs="仿宋_GB2312"/>
          <w:b/>
          <w:bCs/>
          <w:color w:val="auto"/>
          <w:sz w:val="36"/>
          <w:szCs w:val="44"/>
        </w:rPr>
        <w:sectPr>
          <w:pgSz w:w="11906" w:h="16838"/>
          <w:pgMar w:top="1440" w:right="1800" w:bottom="1440" w:left="1800" w:header="851" w:footer="992" w:gutter="0"/>
          <w:cols w:space="720" w:num="1"/>
          <w:docGrid w:type="linesAndChars" w:linePitch="312" w:charSpace="0"/>
        </w:sectPr>
      </w:pPr>
    </w:p>
    <w:p w14:paraId="4649B3AE">
      <w:pPr>
        <w:jc w:val="center"/>
        <w:rPr>
          <w:rFonts w:ascii="仿宋_GB2312" w:hAnsi="仿宋_GB2312" w:eastAsia="仿宋_GB2312" w:cs="仿宋_GB2312"/>
          <w:b/>
          <w:bCs/>
          <w:color w:val="auto"/>
          <w:sz w:val="44"/>
          <w:szCs w:val="44"/>
        </w:rPr>
      </w:pPr>
      <w:r>
        <w:rPr>
          <w:rFonts w:hint="eastAsia" w:ascii="仿宋_GB2312" w:hAnsi="仿宋_GB2312" w:eastAsia="仿宋_GB2312" w:cs="仿宋_GB2312"/>
          <w:b/>
          <w:bCs/>
          <w:color w:val="auto"/>
          <w:sz w:val="44"/>
          <w:szCs w:val="44"/>
        </w:rPr>
        <w:t>目  录</w:t>
      </w:r>
    </w:p>
    <w:p w14:paraId="6C2ED58E">
      <w:pPr>
        <w:jc w:val="center"/>
        <w:rPr>
          <w:rFonts w:ascii="仿宋_GB2312" w:hAnsi="仿宋_GB2312" w:eastAsia="仿宋_GB2312" w:cs="仿宋_GB2312"/>
          <w:b/>
          <w:bCs/>
          <w:color w:val="auto"/>
          <w:sz w:val="44"/>
          <w:szCs w:val="44"/>
        </w:rPr>
      </w:pPr>
    </w:p>
    <w:p w14:paraId="223111F0">
      <w:pPr>
        <w:pStyle w:val="14"/>
        <w:tabs>
          <w:tab w:val="right" w:leader="dot" w:pos="8306"/>
        </w:tabs>
        <w:spacing w:line="480" w:lineRule="auto"/>
        <w:rPr>
          <w:b/>
          <w:bCs/>
          <w:color w:val="auto"/>
          <w:sz w:val="24"/>
        </w:rPr>
      </w:pPr>
      <w:r>
        <w:rPr>
          <w:b/>
          <w:bCs/>
          <w:color w:val="auto"/>
          <w:sz w:val="24"/>
        </w:rPr>
        <w:fldChar w:fldCharType="begin"/>
      </w:r>
      <w:r>
        <w:rPr>
          <w:b/>
          <w:bCs/>
          <w:color w:val="auto"/>
          <w:sz w:val="24"/>
        </w:rPr>
        <w:instrText xml:space="preserve">TOC \o "1-1" \h \u </w:instrText>
      </w:r>
      <w:r>
        <w:rPr>
          <w:b/>
          <w:bCs/>
          <w:color w:val="auto"/>
          <w:sz w:val="24"/>
        </w:rPr>
        <w:fldChar w:fldCharType="separate"/>
      </w:r>
      <w:r>
        <w:rPr>
          <w:color w:val="auto"/>
        </w:rPr>
        <w:fldChar w:fldCharType="begin"/>
      </w:r>
      <w:r>
        <w:rPr>
          <w:color w:val="auto"/>
        </w:rPr>
        <w:instrText xml:space="preserve"> HYPERLINK \l "_Toc7381" </w:instrText>
      </w:r>
      <w:r>
        <w:rPr>
          <w:color w:val="auto"/>
        </w:rPr>
        <w:fldChar w:fldCharType="separate"/>
      </w:r>
      <w:r>
        <w:rPr>
          <w:rFonts w:hint="eastAsia" w:ascii="仿宋_GB2312" w:hAnsi="仿宋_GB2312" w:eastAsia="仿宋_GB2312" w:cs="仿宋_GB2312"/>
          <w:b/>
          <w:bCs/>
          <w:color w:val="auto"/>
          <w:sz w:val="24"/>
        </w:rPr>
        <w:t>招标公告</w:t>
      </w:r>
      <w:r>
        <w:rPr>
          <w:b/>
          <w:bCs/>
          <w:color w:val="auto"/>
          <w:sz w:val="24"/>
        </w:rPr>
        <w:tab/>
      </w:r>
      <w:r>
        <w:rPr>
          <w:b/>
          <w:bCs/>
          <w:color w:val="auto"/>
          <w:sz w:val="24"/>
        </w:rPr>
        <w:fldChar w:fldCharType="begin"/>
      </w:r>
      <w:r>
        <w:rPr>
          <w:b/>
          <w:bCs/>
          <w:color w:val="auto"/>
          <w:sz w:val="24"/>
        </w:rPr>
        <w:instrText xml:space="preserve"> PAGEREF _Toc7381 </w:instrText>
      </w:r>
      <w:r>
        <w:rPr>
          <w:b/>
          <w:bCs/>
          <w:color w:val="auto"/>
          <w:sz w:val="24"/>
        </w:rPr>
        <w:fldChar w:fldCharType="separate"/>
      </w:r>
      <w:r>
        <w:rPr>
          <w:b/>
          <w:bCs/>
          <w:color w:val="auto"/>
          <w:sz w:val="24"/>
        </w:rPr>
        <w:t>1</w:t>
      </w:r>
      <w:r>
        <w:rPr>
          <w:b/>
          <w:bCs/>
          <w:color w:val="auto"/>
          <w:sz w:val="24"/>
        </w:rPr>
        <w:fldChar w:fldCharType="end"/>
      </w:r>
      <w:r>
        <w:rPr>
          <w:b/>
          <w:bCs/>
          <w:color w:val="auto"/>
          <w:sz w:val="24"/>
        </w:rPr>
        <w:fldChar w:fldCharType="end"/>
      </w:r>
    </w:p>
    <w:p w14:paraId="765AF876">
      <w:pPr>
        <w:pStyle w:val="14"/>
        <w:tabs>
          <w:tab w:val="right" w:leader="dot" w:pos="8306"/>
        </w:tabs>
        <w:spacing w:line="480" w:lineRule="auto"/>
        <w:rPr>
          <w:b/>
          <w:bCs/>
          <w:color w:val="auto"/>
          <w:sz w:val="24"/>
        </w:rPr>
      </w:pPr>
      <w:r>
        <w:rPr>
          <w:color w:val="auto"/>
        </w:rPr>
        <w:fldChar w:fldCharType="begin"/>
      </w:r>
      <w:r>
        <w:rPr>
          <w:color w:val="auto"/>
        </w:rPr>
        <w:instrText xml:space="preserve"> HYPERLINK \l "_Toc9614" </w:instrText>
      </w:r>
      <w:r>
        <w:rPr>
          <w:color w:val="auto"/>
        </w:rPr>
        <w:fldChar w:fldCharType="separate"/>
      </w:r>
      <w:r>
        <w:rPr>
          <w:rFonts w:hint="eastAsia" w:ascii="仿宋_GB2312" w:hAnsi="仿宋_GB2312" w:eastAsia="仿宋_GB2312" w:cs="仿宋_GB2312"/>
          <w:b/>
          <w:bCs/>
          <w:color w:val="auto"/>
          <w:sz w:val="24"/>
        </w:rPr>
        <w:t>第一章 投标人须知</w:t>
      </w:r>
      <w:r>
        <w:rPr>
          <w:b/>
          <w:bCs/>
          <w:color w:val="auto"/>
          <w:sz w:val="24"/>
        </w:rPr>
        <w:tab/>
      </w:r>
      <w:r>
        <w:rPr>
          <w:b/>
          <w:bCs/>
          <w:color w:val="auto"/>
          <w:sz w:val="24"/>
        </w:rPr>
        <w:fldChar w:fldCharType="begin"/>
      </w:r>
      <w:r>
        <w:rPr>
          <w:b/>
          <w:bCs/>
          <w:color w:val="auto"/>
          <w:sz w:val="24"/>
        </w:rPr>
        <w:instrText xml:space="preserve"> PAGEREF _Toc9614 </w:instrText>
      </w:r>
      <w:r>
        <w:rPr>
          <w:b/>
          <w:bCs/>
          <w:color w:val="auto"/>
          <w:sz w:val="24"/>
        </w:rPr>
        <w:fldChar w:fldCharType="separate"/>
      </w:r>
      <w:r>
        <w:rPr>
          <w:b/>
          <w:bCs/>
          <w:color w:val="auto"/>
          <w:sz w:val="24"/>
        </w:rPr>
        <w:t>3</w:t>
      </w:r>
      <w:r>
        <w:rPr>
          <w:b/>
          <w:bCs/>
          <w:color w:val="auto"/>
          <w:sz w:val="24"/>
        </w:rPr>
        <w:fldChar w:fldCharType="end"/>
      </w:r>
      <w:r>
        <w:rPr>
          <w:b/>
          <w:bCs/>
          <w:color w:val="auto"/>
          <w:sz w:val="24"/>
        </w:rPr>
        <w:fldChar w:fldCharType="end"/>
      </w:r>
    </w:p>
    <w:p w14:paraId="46CA7533">
      <w:pPr>
        <w:pStyle w:val="14"/>
        <w:tabs>
          <w:tab w:val="right" w:leader="dot" w:pos="8306"/>
        </w:tabs>
        <w:spacing w:line="480" w:lineRule="auto"/>
        <w:rPr>
          <w:b/>
          <w:bCs/>
          <w:color w:val="auto"/>
          <w:sz w:val="24"/>
        </w:rPr>
      </w:pPr>
      <w:r>
        <w:rPr>
          <w:color w:val="auto"/>
        </w:rPr>
        <w:fldChar w:fldCharType="begin"/>
      </w:r>
      <w:r>
        <w:rPr>
          <w:color w:val="auto"/>
        </w:rPr>
        <w:instrText xml:space="preserve"> HYPERLINK \l "_Toc6403" </w:instrText>
      </w:r>
      <w:r>
        <w:rPr>
          <w:color w:val="auto"/>
        </w:rPr>
        <w:fldChar w:fldCharType="separate"/>
      </w:r>
      <w:r>
        <w:rPr>
          <w:rFonts w:hint="eastAsia" w:ascii="仿宋_GB2312" w:hAnsi="仿宋_GB2312" w:eastAsia="仿宋_GB2312" w:cs="仿宋_GB2312"/>
          <w:b/>
          <w:bCs/>
          <w:color w:val="auto"/>
          <w:sz w:val="24"/>
        </w:rPr>
        <w:t>第二章 投标文件内容及格式</w:t>
      </w:r>
      <w:r>
        <w:rPr>
          <w:b/>
          <w:bCs/>
          <w:color w:val="auto"/>
          <w:sz w:val="24"/>
        </w:rPr>
        <w:tab/>
      </w:r>
      <w:r>
        <w:rPr>
          <w:b/>
          <w:bCs/>
          <w:color w:val="auto"/>
          <w:sz w:val="24"/>
        </w:rPr>
        <w:fldChar w:fldCharType="begin"/>
      </w:r>
      <w:r>
        <w:rPr>
          <w:b/>
          <w:bCs/>
          <w:color w:val="auto"/>
          <w:sz w:val="24"/>
        </w:rPr>
        <w:instrText xml:space="preserve"> PAGEREF _Toc6403 </w:instrText>
      </w:r>
      <w:r>
        <w:rPr>
          <w:b/>
          <w:bCs/>
          <w:color w:val="auto"/>
          <w:sz w:val="24"/>
        </w:rPr>
        <w:fldChar w:fldCharType="separate"/>
      </w:r>
      <w:r>
        <w:rPr>
          <w:b/>
          <w:bCs/>
          <w:color w:val="auto"/>
          <w:sz w:val="24"/>
        </w:rPr>
        <w:t>20</w:t>
      </w:r>
      <w:r>
        <w:rPr>
          <w:b/>
          <w:bCs/>
          <w:color w:val="auto"/>
          <w:sz w:val="24"/>
        </w:rPr>
        <w:fldChar w:fldCharType="end"/>
      </w:r>
      <w:r>
        <w:rPr>
          <w:b/>
          <w:bCs/>
          <w:color w:val="auto"/>
          <w:sz w:val="24"/>
        </w:rPr>
        <w:fldChar w:fldCharType="end"/>
      </w:r>
    </w:p>
    <w:p w14:paraId="58A1A236">
      <w:pPr>
        <w:pStyle w:val="14"/>
        <w:tabs>
          <w:tab w:val="right" w:leader="dot" w:pos="8306"/>
        </w:tabs>
        <w:spacing w:line="480" w:lineRule="auto"/>
        <w:rPr>
          <w:b/>
          <w:bCs/>
          <w:color w:val="auto"/>
          <w:sz w:val="24"/>
        </w:rPr>
      </w:pPr>
      <w:r>
        <w:rPr>
          <w:color w:val="auto"/>
        </w:rPr>
        <w:fldChar w:fldCharType="begin"/>
      </w:r>
      <w:r>
        <w:rPr>
          <w:color w:val="auto"/>
        </w:rPr>
        <w:instrText xml:space="preserve"> HYPERLINK \l "_Toc17590" </w:instrText>
      </w:r>
      <w:r>
        <w:rPr>
          <w:color w:val="auto"/>
        </w:rPr>
        <w:fldChar w:fldCharType="separate"/>
      </w:r>
      <w:r>
        <w:rPr>
          <w:rFonts w:hint="eastAsia" w:ascii="仿宋_GB2312" w:hAnsi="仿宋_GB2312" w:eastAsia="仿宋_GB2312" w:cs="仿宋_GB2312"/>
          <w:b/>
          <w:bCs/>
          <w:color w:val="auto"/>
          <w:sz w:val="24"/>
        </w:rPr>
        <w:t>第三章 货物需求</w:t>
      </w:r>
      <w:r>
        <w:rPr>
          <w:b/>
          <w:bCs/>
          <w:color w:val="auto"/>
          <w:sz w:val="24"/>
        </w:rPr>
        <w:tab/>
      </w:r>
      <w:r>
        <w:rPr>
          <w:b/>
          <w:bCs/>
          <w:color w:val="auto"/>
          <w:sz w:val="24"/>
        </w:rPr>
        <w:fldChar w:fldCharType="begin"/>
      </w:r>
      <w:r>
        <w:rPr>
          <w:b/>
          <w:bCs/>
          <w:color w:val="auto"/>
          <w:sz w:val="24"/>
        </w:rPr>
        <w:instrText xml:space="preserve"> PAGEREF _Toc17590 </w:instrText>
      </w:r>
      <w:r>
        <w:rPr>
          <w:b/>
          <w:bCs/>
          <w:color w:val="auto"/>
          <w:sz w:val="24"/>
        </w:rPr>
        <w:fldChar w:fldCharType="separate"/>
      </w:r>
      <w:r>
        <w:rPr>
          <w:b/>
          <w:bCs/>
          <w:color w:val="auto"/>
          <w:sz w:val="24"/>
        </w:rPr>
        <w:t>39</w:t>
      </w:r>
      <w:r>
        <w:rPr>
          <w:b/>
          <w:bCs/>
          <w:color w:val="auto"/>
          <w:sz w:val="24"/>
        </w:rPr>
        <w:fldChar w:fldCharType="end"/>
      </w:r>
      <w:r>
        <w:rPr>
          <w:b/>
          <w:bCs/>
          <w:color w:val="auto"/>
          <w:sz w:val="24"/>
        </w:rPr>
        <w:fldChar w:fldCharType="end"/>
      </w:r>
    </w:p>
    <w:p w14:paraId="14FC132C">
      <w:pPr>
        <w:pStyle w:val="14"/>
        <w:tabs>
          <w:tab w:val="right" w:leader="dot" w:pos="8306"/>
        </w:tabs>
        <w:spacing w:line="480" w:lineRule="auto"/>
        <w:rPr>
          <w:b/>
          <w:bCs/>
          <w:color w:val="auto"/>
          <w:sz w:val="24"/>
        </w:rPr>
      </w:pPr>
      <w:r>
        <w:rPr>
          <w:color w:val="auto"/>
        </w:rPr>
        <w:fldChar w:fldCharType="begin"/>
      </w:r>
      <w:r>
        <w:rPr>
          <w:color w:val="auto"/>
        </w:rPr>
        <w:instrText xml:space="preserve"> HYPERLINK \l "_Toc25237" </w:instrText>
      </w:r>
      <w:r>
        <w:rPr>
          <w:color w:val="auto"/>
        </w:rPr>
        <w:fldChar w:fldCharType="separate"/>
      </w:r>
      <w:r>
        <w:rPr>
          <w:rFonts w:hint="eastAsia" w:ascii="仿宋_GB2312" w:hAnsi="仿宋_GB2312" w:eastAsia="仿宋_GB2312" w:cs="仿宋_GB2312"/>
          <w:b/>
          <w:bCs/>
          <w:color w:val="auto"/>
          <w:sz w:val="24"/>
        </w:rPr>
        <w:t>第四章 评标方法</w:t>
      </w:r>
      <w:r>
        <w:rPr>
          <w:b/>
          <w:bCs/>
          <w:color w:val="auto"/>
          <w:sz w:val="24"/>
        </w:rPr>
        <w:tab/>
      </w:r>
      <w:r>
        <w:rPr>
          <w:b/>
          <w:bCs/>
          <w:color w:val="auto"/>
          <w:sz w:val="24"/>
        </w:rPr>
        <w:fldChar w:fldCharType="begin"/>
      </w:r>
      <w:r>
        <w:rPr>
          <w:b/>
          <w:bCs/>
          <w:color w:val="auto"/>
          <w:sz w:val="24"/>
        </w:rPr>
        <w:instrText xml:space="preserve"> PAGEREF _Toc25237 </w:instrText>
      </w:r>
      <w:r>
        <w:rPr>
          <w:b/>
          <w:bCs/>
          <w:color w:val="auto"/>
          <w:sz w:val="24"/>
        </w:rPr>
        <w:fldChar w:fldCharType="separate"/>
      </w:r>
      <w:r>
        <w:rPr>
          <w:b/>
          <w:bCs/>
          <w:color w:val="auto"/>
          <w:sz w:val="24"/>
        </w:rPr>
        <w:t>45</w:t>
      </w:r>
      <w:r>
        <w:rPr>
          <w:b/>
          <w:bCs/>
          <w:color w:val="auto"/>
          <w:sz w:val="24"/>
        </w:rPr>
        <w:fldChar w:fldCharType="end"/>
      </w:r>
      <w:r>
        <w:rPr>
          <w:b/>
          <w:bCs/>
          <w:color w:val="auto"/>
          <w:sz w:val="24"/>
        </w:rPr>
        <w:fldChar w:fldCharType="end"/>
      </w:r>
    </w:p>
    <w:p w14:paraId="0D6ED488">
      <w:pPr>
        <w:pStyle w:val="14"/>
        <w:tabs>
          <w:tab w:val="right" w:leader="dot" w:pos="8306"/>
        </w:tabs>
        <w:spacing w:line="480" w:lineRule="auto"/>
        <w:rPr>
          <w:rFonts w:hint="eastAsia" w:eastAsia="仿宋"/>
          <w:b/>
          <w:bCs/>
          <w:color w:val="auto"/>
          <w:sz w:val="24"/>
          <w:lang w:val="en-US" w:eastAsia="zh-CN"/>
        </w:rPr>
      </w:pPr>
      <w:r>
        <w:rPr>
          <w:color w:val="auto"/>
        </w:rPr>
        <w:fldChar w:fldCharType="begin"/>
      </w:r>
      <w:r>
        <w:rPr>
          <w:color w:val="auto"/>
        </w:rPr>
        <w:instrText xml:space="preserve"> HYPERLINK \l "_Toc19588" </w:instrText>
      </w:r>
      <w:r>
        <w:rPr>
          <w:color w:val="auto"/>
        </w:rPr>
        <w:fldChar w:fldCharType="separate"/>
      </w:r>
      <w:r>
        <w:rPr>
          <w:rFonts w:hint="eastAsia" w:ascii="仿宋_GB2312" w:hAnsi="仿宋_GB2312" w:eastAsia="仿宋_GB2312" w:cs="仿宋_GB2312"/>
          <w:b/>
          <w:bCs/>
          <w:color w:val="auto"/>
          <w:sz w:val="24"/>
        </w:rPr>
        <w:t>第五章 政府采购合同条款及格式</w:t>
      </w:r>
      <w:r>
        <w:rPr>
          <w:b/>
          <w:bCs/>
          <w:color w:val="auto"/>
          <w:sz w:val="24"/>
        </w:rPr>
        <w:tab/>
      </w:r>
      <w:r>
        <w:rPr>
          <w:rFonts w:hint="eastAsia"/>
          <w:b/>
          <w:bCs/>
          <w:color w:val="auto"/>
          <w:sz w:val="24"/>
          <w:lang w:val="en-US" w:eastAsia="zh-CN"/>
        </w:rPr>
        <w:t>5</w:t>
      </w:r>
      <w:r>
        <w:rPr>
          <w:b/>
          <w:bCs/>
          <w:color w:val="auto"/>
          <w:sz w:val="24"/>
        </w:rPr>
        <w:fldChar w:fldCharType="end"/>
      </w:r>
      <w:r>
        <w:rPr>
          <w:rFonts w:hint="eastAsia"/>
          <w:b/>
          <w:bCs/>
          <w:color w:val="auto"/>
          <w:sz w:val="24"/>
          <w:lang w:val="en-US" w:eastAsia="zh-CN"/>
        </w:rPr>
        <w:t>0</w:t>
      </w:r>
    </w:p>
    <w:p w14:paraId="057AB980">
      <w:pPr>
        <w:spacing w:line="480" w:lineRule="auto"/>
        <w:rPr>
          <w:color w:val="auto"/>
        </w:rPr>
      </w:pPr>
      <w:r>
        <w:rPr>
          <w:b/>
          <w:bCs/>
          <w:color w:val="auto"/>
          <w:sz w:val="24"/>
        </w:rPr>
        <w:fldChar w:fldCharType="end"/>
      </w:r>
    </w:p>
    <w:p w14:paraId="6743AF1B">
      <w:pPr>
        <w:pStyle w:val="2"/>
        <w:rPr>
          <w:rFonts w:ascii="仿宋_GB2312" w:hAnsi="仿宋_GB2312" w:eastAsia="仿宋_GB2312" w:cs="仿宋_GB2312"/>
          <w:color w:val="auto"/>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14:paraId="3E2D6B4A">
      <w:pPr>
        <w:pStyle w:val="2"/>
        <w:rPr>
          <w:rFonts w:ascii="仿宋_GB2312" w:hAnsi="仿宋_GB2312" w:eastAsia="仿宋_GB2312" w:cs="仿宋_GB2312"/>
          <w:color w:val="auto"/>
          <w:sz w:val="36"/>
          <w:szCs w:val="21"/>
        </w:rPr>
      </w:pPr>
      <w:r>
        <w:rPr>
          <w:rFonts w:hint="eastAsia" w:ascii="仿宋_GB2312" w:hAnsi="仿宋_GB2312" w:eastAsia="仿宋_GB2312" w:cs="仿宋_GB2312"/>
          <w:color w:val="auto"/>
          <w:sz w:val="36"/>
          <w:szCs w:val="21"/>
          <w:lang w:eastAsia="zh-CN"/>
        </w:rPr>
        <w:t>辽宁省消防救援总队丹东市消防救援支队自然灾害应急能力提升工程装备建设项目-石油化工装备项目（三次）</w:t>
      </w:r>
      <w:r>
        <w:rPr>
          <w:rFonts w:hint="eastAsia" w:ascii="仿宋_GB2312" w:hAnsi="仿宋_GB2312" w:eastAsia="仿宋_GB2312" w:cs="仿宋_GB2312"/>
          <w:color w:val="auto"/>
          <w:sz w:val="36"/>
          <w:szCs w:val="21"/>
        </w:rPr>
        <w:t>的招标公告</w:t>
      </w:r>
      <w:bookmarkEnd w:id="0"/>
      <w:bookmarkEnd w:id="1"/>
    </w:p>
    <w:p w14:paraId="5081AA3C">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olor w:val="auto"/>
          <w:szCs w:val="21"/>
        </w:rPr>
      </w:pPr>
      <w:r>
        <w:rPr>
          <w:rFonts w:hint="eastAsia" w:ascii="仿宋" w:hAnsi="仿宋"/>
          <w:color w:val="auto"/>
          <w:szCs w:val="21"/>
        </w:rPr>
        <w:t>项目概况</w:t>
      </w:r>
    </w:p>
    <w:p w14:paraId="7D63221D">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olor w:val="auto"/>
          <w:szCs w:val="21"/>
          <w:highlight w:val="none"/>
        </w:rPr>
      </w:pPr>
      <w:r>
        <w:rPr>
          <w:rFonts w:hint="eastAsia" w:ascii="仿宋" w:hAnsi="仿宋"/>
          <w:color w:val="auto"/>
          <w:szCs w:val="21"/>
          <w:u w:val="single"/>
        </w:rPr>
        <w:t>(</w:t>
      </w:r>
      <w:r>
        <w:rPr>
          <w:rFonts w:hint="eastAsia" w:ascii="仿宋" w:hAnsi="仿宋"/>
          <w:color w:val="auto"/>
          <w:szCs w:val="21"/>
          <w:u w:val="single"/>
          <w:lang w:eastAsia="zh-CN"/>
        </w:rPr>
        <w:t>辽宁省消防救援总队丹东市消防救援支队自然灾害应急能力提升工程装备建设项目-石油化工装备项目（三次）</w:t>
      </w:r>
      <w:r>
        <w:rPr>
          <w:rFonts w:ascii="仿宋" w:hAnsi="仿宋"/>
          <w:color w:val="auto"/>
          <w:szCs w:val="21"/>
          <w:highlight w:val="none"/>
          <w:u w:val="single"/>
        </w:rPr>
        <w:t>)</w:t>
      </w:r>
      <w:r>
        <w:rPr>
          <w:rFonts w:hint="eastAsia" w:ascii="仿宋" w:hAnsi="仿宋"/>
          <w:color w:val="auto"/>
          <w:szCs w:val="21"/>
          <w:highlight w:val="none"/>
        </w:rPr>
        <w:t>招标项目的潜在供应商应在</w:t>
      </w:r>
      <w:r>
        <w:rPr>
          <w:rFonts w:hint="eastAsia" w:ascii="仿宋" w:hAnsi="仿宋"/>
          <w:color w:val="0000FF"/>
          <w:szCs w:val="21"/>
          <w:highlight w:val="none"/>
          <w:u w:val="single"/>
          <w:lang w:val="en-US" w:eastAsia="zh-CN"/>
        </w:rPr>
        <w:t>电子邮箱（18204155586</w:t>
      </w:r>
      <w:r>
        <w:rPr>
          <w:rFonts w:hint="eastAsia" w:ascii="仿宋" w:hAnsi="仿宋"/>
          <w:color w:val="0000FF"/>
          <w:szCs w:val="21"/>
          <w:highlight w:val="none"/>
          <w:u w:val="single"/>
        </w:rPr>
        <w:t>@163.com）</w:t>
      </w:r>
      <w:r>
        <w:rPr>
          <w:rFonts w:hint="eastAsia" w:ascii="仿宋" w:hAnsi="仿宋"/>
          <w:color w:val="auto"/>
          <w:szCs w:val="21"/>
          <w:highlight w:val="none"/>
        </w:rPr>
        <w:t>获取招标文件，并于</w:t>
      </w:r>
      <w:r>
        <w:rPr>
          <w:rFonts w:hint="eastAsia" w:ascii="仿宋_GB2312" w:hAnsi="仿宋_GB2312" w:eastAsia="仿宋_GB2312" w:cs="仿宋_GB2312"/>
          <w:color w:val="auto"/>
          <w:kern w:val="0"/>
          <w:szCs w:val="21"/>
          <w:highlight w:val="none"/>
          <w:u w:val="single"/>
          <w:lang w:val="en-US" w:eastAsia="zh-CN"/>
        </w:rPr>
        <w:t>2024年08月21日09点00分</w:t>
      </w:r>
      <w:r>
        <w:rPr>
          <w:rFonts w:hint="eastAsia" w:ascii="仿宋" w:hAnsi="仿宋"/>
          <w:bCs/>
          <w:color w:val="auto"/>
          <w:szCs w:val="21"/>
          <w:highlight w:val="none"/>
          <w:u w:val="none"/>
        </w:rPr>
        <w:t>（</w:t>
      </w:r>
      <w:r>
        <w:rPr>
          <w:rFonts w:hint="eastAsia" w:ascii="仿宋" w:hAnsi="仿宋"/>
          <w:bCs/>
          <w:color w:val="auto"/>
          <w:szCs w:val="21"/>
          <w:highlight w:val="none"/>
        </w:rPr>
        <w:t>北京时间）前递交投标</w:t>
      </w:r>
      <w:r>
        <w:rPr>
          <w:rFonts w:ascii="仿宋" w:hAnsi="仿宋"/>
          <w:bCs/>
          <w:color w:val="auto"/>
          <w:szCs w:val="21"/>
          <w:highlight w:val="none"/>
        </w:rPr>
        <w:t>文件</w:t>
      </w:r>
      <w:r>
        <w:rPr>
          <w:rFonts w:hint="eastAsia" w:ascii="仿宋" w:hAnsi="仿宋"/>
          <w:color w:val="auto"/>
          <w:szCs w:val="21"/>
          <w:highlight w:val="none"/>
        </w:rPr>
        <w:t>。</w:t>
      </w:r>
    </w:p>
    <w:p w14:paraId="68375724">
      <w:pPr>
        <w:widowControl/>
        <w:adjustRightInd w:val="0"/>
        <w:snapToGrid w:val="0"/>
        <w:spacing w:line="360" w:lineRule="auto"/>
        <w:ind w:firstLine="420" w:firstLineChars="200"/>
        <w:jc w:val="left"/>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color w:val="auto"/>
          <w:kern w:val="0"/>
          <w:szCs w:val="21"/>
          <w:highlight w:val="none"/>
        </w:rPr>
        <w:t xml:space="preserve"> </w:t>
      </w:r>
    </w:p>
    <w:p w14:paraId="75F361A1">
      <w:pPr>
        <w:adjustRightInd w:val="0"/>
        <w:snapToGrid w:val="0"/>
        <w:spacing w:line="360" w:lineRule="auto"/>
        <w:rPr>
          <w:rFonts w:hint="eastAsia" w:ascii="仿宋_GB2312" w:hAnsi="仿宋_GB2312" w:eastAsia="仿宋_GB2312" w:cs="仿宋_GB2312"/>
          <w:b/>
          <w:bCs/>
          <w:color w:val="auto"/>
          <w:szCs w:val="21"/>
          <w:highlight w:val="none"/>
        </w:rPr>
      </w:pPr>
      <w:bookmarkStart w:id="2" w:name="_Toc28359079"/>
      <w:bookmarkStart w:id="3" w:name="_Toc35393621"/>
      <w:bookmarkStart w:id="4" w:name="_Toc35393790"/>
      <w:bookmarkStart w:id="5" w:name="_Toc28359002"/>
      <w:bookmarkStart w:id="6" w:name="_Hlk24379207"/>
      <w:r>
        <w:rPr>
          <w:rFonts w:hint="eastAsia" w:ascii="仿宋_GB2312" w:hAnsi="仿宋_GB2312" w:eastAsia="仿宋_GB2312" w:cs="仿宋_GB2312"/>
          <w:b/>
          <w:bCs/>
          <w:color w:val="auto"/>
          <w:szCs w:val="21"/>
          <w:highlight w:val="none"/>
        </w:rPr>
        <w:t>一、项目基本情况</w:t>
      </w:r>
      <w:bookmarkEnd w:id="2"/>
      <w:bookmarkEnd w:id="3"/>
      <w:bookmarkEnd w:id="4"/>
      <w:bookmarkEnd w:id="5"/>
    </w:p>
    <w:p w14:paraId="738B9B56">
      <w:pPr>
        <w:adjustRightInd w:val="0"/>
        <w:snapToGrid w:val="0"/>
        <w:spacing w:line="360" w:lineRule="auto"/>
        <w:ind w:firstLine="420" w:firstLineChars="20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color w:val="auto"/>
          <w:szCs w:val="21"/>
          <w:highlight w:val="none"/>
        </w:rPr>
        <w:t>项目编号：</w:t>
      </w:r>
      <w:r>
        <w:rPr>
          <w:rFonts w:hint="eastAsia" w:ascii="仿宋_GB2312" w:hAnsi="仿宋_GB2312" w:eastAsia="仿宋_GB2312" w:cs="仿宋_GB2312"/>
          <w:color w:val="auto"/>
          <w:szCs w:val="21"/>
          <w:highlight w:val="none"/>
          <w:lang w:val="en-US" w:eastAsia="zh-CN"/>
        </w:rPr>
        <w:t xml:space="preserve">LNHJCG2024-003H </w:t>
      </w:r>
    </w:p>
    <w:p w14:paraId="6B300D57">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eastAsia="zh-CN"/>
        </w:rPr>
        <w:t>辽宁省消防救援总队丹东市消防救援支队自然灾害应急能力提升工程装备建设项目-石油化工装备项目（三次）</w:t>
      </w:r>
    </w:p>
    <w:p w14:paraId="04F2A238">
      <w:pPr>
        <w:adjustRightInd w:val="0"/>
        <w:snapToGrid w:val="0"/>
        <w:spacing w:line="360" w:lineRule="auto"/>
        <w:ind w:firstLine="420" w:firstLineChars="200"/>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包    组：001</w:t>
      </w:r>
    </w:p>
    <w:bookmarkEnd w:id="6"/>
    <w:p w14:paraId="262D169D">
      <w:pPr>
        <w:shd w:val="clear" w:color="auto" w:fill="FFFFFF"/>
        <w:adjustRightInd w:val="0"/>
        <w:snapToGrid w:val="0"/>
        <w:spacing w:line="360" w:lineRule="auto"/>
        <w:ind w:firstLine="420" w:firstLineChars="200"/>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val="en-US" w:eastAsia="zh-CN"/>
        </w:rPr>
        <w:t>160.000000万元</w:t>
      </w:r>
    </w:p>
    <w:p w14:paraId="4F4E48DA">
      <w:pPr>
        <w:shd w:val="clear" w:color="auto" w:fill="FFFFFF"/>
        <w:adjustRightInd w:val="0"/>
        <w:snapToGrid w:val="0"/>
        <w:spacing w:line="360" w:lineRule="auto"/>
        <w:ind w:firstLine="420" w:firstLineChars="200"/>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最高限价：</w:t>
      </w:r>
      <w:r>
        <w:rPr>
          <w:rFonts w:hint="eastAsia" w:ascii="仿宋_GB2312" w:hAnsi="仿宋_GB2312" w:eastAsia="仿宋_GB2312" w:cs="仿宋_GB2312"/>
          <w:color w:val="auto"/>
          <w:szCs w:val="21"/>
          <w:highlight w:val="none"/>
          <w:lang w:val="en-US" w:eastAsia="zh-CN"/>
        </w:rPr>
        <w:t>160.000000万元</w:t>
      </w:r>
    </w:p>
    <w:p w14:paraId="2FFFB340">
      <w:pPr>
        <w:adjustRightInd w:val="0"/>
        <w:snapToGrid w:val="0"/>
        <w:spacing w:line="360" w:lineRule="auto"/>
        <w:ind w:firstLine="420" w:firstLineChars="200"/>
        <w:rPr>
          <w:rFonts w:hint="eastAsia"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rPr>
        <w:t>采购需求：</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825"/>
        <w:gridCol w:w="6567"/>
      </w:tblGrid>
      <w:tr w14:paraId="4B12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0" w:type="dxa"/>
            <w:noWrap w:val="0"/>
            <w:vAlign w:val="top"/>
          </w:tcPr>
          <w:p w14:paraId="2C13B251">
            <w:pPr>
              <w:adjustRightInd w:val="0"/>
              <w:snapToGrid w:val="0"/>
              <w:spacing w:line="360" w:lineRule="auto"/>
              <w:jc w:val="center"/>
              <w:rPr>
                <w:rFonts w:hint="default"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货物名称</w:t>
            </w:r>
          </w:p>
        </w:tc>
        <w:tc>
          <w:tcPr>
            <w:tcW w:w="825" w:type="dxa"/>
            <w:noWrap w:val="0"/>
            <w:vAlign w:val="top"/>
          </w:tcPr>
          <w:p w14:paraId="2F827B9F">
            <w:pPr>
              <w:adjustRightInd w:val="0"/>
              <w:snapToGrid w:val="0"/>
              <w:spacing w:line="360" w:lineRule="auto"/>
              <w:jc w:val="center"/>
              <w:rPr>
                <w:rFonts w:hint="default"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数量</w:t>
            </w:r>
          </w:p>
        </w:tc>
        <w:tc>
          <w:tcPr>
            <w:tcW w:w="6567" w:type="dxa"/>
            <w:noWrap w:val="0"/>
            <w:vAlign w:val="top"/>
          </w:tcPr>
          <w:p w14:paraId="00F31EFE">
            <w:pPr>
              <w:adjustRightInd w:val="0"/>
              <w:snapToGrid w:val="0"/>
              <w:spacing w:line="360" w:lineRule="auto"/>
              <w:jc w:val="center"/>
              <w:rPr>
                <w:rFonts w:hint="default"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参数要求</w:t>
            </w:r>
          </w:p>
        </w:tc>
      </w:tr>
      <w:tr w14:paraId="695DB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0" w:type="dxa"/>
            <w:noWrap w:val="0"/>
            <w:vAlign w:val="center"/>
          </w:tcPr>
          <w:p w14:paraId="298EF192">
            <w:pPr>
              <w:adjustRightInd w:val="0"/>
              <w:snapToGrid w:val="0"/>
              <w:spacing w:line="360" w:lineRule="auto"/>
              <w:jc w:val="center"/>
              <w:rPr>
                <w:rFonts w:hint="eastAsia"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lang w:val="en-US" w:eastAsia="zh-CN"/>
              </w:rPr>
              <w:t>灭火机器人</w:t>
            </w:r>
          </w:p>
        </w:tc>
        <w:tc>
          <w:tcPr>
            <w:tcW w:w="825" w:type="dxa"/>
            <w:noWrap w:val="0"/>
            <w:vAlign w:val="center"/>
          </w:tcPr>
          <w:p w14:paraId="51C2711D">
            <w:pPr>
              <w:adjustRightInd w:val="0"/>
              <w:snapToGrid w:val="0"/>
              <w:spacing w:line="360" w:lineRule="auto"/>
              <w:jc w:val="center"/>
              <w:rPr>
                <w:rFonts w:hint="default"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2（套）</w:t>
            </w:r>
          </w:p>
        </w:tc>
        <w:tc>
          <w:tcPr>
            <w:tcW w:w="6567" w:type="dxa"/>
            <w:noWrap w:val="0"/>
            <w:vAlign w:val="top"/>
          </w:tcPr>
          <w:p w14:paraId="2F5C2A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★一、实质性要求</w:t>
            </w:r>
          </w:p>
          <w:p w14:paraId="774A288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1、符合 XF 892.1-2010《消防机器人第 1 部分通用技术条件》的标准要求。提供所投产品第三方检验检测机构出具的检测报告，出具检测报告的机构应取得国家相关部门的资质认定。</w:t>
            </w:r>
          </w:p>
          <w:p w14:paraId="182EB9E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2、根据据采购单位要求，安装符合《消防装备物资物联网标识管理》规定的二维码和 RFID 标签， 器材在交付前须完成部局系统赋码工作，确保一物一码。</w:t>
            </w:r>
          </w:p>
          <w:p w14:paraId="5B9F1BC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仿宋_GB2312" w:hAnsi="仿宋_GB2312" w:eastAsia="仿宋_GB2312" w:cs="仿宋_GB2312"/>
                <w:color w:val="auto"/>
                <w:szCs w:val="21"/>
                <w:highlight w:val="none"/>
                <w:vertAlign w:val="baseline"/>
                <w:lang w:val="en-US" w:eastAsia="zh-CN"/>
              </w:rPr>
            </w:pPr>
            <w:r>
              <w:rPr>
                <w:rFonts w:hint="eastAsia" w:ascii="仿宋_GB2312" w:hAnsi="仿宋_GB2312" w:eastAsia="仿宋_GB2312" w:cs="仿宋_GB2312"/>
                <w:color w:val="auto"/>
                <w:szCs w:val="21"/>
                <w:highlight w:val="none"/>
                <w:vertAlign w:val="baseline"/>
                <w:lang w:val="en-US" w:eastAsia="zh-CN"/>
              </w:rPr>
              <w:t>3、消防灭火侦察机器人应采用电机驱动，采用橡胶履带式行走机构。应配备独立悬挂减震系统。需为每台机器人配备专属应急运输拖挂车，可由汽车拖挂运输。</w:t>
            </w:r>
          </w:p>
        </w:tc>
      </w:tr>
    </w:tbl>
    <w:p w14:paraId="39736A8C">
      <w:pPr>
        <w:adjustRightInd w:val="0"/>
        <w:snapToGrid w:val="0"/>
        <w:spacing w:line="360" w:lineRule="auto"/>
        <w:ind w:firstLine="420" w:firstLineChars="200"/>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auto"/>
          <w:szCs w:val="21"/>
          <w:highlight w:val="none"/>
        </w:rPr>
        <w:t>合同履行期限</w:t>
      </w:r>
      <w:r>
        <w:rPr>
          <w:rFonts w:hint="eastAsia" w:ascii="仿宋_GB2312" w:hAnsi="仿宋_GB2312" w:eastAsia="仿宋_GB2312" w:cs="仿宋_GB2312"/>
          <w:color w:val="0000FF"/>
          <w:szCs w:val="21"/>
          <w:highlight w:val="none"/>
        </w:rPr>
        <w:t>：</w:t>
      </w:r>
      <w:r>
        <w:rPr>
          <w:rFonts w:hint="eastAsia" w:ascii="仿宋_GB2312" w:hAnsi="仿宋_GB2312" w:eastAsia="仿宋_GB2312" w:cs="仿宋_GB2312"/>
          <w:color w:val="000000"/>
          <w:szCs w:val="21"/>
          <w:highlight w:val="none"/>
          <w:lang w:val="en-US" w:eastAsia="zh-CN"/>
        </w:rPr>
        <w:t>自合同签订之日起90日内一次性交齐全部货物。</w:t>
      </w:r>
    </w:p>
    <w:p w14:paraId="6C0A642F">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w:t>
      </w:r>
      <w:r>
        <w:rPr>
          <w:rFonts w:hint="eastAsia" w:ascii="仿宋" w:hAnsi="仿宋" w:eastAsia="仿宋" w:cs="仿宋"/>
          <w:color w:val="auto"/>
          <w:szCs w:val="21"/>
          <w:highlight w:val="none"/>
        </w:rPr>
        <w:t>1、对于中小微企业（含监狱企业）的相关规定；2、对于促进残疾人就业的相关规定。</w:t>
      </w:r>
    </w:p>
    <w:p w14:paraId="2D1B654E">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w:t>
      </w:r>
      <w:r>
        <w:rPr>
          <w:rFonts w:hint="eastAsia" w:ascii="仿宋_GB2312" w:hAnsi="仿宋_GB2312" w:eastAsia="仿宋_GB2312" w:cs="仿宋_GB2312"/>
          <w:color w:val="auto"/>
          <w:szCs w:val="21"/>
          <w:highlight w:val="none"/>
          <w:lang w:val="en-US" w:eastAsia="zh-CN"/>
        </w:rPr>
        <w:t>不</w:t>
      </w:r>
      <w:r>
        <w:rPr>
          <w:rFonts w:hint="eastAsia" w:ascii="仿宋_GB2312" w:hAnsi="仿宋_GB2312" w:eastAsia="仿宋_GB2312" w:cs="仿宋_GB2312"/>
          <w:color w:val="auto"/>
          <w:szCs w:val="21"/>
          <w:highlight w:val="none"/>
        </w:rPr>
        <w:t>接受联合体投标。</w:t>
      </w:r>
    </w:p>
    <w:p w14:paraId="09E14DF8">
      <w:pPr>
        <w:adjustRightInd w:val="0"/>
        <w:snapToGrid w:val="0"/>
        <w:spacing w:line="360" w:lineRule="auto"/>
        <w:rPr>
          <w:rFonts w:hint="eastAsia" w:ascii="仿宋_GB2312" w:hAnsi="仿宋_GB2312" w:eastAsia="仿宋_GB2312" w:cs="仿宋_GB2312"/>
          <w:b/>
          <w:bCs/>
          <w:color w:val="auto"/>
          <w:szCs w:val="21"/>
        </w:rPr>
      </w:pPr>
      <w:bookmarkStart w:id="7" w:name="_Toc28359080"/>
      <w:bookmarkStart w:id="8" w:name="_Toc35393791"/>
      <w:bookmarkStart w:id="9" w:name="_Toc28359003"/>
      <w:bookmarkStart w:id="10" w:name="_Toc35393622"/>
      <w:r>
        <w:rPr>
          <w:rFonts w:hint="eastAsia" w:ascii="仿宋_GB2312" w:hAnsi="仿宋_GB2312" w:eastAsia="仿宋_GB2312" w:cs="仿宋_GB2312"/>
          <w:b/>
          <w:bCs/>
          <w:color w:val="auto"/>
          <w:szCs w:val="21"/>
        </w:rPr>
        <w:t>二、供应商的资格要求：</w:t>
      </w:r>
      <w:bookmarkEnd w:id="7"/>
      <w:bookmarkEnd w:id="8"/>
      <w:bookmarkEnd w:id="9"/>
      <w:bookmarkEnd w:id="10"/>
    </w:p>
    <w:p w14:paraId="42D34A70">
      <w:pPr>
        <w:adjustRightInd w:val="0"/>
        <w:snapToGrid w:val="0"/>
        <w:spacing w:line="360" w:lineRule="auto"/>
        <w:ind w:firstLine="42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1.满足《中华人民共和国政府采购法》第二十二条规定；</w:t>
      </w:r>
    </w:p>
    <w:p w14:paraId="62D9AD4D">
      <w:pPr>
        <w:adjustRightInd w:val="0"/>
        <w:snapToGrid w:val="0"/>
        <w:spacing w:line="360" w:lineRule="auto"/>
        <w:ind w:firstLine="420" w:firstLineChars="200"/>
        <w:rPr>
          <w:rFonts w:hint="eastAsia" w:ascii="仿宋" w:hAnsi="仿宋" w:eastAsia="仿宋_GB2312" w:cs="仿宋"/>
          <w:color w:val="auto"/>
          <w:szCs w:val="21"/>
          <w:highlight w:val="none"/>
          <w:lang w:val="en-US" w:eastAsia="zh-CN"/>
        </w:rPr>
      </w:pPr>
      <w:bookmarkStart w:id="11" w:name="_Toc28359081"/>
      <w:bookmarkStart w:id="12" w:name="_Toc28359004"/>
      <w:r>
        <w:rPr>
          <w:rFonts w:hint="eastAsia" w:ascii="仿宋_GB2312" w:hAnsi="仿宋_GB2312" w:eastAsia="仿宋_GB2312" w:cs="仿宋_GB2312"/>
          <w:color w:val="auto"/>
          <w:szCs w:val="21"/>
        </w:rPr>
        <w:t>2.落实政府采购政策需满足的资格要求：</w:t>
      </w:r>
      <w:r>
        <w:rPr>
          <w:rFonts w:hint="eastAsia" w:ascii="仿宋" w:hAnsi="仿宋" w:eastAsia="仿宋" w:cs="仿宋"/>
          <w:color w:val="auto"/>
          <w:szCs w:val="21"/>
          <w:highlight w:val="none"/>
        </w:rPr>
        <w:t>本项目属于专门面向中小企业采购的项目，供应商应为中小微企业、监狱企业、残疾人福利性单位。</w:t>
      </w:r>
    </w:p>
    <w:p w14:paraId="16195737">
      <w:pPr>
        <w:adjustRightInd w:val="0"/>
        <w:snapToGrid w:val="0"/>
        <w:spacing w:line="360" w:lineRule="auto"/>
        <w:ind w:firstLine="420" w:firstLineChars="200"/>
        <w:rPr>
          <w:rFonts w:hint="eastAsia" w:ascii="仿宋_GB2312" w:hAnsi="仿宋_GB2312" w:eastAsia="仿宋_GB2312" w:cs="仿宋_GB2312"/>
          <w:i/>
          <w:iCs/>
          <w:color w:val="auto"/>
          <w:szCs w:val="21"/>
          <w:highlight w:val="none"/>
          <w:u w:val="single"/>
          <w:lang w:val="en-US" w:eastAsia="zh-CN"/>
        </w:rPr>
      </w:pPr>
      <w:r>
        <w:rPr>
          <w:rFonts w:hint="eastAsia" w:ascii="仿宋_GB2312" w:hAnsi="仿宋_GB2312" w:eastAsia="仿宋_GB2312" w:cs="仿宋_GB2312"/>
          <w:color w:val="auto"/>
          <w:szCs w:val="21"/>
          <w:highlight w:val="none"/>
        </w:rPr>
        <w:t>3.本项目的特定资格要求：</w:t>
      </w:r>
      <w:r>
        <w:rPr>
          <w:rFonts w:hint="eastAsia" w:ascii="仿宋_GB2312" w:hAnsi="仿宋_GB2312" w:eastAsia="仿宋_GB2312" w:cs="仿宋_GB2312"/>
          <w:color w:val="auto"/>
          <w:szCs w:val="21"/>
          <w:highlight w:val="none"/>
          <w:lang w:val="en-US" w:eastAsia="zh-CN"/>
        </w:rPr>
        <w:t>无</w:t>
      </w:r>
    </w:p>
    <w:p w14:paraId="752EED6B">
      <w:pPr>
        <w:adjustRightInd w:val="0"/>
        <w:snapToGrid w:val="0"/>
        <w:spacing w:line="360" w:lineRule="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w:t>
      </w:r>
      <w:bookmarkStart w:id="13" w:name="_Toc35393623"/>
      <w:bookmarkStart w:id="14" w:name="_Toc35393792"/>
      <w:r>
        <w:rPr>
          <w:rFonts w:hint="eastAsia" w:ascii="仿宋_GB2312" w:hAnsi="仿宋_GB2312" w:eastAsia="仿宋_GB2312" w:cs="仿宋_GB2312"/>
          <w:b/>
          <w:bCs/>
          <w:color w:val="auto"/>
          <w:szCs w:val="21"/>
          <w:highlight w:val="none"/>
        </w:rPr>
        <w:t>获取招标文件</w:t>
      </w:r>
      <w:bookmarkEnd w:id="11"/>
      <w:bookmarkEnd w:id="12"/>
      <w:bookmarkEnd w:id="13"/>
      <w:bookmarkEnd w:id="14"/>
    </w:p>
    <w:p w14:paraId="0878D653">
      <w:pPr>
        <w:adjustRightInd w:val="0"/>
        <w:snapToGrid w:val="0"/>
        <w:spacing w:line="360" w:lineRule="auto"/>
        <w:ind w:firstLine="54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w:t>
      </w:r>
      <w:r>
        <w:rPr>
          <w:rFonts w:hint="eastAsia" w:ascii="仿宋_GB2312" w:hAnsi="仿宋_GB2312" w:eastAsia="仿宋_GB2312" w:cs="仿宋_GB2312"/>
          <w:color w:val="auto"/>
          <w:szCs w:val="21"/>
          <w:highlight w:val="none"/>
          <w:u w:val="single"/>
          <w:lang w:val="en-US" w:eastAsia="zh-CN"/>
        </w:rPr>
        <w:t>2024</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07</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31</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lang w:val="en-US" w:eastAsia="zh-CN"/>
        </w:rPr>
        <w:t>2024</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08月07</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，每天上午</w:t>
      </w:r>
      <w:r>
        <w:rPr>
          <w:rFonts w:hint="eastAsia" w:ascii="仿宋_GB2312" w:hAnsi="仿宋_GB2312" w:eastAsia="仿宋_GB2312" w:cs="仿宋_GB2312"/>
          <w:color w:val="auto"/>
          <w:szCs w:val="21"/>
          <w:highlight w:val="none"/>
          <w:u w:val="single"/>
          <w:lang w:val="en-US" w:eastAsia="zh-CN"/>
        </w:rPr>
        <w:t>8:30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lang w:val="en-US" w:eastAsia="zh-CN"/>
        </w:rPr>
        <w:t>11:30</w:t>
      </w:r>
      <w:r>
        <w:rPr>
          <w:rFonts w:hint="eastAsia" w:ascii="仿宋_GB2312" w:hAnsi="仿宋_GB2312" w:eastAsia="仿宋_GB2312" w:cs="仿宋_GB2312"/>
          <w:color w:val="auto"/>
          <w:szCs w:val="21"/>
          <w:highlight w:val="none"/>
        </w:rPr>
        <w:t>，下午</w:t>
      </w:r>
      <w:r>
        <w:rPr>
          <w:rFonts w:hint="eastAsia" w:ascii="仿宋_GB2312" w:hAnsi="仿宋_GB2312" w:eastAsia="仿宋_GB2312" w:cs="仿宋_GB2312"/>
          <w:color w:val="auto"/>
          <w:szCs w:val="21"/>
          <w:highlight w:val="none"/>
          <w:u w:val="single"/>
          <w:lang w:val="en-US" w:eastAsia="zh-CN"/>
        </w:rPr>
        <w:t>13:00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lang w:val="en-US" w:eastAsia="zh-CN"/>
        </w:rPr>
        <w:t>17:00</w:t>
      </w:r>
      <w:r>
        <w:rPr>
          <w:rFonts w:hint="eastAsia" w:ascii="仿宋_GB2312" w:hAnsi="仿宋_GB2312" w:eastAsia="仿宋_GB2312" w:cs="仿宋_GB2312"/>
          <w:color w:val="auto"/>
          <w:szCs w:val="21"/>
          <w:highlight w:val="none"/>
        </w:rPr>
        <w:t>（北京时间，法定节假日除外）</w:t>
      </w:r>
    </w:p>
    <w:p w14:paraId="458099A7">
      <w:pPr>
        <w:adjustRightInd w:val="0"/>
        <w:snapToGrid w:val="0"/>
        <w:spacing w:line="360" w:lineRule="auto"/>
        <w:ind w:firstLine="540"/>
        <w:rPr>
          <w:rFonts w:hint="eastAsia" w:ascii="仿宋_GB2312" w:hAnsi="仿宋_GB2312" w:eastAsia="仿宋" w:cs="仿宋_GB2312"/>
          <w:color w:val="auto"/>
          <w:szCs w:val="21"/>
          <w:highlight w:val="none"/>
          <w:u w:val="single"/>
          <w:lang w:eastAsia="zh-CN"/>
        </w:rPr>
      </w:pPr>
      <w:bookmarkStart w:id="15" w:name="_Toc28359082"/>
      <w:bookmarkStart w:id="16" w:name="_Toc28359005"/>
      <w:bookmarkStart w:id="17" w:name="_Toc35393624"/>
      <w:bookmarkStart w:id="18" w:name="_Toc35393793"/>
      <w:r>
        <w:rPr>
          <w:rFonts w:hint="eastAsia" w:ascii="仿宋" w:hAnsi="仿宋" w:eastAsia="仿宋" w:cs="仿宋"/>
          <w:color w:val="auto"/>
          <w:szCs w:val="21"/>
          <w:highlight w:val="none"/>
        </w:rPr>
        <w:t>地点：</w:t>
      </w:r>
      <w:r>
        <w:rPr>
          <w:rFonts w:hint="eastAsia" w:ascii="仿宋" w:hAnsi="仿宋" w:cs="仿宋"/>
          <w:color w:val="auto"/>
          <w:szCs w:val="21"/>
          <w:highlight w:val="none"/>
          <w:u w:val="single"/>
          <w:lang w:val="en-US" w:eastAsia="zh-CN"/>
        </w:rPr>
        <w:t>电子邮箱</w:t>
      </w:r>
      <w:r>
        <w:rPr>
          <w:rFonts w:hint="eastAsia" w:ascii="仿宋" w:hAnsi="仿宋"/>
          <w:color w:val="auto"/>
          <w:szCs w:val="21"/>
          <w:highlight w:val="none"/>
          <w:u w:val="single"/>
          <w:lang w:eastAsia="zh-CN"/>
        </w:rPr>
        <w:t>18204155586@163.com</w:t>
      </w:r>
    </w:p>
    <w:p w14:paraId="0D37AD31">
      <w:pPr>
        <w:adjustRightInd w:val="0"/>
        <w:snapToGrid w:val="0"/>
        <w:spacing w:line="360" w:lineRule="auto"/>
        <w:ind w:firstLine="540"/>
        <w:rPr>
          <w:rFonts w:hint="eastAsia" w:ascii="仿宋" w:hAnsi="仿宋" w:eastAsia="仿宋" w:cs="仿宋"/>
          <w:color w:val="auto"/>
          <w:szCs w:val="21"/>
          <w:highlight w:val="none"/>
          <w:u w:val="single"/>
        </w:rPr>
      </w:pPr>
      <w:r>
        <w:rPr>
          <w:rFonts w:hint="eastAsia" w:ascii="仿宋_GB2312" w:hAnsi="仿宋_GB2312" w:eastAsia="仿宋_GB2312" w:cs="仿宋_GB2312"/>
          <w:color w:val="auto"/>
          <w:szCs w:val="21"/>
          <w:highlight w:val="none"/>
        </w:rPr>
        <w:t>方式：</w:t>
      </w:r>
      <w:r>
        <w:rPr>
          <w:rFonts w:hint="eastAsia" w:ascii="仿宋_GB2312" w:hAnsi="仿宋_GB2312" w:eastAsia="仿宋_GB2312" w:cs="仿宋_GB2312"/>
          <w:color w:val="auto"/>
          <w:szCs w:val="21"/>
          <w:highlight w:val="none"/>
          <w:u w:val="single"/>
          <w:lang w:val="en-US" w:eastAsia="zh-CN"/>
        </w:rPr>
        <w:t>网上领取</w:t>
      </w:r>
      <w:r>
        <w:rPr>
          <w:rFonts w:hint="eastAsia" w:ascii="仿宋" w:hAnsi="仿宋" w:eastAsia="仿宋" w:cs="仿宋"/>
          <w:color w:val="auto"/>
          <w:szCs w:val="21"/>
          <w:highlight w:val="none"/>
          <w:u w:val="single"/>
        </w:rPr>
        <w:t>（售出不退）</w:t>
      </w:r>
    </w:p>
    <w:p w14:paraId="7C197887">
      <w:pPr>
        <w:adjustRightInd w:val="0"/>
        <w:snapToGrid w:val="0"/>
        <w:spacing w:line="360" w:lineRule="auto"/>
        <w:ind w:firstLine="540"/>
        <w:rPr>
          <w:rFonts w:hint="default" w:ascii="仿宋_GB2312" w:hAnsi="仿宋_GB2312" w:eastAsia="仿宋_GB2312" w:cs="仿宋_GB2312"/>
          <w:color w:val="auto"/>
          <w:szCs w:val="21"/>
          <w:highlight w:val="none"/>
          <w:u w:val="single"/>
          <w:lang w:val="en-US" w:eastAsia="zh-CN"/>
        </w:rPr>
      </w:pPr>
      <w:r>
        <w:rPr>
          <w:rFonts w:hint="eastAsia" w:ascii="仿宋" w:hAnsi="仿宋" w:cs="Times New Roman"/>
          <w:color w:val="auto"/>
          <w:szCs w:val="21"/>
          <w:highlight w:val="none"/>
          <w:u w:val="none"/>
          <w:lang w:val="en-US" w:eastAsia="zh-CN"/>
        </w:rPr>
        <w:t>投标供应商采取发送电子邮件方式提交报名材料，邮件主题：项目名称+项目编号+公司名称；邮件内容：列明公司名称、法定代表人或授权代表人姓名及联系方式；邮件附件：需采用A4纸幅面，将报名材料加盖企业鲜章，按顺序制作成1个PDF格式文件，文件名称与主题一致，复印件扫描无效。报名材料审核通过后，采购机构联系人向供应商邮箱发送招标文件电子版；审核未通过的，采购机构联系人以邮件形式回复审核情况，供应商可在招标文件申领时间内重新提交材料。采购机构或代理机构邮箱：</w:t>
      </w:r>
      <w:r>
        <w:rPr>
          <w:rFonts w:hint="eastAsia" w:ascii="仿宋" w:hAnsi="仿宋" w:cs="Times New Roman"/>
          <w:color w:val="auto"/>
          <w:szCs w:val="21"/>
          <w:highlight w:val="none"/>
          <w:u w:val="none"/>
          <w:lang w:val="en-US" w:eastAsia="zh-CN"/>
        </w:rPr>
        <w:fldChar w:fldCharType="begin"/>
      </w:r>
      <w:r>
        <w:rPr>
          <w:rFonts w:hint="eastAsia" w:ascii="仿宋" w:hAnsi="仿宋" w:cs="Times New Roman"/>
          <w:color w:val="auto"/>
          <w:szCs w:val="21"/>
          <w:highlight w:val="none"/>
          <w:u w:val="none"/>
          <w:lang w:val="en-US" w:eastAsia="zh-CN"/>
        </w:rPr>
        <w:instrText xml:space="preserve"> HYPERLINK "mailto:DDHSzbdl@163.com。" </w:instrText>
      </w:r>
      <w:r>
        <w:rPr>
          <w:rFonts w:hint="eastAsia" w:ascii="仿宋" w:hAnsi="仿宋" w:cs="Times New Roman"/>
          <w:color w:val="auto"/>
          <w:szCs w:val="21"/>
          <w:highlight w:val="none"/>
          <w:u w:val="none"/>
          <w:lang w:val="en-US" w:eastAsia="zh-CN"/>
        </w:rPr>
        <w:fldChar w:fldCharType="separate"/>
      </w:r>
      <w:r>
        <w:rPr>
          <w:rFonts w:hint="eastAsia" w:ascii="仿宋" w:hAnsi="仿宋"/>
          <w:color w:val="auto"/>
          <w:szCs w:val="21"/>
          <w:highlight w:val="none"/>
          <w:u w:val="single"/>
          <w:lang w:eastAsia="zh-CN"/>
        </w:rPr>
        <w:t>18204155586@163.com</w:t>
      </w:r>
      <w:r>
        <w:rPr>
          <w:rFonts w:hint="eastAsia" w:ascii="仿宋" w:hAnsi="仿宋" w:cs="Times New Roman"/>
          <w:color w:val="auto"/>
          <w:szCs w:val="21"/>
          <w:highlight w:val="none"/>
          <w:u w:val="none"/>
          <w:lang w:val="en-US" w:eastAsia="zh-CN"/>
        </w:rPr>
        <w:t>。</w:t>
      </w:r>
      <w:r>
        <w:rPr>
          <w:rFonts w:hint="eastAsia" w:ascii="仿宋" w:hAnsi="仿宋" w:cs="Times New Roman"/>
          <w:color w:val="auto"/>
          <w:szCs w:val="21"/>
          <w:highlight w:val="none"/>
          <w:u w:val="none"/>
          <w:lang w:val="en-US" w:eastAsia="zh-CN"/>
        </w:rPr>
        <w:fldChar w:fldCharType="end"/>
      </w:r>
    </w:p>
    <w:p w14:paraId="32DC02D3">
      <w:pPr>
        <w:adjustRightInd w:val="0"/>
        <w:snapToGrid w:val="0"/>
        <w:spacing w:line="360" w:lineRule="auto"/>
        <w:ind w:firstLine="540"/>
        <w:rPr>
          <w:rFonts w:hint="default" w:ascii="仿宋" w:hAnsi="仿宋" w:eastAsia="仿宋" w:cs="仿宋"/>
          <w:color w:val="auto"/>
          <w:szCs w:val="21"/>
          <w:highlight w:val="none"/>
          <w:u w:val="single"/>
          <w:lang w:val="en-US"/>
        </w:rPr>
      </w:pPr>
      <w:r>
        <w:rPr>
          <w:rFonts w:hint="eastAsia" w:ascii="仿宋_GB2312" w:hAnsi="仿宋_GB2312" w:eastAsia="仿宋_GB2312" w:cs="仿宋_GB2312"/>
          <w:color w:val="auto"/>
          <w:szCs w:val="21"/>
          <w:highlight w:val="none"/>
        </w:rPr>
        <w:t>售价：</w:t>
      </w:r>
      <w:r>
        <w:rPr>
          <w:rFonts w:hint="eastAsia" w:ascii="仿宋_GB2312" w:hAnsi="仿宋_GB2312" w:eastAsia="仿宋_GB2312" w:cs="仿宋_GB2312"/>
          <w:color w:val="auto"/>
          <w:szCs w:val="21"/>
          <w:highlight w:val="none"/>
          <w:u w:val="single"/>
          <w:lang w:val="en-US" w:eastAsia="zh-CN"/>
        </w:rPr>
        <w:t>500元/本</w:t>
      </w:r>
      <w:r>
        <w:rPr>
          <w:rFonts w:hint="eastAsia" w:ascii="仿宋_GB2312" w:hAnsi="仿宋_GB2312" w:eastAsia="仿宋_GB2312" w:cs="仿宋_GB2312"/>
          <w:color w:val="auto"/>
          <w:szCs w:val="21"/>
          <w:highlight w:val="none"/>
          <w:u w:val="none"/>
          <w:lang w:val="en-US" w:eastAsia="zh-CN"/>
        </w:rPr>
        <w:t xml:space="preserve">  </w:t>
      </w:r>
      <w:r>
        <w:rPr>
          <w:rFonts w:hint="eastAsia" w:ascii="仿宋_GB2312" w:hAnsi="仿宋_GB2312" w:eastAsia="仿宋_GB2312" w:cs="仿宋_GB2312"/>
          <w:color w:val="auto"/>
          <w:szCs w:val="21"/>
          <w:highlight w:val="none"/>
        </w:rPr>
        <w:t>本公告包含的招标文件售价总和</w:t>
      </w:r>
    </w:p>
    <w:p w14:paraId="6AE32784">
      <w:pPr>
        <w:adjustRightInd w:val="0"/>
        <w:snapToGrid w:val="0"/>
        <w:spacing w:line="360" w:lineRule="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val="en-US" w:eastAsia="zh-CN"/>
        </w:rPr>
        <w:t>四</w:t>
      </w:r>
      <w:r>
        <w:rPr>
          <w:rFonts w:hint="eastAsia" w:ascii="仿宋_GB2312" w:hAnsi="仿宋_GB2312" w:eastAsia="仿宋_GB2312" w:cs="仿宋_GB2312"/>
          <w:b/>
          <w:bCs/>
          <w:color w:val="auto"/>
          <w:szCs w:val="21"/>
          <w:highlight w:val="none"/>
        </w:rPr>
        <w:t>、提交投标文件</w:t>
      </w:r>
      <w:bookmarkEnd w:id="15"/>
      <w:bookmarkEnd w:id="16"/>
      <w:r>
        <w:rPr>
          <w:rFonts w:hint="eastAsia" w:ascii="仿宋_GB2312" w:hAnsi="仿宋_GB2312" w:eastAsia="仿宋_GB2312" w:cs="仿宋_GB2312"/>
          <w:b/>
          <w:bCs/>
          <w:color w:val="auto"/>
          <w:szCs w:val="21"/>
          <w:highlight w:val="none"/>
        </w:rPr>
        <w:t>截止时间、开标时间和地点</w:t>
      </w:r>
      <w:bookmarkEnd w:id="17"/>
      <w:bookmarkEnd w:id="18"/>
    </w:p>
    <w:p w14:paraId="1368AE36">
      <w:pPr>
        <w:adjustRightInd w:val="0"/>
        <w:snapToGrid w:val="0"/>
        <w:spacing w:line="360" w:lineRule="auto"/>
        <w:ind w:firstLine="420" w:firstLineChars="2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u w:val="none"/>
          <w:lang w:val="en-US" w:eastAsia="zh-CN"/>
        </w:rPr>
        <w:t>提交投标文件截止时间：</w:t>
      </w:r>
      <w:r>
        <w:rPr>
          <w:rFonts w:hint="eastAsia" w:ascii="仿宋_GB2312" w:hAnsi="仿宋_GB2312" w:eastAsia="仿宋_GB2312" w:cs="仿宋_GB2312"/>
          <w:color w:val="auto"/>
          <w:kern w:val="0"/>
          <w:szCs w:val="21"/>
          <w:highlight w:val="none"/>
          <w:u w:val="single"/>
          <w:lang w:val="en-US" w:eastAsia="zh-CN"/>
        </w:rPr>
        <w:t>2024年08月21日09点00分</w:t>
      </w:r>
      <w:r>
        <w:rPr>
          <w:rFonts w:hint="eastAsia" w:ascii="仿宋_GB2312" w:hAnsi="仿宋_GB2312" w:eastAsia="仿宋_GB2312" w:cs="仿宋_GB2312"/>
          <w:bCs/>
          <w:color w:val="auto"/>
          <w:szCs w:val="21"/>
          <w:highlight w:val="none"/>
        </w:rPr>
        <w:t>（北京时间）</w:t>
      </w:r>
    </w:p>
    <w:p w14:paraId="4B29F68F">
      <w:pPr>
        <w:adjustRightInd w:val="0"/>
        <w:snapToGrid w:val="0"/>
        <w:spacing w:line="360" w:lineRule="auto"/>
        <w:ind w:firstLine="420" w:firstLineChars="200"/>
        <w:rPr>
          <w:rFonts w:hint="default" w:ascii="仿宋_GB2312" w:hAnsi="仿宋_GB2312" w:eastAsia="仿宋_GB2312" w:cs="仿宋_GB2312"/>
          <w:bCs/>
          <w:color w:val="auto"/>
          <w:szCs w:val="21"/>
          <w:highlight w:val="none"/>
          <w:lang w:val="en-US" w:eastAsia="zh-CN"/>
        </w:rPr>
      </w:pPr>
      <w:r>
        <w:rPr>
          <w:rFonts w:hint="eastAsia" w:ascii="仿宋_GB2312" w:hAnsi="仿宋_GB2312" w:eastAsia="仿宋_GB2312" w:cs="仿宋_GB2312"/>
          <w:bCs/>
          <w:color w:val="auto"/>
          <w:szCs w:val="21"/>
          <w:highlight w:val="none"/>
          <w:lang w:val="en-US" w:eastAsia="zh-CN"/>
        </w:rPr>
        <w:t>开标时间：</w:t>
      </w:r>
      <w:r>
        <w:rPr>
          <w:rFonts w:hint="eastAsia" w:ascii="仿宋_GB2312" w:hAnsi="仿宋_GB2312" w:eastAsia="仿宋_GB2312" w:cs="仿宋_GB2312"/>
          <w:color w:val="auto"/>
          <w:kern w:val="0"/>
          <w:szCs w:val="21"/>
          <w:highlight w:val="none"/>
          <w:u w:val="single"/>
          <w:lang w:val="en-US" w:eastAsia="zh-CN"/>
        </w:rPr>
        <w:t>2024年08月21日09点00分</w:t>
      </w:r>
      <w:r>
        <w:rPr>
          <w:rFonts w:hint="eastAsia" w:ascii="仿宋_GB2312" w:hAnsi="仿宋_GB2312" w:eastAsia="仿宋_GB2312" w:cs="仿宋_GB2312"/>
          <w:bCs/>
          <w:color w:val="auto"/>
          <w:szCs w:val="21"/>
          <w:highlight w:val="none"/>
        </w:rPr>
        <w:t>（北京时间）</w:t>
      </w:r>
    </w:p>
    <w:p w14:paraId="7BDE5502">
      <w:pPr>
        <w:adjustRightInd w:val="0"/>
        <w:snapToGrid w:val="0"/>
        <w:spacing w:line="360" w:lineRule="auto"/>
        <w:ind w:firstLine="420" w:firstLineChars="200"/>
        <w:rPr>
          <w:rFonts w:hint="eastAsia"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w:t>
      </w:r>
      <w:r>
        <w:rPr>
          <w:rFonts w:hint="eastAsia" w:ascii="仿宋" w:hAnsi="仿宋" w:cs="仿宋"/>
          <w:color w:val="auto"/>
          <w:szCs w:val="21"/>
          <w:highlight w:val="none"/>
          <w:u w:val="single"/>
          <w:lang w:eastAsia="zh-CN"/>
        </w:rPr>
        <w:t>辽宁恒吉招标代理有限公司</w:t>
      </w:r>
      <w:r>
        <w:rPr>
          <w:rFonts w:hint="eastAsia" w:ascii="仿宋" w:hAnsi="仿宋" w:eastAsia="仿宋" w:cs="仿宋_GB2312"/>
          <w:color w:val="auto"/>
          <w:szCs w:val="21"/>
          <w:highlight w:val="none"/>
          <w:u w:val="single"/>
        </w:rPr>
        <w:t>（</w:t>
      </w:r>
      <w:r>
        <w:rPr>
          <w:rFonts w:hint="eastAsia" w:ascii="仿宋" w:hAnsi="仿宋" w:cs="仿宋"/>
          <w:color w:val="auto"/>
          <w:szCs w:val="21"/>
          <w:highlight w:val="none"/>
          <w:u w:val="single"/>
        </w:rPr>
        <w:t>丹东市滨江中路97</w:t>
      </w:r>
      <w:bookmarkStart w:id="219" w:name="_GoBack"/>
      <w:bookmarkEnd w:id="219"/>
      <w:r>
        <w:rPr>
          <w:rFonts w:hint="eastAsia" w:ascii="仿宋" w:hAnsi="仿宋" w:cs="仿宋"/>
          <w:color w:val="auto"/>
          <w:szCs w:val="21"/>
          <w:highlight w:val="none"/>
          <w:u w:val="single"/>
        </w:rPr>
        <w:t>号绿江华府A座1单元1楼-路口临江门市</w:t>
      </w:r>
      <w:r>
        <w:rPr>
          <w:rFonts w:hint="eastAsia" w:ascii="仿宋" w:hAnsi="仿宋" w:eastAsia="仿宋" w:cs="仿宋_GB2312"/>
          <w:color w:val="auto"/>
          <w:szCs w:val="21"/>
          <w:highlight w:val="none"/>
          <w:u w:val="single"/>
        </w:rPr>
        <w:t>）</w:t>
      </w:r>
    </w:p>
    <w:p w14:paraId="1C6560E0">
      <w:pPr>
        <w:adjustRightInd w:val="0"/>
        <w:snapToGrid w:val="0"/>
        <w:spacing w:line="360" w:lineRule="auto"/>
        <w:rPr>
          <w:rFonts w:hint="eastAsia" w:ascii="仿宋_GB2312" w:hAnsi="仿宋_GB2312" w:eastAsia="仿宋_GB2312" w:cs="仿宋_GB2312"/>
          <w:b/>
          <w:bCs/>
          <w:color w:val="auto"/>
          <w:szCs w:val="21"/>
        </w:rPr>
      </w:pPr>
      <w:bookmarkStart w:id="19" w:name="_Toc28359007"/>
      <w:bookmarkStart w:id="20" w:name="_Toc28359084"/>
      <w:bookmarkStart w:id="21" w:name="_Toc35393625"/>
      <w:bookmarkStart w:id="22" w:name="_Toc35393794"/>
      <w:r>
        <w:rPr>
          <w:rFonts w:hint="eastAsia" w:ascii="仿宋_GB2312" w:hAnsi="仿宋_GB2312" w:eastAsia="仿宋_GB2312" w:cs="仿宋_GB2312"/>
          <w:b/>
          <w:bCs/>
          <w:color w:val="auto"/>
          <w:szCs w:val="21"/>
          <w:lang w:val="en-US" w:eastAsia="zh-CN"/>
        </w:rPr>
        <w:t>五</w:t>
      </w:r>
      <w:r>
        <w:rPr>
          <w:rFonts w:hint="eastAsia" w:ascii="仿宋_GB2312" w:hAnsi="仿宋_GB2312" w:eastAsia="仿宋_GB2312" w:cs="仿宋_GB2312"/>
          <w:b/>
          <w:bCs/>
          <w:color w:val="auto"/>
          <w:szCs w:val="21"/>
        </w:rPr>
        <w:t>、公告期限</w:t>
      </w:r>
      <w:bookmarkEnd w:id="19"/>
      <w:bookmarkEnd w:id="20"/>
      <w:bookmarkEnd w:id="21"/>
      <w:bookmarkEnd w:id="22"/>
    </w:p>
    <w:p w14:paraId="58140BF4">
      <w:pPr>
        <w:adjustRightInd w:val="0"/>
        <w:snapToGrid w:val="0"/>
        <w:spacing w:line="360" w:lineRule="auto"/>
        <w:ind w:firstLine="420" w:firstLineChars="20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自本公告发布之日起5个工作日。</w:t>
      </w:r>
    </w:p>
    <w:p w14:paraId="44B616EB">
      <w:pPr>
        <w:adjustRightInd w:val="0"/>
        <w:snapToGrid w:val="0"/>
        <w:spacing w:line="360" w:lineRule="auto"/>
        <w:rPr>
          <w:rFonts w:hint="eastAsia" w:ascii="仿宋_GB2312" w:hAnsi="仿宋_GB2312" w:eastAsia="仿宋_GB2312" w:cs="仿宋_GB2312"/>
          <w:b/>
          <w:bCs/>
          <w:color w:val="auto"/>
          <w:szCs w:val="21"/>
        </w:rPr>
      </w:pPr>
      <w:bookmarkStart w:id="23" w:name="_Toc35393795"/>
      <w:bookmarkStart w:id="24" w:name="_Toc35393626"/>
      <w:r>
        <w:rPr>
          <w:rFonts w:hint="eastAsia" w:ascii="仿宋_GB2312" w:hAnsi="仿宋_GB2312" w:eastAsia="仿宋_GB2312" w:cs="仿宋_GB2312"/>
          <w:b/>
          <w:bCs/>
          <w:color w:val="auto"/>
          <w:szCs w:val="21"/>
          <w:lang w:val="en-US" w:eastAsia="zh-CN"/>
        </w:rPr>
        <w:t>六</w:t>
      </w:r>
      <w:r>
        <w:rPr>
          <w:rFonts w:hint="eastAsia" w:ascii="仿宋_GB2312" w:hAnsi="仿宋_GB2312" w:eastAsia="仿宋_GB2312" w:cs="仿宋_GB2312"/>
          <w:b/>
          <w:bCs/>
          <w:color w:val="auto"/>
          <w:szCs w:val="21"/>
        </w:rPr>
        <w:t>、其他补充事宜</w:t>
      </w:r>
      <w:bookmarkEnd w:id="23"/>
      <w:bookmarkEnd w:id="24"/>
    </w:p>
    <w:p w14:paraId="60F35FFD">
      <w:pPr>
        <w:pStyle w:val="32"/>
        <w:adjustRightInd w:val="0"/>
        <w:snapToGrid w:val="0"/>
        <w:spacing w:line="360" w:lineRule="auto"/>
        <w:ind w:left="495" w:firstLine="0" w:firstLineChars="0"/>
        <w:rPr>
          <w:rFonts w:hint="eastAsia" w:ascii="仿宋" w:hAnsi="仿宋" w:eastAsia="仿宋" w:cs="仿宋_GB2312"/>
          <w:color w:val="auto"/>
          <w:szCs w:val="21"/>
        </w:rPr>
      </w:pPr>
      <w:r>
        <w:rPr>
          <w:rFonts w:hint="eastAsia" w:ascii="仿宋_GB2312" w:hAnsi="仿宋_GB2312" w:eastAsia="仿宋_GB2312" w:cs="仿宋_GB2312"/>
          <w:color w:val="auto"/>
          <w:kern w:val="0"/>
          <w:szCs w:val="21"/>
          <w:lang w:val="en-US" w:eastAsia="zh-CN"/>
        </w:rPr>
        <w:t>申领</w:t>
      </w:r>
      <w:r>
        <w:rPr>
          <w:rFonts w:hint="eastAsia" w:ascii="仿宋_GB2312" w:hAnsi="仿宋_GB2312" w:eastAsia="仿宋_GB2312" w:cs="仿宋_GB2312"/>
          <w:color w:val="auto"/>
          <w:kern w:val="0"/>
          <w:szCs w:val="21"/>
        </w:rPr>
        <w:t>文件</w:t>
      </w:r>
      <w:r>
        <w:rPr>
          <w:rFonts w:hint="eastAsia" w:ascii="仿宋_GB2312" w:hAnsi="仿宋_GB2312" w:eastAsia="仿宋_GB2312" w:cs="仿宋_GB2312"/>
          <w:color w:val="auto"/>
          <w:kern w:val="0"/>
          <w:szCs w:val="21"/>
          <w:lang w:val="en-US" w:eastAsia="zh-CN"/>
        </w:rPr>
        <w:t>时需提供</w:t>
      </w:r>
      <w:r>
        <w:rPr>
          <w:rFonts w:hint="eastAsia" w:ascii="仿宋_GB2312" w:hAnsi="仿宋_GB2312" w:eastAsia="仿宋_GB2312" w:cs="仿宋_GB2312"/>
          <w:color w:val="auto"/>
          <w:kern w:val="0"/>
          <w:szCs w:val="21"/>
        </w:rPr>
        <w:t>：</w:t>
      </w:r>
      <w:r>
        <w:rPr>
          <w:rFonts w:hint="eastAsia" w:ascii="仿宋" w:hAnsi="仿宋" w:eastAsia="仿宋" w:cs="仿宋_GB2312"/>
          <w:color w:val="auto"/>
          <w:szCs w:val="21"/>
        </w:rPr>
        <w:t>1、法人或者其他组织的营业执照等主体证明文件或自然人的身份证明复印件（自然人身份证明仅限在自然人作为响应主体时使用）；2、法定代表人（或非法人组织负责人）身份证明书原件（自然人作为响应主体时不需提供）；3、授权委托书原件（法定代表人、非法人组织负责人、自然人本人购买采购文件的无需提供）；</w:t>
      </w:r>
    </w:p>
    <w:p w14:paraId="797A2EED">
      <w:pPr>
        <w:pStyle w:val="32"/>
        <w:adjustRightInd w:val="0"/>
        <w:snapToGrid w:val="0"/>
        <w:spacing w:line="360" w:lineRule="auto"/>
        <w:ind w:left="495" w:firstLine="0" w:firstLineChars="0"/>
        <w:rPr>
          <w:rFonts w:hint="eastAsia" w:ascii="仿宋" w:hAnsi="仿宋" w:eastAsia="仿宋" w:cs="仿宋_GB2312"/>
          <w:color w:val="auto"/>
          <w:szCs w:val="21"/>
        </w:rPr>
      </w:pPr>
      <w:r>
        <w:rPr>
          <w:rFonts w:hint="eastAsia" w:ascii="仿宋" w:hAnsi="仿宋" w:eastAsia="仿宋" w:cs="仿宋_GB2312"/>
          <w:color w:val="auto"/>
          <w:szCs w:val="21"/>
          <w:lang w:val="en-US" w:eastAsia="zh-CN"/>
        </w:rPr>
        <w:t>注：上述材料仅作为发放采购文件的依据，对符合要求的发放采购文件，对未按照要求递交资料或递交资料不满足要求的不予发放采购文件，具体资格符合情况以评标时评审委员会认定为准。</w:t>
      </w:r>
    </w:p>
    <w:p w14:paraId="24FC7DDA">
      <w:pPr>
        <w:adjustRightInd w:val="0"/>
        <w:snapToGrid w:val="0"/>
        <w:spacing w:line="360" w:lineRule="auto"/>
        <w:rPr>
          <w:rFonts w:hint="eastAsia" w:ascii="仿宋_GB2312" w:hAnsi="仿宋_GB2312" w:eastAsia="仿宋_GB2312" w:cs="仿宋_GB2312"/>
          <w:b/>
          <w:bCs/>
          <w:color w:val="auto"/>
          <w:szCs w:val="21"/>
          <w:lang w:val="en-US" w:eastAsia="zh-CN"/>
        </w:rPr>
      </w:pPr>
      <w:bookmarkStart w:id="25" w:name="_Toc35393627"/>
      <w:bookmarkStart w:id="26" w:name="_Toc28359085"/>
      <w:bookmarkStart w:id="27" w:name="_Toc28359008"/>
      <w:bookmarkStart w:id="28" w:name="_Toc35393796"/>
      <w:r>
        <w:rPr>
          <w:rFonts w:hint="eastAsia" w:ascii="仿宋_GB2312" w:hAnsi="仿宋_GB2312" w:eastAsia="仿宋_GB2312" w:cs="仿宋_GB2312"/>
          <w:b/>
          <w:bCs/>
          <w:color w:val="auto"/>
          <w:szCs w:val="21"/>
          <w:lang w:val="en-US" w:eastAsia="zh-CN"/>
        </w:rPr>
        <w:t>七、对本次招标提出询问，请按以下方式联系。</w:t>
      </w:r>
      <w:bookmarkEnd w:id="25"/>
      <w:bookmarkEnd w:id="26"/>
      <w:bookmarkEnd w:id="27"/>
      <w:bookmarkEnd w:id="28"/>
    </w:p>
    <w:p w14:paraId="2F98E120">
      <w:pPr>
        <w:adjustRightInd w:val="0"/>
        <w:snapToGrid w:val="0"/>
        <w:spacing w:line="360" w:lineRule="auto"/>
        <w:ind w:left="495" w:firstLine="210" w:firstLineChars="1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信息</w:t>
      </w:r>
    </w:p>
    <w:p w14:paraId="62B36637">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名称：</w:t>
      </w:r>
      <w:r>
        <w:rPr>
          <w:rFonts w:hint="eastAsia" w:ascii="仿宋_GB2312" w:hAnsi="仿宋_GB2312" w:eastAsia="仿宋_GB2312" w:cs="仿宋_GB2312"/>
          <w:color w:val="auto"/>
          <w:kern w:val="0"/>
          <w:szCs w:val="21"/>
          <w:u w:val="single"/>
          <w:lang w:val="en-US"/>
        </w:rPr>
        <w:t>丹东市消防救援支队</w:t>
      </w:r>
    </w:p>
    <w:p w14:paraId="08414F78">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地址：</w:t>
      </w:r>
      <w:r>
        <w:rPr>
          <w:rFonts w:hint="eastAsia" w:ascii="仿宋_GB2312" w:hAnsi="仿宋_GB2312" w:eastAsia="仿宋_GB2312" w:cs="仿宋_GB2312"/>
          <w:color w:val="auto"/>
          <w:kern w:val="0"/>
          <w:szCs w:val="21"/>
          <w:u w:val="single"/>
        </w:rPr>
        <w:fldChar w:fldCharType="begin"/>
      </w:r>
      <w:r>
        <w:rPr>
          <w:rFonts w:hint="eastAsia" w:ascii="仿宋_GB2312" w:hAnsi="仿宋_GB2312" w:eastAsia="仿宋_GB2312" w:cs="仿宋_GB2312"/>
          <w:color w:val="auto"/>
          <w:kern w:val="0"/>
          <w:szCs w:val="21"/>
          <w:u w:val="single"/>
        </w:rPr>
        <w:instrText xml:space="preserve"> HYPERLINK "https://ditu.so.com/?pid=db8ddcdcf75bfbad&amp;src=onebox" \t "https://www.so.com/_blank" </w:instrText>
      </w:r>
      <w:r>
        <w:rPr>
          <w:rFonts w:hint="eastAsia" w:ascii="仿宋_GB2312" w:hAnsi="仿宋_GB2312" w:eastAsia="仿宋_GB2312" w:cs="仿宋_GB2312"/>
          <w:color w:val="auto"/>
          <w:kern w:val="0"/>
          <w:szCs w:val="21"/>
          <w:u w:val="single"/>
        </w:rPr>
        <w:fldChar w:fldCharType="separate"/>
      </w:r>
      <w:r>
        <w:rPr>
          <w:rFonts w:hint="eastAsia" w:ascii="仿宋_GB2312" w:hAnsi="仿宋_GB2312" w:eastAsia="仿宋_GB2312" w:cs="仿宋_GB2312"/>
          <w:color w:val="auto"/>
          <w:kern w:val="0"/>
          <w:szCs w:val="21"/>
          <w:u w:val="single"/>
        </w:rPr>
        <w:t>丹东市振安区临江后街11号</w:t>
      </w:r>
      <w:r>
        <w:rPr>
          <w:rFonts w:hint="eastAsia" w:ascii="仿宋_GB2312" w:hAnsi="仿宋_GB2312" w:eastAsia="仿宋_GB2312" w:cs="仿宋_GB2312"/>
          <w:color w:val="auto"/>
          <w:kern w:val="0"/>
          <w:szCs w:val="21"/>
          <w:u w:val="single"/>
        </w:rPr>
        <w:fldChar w:fldCharType="end"/>
      </w:r>
    </w:p>
    <w:p w14:paraId="69844DE1">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联系方式</w:t>
      </w:r>
      <w:r>
        <w:rPr>
          <w:rFonts w:hint="eastAsia" w:ascii="仿宋_GB2312" w:hAnsi="仿宋_GB2312" w:eastAsia="仿宋_GB2312" w:cs="仿宋_GB2312"/>
          <w:color w:val="auto"/>
          <w:kern w:val="0"/>
          <w:szCs w:val="21"/>
          <w:lang w:eastAsia="zh-CN"/>
        </w:rPr>
        <w:t>：</w:t>
      </w:r>
      <w:r>
        <w:rPr>
          <w:rFonts w:hint="eastAsia" w:ascii="仿宋_GB2312" w:hAnsi="仿宋_GB2312" w:eastAsia="仿宋_GB2312" w:cs="仿宋_GB2312"/>
          <w:color w:val="auto"/>
          <w:kern w:val="0"/>
          <w:szCs w:val="21"/>
          <w:u w:val="single"/>
          <w:lang w:val="en-US" w:eastAsia="zh-CN"/>
        </w:rPr>
        <w:t>赵干事0415-2891033</w:t>
      </w:r>
    </w:p>
    <w:p w14:paraId="2E74031A">
      <w:pPr>
        <w:adjustRightInd w:val="0"/>
        <w:snapToGrid w:val="0"/>
        <w:spacing w:line="360" w:lineRule="auto"/>
        <w:ind w:left="495" w:firstLine="210" w:firstLineChars="100"/>
        <w:rPr>
          <w:rFonts w:hint="eastAsia" w:ascii="仿宋" w:hAnsi="仿宋" w:eastAsia="仿宋" w:cs="仿宋"/>
          <w:color w:val="auto"/>
          <w:szCs w:val="21"/>
        </w:rPr>
      </w:pPr>
      <w:r>
        <w:rPr>
          <w:rFonts w:hint="eastAsia" w:ascii="仿宋" w:hAnsi="仿宋" w:eastAsia="仿宋" w:cs="仿宋"/>
          <w:color w:val="auto"/>
          <w:szCs w:val="21"/>
        </w:rPr>
        <w:t>2.采购代理机构信息</w:t>
      </w:r>
    </w:p>
    <w:p w14:paraId="138B136A">
      <w:pPr>
        <w:adjustRightInd w:val="0"/>
        <w:snapToGrid w:val="0"/>
        <w:spacing w:line="360" w:lineRule="auto"/>
        <w:ind w:firstLine="630" w:firstLineChars="300"/>
        <w:rPr>
          <w:rFonts w:hint="eastAsia" w:ascii="仿宋" w:hAnsi="仿宋" w:eastAsia="仿宋" w:cs="仿宋"/>
          <w:bCs/>
          <w:color w:val="auto"/>
          <w:szCs w:val="21"/>
          <w:highlight w:val="none"/>
          <w:lang w:eastAsia="zh-CN"/>
        </w:rPr>
      </w:pPr>
      <w:bookmarkStart w:id="29" w:name="_Toc9614"/>
      <w:bookmarkStart w:id="30" w:name="_Toc26518_WPSOffice_Level1"/>
      <w:r>
        <w:rPr>
          <w:rFonts w:hint="eastAsia" w:ascii="仿宋" w:hAnsi="仿宋" w:eastAsia="仿宋" w:cs="仿宋"/>
          <w:bCs/>
          <w:color w:val="auto"/>
          <w:szCs w:val="21"/>
          <w:highlight w:val="none"/>
        </w:rPr>
        <w:t>名称：</w:t>
      </w:r>
      <w:r>
        <w:rPr>
          <w:rFonts w:hint="eastAsia" w:ascii="仿宋" w:hAnsi="仿宋" w:cs="仿宋"/>
          <w:color w:val="auto"/>
          <w:szCs w:val="21"/>
          <w:highlight w:val="none"/>
          <w:u w:val="single"/>
          <w:lang w:eastAsia="zh-CN"/>
        </w:rPr>
        <w:t>辽宁恒吉招标代理有限公司</w:t>
      </w:r>
    </w:p>
    <w:p w14:paraId="50C047E3">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地址：</w:t>
      </w:r>
      <w:r>
        <w:rPr>
          <w:rFonts w:hint="eastAsia" w:ascii="仿宋" w:hAnsi="仿宋" w:cs="仿宋"/>
          <w:color w:val="auto"/>
          <w:szCs w:val="21"/>
          <w:highlight w:val="none"/>
          <w:u w:val="single"/>
        </w:rPr>
        <w:t>丹东市滨江中路97号绿江华府A座1单元1楼-路口临江门市</w:t>
      </w:r>
      <w:r>
        <w:rPr>
          <w:rFonts w:ascii="仿宋_GB2312" w:hAnsi="仿宋_GB2312" w:eastAsia="仿宋_GB2312" w:cs="仿宋_GB2312"/>
          <w:color w:val="auto"/>
          <w:szCs w:val="21"/>
          <w:highlight w:val="none"/>
          <w:u w:val="single"/>
        </w:rPr>
        <w:t>　</w:t>
      </w:r>
    </w:p>
    <w:p w14:paraId="1F9B937B">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联系方式：</w:t>
      </w:r>
      <w:r>
        <w:rPr>
          <w:rFonts w:hint="eastAsia" w:ascii="仿宋" w:hAnsi="仿宋" w:eastAsia="仿宋_GB2312" w:cs="仿宋"/>
          <w:color w:val="auto"/>
          <w:szCs w:val="21"/>
          <w:highlight w:val="none"/>
          <w:u w:val="single"/>
          <w:lang w:eastAsia="zh-CN"/>
        </w:rPr>
        <w:t>18204155586</w:t>
      </w:r>
      <w:r>
        <w:rPr>
          <w:rFonts w:ascii="仿宋_GB2312" w:hAnsi="仿宋_GB2312" w:eastAsia="仿宋_GB2312" w:cs="仿宋_GB2312"/>
          <w:color w:val="auto"/>
          <w:szCs w:val="21"/>
          <w:highlight w:val="none"/>
          <w:u w:val="single"/>
        </w:rPr>
        <w:t>　　</w:t>
      </w:r>
    </w:p>
    <w:p w14:paraId="2315FF3B">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邮箱地址：</w:t>
      </w:r>
      <w:r>
        <w:rPr>
          <w:rFonts w:hint="eastAsia" w:ascii="仿宋" w:hAnsi="仿宋" w:eastAsia="仿宋_GB2312" w:cs="仿宋"/>
          <w:color w:val="auto"/>
          <w:szCs w:val="21"/>
          <w:highlight w:val="none"/>
          <w:u w:val="single"/>
          <w:lang w:eastAsia="zh-CN"/>
        </w:rPr>
        <w:t>18204155586@163.com</w:t>
      </w:r>
      <w:r>
        <w:rPr>
          <w:rFonts w:ascii="仿宋_GB2312" w:hAnsi="仿宋_GB2312" w:eastAsia="仿宋_GB2312" w:cs="仿宋_GB2312"/>
          <w:color w:val="auto"/>
          <w:szCs w:val="21"/>
          <w:highlight w:val="none"/>
          <w:u w:val="single"/>
        </w:rPr>
        <w:t>　　　</w:t>
      </w:r>
    </w:p>
    <w:p w14:paraId="39722B10">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开户行：</w:t>
      </w:r>
      <w:r>
        <w:rPr>
          <w:rFonts w:hint="eastAsia" w:ascii="仿宋" w:hAnsi="仿宋" w:cs="仿宋"/>
          <w:bCs/>
          <w:color w:val="auto"/>
          <w:szCs w:val="21"/>
          <w:highlight w:val="none"/>
          <w:u w:val="single"/>
        </w:rPr>
        <w:t>丹东银行滨江支行</w:t>
      </w:r>
      <w:r>
        <w:rPr>
          <w:rFonts w:ascii="仿宋_GB2312" w:hAnsi="仿宋_GB2312" w:eastAsia="仿宋_GB2312" w:cs="仿宋_GB2312"/>
          <w:color w:val="auto"/>
          <w:szCs w:val="21"/>
          <w:highlight w:val="none"/>
          <w:u w:val="single"/>
        </w:rPr>
        <w:t>　　　</w:t>
      </w:r>
    </w:p>
    <w:p w14:paraId="1BDE350D">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账户名称：</w:t>
      </w:r>
      <w:r>
        <w:rPr>
          <w:rFonts w:hint="eastAsia" w:ascii="仿宋" w:hAnsi="仿宋" w:cs="仿宋"/>
          <w:color w:val="auto"/>
          <w:szCs w:val="21"/>
          <w:highlight w:val="none"/>
          <w:u w:val="single"/>
        </w:rPr>
        <w:t>辽宁恒吉招标代理有限公司</w:t>
      </w:r>
      <w:r>
        <w:rPr>
          <w:rFonts w:ascii="仿宋_GB2312" w:hAnsi="仿宋_GB2312" w:eastAsia="仿宋_GB2312" w:cs="仿宋_GB2312"/>
          <w:color w:val="auto"/>
          <w:szCs w:val="21"/>
          <w:highlight w:val="none"/>
          <w:u w:val="single"/>
        </w:rPr>
        <w:t>　　　</w:t>
      </w:r>
    </w:p>
    <w:p w14:paraId="1B10344D">
      <w:pPr>
        <w:adjustRightInd w:val="0"/>
        <w:snapToGrid w:val="0"/>
        <w:spacing w:line="360" w:lineRule="auto"/>
        <w:ind w:firstLine="630" w:firstLineChars="300"/>
        <w:rPr>
          <w:rFonts w:hint="eastAsia" w:ascii="仿宋" w:hAnsi="仿宋" w:cs="宋体"/>
          <w:bCs/>
          <w:color w:val="auto"/>
          <w:szCs w:val="21"/>
          <w:highlight w:val="none"/>
        </w:rPr>
      </w:pPr>
      <w:r>
        <w:rPr>
          <w:rFonts w:hint="eastAsia" w:ascii="仿宋_GB2312" w:hAnsi="仿宋_GB2312" w:eastAsia="仿宋_GB2312" w:cs="仿宋_GB2312"/>
          <w:bCs/>
          <w:color w:val="auto"/>
          <w:szCs w:val="21"/>
          <w:highlight w:val="none"/>
        </w:rPr>
        <w:t>账号：</w:t>
      </w:r>
      <w:r>
        <w:rPr>
          <w:rFonts w:hint="eastAsia" w:ascii="仿宋" w:hAnsi="仿宋" w:cs="仿宋"/>
          <w:color w:val="auto"/>
          <w:szCs w:val="21"/>
          <w:highlight w:val="none"/>
          <w:u w:val="single"/>
        </w:rPr>
        <w:t>01111000000281</w:t>
      </w:r>
      <w:r>
        <w:rPr>
          <w:rFonts w:ascii="仿宋_GB2312" w:hAnsi="仿宋_GB2312" w:eastAsia="仿宋_GB2312" w:cs="仿宋_GB2312"/>
          <w:color w:val="auto"/>
          <w:szCs w:val="21"/>
          <w:highlight w:val="none"/>
          <w:u w:val="single"/>
        </w:rPr>
        <w:t>　　　</w:t>
      </w:r>
    </w:p>
    <w:p w14:paraId="10DAA805">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3.项目联系方式</w:t>
      </w:r>
    </w:p>
    <w:p w14:paraId="7B262FE7">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项目联系人：</w:t>
      </w:r>
      <w:r>
        <w:rPr>
          <w:rFonts w:hint="eastAsia" w:ascii="仿宋_GB2312" w:hAnsi="仿宋_GB2312" w:eastAsia="仿宋_GB2312" w:cs="仿宋_GB2312"/>
          <w:color w:val="auto"/>
          <w:szCs w:val="21"/>
          <w:highlight w:val="none"/>
          <w:u w:val="single"/>
        </w:rPr>
        <w:t xml:space="preserve">吕秀萍 </w:t>
      </w:r>
    </w:p>
    <w:p w14:paraId="466A6CAA">
      <w:pPr>
        <w:ind w:firstLine="630" w:firstLineChars="300"/>
        <w:rPr>
          <w:rFonts w:hint="eastAsia" w:ascii="仿宋_GB2312" w:hAnsi="仿宋_GB2312" w:eastAsia="仿宋_GB2312" w:cs="仿宋_GB2312"/>
          <w:color w:val="auto"/>
          <w:lang w:eastAsia="zh-CN"/>
        </w:rPr>
      </w:pPr>
      <w:r>
        <w:rPr>
          <w:rFonts w:ascii="仿宋_GB2312" w:hAnsi="仿宋_GB2312" w:eastAsia="仿宋_GB2312" w:cs="仿宋_GB2312"/>
          <w:color w:val="auto"/>
          <w:szCs w:val="21"/>
          <w:highlight w:val="none"/>
        </w:rPr>
        <w:t>电　话：</w:t>
      </w:r>
      <w:r>
        <w:rPr>
          <w:rFonts w:hint="eastAsia" w:ascii="仿宋" w:hAnsi="仿宋" w:eastAsia="仿宋_GB2312" w:cs="仿宋"/>
          <w:color w:val="auto"/>
          <w:szCs w:val="21"/>
          <w:highlight w:val="none"/>
          <w:u w:val="single"/>
          <w:lang w:eastAsia="zh-CN"/>
        </w:rPr>
        <w:t>18204155586</w:t>
      </w:r>
    </w:p>
    <w:p w14:paraId="4FD6CE65">
      <w:pPr>
        <w:pStyle w:val="2"/>
        <w:snapToGrid w:val="0"/>
        <w:spacing w:before="312" w:beforeLines="100" w:after="312" w:afterLines="100" w:line="360" w:lineRule="auto"/>
        <w:rPr>
          <w:rFonts w:ascii="仿宋_GB2312" w:hAnsi="仿宋_GB2312" w:eastAsia="仿宋_GB2312" w:cs="仿宋_GB2312"/>
          <w:color w:val="auto"/>
        </w:rPr>
      </w:pPr>
      <w:r>
        <w:rPr>
          <w:rFonts w:hint="eastAsia" w:ascii="仿宋_GB2312" w:hAnsi="仿宋_GB2312" w:eastAsia="仿宋_GB2312" w:cs="仿宋_GB2312"/>
          <w:color w:val="auto"/>
        </w:rPr>
        <w:br w:type="page"/>
      </w:r>
      <w:r>
        <w:rPr>
          <w:rFonts w:hint="eastAsia" w:ascii="仿宋_GB2312" w:hAnsi="仿宋_GB2312" w:eastAsia="仿宋_GB2312" w:cs="仿宋_GB2312"/>
          <w:color w:val="auto"/>
        </w:rPr>
        <w:t>第一章 投标人须知</w:t>
      </w:r>
      <w:bookmarkEnd w:id="29"/>
      <w:bookmarkEnd w:id="30"/>
    </w:p>
    <w:p w14:paraId="7BF20B93">
      <w:pPr>
        <w:pStyle w:val="3"/>
        <w:adjustRightInd w:val="0"/>
        <w:snapToGrid w:val="0"/>
        <w:spacing w:before="0" w:after="0" w:line="360" w:lineRule="auto"/>
        <w:rPr>
          <w:rFonts w:ascii="仿宋_GB2312" w:hAnsi="仿宋_GB2312" w:eastAsia="仿宋_GB2312" w:cs="仿宋_GB2312"/>
          <w:color w:val="auto"/>
          <w:sz w:val="32"/>
          <w:szCs w:val="36"/>
        </w:rPr>
      </w:pPr>
      <w:bookmarkStart w:id="31" w:name="_Toc18613_WPSOffice_Level2"/>
      <w:r>
        <w:rPr>
          <w:rFonts w:hint="eastAsia" w:ascii="仿宋_GB2312" w:hAnsi="仿宋_GB2312" w:eastAsia="仿宋_GB2312" w:cs="仿宋_GB2312"/>
          <w:color w:val="auto"/>
          <w:sz w:val="32"/>
          <w:szCs w:val="36"/>
        </w:rPr>
        <w:t>一 投标人须知表</w:t>
      </w:r>
      <w:bookmarkEnd w:id="31"/>
    </w:p>
    <w:tbl>
      <w:tblPr>
        <w:tblStyle w:val="18"/>
        <w:tblW w:w="8656" w:type="dxa"/>
        <w:tblInd w:w="0" w:type="dxa"/>
        <w:tblLayout w:type="fixed"/>
        <w:tblCellMar>
          <w:top w:w="0" w:type="dxa"/>
          <w:left w:w="108" w:type="dxa"/>
          <w:bottom w:w="0" w:type="dxa"/>
          <w:right w:w="108" w:type="dxa"/>
        </w:tblCellMar>
      </w:tblPr>
      <w:tblGrid>
        <w:gridCol w:w="852"/>
        <w:gridCol w:w="1917"/>
        <w:gridCol w:w="5887"/>
      </w:tblGrid>
      <w:tr w14:paraId="119D319E">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noWrap w:val="0"/>
            <w:vAlign w:val="center"/>
          </w:tcPr>
          <w:p w14:paraId="1F989821">
            <w:pPr>
              <w:widowControl/>
              <w:jc w:val="center"/>
              <w:rPr>
                <w:rFonts w:ascii="仿宋_GB2312" w:hAnsi="仿宋_GB2312" w:eastAsia="仿宋_GB2312" w:cs="仿宋_GB2312"/>
                <w:color w:val="auto"/>
                <w:kern w:val="0"/>
                <w:szCs w:val="21"/>
              </w:rPr>
            </w:pPr>
            <w:bookmarkStart w:id="32" w:name="sys_招标项目基本内容及要求其他：Block"/>
            <w:bookmarkEnd w:id="32"/>
            <w:bookmarkStart w:id="33" w:name="招标项目基本内容及要求：Block"/>
            <w:bookmarkEnd w:id="33"/>
            <w:bookmarkStart w:id="34" w:name="招标项目基本内容及要求其他：Block"/>
            <w:bookmarkEnd w:id="34"/>
            <w:bookmarkStart w:id="35" w:name="sys_招标项目基本内容及要求：Block"/>
            <w:bookmarkEnd w:id="35"/>
            <w:r>
              <w:rPr>
                <w:rFonts w:hint="eastAsia" w:ascii="仿宋_GB2312" w:hAnsi="仿宋_GB2312" w:eastAsia="仿宋_GB2312" w:cs="仿宋_GB2312"/>
                <w:color w:val="auto"/>
                <w:kern w:val="0"/>
                <w:szCs w:val="21"/>
              </w:rPr>
              <w:t>条款号</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BB3005B">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项   目</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FF0534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内     容</w:t>
            </w:r>
          </w:p>
        </w:tc>
      </w:tr>
      <w:tr w14:paraId="5CD0DB17">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6EB125A">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CC6E616">
            <w:pPr>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招标人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2E49682F">
            <w:pPr>
              <w:widowControl/>
              <w:jc w:val="left"/>
              <w:rPr>
                <w:rFonts w:hint="eastAsia"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名  称：</w:t>
            </w:r>
            <w:r>
              <w:rPr>
                <w:rFonts w:hint="eastAsia" w:ascii="仿宋_GB2312" w:hAnsi="仿宋_GB2312" w:eastAsia="仿宋_GB2312" w:cs="仿宋_GB2312"/>
                <w:color w:val="auto"/>
                <w:kern w:val="0"/>
                <w:szCs w:val="21"/>
                <w:u w:val="single"/>
                <w:lang w:val="en-US"/>
              </w:rPr>
              <w:t>丹东市消防救援支队</w:t>
            </w:r>
          </w:p>
          <w:p w14:paraId="4AEA81D1">
            <w:pPr>
              <w:widowControl/>
              <w:jc w:val="left"/>
              <w:rPr>
                <w:rFonts w:hint="eastAsia"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地  址：</w:t>
            </w:r>
            <w:r>
              <w:rPr>
                <w:rFonts w:hint="eastAsia" w:ascii="仿宋_GB2312" w:hAnsi="仿宋_GB2312" w:eastAsia="仿宋_GB2312" w:cs="仿宋_GB2312"/>
                <w:color w:val="auto"/>
                <w:kern w:val="0"/>
                <w:szCs w:val="21"/>
                <w:u w:val="single"/>
              </w:rPr>
              <w:fldChar w:fldCharType="begin"/>
            </w:r>
            <w:r>
              <w:rPr>
                <w:rFonts w:hint="eastAsia" w:ascii="仿宋_GB2312" w:hAnsi="仿宋_GB2312" w:eastAsia="仿宋_GB2312" w:cs="仿宋_GB2312"/>
                <w:color w:val="auto"/>
                <w:kern w:val="0"/>
                <w:szCs w:val="21"/>
                <w:u w:val="single"/>
              </w:rPr>
              <w:instrText xml:space="preserve"> HYPERLINK "https://ditu.so.com/?pid=db8ddcdcf75bfbad&amp;src=onebox" \t "https://www.so.com/_blank" </w:instrText>
            </w:r>
            <w:r>
              <w:rPr>
                <w:rFonts w:hint="eastAsia" w:ascii="仿宋_GB2312" w:hAnsi="仿宋_GB2312" w:eastAsia="仿宋_GB2312" w:cs="仿宋_GB2312"/>
                <w:color w:val="auto"/>
                <w:kern w:val="0"/>
                <w:szCs w:val="21"/>
                <w:u w:val="single"/>
              </w:rPr>
              <w:fldChar w:fldCharType="separate"/>
            </w:r>
            <w:r>
              <w:rPr>
                <w:rFonts w:hint="eastAsia" w:ascii="仿宋_GB2312" w:hAnsi="仿宋_GB2312" w:eastAsia="仿宋_GB2312" w:cs="仿宋_GB2312"/>
                <w:color w:val="auto"/>
                <w:kern w:val="0"/>
                <w:szCs w:val="21"/>
                <w:u w:val="single"/>
              </w:rPr>
              <w:t>丹东市振安区临江后街11号</w:t>
            </w:r>
            <w:r>
              <w:rPr>
                <w:rFonts w:hint="eastAsia" w:ascii="仿宋_GB2312" w:hAnsi="仿宋_GB2312" w:eastAsia="仿宋_GB2312" w:cs="仿宋_GB2312"/>
                <w:color w:val="auto"/>
                <w:kern w:val="0"/>
                <w:szCs w:val="21"/>
                <w:u w:val="single"/>
              </w:rPr>
              <w:fldChar w:fldCharType="end"/>
            </w:r>
          </w:p>
          <w:p w14:paraId="24C7C175">
            <w:pPr>
              <w:widowControl/>
              <w:jc w:val="left"/>
              <w:rPr>
                <w:rFonts w:hint="eastAsia" w:ascii="仿宋_GB2312" w:hAnsi="仿宋_GB2312" w:eastAsia="仿宋_GB2312" w:cs="仿宋_GB2312"/>
                <w:color w:val="auto"/>
                <w:kern w:val="0"/>
                <w:szCs w:val="21"/>
                <w:u w:val="single"/>
                <w:lang w:val="en-US" w:eastAsia="zh-CN"/>
              </w:rPr>
            </w:pPr>
            <w:r>
              <w:rPr>
                <w:rFonts w:hint="eastAsia" w:ascii="仿宋_GB2312" w:hAnsi="仿宋_GB2312" w:eastAsia="仿宋_GB2312" w:cs="仿宋_GB2312"/>
                <w:color w:val="auto"/>
                <w:kern w:val="0"/>
                <w:szCs w:val="21"/>
              </w:rPr>
              <w:t>联系人：</w:t>
            </w:r>
            <w:r>
              <w:rPr>
                <w:rFonts w:hint="eastAsia" w:ascii="仿宋_GB2312" w:hAnsi="仿宋_GB2312" w:eastAsia="仿宋_GB2312" w:cs="仿宋_GB2312"/>
                <w:color w:val="auto"/>
                <w:kern w:val="0"/>
                <w:szCs w:val="21"/>
                <w:u w:val="single"/>
                <w:lang w:val="en-US" w:eastAsia="zh-CN"/>
              </w:rPr>
              <w:t>赵干事</w:t>
            </w:r>
          </w:p>
          <w:p w14:paraId="532AACC8">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hint="eastAsia" w:ascii="仿宋_GB2312" w:hAnsi="仿宋_GB2312" w:eastAsia="仿宋_GB2312" w:cs="仿宋_GB2312"/>
                <w:color w:val="auto"/>
                <w:kern w:val="0"/>
                <w:szCs w:val="21"/>
                <w:u w:val="single"/>
                <w:lang w:val="en-US" w:eastAsia="zh-CN"/>
              </w:rPr>
              <w:t>0415-2891033</w:t>
            </w:r>
          </w:p>
        </w:tc>
      </w:tr>
      <w:tr w14:paraId="7706BDC4">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677A3D8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410F567">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247AC53">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 w:hAnsi="仿宋" w:cs="仿宋"/>
                <w:color w:val="auto"/>
                <w:kern w:val="0"/>
                <w:szCs w:val="21"/>
                <w:highlight w:val="none"/>
                <w:u w:val="single"/>
              </w:rPr>
              <w:t>辽宁恒吉招标代理有限公司</w:t>
            </w:r>
            <w:r>
              <w:rPr>
                <w:rFonts w:hint="eastAsia" w:ascii="仿宋_GB2312" w:hAnsi="仿宋_GB2312" w:eastAsia="仿宋_GB2312" w:cs="仿宋_GB2312"/>
                <w:color w:val="auto"/>
                <w:kern w:val="0"/>
                <w:szCs w:val="21"/>
                <w:highlight w:val="none"/>
                <w:u w:val="single"/>
              </w:rPr>
              <w:t xml:space="preserve">  </w:t>
            </w:r>
          </w:p>
          <w:p w14:paraId="682B432D">
            <w:pPr>
              <w:widowControl/>
              <w:ind w:left="840" w:hanging="840" w:hangingChars="400"/>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 w:hAnsi="仿宋" w:cs="仿宋"/>
                <w:color w:val="auto"/>
                <w:kern w:val="0"/>
                <w:szCs w:val="21"/>
                <w:highlight w:val="none"/>
                <w:u w:val="single"/>
              </w:rPr>
              <w:t>丹东市滨江中路97号绿江华府A座1单元1楼-路口临江门市</w:t>
            </w:r>
            <w:r>
              <w:rPr>
                <w:rFonts w:hint="eastAsia" w:ascii="仿宋_GB2312" w:hAnsi="仿宋_GB2312" w:eastAsia="仿宋_GB2312" w:cs="仿宋_GB2312"/>
                <w:color w:val="auto"/>
                <w:kern w:val="0"/>
                <w:szCs w:val="21"/>
                <w:highlight w:val="none"/>
                <w:u w:val="single"/>
              </w:rPr>
              <w:t xml:space="preserve">   </w:t>
            </w:r>
          </w:p>
          <w:p w14:paraId="1B0A9A7F">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szCs w:val="21"/>
                <w:highlight w:val="none"/>
                <w:u w:val="single"/>
              </w:rPr>
              <w:t>吕秀萍</w:t>
            </w:r>
          </w:p>
          <w:p w14:paraId="27E5DCBB">
            <w:pPr>
              <w:widowControl/>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highlight w:val="none"/>
              </w:rPr>
              <w:t>电  话：</w:t>
            </w:r>
            <w:r>
              <w:rPr>
                <w:rFonts w:hint="eastAsia" w:ascii="仿宋" w:hAnsi="仿宋" w:eastAsia="仿宋_GB2312" w:cs="仿宋"/>
                <w:color w:val="auto"/>
                <w:kern w:val="0"/>
                <w:szCs w:val="21"/>
                <w:highlight w:val="none"/>
                <w:u w:val="single"/>
                <w:lang w:eastAsia="zh-CN"/>
              </w:rPr>
              <w:t>18204155586</w:t>
            </w:r>
          </w:p>
        </w:tc>
      </w:tr>
      <w:tr w14:paraId="652CB15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E81110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C3537DE">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5C1AFB0E">
            <w:pPr>
              <w:widowControl/>
              <w:jc w:val="left"/>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无</w:t>
            </w:r>
          </w:p>
        </w:tc>
      </w:tr>
      <w:tr w14:paraId="682F971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E63D3B7">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1.3.5</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58F79B4">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195DCEE7">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是</w:t>
            </w:r>
          </w:p>
          <w:p w14:paraId="02387494">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否</w:t>
            </w:r>
          </w:p>
        </w:tc>
      </w:tr>
      <w:tr w14:paraId="37F8D2DF">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C9E647A">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1.3.6</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009AD93">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t>是否为专门面向</w:t>
            </w:r>
            <w:r>
              <w:rPr>
                <w:rFonts w:hint="eastAsia" w:ascii="仿宋_GB2312" w:hAnsi="仿宋_GB2312" w:eastAsia="仿宋_GB2312" w:cs="仿宋_GB2312"/>
                <w:color w:val="auto"/>
                <w:szCs w:val="21"/>
              </w:rPr>
              <w:t>中小企业</w:t>
            </w:r>
            <w:r>
              <w:rPr>
                <w:rFonts w:hint="eastAsia" w:ascii="仿宋_GB2312" w:hAnsi="仿宋_GB2312" w:eastAsia="仿宋_GB2312" w:cs="仿宋_GB2312"/>
                <w:color w:val="auto"/>
                <w:kern w:val="0"/>
                <w:szCs w:val="21"/>
              </w:rPr>
              <w:t>采购</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B5A119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是</w:t>
            </w:r>
          </w:p>
          <w:p w14:paraId="085FFC4F">
            <w:pPr>
              <w:pStyle w:val="30"/>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 w:val="21"/>
                <w:szCs w:val="21"/>
                <w:lang w:val="en-US" w:eastAsia="zh-CN" w:bidi="ar-SA"/>
              </w:rPr>
              <w:sym w:font="Wingdings 2" w:char="00A3"/>
            </w:r>
            <w:r>
              <w:rPr>
                <w:rFonts w:hint="eastAsia" w:ascii="仿宋_GB2312" w:hAnsi="仿宋_GB2312" w:eastAsia="仿宋_GB2312" w:cs="仿宋_GB2312"/>
                <w:color w:val="auto"/>
                <w:kern w:val="0"/>
                <w:sz w:val="21"/>
                <w:szCs w:val="21"/>
                <w:lang w:val="en-US" w:eastAsia="zh-CN" w:bidi="ar-SA"/>
              </w:rPr>
              <w:t>否</w:t>
            </w:r>
          </w:p>
          <w:p w14:paraId="088B8A2D">
            <w:pPr>
              <w:rPr>
                <w:rFonts w:ascii="仿宋_GB2312" w:hAnsi="仿宋_GB2312" w:eastAsia="仿宋_GB2312" w:cs="仿宋_GB2312"/>
                <w:bCs/>
                <w:color w:val="auto"/>
                <w:kern w:val="0"/>
                <w:szCs w:val="21"/>
              </w:rPr>
            </w:pPr>
            <w:r>
              <w:rPr>
                <w:rFonts w:hint="eastAsia" w:ascii="仿宋" w:hAnsi="仿宋" w:eastAsia="仿宋" w:cs="仿宋"/>
                <w:color w:val="auto"/>
                <w:kern w:val="0"/>
                <w:szCs w:val="21"/>
                <w:lang w:val="en-US" w:eastAsia="zh-CN"/>
              </w:rPr>
              <w:t>根据《关于印发中小企业划型标准规定的通知工信部联企业〔2011〕300号》：本项目划型行业为</w:t>
            </w:r>
            <w:r>
              <w:rPr>
                <w:rFonts w:hint="eastAsia" w:ascii="仿宋" w:hAnsi="仿宋" w:eastAsia="仿宋" w:cs="仿宋"/>
                <w:b/>
                <w:bCs/>
                <w:color w:val="auto"/>
                <w:kern w:val="0"/>
                <w:szCs w:val="21"/>
                <w:lang w:val="en-US" w:eastAsia="zh-CN"/>
              </w:rPr>
              <w:t>工业</w:t>
            </w:r>
            <w:r>
              <w:rPr>
                <w:rFonts w:hint="eastAsia" w:ascii="仿宋" w:hAnsi="仿宋" w:eastAsia="仿宋" w:cs="仿宋"/>
                <w:color w:val="auto"/>
                <w:kern w:val="0"/>
                <w:szCs w:val="21"/>
                <w:lang w:val="en-US" w:eastAsia="zh-CN"/>
              </w:rPr>
              <w:t>。</w:t>
            </w:r>
            <w:r>
              <w:rPr>
                <w:rFonts w:hint="eastAsia" w:ascii="仿宋" w:hAnsi="仿宋" w:cs="仿宋"/>
                <w:color w:val="auto"/>
                <w:kern w:val="0"/>
                <w:szCs w:val="21"/>
                <w:lang w:val="en-US" w:eastAsia="zh-CN"/>
              </w:rPr>
              <w:t>（</w:t>
            </w:r>
            <w:r>
              <w:rPr>
                <w:rFonts w:hint="eastAsia" w:ascii="仿宋" w:hAnsi="仿宋" w:eastAsia="仿宋" w:cs="仿宋"/>
                <w:color w:val="auto"/>
                <w:kern w:val="0"/>
                <w:szCs w:val="21"/>
                <w:lang w:val="en-US"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cs="仿宋"/>
                <w:color w:val="auto"/>
                <w:kern w:val="0"/>
                <w:szCs w:val="21"/>
                <w:lang w:val="en-US" w:eastAsia="zh-CN"/>
              </w:rPr>
              <w:t>）</w:t>
            </w:r>
          </w:p>
        </w:tc>
      </w:tr>
      <w:tr w14:paraId="10540C0B">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8AF03A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1.3.7</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7F112C0">
            <w:pPr>
              <w:tabs>
                <w:tab w:val="left" w:pos="1425"/>
              </w:tabs>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9D9F77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有，具体产品为</w:t>
            </w:r>
            <w:r>
              <w:rPr>
                <w:rFonts w:hint="eastAsia" w:ascii="仿宋_GB2312" w:hAnsi="仿宋_GB2312" w:eastAsia="仿宋_GB2312" w:cs="仿宋_GB2312"/>
                <w:bCs/>
                <w:color w:val="auto"/>
                <w:kern w:val="0"/>
                <w:szCs w:val="21"/>
                <w:u w:val="single"/>
              </w:rPr>
              <w:t xml:space="preserve">        </w:t>
            </w:r>
          </w:p>
          <w:p w14:paraId="2C873D7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没有</w:t>
            </w:r>
          </w:p>
        </w:tc>
      </w:tr>
      <w:tr w14:paraId="079DE93E">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E8007B7">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6675CFB">
            <w:pPr>
              <w:tabs>
                <w:tab w:val="left" w:pos="1425"/>
              </w:tabs>
              <w:jc w:val="center"/>
              <w:rPr>
                <w:rFonts w:ascii="仿宋_GB2312" w:hAnsi="仿宋_GB2312" w:eastAsia="仿宋_GB2312" w:cs="仿宋_GB2312"/>
                <w:b/>
                <w:color w:val="auto"/>
                <w:kern w:val="0"/>
                <w:szCs w:val="21"/>
              </w:rPr>
            </w:pPr>
            <w:r>
              <w:rPr>
                <w:rFonts w:hint="eastAsia" w:ascii="仿宋_GB2312" w:hAnsi="仿宋_GB2312" w:eastAsia="仿宋_GB2312" w:cs="仿宋_GB2312"/>
                <w:bCs/>
                <w:color w:val="auto"/>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D985EE5">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是</w:t>
            </w:r>
          </w:p>
          <w:p w14:paraId="4FDE74CA">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否</w:t>
            </w:r>
          </w:p>
        </w:tc>
      </w:tr>
      <w:tr w14:paraId="0D271CB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912824C">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1.4.8</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150E1C9">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176A9F0">
            <w:pPr>
              <w:rPr>
                <w:rFonts w:hint="eastAsia" w:ascii="仿宋_GB2312" w:hAnsi="仿宋_GB2312" w:eastAsia="仿宋_GB2312" w:cs="仿宋_GB2312"/>
                <w:bCs/>
                <w:color w:val="auto"/>
                <w:kern w:val="0"/>
                <w:szCs w:val="21"/>
                <w:lang w:val="en-US" w:eastAsia="zh-CN"/>
              </w:rPr>
            </w:pPr>
            <w:r>
              <w:rPr>
                <w:rFonts w:hint="eastAsia" w:ascii="仿宋_GB2312" w:hAnsi="仿宋_GB2312" w:eastAsia="仿宋_GB2312" w:cs="仿宋_GB2312"/>
                <w:bCs/>
                <w:color w:val="auto"/>
                <w:kern w:val="0"/>
                <w:szCs w:val="21"/>
                <w:lang w:val="en-US" w:eastAsia="zh-CN"/>
              </w:rPr>
              <w:t>无</w:t>
            </w:r>
          </w:p>
        </w:tc>
      </w:tr>
      <w:tr w14:paraId="5E6EA16A">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9AF16AB">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7F652EC9">
            <w:pPr>
              <w:shd w:val="clear" w:color="auto" w:fill="FFFFFF"/>
              <w:jc w:val="cente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0617A9D">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color w:val="auto"/>
                <w:szCs w:val="21"/>
                <w:highlight w:val="none"/>
                <w:u w:val="single"/>
                <w:lang w:val="en-US" w:eastAsia="zh-CN"/>
              </w:rPr>
              <w:t>1600000.00</w:t>
            </w:r>
            <w:r>
              <w:rPr>
                <w:rFonts w:hint="eastAsia" w:ascii="仿宋_GB2312" w:hAnsi="仿宋_GB2312" w:eastAsia="仿宋_GB2312" w:cs="仿宋_GB2312"/>
                <w:bCs/>
                <w:color w:val="auto"/>
                <w:kern w:val="0"/>
                <w:szCs w:val="21"/>
                <w:highlight w:val="none"/>
              </w:rPr>
              <w:t>元</w:t>
            </w:r>
          </w:p>
          <w:p w14:paraId="499CE575">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color w:val="auto"/>
                <w:szCs w:val="21"/>
                <w:highlight w:val="none"/>
                <w:u w:val="single"/>
                <w:lang w:val="en-US" w:eastAsia="zh-CN"/>
              </w:rPr>
              <w:t>1600000.00</w:t>
            </w:r>
            <w:r>
              <w:rPr>
                <w:rFonts w:hint="eastAsia" w:ascii="仿宋_GB2312" w:hAnsi="仿宋_GB2312" w:eastAsia="仿宋_GB2312" w:cs="仿宋_GB2312"/>
                <w:bCs/>
                <w:color w:val="auto"/>
                <w:kern w:val="0"/>
                <w:szCs w:val="21"/>
                <w:highlight w:val="none"/>
              </w:rPr>
              <w:t>元</w:t>
            </w:r>
          </w:p>
        </w:tc>
      </w:tr>
      <w:tr w14:paraId="70BDEE8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0B03A5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4</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D7F8F89">
            <w:pPr>
              <w:tabs>
                <w:tab w:val="left" w:pos="1425"/>
              </w:tabs>
              <w:jc w:val="cente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t>计量单位</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0DA891C7">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sym w:font="Wingdings 2" w:char="0052"/>
            </w:r>
            <w:r>
              <w:rPr>
                <w:rFonts w:hint="eastAsia" w:ascii="仿宋_GB2312" w:hAnsi="仿宋_GB2312" w:eastAsia="仿宋_GB2312" w:cs="仿宋_GB2312"/>
                <w:bCs/>
                <w:color w:val="auto"/>
                <w:kern w:val="0"/>
                <w:szCs w:val="21"/>
              </w:rPr>
              <w:t>中华人民共和国法定计量单位</w:t>
            </w:r>
          </w:p>
          <w:p w14:paraId="3B7DBEDB">
            <w:pPr>
              <w:rPr>
                <w:rFonts w:ascii="仿宋_GB2312" w:hAnsi="仿宋_GB2312" w:eastAsia="仿宋_GB2312" w:cs="仿宋_GB2312"/>
                <w:bCs/>
                <w:color w:val="auto"/>
                <w:kern w:val="0"/>
                <w:szCs w:val="21"/>
              </w:rPr>
            </w:pPr>
            <w:r>
              <w:rPr>
                <w:rFonts w:hint="eastAsia" w:ascii="仿宋_GB2312" w:hAnsi="仿宋_GB2312" w:eastAsia="仿宋_GB2312" w:cs="仿宋_GB2312"/>
                <w:bCs/>
                <w:color w:val="auto"/>
                <w:kern w:val="0"/>
                <w:szCs w:val="21"/>
              </w:rPr>
              <w:sym w:font="Wingdings 2" w:char="00A3"/>
            </w:r>
            <w:r>
              <w:rPr>
                <w:rFonts w:hint="eastAsia" w:ascii="仿宋_GB2312" w:hAnsi="仿宋_GB2312" w:eastAsia="仿宋_GB2312" w:cs="仿宋_GB2312"/>
                <w:bCs/>
                <w:color w:val="auto"/>
                <w:kern w:val="0"/>
                <w:szCs w:val="21"/>
              </w:rPr>
              <w:t>其他：</w:t>
            </w:r>
            <w:r>
              <w:rPr>
                <w:rFonts w:hint="eastAsia" w:ascii="仿宋_GB2312" w:hAnsi="仿宋_GB2312" w:eastAsia="仿宋_GB2312" w:cs="仿宋_GB2312"/>
                <w:bCs/>
                <w:color w:val="auto"/>
                <w:kern w:val="0"/>
                <w:szCs w:val="21"/>
                <w:u w:val="single"/>
              </w:rPr>
              <w:t xml:space="preserve">             </w:t>
            </w:r>
          </w:p>
        </w:tc>
      </w:tr>
      <w:tr w14:paraId="79604DA4">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D26350E">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6.1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76F5938">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0664EF9">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不组织</w:t>
            </w:r>
          </w:p>
          <w:p w14:paraId="3A9358D8">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组织，时  间：</w:t>
            </w:r>
            <w:r>
              <w:rPr>
                <w:rFonts w:hint="eastAsia" w:ascii="仿宋_GB2312" w:hAnsi="仿宋_GB2312" w:eastAsia="仿宋_GB2312" w:cs="仿宋_GB2312"/>
                <w:bCs/>
                <w:color w:val="auto"/>
                <w:kern w:val="0"/>
                <w:szCs w:val="21"/>
                <w:u w:val="single"/>
              </w:rPr>
              <w:t xml:space="preserve">         </w:t>
            </w:r>
          </w:p>
          <w:p w14:paraId="783AB8DD">
            <w:pPr>
              <w:widowControl/>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地  点：</w:t>
            </w:r>
            <w:r>
              <w:rPr>
                <w:rFonts w:hint="eastAsia" w:ascii="仿宋_GB2312" w:hAnsi="仿宋_GB2312" w:eastAsia="仿宋_GB2312" w:cs="仿宋_GB2312"/>
                <w:bCs/>
                <w:color w:val="auto"/>
                <w:kern w:val="0"/>
                <w:szCs w:val="21"/>
                <w:u w:val="single"/>
              </w:rPr>
              <w:t xml:space="preserve">         </w:t>
            </w:r>
          </w:p>
          <w:p w14:paraId="68DBFF01">
            <w:pPr>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联系人：</w:t>
            </w:r>
            <w:r>
              <w:rPr>
                <w:rFonts w:hint="eastAsia" w:ascii="仿宋_GB2312" w:hAnsi="仿宋_GB2312" w:eastAsia="仿宋_GB2312" w:cs="仿宋_GB2312"/>
                <w:bCs/>
                <w:color w:val="auto"/>
                <w:kern w:val="0"/>
                <w:szCs w:val="21"/>
                <w:u w:val="single"/>
              </w:rPr>
              <w:t xml:space="preserve">         </w:t>
            </w:r>
          </w:p>
          <w:p w14:paraId="275EC365">
            <w:pPr>
              <w:ind w:left="-105" w:leftChars="-50" w:firstLine="949" w:firstLineChars="45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hint="eastAsia" w:ascii="仿宋_GB2312" w:hAnsi="仿宋_GB2312" w:eastAsia="仿宋_GB2312" w:cs="仿宋_GB2312"/>
                <w:bCs/>
                <w:color w:val="auto"/>
                <w:kern w:val="0"/>
                <w:szCs w:val="21"/>
                <w:u w:val="single"/>
              </w:rPr>
              <w:t xml:space="preserve">         </w:t>
            </w:r>
          </w:p>
          <w:p w14:paraId="7BE6043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组织，招标文件提供期限截止后以书面形式通知。</w:t>
            </w:r>
          </w:p>
        </w:tc>
      </w:tr>
      <w:tr w14:paraId="6219EE0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EC9F251">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10.3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51D9F5E4">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核心产品</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257CC2E">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（非单一产品采购时，只能设一个核心产品）</w:t>
            </w:r>
          </w:p>
        </w:tc>
      </w:tr>
      <w:tr w14:paraId="6D082AB4">
        <w:tblPrEx>
          <w:tblCellMar>
            <w:top w:w="0" w:type="dxa"/>
            <w:left w:w="108" w:type="dxa"/>
            <w:bottom w:w="0" w:type="dxa"/>
            <w:right w:w="108" w:type="dxa"/>
          </w:tblCellMar>
        </w:tblPrEx>
        <w:trPr>
          <w:trHeight w:val="519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55580C6">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11.3</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6791B653">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C73300B">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不需要</w:t>
            </w:r>
            <w:r>
              <w:rPr>
                <w:rFonts w:hint="eastAsia" w:ascii="仿宋_GB2312" w:hAnsi="仿宋_GB2312" w:eastAsia="仿宋_GB2312" w:cs="仿宋_GB2312"/>
                <w:bCs/>
                <w:color w:val="auto"/>
                <w:kern w:val="0"/>
                <w:szCs w:val="21"/>
                <w:highlight w:val="none"/>
              </w:rPr>
              <w:t>提供样品</w:t>
            </w:r>
          </w:p>
          <w:p w14:paraId="61F8F7DF">
            <w:pPr>
              <w:widowControl/>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提供样品</w:t>
            </w:r>
          </w:p>
          <w:p w14:paraId="244873B6">
            <w:pPr>
              <w:ind w:left="2310" w:hanging="2310" w:hangingChars="11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1、递交样品的截止时间：</w:t>
            </w:r>
            <w:r>
              <w:rPr>
                <w:rFonts w:hint="eastAsia" w:ascii="仿宋_GB2312" w:hAnsi="仿宋_GB2312" w:eastAsia="仿宋_GB2312" w:cs="仿宋_GB2312"/>
                <w:color w:val="auto"/>
                <w:kern w:val="0"/>
                <w:szCs w:val="21"/>
                <w:highlight w:val="none"/>
                <w:u w:val="single"/>
                <w:lang w:val="en-US" w:eastAsia="zh-CN"/>
              </w:rPr>
              <w:t>2024年08月21日09点00分</w:t>
            </w:r>
            <w:r>
              <w:rPr>
                <w:rFonts w:hint="eastAsia" w:ascii="仿宋_GB2312" w:hAnsi="仿宋_GB2312" w:eastAsia="仿宋_GB2312" w:cs="仿宋_GB2312"/>
                <w:color w:val="auto"/>
                <w:kern w:val="0"/>
                <w:szCs w:val="21"/>
                <w:highlight w:val="none"/>
                <w:u w:val="single"/>
              </w:rPr>
              <w:t>（北京时间）</w:t>
            </w:r>
          </w:p>
          <w:p w14:paraId="753B6D33">
            <w:pPr>
              <w:ind w:left="1890" w:leftChars="200" w:hanging="1470" w:hangingChars="700"/>
              <w:rPr>
                <w:rFonts w:hint="default" w:ascii="仿宋_GB2312" w:hAnsi="仿宋_GB2312" w:eastAsia="仿宋_GB2312" w:cs="仿宋_GB2312"/>
                <w:color w:val="auto"/>
                <w:kern w:val="0"/>
                <w:szCs w:val="21"/>
                <w:highlight w:val="none"/>
                <w:u w:val="single"/>
                <w:lang w:val="en-US" w:eastAsia="zh-CN"/>
              </w:rPr>
            </w:pPr>
            <w:r>
              <w:rPr>
                <w:rFonts w:hint="eastAsia" w:ascii="仿宋_GB2312" w:hAnsi="仿宋_GB2312" w:eastAsia="仿宋_GB2312" w:cs="仿宋_GB2312"/>
                <w:color w:val="auto"/>
                <w:kern w:val="0"/>
                <w:szCs w:val="21"/>
                <w:highlight w:val="none"/>
              </w:rPr>
              <w:t>递交样品地点：</w:t>
            </w:r>
            <w:r>
              <w:rPr>
                <w:rFonts w:hint="eastAsia" w:ascii="仿宋_GB2312" w:hAnsi="仿宋_GB2312" w:eastAsia="仿宋_GB2312" w:cs="仿宋_GB2312"/>
                <w:color w:val="auto"/>
                <w:szCs w:val="21"/>
                <w:highlight w:val="none"/>
                <w:u w:val="single"/>
              </w:rPr>
              <w:t>丹东市滨江中路97号绿江华府A座1单元1楼-路口临江门市</w:t>
            </w:r>
          </w:p>
          <w:p w14:paraId="6241AC66">
            <w:pPr>
              <w:ind w:firstLine="525" w:firstLineChars="250"/>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color w:val="auto"/>
                <w:kern w:val="0"/>
                <w:szCs w:val="21"/>
                <w:highlight w:val="none"/>
              </w:rPr>
              <w:t>递交样品联系人：</w:t>
            </w:r>
            <w:r>
              <w:rPr>
                <w:rFonts w:hint="eastAsia" w:ascii="仿宋_GB2312" w:hAnsi="仿宋_GB2312" w:eastAsia="仿宋_GB2312" w:cs="仿宋_GB2312"/>
                <w:color w:val="auto"/>
                <w:szCs w:val="21"/>
                <w:highlight w:val="none"/>
                <w:u w:val="single"/>
              </w:rPr>
              <w:t>吕秀萍</w:t>
            </w:r>
          </w:p>
          <w:p w14:paraId="3D56CADC">
            <w:pPr>
              <w:ind w:firstLine="525" w:firstLineChars="250"/>
              <w:rPr>
                <w:rFonts w:hint="eastAsia" w:ascii="仿宋_GB2312" w:hAnsi="仿宋_GB2312" w:eastAsia="仿宋_GB2312" w:cs="仿宋_GB2312"/>
                <w:color w:val="auto"/>
                <w:kern w:val="0"/>
                <w:szCs w:val="21"/>
                <w:highlight w:val="none"/>
                <w:u w:val="single"/>
                <w:lang w:val="en-US" w:eastAsia="zh-CN"/>
              </w:rPr>
            </w:pPr>
            <w:r>
              <w:rPr>
                <w:rFonts w:hint="eastAsia" w:ascii="仿宋_GB2312" w:hAnsi="仿宋_GB2312" w:eastAsia="仿宋_GB2312" w:cs="仿宋_GB2312"/>
                <w:color w:val="auto"/>
                <w:kern w:val="0"/>
                <w:szCs w:val="21"/>
                <w:highlight w:val="none"/>
              </w:rPr>
              <w:t>递交样品联系电话：</w:t>
            </w:r>
            <w:r>
              <w:rPr>
                <w:rFonts w:hint="eastAsia" w:ascii="仿宋_GB2312" w:hAnsi="仿宋_GB2312" w:eastAsia="仿宋_GB2312" w:cs="仿宋_GB2312"/>
                <w:color w:val="auto"/>
                <w:szCs w:val="21"/>
                <w:highlight w:val="none"/>
                <w:u w:val="single"/>
                <w:lang w:eastAsia="zh-CN"/>
              </w:rPr>
              <w:t>18204155586</w:t>
            </w:r>
          </w:p>
          <w:p w14:paraId="7AE09E51">
            <w:pPr>
              <w:numPr>
                <w:ilvl w:val="0"/>
                <w:numId w:val="0"/>
              </w:numPr>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kern w:val="2"/>
                <w:sz w:val="21"/>
                <w:szCs w:val="21"/>
                <w:lang w:val="en-US" w:eastAsia="zh-CN" w:bidi="ar-SA"/>
              </w:rPr>
              <w:t>2、</w:t>
            </w:r>
            <w:r>
              <w:rPr>
                <w:rFonts w:hint="eastAsia" w:ascii="仿宋_GB2312" w:hAnsi="仿宋_GB2312" w:eastAsia="仿宋_GB2312" w:cs="仿宋_GB2312"/>
                <w:color w:val="auto"/>
                <w:kern w:val="0"/>
                <w:szCs w:val="21"/>
                <w:highlight w:val="none"/>
              </w:rPr>
              <w:t>样品制作的标准和要求：</w:t>
            </w:r>
            <w:r>
              <w:rPr>
                <w:rFonts w:hint="eastAsia" w:ascii="仿宋_GB2312" w:hAnsi="仿宋_GB2312" w:eastAsia="仿宋_GB2312" w:cs="仿宋_GB2312"/>
                <w:szCs w:val="21"/>
                <w:u w:val="single"/>
              </w:rPr>
              <w:t>样品要求</w:t>
            </w:r>
            <w:r>
              <w:rPr>
                <w:rFonts w:hint="eastAsia" w:ascii="仿宋_GB2312" w:hAnsi="仿宋_GB2312" w:eastAsia="仿宋_GB2312" w:cs="仿宋_GB2312"/>
                <w:kern w:val="0"/>
                <w:szCs w:val="21"/>
                <w:u w:val="single"/>
              </w:rPr>
              <w:t>按招标文件</w:t>
            </w:r>
            <w:r>
              <w:rPr>
                <w:rFonts w:hint="eastAsia" w:ascii="仿宋_GB2312" w:hAnsi="仿宋_GB2312" w:eastAsia="仿宋_GB2312" w:cs="仿宋_GB2312"/>
                <w:kern w:val="0"/>
                <w:szCs w:val="21"/>
                <w:u w:val="single"/>
                <w:lang w:val="en-US" w:eastAsia="zh-CN"/>
              </w:rPr>
              <w:t>第三章</w:t>
            </w:r>
            <w:r>
              <w:rPr>
                <w:rFonts w:hint="eastAsia" w:ascii="仿宋_GB2312" w:hAnsi="仿宋_GB2312" w:eastAsia="仿宋_GB2312" w:cs="仿宋_GB2312"/>
                <w:kern w:val="0"/>
                <w:szCs w:val="21"/>
                <w:u w:val="single"/>
              </w:rPr>
              <w:t>技术规格、参数要求制作并密封，具体样品明细如下：</w:t>
            </w:r>
          </w:p>
          <w:tbl>
            <w:tblPr>
              <w:tblStyle w:val="19"/>
              <w:tblW w:w="5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955"/>
              <w:gridCol w:w="1023"/>
              <w:gridCol w:w="1966"/>
            </w:tblGrid>
            <w:tr w14:paraId="43F6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935" w:type="dxa"/>
                  <w:noWrap w:val="0"/>
                  <w:vAlign w:val="center"/>
                </w:tcPr>
                <w:p w14:paraId="495DC221">
                  <w:pPr>
                    <w:rPr>
                      <w:rFonts w:ascii="仿宋_GB2312" w:hAnsi="仿宋_GB2312" w:eastAsia="仿宋_GB2312" w:cs="仿宋_GB2312"/>
                      <w:kern w:val="0"/>
                      <w:szCs w:val="21"/>
                    </w:rPr>
                  </w:pPr>
                  <w:r>
                    <w:rPr>
                      <w:rFonts w:hint="eastAsia" w:ascii="仿宋_GB2312" w:hAnsi="仿宋_GB2312" w:eastAsia="仿宋_GB2312" w:cs="仿宋_GB2312"/>
                      <w:kern w:val="0"/>
                      <w:szCs w:val="21"/>
                    </w:rPr>
                    <w:t>包号</w:t>
                  </w:r>
                </w:p>
              </w:tc>
              <w:tc>
                <w:tcPr>
                  <w:tcW w:w="1955" w:type="dxa"/>
                  <w:noWrap w:val="0"/>
                  <w:vAlign w:val="top"/>
                </w:tcPr>
                <w:p w14:paraId="30E9A591">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产品名称</w:t>
                  </w:r>
                </w:p>
              </w:tc>
              <w:tc>
                <w:tcPr>
                  <w:tcW w:w="1023" w:type="dxa"/>
                  <w:noWrap w:val="0"/>
                  <w:vAlign w:val="top"/>
                </w:tcPr>
                <w:p w14:paraId="73B4D615">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数量</w:t>
                  </w:r>
                </w:p>
              </w:tc>
              <w:tc>
                <w:tcPr>
                  <w:tcW w:w="1966" w:type="dxa"/>
                  <w:noWrap w:val="0"/>
                  <w:vAlign w:val="top"/>
                </w:tcPr>
                <w:p w14:paraId="1CAAEAE6">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提交方式</w:t>
                  </w:r>
                </w:p>
              </w:tc>
            </w:tr>
            <w:tr w14:paraId="74DA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35" w:type="dxa"/>
                  <w:noWrap w:val="0"/>
                  <w:vAlign w:val="center"/>
                </w:tcPr>
                <w:p w14:paraId="42D4ED3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001</w:t>
                  </w:r>
                </w:p>
              </w:tc>
              <w:tc>
                <w:tcPr>
                  <w:tcW w:w="1955" w:type="dxa"/>
                  <w:noWrap w:val="0"/>
                  <w:vAlign w:val="center"/>
                </w:tcPr>
                <w:p w14:paraId="76124A42">
                  <w:pPr>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灭火机器人</w:t>
                  </w:r>
                </w:p>
              </w:tc>
              <w:tc>
                <w:tcPr>
                  <w:tcW w:w="1023" w:type="dxa"/>
                  <w:noWrap w:val="0"/>
                  <w:vAlign w:val="center"/>
                </w:tcPr>
                <w:p w14:paraId="1AC2C3D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1套</w:t>
                  </w:r>
                </w:p>
              </w:tc>
              <w:tc>
                <w:tcPr>
                  <w:tcW w:w="1966" w:type="dxa"/>
                  <w:noWrap w:val="0"/>
                  <w:vAlign w:val="center"/>
                </w:tcPr>
                <w:p w14:paraId="0AD97DD9">
                  <w:pPr>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val="en-US" w:eastAsia="zh-CN"/>
                    </w:rPr>
                    <w:t>视频</w:t>
                  </w:r>
                </w:p>
              </w:tc>
            </w:tr>
          </w:tbl>
          <w:p w14:paraId="3C953185">
            <w:pPr>
              <w:numPr>
                <w:ilvl w:val="0"/>
                <w:numId w:val="0"/>
              </w:numPr>
              <w:ind w:firstLine="420" w:firstLineChars="20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u w:val="single"/>
                <w:lang w:val="en-US" w:eastAsia="zh-CN"/>
              </w:rPr>
              <w:t>注：供应商提供所投产品视频，视频能够清晰展示产品，外观、规格型号、材质、尺寸、整体性能、使用效果、操作方式、稳定性等重要方面，全部视频合计不超过3分钟，MP4、AVI、MOV、MPEG 等常规软件能播放的视频格式（视频需存储在U盘内,U盘上标签写明项目名称、包号、投标厂家等信息，U 盘留存不予退回）</w:t>
            </w:r>
          </w:p>
          <w:p w14:paraId="5E9CB13F">
            <w:pPr>
              <w:numPr>
                <w:ilvl w:val="0"/>
                <w:numId w:val="0"/>
              </w:num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3、随样品提交相关检测报告要求</w:t>
            </w:r>
            <w:r>
              <w:rPr>
                <w:rFonts w:hint="eastAsia" w:ascii="仿宋_GB2312" w:hAnsi="仿宋_GB2312" w:eastAsia="仿宋_GB2312" w:cs="仿宋_GB2312"/>
                <w:color w:val="000000"/>
                <w:kern w:val="0"/>
                <w:szCs w:val="21"/>
                <w:highlight w:val="none"/>
              </w:rPr>
              <w:t>：</w:t>
            </w:r>
            <w:r>
              <w:rPr>
                <w:rFonts w:hint="eastAsia" w:ascii="仿宋_GB2312" w:hAnsi="仿宋_GB2312" w:eastAsia="仿宋_GB2312" w:cs="仿宋_GB2312"/>
                <w:color w:val="000000"/>
                <w:kern w:val="0"/>
                <w:szCs w:val="21"/>
                <w:highlight w:val="none"/>
                <w:u w:val="single"/>
                <w:lang w:val="en-US" w:eastAsia="zh-CN"/>
              </w:rPr>
              <w:t>无</w:t>
            </w:r>
          </w:p>
          <w:p w14:paraId="514E7D8F">
            <w:pPr>
              <w:rPr>
                <w:rFonts w:hint="eastAsia" w:ascii="仿宋_GB2312" w:hAnsi="仿宋_GB2312" w:eastAsia="仿宋_GB2312" w:cs="仿宋_GB2312"/>
                <w:kern w:val="0"/>
                <w:szCs w:val="21"/>
                <w:u w:val="single"/>
              </w:rPr>
            </w:pPr>
            <w:r>
              <w:rPr>
                <w:rFonts w:hint="eastAsia" w:ascii="仿宋_GB2312" w:hAnsi="仿宋_GB2312" w:eastAsia="仿宋_GB2312" w:cs="仿宋_GB2312"/>
                <w:color w:val="auto"/>
                <w:kern w:val="0"/>
                <w:sz w:val="21"/>
                <w:szCs w:val="21"/>
                <w:lang w:val="en-US" w:eastAsia="zh-CN" w:bidi="ar-SA"/>
              </w:rPr>
              <w:t>4、</w:t>
            </w:r>
            <w:r>
              <w:rPr>
                <w:rFonts w:hint="eastAsia" w:ascii="仿宋_GB2312" w:hAnsi="仿宋_GB2312" w:eastAsia="仿宋_GB2312" w:cs="仿宋_GB2312"/>
                <w:color w:val="auto"/>
                <w:kern w:val="0"/>
                <w:szCs w:val="21"/>
                <w:highlight w:val="none"/>
              </w:rPr>
              <w:t>样品的封存及退回：</w:t>
            </w:r>
            <w:r>
              <w:rPr>
                <w:rFonts w:hint="eastAsia" w:ascii="仿宋_GB2312" w:hAnsi="仿宋_GB2312" w:eastAsia="仿宋_GB2312" w:cs="仿宋_GB2312"/>
                <w:kern w:val="0"/>
                <w:szCs w:val="21"/>
                <w:u w:val="single"/>
              </w:rPr>
              <w:t>中标人的样品将由</w:t>
            </w:r>
            <w:r>
              <w:rPr>
                <w:rFonts w:hint="eastAsia" w:ascii="仿宋_GB2312" w:hAnsi="仿宋_GB2312" w:eastAsia="仿宋_GB2312" w:cs="仿宋_GB2312"/>
                <w:kern w:val="0"/>
                <w:szCs w:val="21"/>
                <w:u w:val="single"/>
                <w:lang w:val="en-US" w:eastAsia="zh-CN"/>
              </w:rPr>
              <w:t>招标</w:t>
            </w:r>
            <w:r>
              <w:rPr>
                <w:rFonts w:hint="eastAsia" w:ascii="仿宋_GB2312" w:hAnsi="仿宋_GB2312" w:eastAsia="仿宋_GB2312" w:cs="仿宋_GB2312"/>
                <w:kern w:val="0"/>
                <w:szCs w:val="21"/>
                <w:u w:val="single"/>
              </w:rPr>
              <w:t>人进行保管、封存，并作为履约验收的参考。未中标的投标人提供的样品，应当由</w:t>
            </w:r>
            <w:r>
              <w:rPr>
                <w:rFonts w:hint="eastAsia" w:ascii="仿宋_GB2312" w:hAnsi="仿宋_GB2312" w:eastAsia="仿宋_GB2312" w:cs="仿宋_GB2312"/>
                <w:kern w:val="0"/>
                <w:szCs w:val="21"/>
                <w:u w:val="single"/>
                <w:lang w:val="en-US" w:eastAsia="zh-CN"/>
              </w:rPr>
              <w:t>招标</w:t>
            </w:r>
            <w:r>
              <w:rPr>
                <w:rFonts w:hint="eastAsia" w:ascii="仿宋_GB2312" w:hAnsi="仿宋_GB2312" w:eastAsia="仿宋_GB2312" w:cs="仿宋_GB2312"/>
                <w:kern w:val="0"/>
                <w:szCs w:val="21"/>
                <w:u w:val="single"/>
              </w:rPr>
              <w:t>人进行保管、封存，中标公告之日起七个工作日后，由</w:t>
            </w:r>
            <w:r>
              <w:rPr>
                <w:rFonts w:hint="eastAsia" w:ascii="仿宋_GB2312" w:hAnsi="仿宋_GB2312" w:eastAsia="仿宋_GB2312" w:cs="仿宋_GB2312"/>
                <w:kern w:val="0"/>
                <w:szCs w:val="21"/>
                <w:u w:val="single"/>
                <w:lang w:val="en-US" w:eastAsia="zh-CN"/>
              </w:rPr>
              <w:t>招标</w:t>
            </w:r>
            <w:r>
              <w:rPr>
                <w:rFonts w:hint="eastAsia" w:ascii="仿宋_GB2312" w:hAnsi="仿宋_GB2312" w:eastAsia="仿宋_GB2312" w:cs="仿宋_GB2312"/>
                <w:kern w:val="0"/>
                <w:szCs w:val="21"/>
                <w:u w:val="single"/>
              </w:rPr>
              <w:t>人发出通知，通知发出后七个工作日内，由未中标供应商自行领回,否则视为自动放弃领回，采购代理机构有权自行处理。</w:t>
            </w:r>
          </w:p>
          <w:p w14:paraId="0D3320CC">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不</w:t>
            </w:r>
            <w:r>
              <w:rPr>
                <w:rFonts w:hint="eastAsia" w:ascii="仿宋_GB2312" w:hAnsi="仿宋_GB2312" w:eastAsia="仿宋_GB2312" w:cs="仿宋_GB2312"/>
                <w:bCs/>
                <w:color w:val="auto"/>
                <w:kern w:val="0"/>
                <w:szCs w:val="21"/>
                <w:highlight w:val="none"/>
              </w:rPr>
              <w:t>需要提供演示</w:t>
            </w:r>
          </w:p>
          <w:p w14:paraId="52116FCC">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提供演示</w:t>
            </w:r>
          </w:p>
          <w:p w14:paraId="37A4001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t xml:space="preserve">  </w:t>
            </w:r>
            <w:r>
              <w:rPr>
                <w:rFonts w:hint="eastAsia" w:ascii="仿宋_GB2312" w:hAnsi="仿宋_GB2312" w:eastAsia="仿宋_GB2312" w:cs="仿宋_GB2312"/>
                <w:color w:val="auto"/>
                <w:kern w:val="0"/>
                <w:szCs w:val="21"/>
                <w:highlight w:val="none"/>
              </w:rPr>
              <w:t>1、演示时间：</w:t>
            </w:r>
            <w:r>
              <w:rPr>
                <w:rFonts w:hint="eastAsia" w:ascii="仿宋_GB2312" w:hAnsi="仿宋_GB2312" w:eastAsia="仿宋_GB2312" w:cs="仿宋_GB2312"/>
                <w:bCs/>
                <w:color w:val="auto"/>
                <w:kern w:val="0"/>
                <w:szCs w:val="21"/>
                <w:highlight w:val="none"/>
                <w:u w:val="single"/>
              </w:rPr>
              <w:t xml:space="preserve">                          </w:t>
            </w:r>
          </w:p>
          <w:p w14:paraId="503A3133">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演示地点：</w:t>
            </w:r>
            <w:r>
              <w:rPr>
                <w:rFonts w:hint="eastAsia" w:ascii="仿宋_GB2312" w:hAnsi="仿宋_GB2312" w:eastAsia="仿宋_GB2312" w:cs="仿宋_GB2312"/>
                <w:bCs/>
                <w:color w:val="auto"/>
                <w:kern w:val="0"/>
                <w:szCs w:val="21"/>
                <w:highlight w:val="none"/>
                <w:u w:val="single"/>
              </w:rPr>
              <w:t xml:space="preserve">                          </w:t>
            </w:r>
          </w:p>
          <w:p w14:paraId="42B3CD5E">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演示顺序：</w:t>
            </w:r>
            <w:r>
              <w:rPr>
                <w:rFonts w:hint="eastAsia" w:ascii="仿宋_GB2312" w:hAnsi="仿宋_GB2312" w:eastAsia="仿宋_GB2312" w:cs="仿宋_GB2312"/>
                <w:bCs/>
                <w:color w:val="auto"/>
                <w:kern w:val="0"/>
                <w:szCs w:val="21"/>
                <w:highlight w:val="none"/>
                <w:u w:val="single"/>
              </w:rPr>
              <w:t xml:space="preserve">                          </w:t>
            </w:r>
          </w:p>
          <w:p w14:paraId="1BEB07C5">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2、演示要求：</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（内容、设备等要求）</w:t>
            </w:r>
          </w:p>
        </w:tc>
      </w:tr>
      <w:tr w14:paraId="713C6BA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0C65118">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12.1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BF64CF2">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3770BAC">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所有投标均按</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b/>
                <w:bCs/>
                <w:color w:val="auto"/>
                <w:kern w:val="0"/>
                <w:szCs w:val="21"/>
                <w:u w:val="single"/>
                <w:lang w:val="en-US" w:eastAsia="zh-CN"/>
              </w:rPr>
              <w:t>人民币</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货币进行报价。</w:t>
            </w:r>
          </w:p>
          <w:p w14:paraId="0D60C35B">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其它：</w:t>
            </w:r>
            <w:r>
              <w:rPr>
                <w:rFonts w:hint="eastAsia" w:ascii="仿宋_GB2312" w:hAnsi="仿宋_GB2312" w:eastAsia="仿宋_GB2312" w:cs="仿宋_GB2312"/>
                <w:color w:val="auto"/>
                <w:kern w:val="0"/>
                <w:szCs w:val="21"/>
                <w:u w:val="single"/>
              </w:rPr>
              <w:t xml:space="preserve">               </w:t>
            </w:r>
          </w:p>
        </w:tc>
      </w:tr>
      <w:tr w14:paraId="6819221A">
        <w:tblPrEx>
          <w:tblCellMar>
            <w:top w:w="0" w:type="dxa"/>
            <w:left w:w="108" w:type="dxa"/>
            <w:bottom w:w="0" w:type="dxa"/>
            <w:right w:w="108" w:type="dxa"/>
          </w:tblCellMar>
        </w:tblPrEx>
        <w:trPr>
          <w:trHeight w:val="1841"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27876F03">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40DFC15C">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投标保证金</w:t>
            </w:r>
          </w:p>
        </w:tc>
        <w:tc>
          <w:tcPr>
            <w:tcW w:w="5887" w:type="dxa"/>
            <w:tcBorders>
              <w:top w:val="single" w:color="auto" w:sz="4" w:space="0"/>
              <w:left w:val="nil"/>
              <w:bottom w:val="single" w:color="auto" w:sz="8" w:space="0"/>
              <w:right w:val="single" w:color="auto" w:sz="8" w:space="0"/>
            </w:tcBorders>
            <w:noWrap w:val="0"/>
            <w:vAlign w:val="center"/>
          </w:tcPr>
          <w:p w14:paraId="53058773">
            <w:pPr>
              <w:pStyle w:val="7"/>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1、投标保证金金额：</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元</w:t>
            </w:r>
          </w:p>
          <w:p w14:paraId="091829C1">
            <w:pPr>
              <w:pStyle w:val="7"/>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2、投标保证金到账时间：</w:t>
            </w:r>
            <w:r>
              <w:rPr>
                <w:rFonts w:hint="eastAsia" w:ascii="仿宋_GB2312" w:hAnsi="仿宋_GB2312" w:eastAsia="仿宋_GB2312" w:cs="仿宋_GB2312"/>
                <w:color w:val="auto"/>
                <w:szCs w:val="21"/>
                <w:u w:val="single"/>
              </w:rPr>
              <w:t xml:space="preserve">递交投标文件截止时间前 </w:t>
            </w:r>
          </w:p>
          <w:p w14:paraId="0BC11634">
            <w:pPr>
              <w:pStyle w:val="7"/>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szCs w:val="21"/>
              </w:rPr>
              <w:t xml:space="preserve">3、投标保证金缴纳方式：□保函   □支票  □电汇 </w:t>
            </w:r>
            <w:r>
              <w:rPr>
                <w:rFonts w:ascii="仿宋_GB2312" w:hAnsi="仿宋_GB2312" w:eastAsia="仿宋_GB2312" w:cs="仿宋_GB2312"/>
                <w:color w:val="auto"/>
                <w:szCs w:val="21"/>
              </w:rPr>
              <w:t xml:space="preserve"> </w:t>
            </w:r>
            <w:r>
              <w:rPr>
                <w:rFonts w:hint="eastAsia" w:ascii="仿宋_GB2312" w:hAnsi="仿宋_GB2312" w:eastAsia="仿宋_GB2312" w:cs="仿宋_GB2312"/>
                <w:color w:val="auto"/>
                <w:szCs w:val="21"/>
              </w:rPr>
              <w:t>□其他</w:t>
            </w:r>
          </w:p>
          <w:p w14:paraId="77CA081D">
            <w:pPr>
              <w:rPr>
                <w:rFonts w:ascii="仿宋_GB2312" w:hAnsi="仿宋_GB2312" w:eastAsia="仿宋_GB2312" w:cs="仿宋_GB2312"/>
                <w:color w:val="auto"/>
                <w:szCs w:val="21"/>
              </w:rPr>
            </w:pPr>
            <w:r>
              <w:rPr>
                <w:rFonts w:hint="eastAsia" w:ascii="仿宋_GB2312" w:hAnsi="仿宋_GB2312" w:eastAsia="仿宋_GB2312" w:cs="仿宋_GB2312"/>
                <w:b/>
                <w:bCs/>
                <w:color w:val="auto"/>
                <w:szCs w:val="21"/>
              </w:rPr>
              <w:t>（注：财政部门鼓励采用保函的方式递交投标保证金，具体办理流程参阅辽宁政府采购网）</w:t>
            </w:r>
          </w:p>
        </w:tc>
      </w:tr>
      <w:tr w14:paraId="1D7DF228">
        <w:tblPrEx>
          <w:tblCellMar>
            <w:top w:w="0" w:type="dxa"/>
            <w:left w:w="108" w:type="dxa"/>
            <w:bottom w:w="0" w:type="dxa"/>
            <w:right w:w="108" w:type="dxa"/>
          </w:tblCellMar>
        </w:tblPrEx>
        <w:trPr>
          <w:trHeight w:val="535"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7F24D6F9">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15.1</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061FCF88">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投标有效期</w:t>
            </w:r>
          </w:p>
        </w:tc>
        <w:tc>
          <w:tcPr>
            <w:tcW w:w="5887" w:type="dxa"/>
            <w:tcBorders>
              <w:top w:val="single" w:color="auto" w:sz="4" w:space="0"/>
              <w:left w:val="nil"/>
              <w:bottom w:val="single" w:color="auto" w:sz="8" w:space="0"/>
              <w:right w:val="single" w:color="auto" w:sz="8" w:space="0"/>
            </w:tcBorders>
            <w:noWrap w:val="0"/>
            <w:vAlign w:val="center"/>
          </w:tcPr>
          <w:p w14:paraId="21B04D65">
            <w:pPr>
              <w:pStyle w:val="7"/>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u w:val="single"/>
              </w:rPr>
              <w:t xml:space="preserve">  90  </w:t>
            </w:r>
            <w:r>
              <w:rPr>
                <w:rFonts w:hint="eastAsia" w:ascii="仿宋_GB2312" w:hAnsi="仿宋_GB2312" w:eastAsia="仿宋_GB2312" w:cs="仿宋_GB2312"/>
                <w:color w:val="auto"/>
                <w:kern w:val="0"/>
                <w:szCs w:val="21"/>
              </w:rPr>
              <w:t>日历日</w:t>
            </w:r>
          </w:p>
        </w:tc>
      </w:tr>
      <w:tr w14:paraId="6012F596">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noWrap w:val="0"/>
            <w:vAlign w:val="center"/>
          </w:tcPr>
          <w:p w14:paraId="2E6DB91B">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16.1</w:t>
            </w:r>
          </w:p>
        </w:tc>
        <w:tc>
          <w:tcPr>
            <w:tcW w:w="1917" w:type="dxa"/>
            <w:tcBorders>
              <w:top w:val="nil"/>
              <w:left w:val="single" w:color="auto" w:sz="4" w:space="0"/>
              <w:bottom w:val="single" w:color="auto" w:sz="4" w:space="0"/>
              <w:right w:val="single" w:color="auto" w:sz="8" w:space="0"/>
            </w:tcBorders>
            <w:noWrap w:val="0"/>
            <w:vAlign w:val="center"/>
          </w:tcPr>
          <w:p w14:paraId="7A64634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投标文件及电子文档份数</w:t>
            </w:r>
          </w:p>
        </w:tc>
        <w:tc>
          <w:tcPr>
            <w:tcW w:w="5887" w:type="dxa"/>
            <w:tcBorders>
              <w:top w:val="nil"/>
              <w:left w:val="nil"/>
              <w:bottom w:val="single" w:color="auto" w:sz="4" w:space="0"/>
              <w:right w:val="single" w:color="auto" w:sz="8" w:space="0"/>
            </w:tcBorders>
            <w:noWrap w:val="0"/>
            <w:vAlign w:val="center"/>
          </w:tcPr>
          <w:p w14:paraId="60100CB8">
            <w:pPr>
              <w:widowControl/>
              <w:rPr>
                <w:color w:val="auto"/>
              </w:rPr>
            </w:pPr>
            <w:r>
              <w:rPr>
                <w:rFonts w:hint="eastAsia"/>
                <w:color w:val="auto"/>
              </w:rPr>
              <w:t xml:space="preserve">正本  </w:t>
            </w:r>
            <w:r>
              <w:rPr>
                <w:rFonts w:hint="eastAsia"/>
                <w:color w:val="auto"/>
                <w:lang w:val="en-US" w:eastAsia="zh-CN"/>
              </w:rPr>
              <w:t>1</w:t>
            </w:r>
            <w:r>
              <w:rPr>
                <w:rFonts w:hint="eastAsia"/>
                <w:color w:val="auto"/>
              </w:rPr>
              <w:t xml:space="preserve">  份,副本  </w:t>
            </w:r>
            <w:r>
              <w:rPr>
                <w:rFonts w:hint="eastAsia"/>
                <w:color w:val="auto"/>
                <w:lang w:val="en-US" w:eastAsia="zh-CN"/>
              </w:rPr>
              <w:t>4</w:t>
            </w:r>
            <w:r>
              <w:rPr>
                <w:rFonts w:hint="eastAsia"/>
                <w:color w:val="auto"/>
              </w:rPr>
              <w:t xml:space="preserve">  份</w:t>
            </w:r>
          </w:p>
          <w:p w14:paraId="3704A8B1">
            <w:pPr>
              <w:widowControl/>
              <w:rPr>
                <w:color w:val="auto"/>
              </w:rPr>
            </w:pPr>
            <w:r>
              <w:rPr>
                <w:rFonts w:hint="eastAsia"/>
                <w:color w:val="auto"/>
              </w:rPr>
              <w:t xml:space="preserve">电子文档  </w:t>
            </w:r>
            <w:r>
              <w:rPr>
                <w:rFonts w:hint="eastAsia"/>
                <w:color w:val="auto"/>
                <w:lang w:val="en-US" w:eastAsia="zh-CN"/>
              </w:rPr>
              <w:t>1</w:t>
            </w:r>
            <w:r>
              <w:rPr>
                <w:rFonts w:hint="eastAsia"/>
                <w:color w:val="auto"/>
              </w:rPr>
              <w:t xml:space="preserve">  </w:t>
            </w:r>
            <w:r>
              <w:rPr>
                <w:rFonts w:hint="eastAsia" w:ascii="仿宋" w:hAnsi="仿宋" w:eastAsia="仿宋" w:cs="仿宋"/>
                <w:kern w:val="0"/>
                <w:szCs w:val="21"/>
              </w:rPr>
              <w:t>份</w:t>
            </w:r>
            <w:r>
              <w:rPr>
                <w:rFonts w:hint="eastAsia" w:ascii="仿宋" w:hAnsi="仿宋" w:cs="仿宋"/>
                <w:kern w:val="0"/>
                <w:szCs w:val="21"/>
                <w:lang w:val="en-US" w:eastAsia="zh-CN"/>
              </w:rPr>
              <w:t>【</w:t>
            </w:r>
            <w:r>
              <w:rPr>
                <w:rFonts w:hint="eastAsia" w:ascii="仿宋" w:hAnsi="仿宋" w:eastAsia="仿宋" w:cs="仿宋"/>
                <w:kern w:val="0"/>
                <w:szCs w:val="21"/>
              </w:rPr>
              <w:t>电子U盘，PDF版本</w:t>
            </w:r>
            <w:r>
              <w:rPr>
                <w:rFonts w:hint="eastAsia" w:ascii="仿宋" w:hAnsi="仿宋" w:eastAsia="仿宋" w:cs="仿宋"/>
                <w:kern w:val="0"/>
                <w:szCs w:val="21"/>
                <w:lang w:eastAsia="zh-CN"/>
              </w:rPr>
              <w:t>（</w:t>
            </w:r>
            <w:r>
              <w:rPr>
                <w:rFonts w:hint="eastAsia" w:ascii="仿宋" w:hAnsi="仿宋" w:eastAsia="仿宋" w:cs="仿宋"/>
                <w:kern w:val="0"/>
                <w:szCs w:val="21"/>
                <w:lang w:val="en-US" w:eastAsia="zh-CN"/>
              </w:rPr>
              <w:t>须</w:t>
            </w:r>
            <w:r>
              <w:rPr>
                <w:rFonts w:hint="eastAsia" w:ascii="仿宋" w:hAnsi="仿宋" w:eastAsia="仿宋" w:cs="仿宋"/>
                <w:kern w:val="0"/>
                <w:szCs w:val="21"/>
              </w:rPr>
              <w:t>盖章、签字）</w:t>
            </w:r>
            <w:r>
              <w:rPr>
                <w:rFonts w:hint="eastAsia" w:ascii="仿宋" w:hAnsi="仿宋" w:cs="仿宋"/>
                <w:kern w:val="0"/>
                <w:szCs w:val="21"/>
                <w:lang w:val="en-US" w:eastAsia="zh-CN"/>
              </w:rPr>
              <w:t>或</w:t>
            </w:r>
            <w:r>
              <w:rPr>
                <w:rFonts w:hint="eastAsia" w:ascii="仿宋" w:hAnsi="仿宋" w:eastAsia="仿宋" w:cs="仿宋"/>
                <w:kern w:val="0"/>
                <w:szCs w:val="21"/>
                <w:lang w:val="en-US" w:eastAsia="zh-CN"/>
              </w:rPr>
              <w:t>wo</w:t>
            </w:r>
            <w:r>
              <w:rPr>
                <w:rFonts w:hint="eastAsia" w:ascii="仿宋" w:hAnsi="仿宋" w:cs="仿宋"/>
                <w:kern w:val="0"/>
                <w:szCs w:val="21"/>
                <w:lang w:val="en-US" w:eastAsia="zh-CN"/>
              </w:rPr>
              <w:t>r</w:t>
            </w:r>
            <w:r>
              <w:rPr>
                <w:rFonts w:hint="eastAsia" w:ascii="仿宋" w:hAnsi="仿宋" w:eastAsia="仿宋" w:cs="仿宋"/>
                <w:kern w:val="0"/>
                <w:szCs w:val="21"/>
                <w:lang w:val="en-US" w:eastAsia="zh-CN"/>
              </w:rPr>
              <w:t>d 版本</w:t>
            </w:r>
            <w:r>
              <w:rPr>
                <w:rFonts w:hint="eastAsia" w:ascii="仿宋" w:hAnsi="仿宋" w:cs="仿宋"/>
                <w:kern w:val="0"/>
                <w:szCs w:val="21"/>
                <w:lang w:val="en-US" w:eastAsia="zh-CN"/>
              </w:rPr>
              <w:t>】</w:t>
            </w:r>
          </w:p>
        </w:tc>
      </w:tr>
      <w:tr w14:paraId="00A54433">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noWrap w:val="0"/>
            <w:vAlign w:val="center"/>
          </w:tcPr>
          <w:p w14:paraId="7E78F76C">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18.1</w:t>
            </w:r>
          </w:p>
        </w:tc>
        <w:tc>
          <w:tcPr>
            <w:tcW w:w="1917" w:type="dxa"/>
            <w:tcBorders>
              <w:top w:val="nil"/>
              <w:left w:val="single" w:color="auto" w:sz="4" w:space="0"/>
              <w:bottom w:val="single" w:color="auto" w:sz="4" w:space="0"/>
              <w:right w:val="single" w:color="auto" w:sz="8" w:space="0"/>
            </w:tcBorders>
            <w:noWrap w:val="0"/>
            <w:vAlign w:val="center"/>
          </w:tcPr>
          <w:p w14:paraId="0A9AA9EA">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递交投标文件截止时间、地点</w:t>
            </w:r>
          </w:p>
        </w:tc>
        <w:tc>
          <w:tcPr>
            <w:tcW w:w="5887" w:type="dxa"/>
            <w:tcBorders>
              <w:top w:val="nil"/>
              <w:left w:val="nil"/>
              <w:bottom w:val="single" w:color="auto" w:sz="4" w:space="0"/>
              <w:right w:val="single" w:color="auto" w:sz="8" w:space="0"/>
            </w:tcBorders>
            <w:noWrap w:val="0"/>
            <w:vAlign w:val="center"/>
          </w:tcPr>
          <w:p w14:paraId="65DC1C83">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详见招标公告，以招标公告规定时间、地点为准。</w:t>
            </w:r>
          </w:p>
        </w:tc>
      </w:tr>
      <w:tr w14:paraId="46BE1C0B">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0"/>
            <w:vAlign w:val="center"/>
          </w:tcPr>
          <w:p w14:paraId="11CABDD6">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20.1</w:t>
            </w:r>
          </w:p>
        </w:tc>
        <w:tc>
          <w:tcPr>
            <w:tcW w:w="1917" w:type="dxa"/>
            <w:tcBorders>
              <w:top w:val="nil"/>
              <w:left w:val="single" w:color="auto" w:sz="4" w:space="0"/>
              <w:bottom w:val="single" w:color="auto" w:sz="4" w:space="0"/>
              <w:right w:val="single" w:color="auto" w:sz="8" w:space="0"/>
            </w:tcBorders>
            <w:noWrap w:val="0"/>
            <w:vAlign w:val="center"/>
          </w:tcPr>
          <w:p w14:paraId="605B4AF9">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开标时间、地点</w:t>
            </w:r>
          </w:p>
        </w:tc>
        <w:tc>
          <w:tcPr>
            <w:tcW w:w="5887" w:type="dxa"/>
            <w:tcBorders>
              <w:top w:val="nil"/>
              <w:left w:val="nil"/>
              <w:bottom w:val="single" w:color="auto" w:sz="4" w:space="0"/>
              <w:right w:val="single" w:color="auto" w:sz="8" w:space="0"/>
            </w:tcBorders>
            <w:noWrap w:val="0"/>
            <w:vAlign w:val="center"/>
          </w:tcPr>
          <w:p w14:paraId="3DBBAFC4">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详见招标公告，以招标公告规定时间、地点为准。</w:t>
            </w:r>
          </w:p>
        </w:tc>
      </w:tr>
      <w:tr w14:paraId="75C1A91F">
        <w:tblPrEx>
          <w:tblCellMar>
            <w:top w:w="0" w:type="dxa"/>
            <w:left w:w="108" w:type="dxa"/>
            <w:bottom w:w="0" w:type="dxa"/>
            <w:right w:w="108" w:type="dxa"/>
          </w:tblCellMar>
        </w:tblPrEx>
        <w:trPr>
          <w:trHeight w:val="552" w:hRule="atLeast"/>
        </w:trPr>
        <w:tc>
          <w:tcPr>
            <w:tcW w:w="852" w:type="dxa"/>
            <w:tcBorders>
              <w:top w:val="nil"/>
              <w:left w:val="single" w:color="auto" w:sz="8" w:space="0"/>
              <w:bottom w:val="single" w:color="auto" w:sz="4" w:space="0"/>
              <w:right w:val="single" w:color="auto" w:sz="4" w:space="0"/>
            </w:tcBorders>
            <w:noWrap w:val="0"/>
            <w:vAlign w:val="center"/>
          </w:tcPr>
          <w:p w14:paraId="616C116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w:t>
            </w:r>
          </w:p>
        </w:tc>
        <w:tc>
          <w:tcPr>
            <w:tcW w:w="1917" w:type="dxa"/>
            <w:tcBorders>
              <w:top w:val="nil"/>
              <w:left w:val="single" w:color="auto" w:sz="4" w:space="0"/>
              <w:bottom w:val="single" w:color="auto" w:sz="4" w:space="0"/>
              <w:right w:val="single" w:color="auto" w:sz="8" w:space="0"/>
            </w:tcBorders>
            <w:noWrap w:val="0"/>
            <w:vAlign w:val="center"/>
          </w:tcPr>
          <w:p w14:paraId="73C0964B">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评标委员会组成</w:t>
            </w:r>
          </w:p>
        </w:tc>
        <w:tc>
          <w:tcPr>
            <w:tcW w:w="5887" w:type="dxa"/>
            <w:tcBorders>
              <w:top w:val="nil"/>
              <w:left w:val="nil"/>
              <w:bottom w:val="single" w:color="auto" w:sz="4" w:space="0"/>
              <w:right w:val="single" w:color="auto" w:sz="8" w:space="0"/>
            </w:tcBorders>
            <w:noWrap w:val="0"/>
            <w:vAlign w:val="center"/>
          </w:tcPr>
          <w:p w14:paraId="212395BF">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评标委员会由</w:t>
            </w:r>
            <w:r>
              <w:rPr>
                <w:rFonts w:hint="eastAsia" w:ascii="仿宋_GB2312" w:hAnsi="仿宋_GB2312" w:eastAsia="仿宋_GB2312" w:cs="仿宋_GB2312"/>
                <w:color w:val="auto"/>
                <w:szCs w:val="21"/>
                <w:highlight w:val="none"/>
                <w:lang w:eastAsia="zh-CN"/>
              </w:rPr>
              <w:t>招标人</w:t>
            </w:r>
            <w:r>
              <w:rPr>
                <w:rFonts w:hint="eastAsia" w:ascii="仿宋_GB2312" w:hAnsi="仿宋_GB2312" w:eastAsia="仿宋_GB2312" w:cs="仿宋_GB2312"/>
                <w:color w:val="auto"/>
                <w:szCs w:val="21"/>
                <w:highlight w:val="none"/>
              </w:rPr>
              <w:t>代表</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0</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人，评审专家</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人组成，共</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人。 </w:t>
            </w:r>
          </w:p>
        </w:tc>
      </w:tr>
      <w:tr w14:paraId="149E8CF1">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3C5F07C">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4FAA1899">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样品的评审方法以及评审标准</w:t>
            </w:r>
          </w:p>
          <w:p w14:paraId="0E346285">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61FBA3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Cs/>
                <w:kern w:val="0"/>
                <w:szCs w:val="21"/>
              </w:rPr>
              <w:t>样品：</w:t>
            </w:r>
          </w:p>
          <w:p w14:paraId="67D38B0D">
            <w:pPr>
              <w:rPr>
                <w:rFonts w:ascii="仿宋" w:hAnsi="仿宋" w:cs="仿宋"/>
                <w:color w:val="000000"/>
                <w:kern w:val="0"/>
                <w:szCs w:val="21"/>
              </w:rPr>
            </w:pPr>
            <w:r>
              <w:rPr>
                <w:rFonts w:hint="eastAsia" w:ascii="仿宋" w:hAnsi="仿宋" w:cs="仿宋"/>
                <w:color w:val="000000"/>
                <w:kern w:val="0"/>
                <w:szCs w:val="21"/>
              </w:rPr>
              <w:t>1、样品评审方法：</w:t>
            </w:r>
            <w:r>
              <w:rPr>
                <w:rFonts w:hint="eastAsia" w:ascii="仿宋" w:hAnsi="仿宋" w:cs="仿宋"/>
                <w:kern w:val="0"/>
                <w:szCs w:val="21"/>
                <w:u w:val="single"/>
              </w:rPr>
              <w:t>综合评分法</w:t>
            </w:r>
          </w:p>
          <w:p w14:paraId="750854C7">
            <w:pPr>
              <w:rPr>
                <w:rFonts w:ascii="仿宋_GB2312" w:hAnsi="仿宋_GB2312" w:cs="仿宋_GB2312"/>
                <w:kern w:val="0"/>
                <w:szCs w:val="21"/>
                <w:u w:val="single"/>
              </w:rPr>
            </w:pPr>
            <w:r>
              <w:rPr>
                <w:rFonts w:hint="eastAsia" w:ascii="仿宋" w:hAnsi="仿宋" w:cs="仿宋"/>
                <w:color w:val="000000"/>
                <w:kern w:val="0"/>
                <w:szCs w:val="21"/>
              </w:rPr>
              <w:t>2、样品评审标准：</w:t>
            </w:r>
            <w:r>
              <w:rPr>
                <w:rFonts w:hint="eastAsia" w:ascii="仿宋" w:hAnsi="仿宋" w:cs="仿宋"/>
                <w:kern w:val="0"/>
                <w:szCs w:val="21"/>
                <w:u w:val="single"/>
              </w:rPr>
              <w:t>详见第四章附件3评分细则</w:t>
            </w:r>
          </w:p>
          <w:p w14:paraId="7D4DE8BE">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演示：无</w:t>
            </w:r>
          </w:p>
          <w:p w14:paraId="06710955">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r>
              <w:rPr>
                <w:rFonts w:hint="eastAsia" w:ascii="仿宋_GB2312" w:hAnsi="仿宋_GB2312" w:eastAsia="仿宋_GB2312" w:cs="仿宋_GB2312"/>
                <w:kern w:val="0"/>
                <w:szCs w:val="21"/>
                <w:u w:val="single"/>
              </w:rPr>
              <w:t>/</w:t>
            </w:r>
          </w:p>
          <w:p w14:paraId="5BA1431E">
            <w:pPr>
              <w:rPr>
                <w:rFonts w:ascii="仿宋_GB2312" w:hAnsi="仿宋_GB2312" w:eastAsia="仿宋_GB2312" w:cs="仿宋_GB2312"/>
                <w:color w:val="auto"/>
                <w:kern w:val="0"/>
                <w:szCs w:val="21"/>
                <w:u w:val="single"/>
              </w:rPr>
            </w:pPr>
            <w:r>
              <w:rPr>
                <w:rFonts w:hint="eastAsia" w:ascii="仿宋_GB2312" w:hAnsi="仿宋_GB2312" w:eastAsia="仿宋_GB2312" w:cs="仿宋_GB2312"/>
                <w:kern w:val="0"/>
                <w:szCs w:val="21"/>
              </w:rPr>
              <w:t>2、演示评审标准：</w:t>
            </w:r>
            <w:r>
              <w:rPr>
                <w:rFonts w:hint="eastAsia" w:ascii="仿宋_GB2312" w:hAnsi="仿宋_GB2312" w:eastAsia="仿宋_GB2312" w:cs="仿宋_GB2312"/>
                <w:kern w:val="0"/>
                <w:szCs w:val="21"/>
                <w:u w:val="single"/>
              </w:rPr>
              <w:t>/</w:t>
            </w:r>
          </w:p>
        </w:tc>
      </w:tr>
      <w:tr w14:paraId="0A302B3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CA7F616">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27.2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2385A396">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评标办法</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4B084EAD">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52"/>
            </w:r>
            <w:r>
              <w:rPr>
                <w:rFonts w:hint="eastAsia" w:ascii="仿宋_GB2312" w:hAnsi="仿宋_GB2312" w:eastAsia="仿宋_GB2312" w:cs="仿宋_GB2312"/>
                <w:color w:val="auto"/>
                <w:szCs w:val="21"/>
              </w:rPr>
              <w:t>综合评分法</w:t>
            </w:r>
          </w:p>
          <w:p w14:paraId="60072E16">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A3"/>
            </w:r>
            <w:r>
              <w:rPr>
                <w:rFonts w:hint="eastAsia" w:ascii="仿宋_GB2312" w:hAnsi="仿宋_GB2312" w:eastAsia="仿宋_GB2312" w:cs="仿宋_GB2312"/>
                <w:color w:val="auto"/>
                <w:szCs w:val="21"/>
              </w:rPr>
              <w:t xml:space="preserve">最低评标价法 </w:t>
            </w:r>
          </w:p>
        </w:tc>
      </w:tr>
      <w:tr w14:paraId="0427A97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F7A1662">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29.2</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003DF5A5">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6642BF6E">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highlight w:val="none"/>
                <w:u w:val="single"/>
                <w:lang w:val="en-US" w:eastAsia="zh-CN"/>
              </w:rPr>
              <w:t>评标委员会按照评审得分由高到低的顺序推荐3家候选供应商</w:t>
            </w:r>
          </w:p>
        </w:tc>
      </w:tr>
      <w:tr w14:paraId="12A55174">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1A606C01">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3A2A167F">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392D79B3">
            <w:pPr>
              <w:widowControl/>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中标人数量：</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1</w:t>
            </w:r>
            <w:r>
              <w:rPr>
                <w:rFonts w:hint="eastAsia" w:ascii="仿宋_GB2312" w:hAnsi="仿宋_GB2312" w:eastAsia="仿宋_GB2312" w:cs="仿宋_GB2312"/>
                <w:color w:val="auto"/>
                <w:kern w:val="0"/>
                <w:szCs w:val="21"/>
                <w:u w:val="single"/>
              </w:rPr>
              <w:t xml:space="preserve">    </w:t>
            </w:r>
          </w:p>
          <w:p w14:paraId="1B31BBC9">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lang w:eastAsia="zh-CN"/>
              </w:rPr>
              <w:t>招标人</w:t>
            </w:r>
            <w:r>
              <w:rPr>
                <w:rFonts w:hint="eastAsia" w:ascii="仿宋_GB2312" w:hAnsi="仿宋_GB2312" w:eastAsia="仿宋_GB2312" w:cs="仿宋_GB2312"/>
                <w:color w:val="auto"/>
                <w:kern w:val="0"/>
                <w:szCs w:val="21"/>
              </w:rPr>
              <w:t>委托评标委员会直接确定中标人</w:t>
            </w:r>
          </w:p>
          <w:p w14:paraId="2846C750">
            <w:pPr>
              <w:widowControl/>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lang w:eastAsia="zh-CN"/>
              </w:rPr>
              <w:t>招标人</w:t>
            </w:r>
            <w:r>
              <w:rPr>
                <w:rFonts w:hint="eastAsia" w:ascii="仿宋_GB2312" w:hAnsi="仿宋_GB2312" w:eastAsia="仿宋_GB2312" w:cs="仿宋_GB2312"/>
                <w:color w:val="auto"/>
                <w:kern w:val="0"/>
                <w:szCs w:val="21"/>
              </w:rPr>
              <w:t>确定中标人</w:t>
            </w:r>
          </w:p>
        </w:tc>
      </w:tr>
      <w:tr w14:paraId="4FD7AAB2">
        <w:tblPrEx>
          <w:tblCellMar>
            <w:top w:w="0" w:type="dxa"/>
            <w:left w:w="108" w:type="dxa"/>
            <w:bottom w:w="0" w:type="dxa"/>
            <w:right w:w="108" w:type="dxa"/>
          </w:tblCellMar>
        </w:tblPrEx>
        <w:trPr>
          <w:trHeight w:val="1641"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334781D">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35.1</w:t>
            </w:r>
          </w:p>
        </w:tc>
        <w:tc>
          <w:tcPr>
            <w:tcW w:w="1917" w:type="dxa"/>
            <w:tcBorders>
              <w:top w:val="single" w:color="auto" w:sz="4" w:space="0"/>
              <w:left w:val="single" w:color="auto" w:sz="4" w:space="0"/>
              <w:bottom w:val="single" w:color="auto" w:sz="4" w:space="0"/>
              <w:right w:val="single" w:color="auto" w:sz="4" w:space="0"/>
            </w:tcBorders>
            <w:noWrap w:val="0"/>
            <w:vAlign w:val="center"/>
          </w:tcPr>
          <w:p w14:paraId="1F5C9D3C">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履约保证金</w:t>
            </w:r>
          </w:p>
        </w:tc>
        <w:tc>
          <w:tcPr>
            <w:tcW w:w="5887" w:type="dxa"/>
            <w:tcBorders>
              <w:top w:val="single" w:color="auto" w:sz="4" w:space="0"/>
              <w:left w:val="single" w:color="auto" w:sz="4" w:space="0"/>
              <w:bottom w:val="single" w:color="auto" w:sz="4" w:space="0"/>
              <w:right w:val="single" w:color="auto" w:sz="4" w:space="0"/>
            </w:tcBorders>
            <w:noWrap w:val="0"/>
            <w:vAlign w:val="center"/>
          </w:tcPr>
          <w:p w14:paraId="7B89E2CB">
            <w:pPr>
              <w:shd w:val="clear" w:color="auto" w:fill="FFFFFF"/>
              <w:jc w:val="left"/>
              <w:rPr>
                <w:rFonts w:ascii="仿宋_GB2312" w:hAnsi="仿宋_GB2312" w:eastAsia="仿宋_GB2312" w:cs="仿宋_GB2312"/>
                <w:color w:val="0000FF"/>
                <w:szCs w:val="21"/>
                <w:highlight w:val="none"/>
              </w:rPr>
            </w:pPr>
            <w:r>
              <w:rPr>
                <w:rFonts w:hint="eastAsia" w:ascii="仿宋_GB2312" w:hAnsi="仿宋_GB2312" w:eastAsia="仿宋_GB2312" w:cs="仿宋_GB2312"/>
                <w:color w:val="0000FF"/>
                <w:szCs w:val="21"/>
                <w:highlight w:val="none"/>
              </w:rPr>
              <w:sym w:font="Wingdings 2" w:char="0052"/>
            </w:r>
            <w:r>
              <w:rPr>
                <w:rFonts w:hint="eastAsia" w:ascii="仿宋_GB2312" w:hAnsi="仿宋_GB2312" w:eastAsia="仿宋_GB2312" w:cs="仿宋_GB2312"/>
                <w:color w:val="0000FF"/>
                <w:szCs w:val="21"/>
                <w:highlight w:val="none"/>
              </w:rPr>
              <w:t>本项目不收取履约保证金</w:t>
            </w:r>
          </w:p>
          <w:p w14:paraId="356B7CFF">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本项目收取履约保证金</w:t>
            </w:r>
          </w:p>
          <w:p w14:paraId="2E2718C0">
            <w:pPr>
              <w:shd w:val="clear" w:color="auto" w:fill="FFFFFF"/>
              <w:ind w:firstLine="210" w:firstLineChars="100"/>
              <w:jc w:val="left"/>
              <w:rPr>
                <w:rFonts w:hint="default" w:ascii="仿宋_GB2312" w:hAnsi="仿宋_GB2312" w:eastAsia="仿宋_GB2312" w:cs="仿宋_GB2312"/>
                <w:szCs w:val="21"/>
                <w:u w:val="single"/>
                <w:lang w:val="en-US" w:eastAsia="zh-CN"/>
              </w:rPr>
            </w:pPr>
            <w:r>
              <w:rPr>
                <w:rFonts w:hint="eastAsia" w:ascii="仿宋_GB2312" w:hAnsi="仿宋_GB2312" w:eastAsia="仿宋_GB2312" w:cs="仿宋_GB2312"/>
                <w:szCs w:val="21"/>
              </w:rPr>
              <w:t>履约保证金金额：</w:t>
            </w:r>
            <w:r>
              <w:rPr>
                <w:rFonts w:hint="eastAsia" w:ascii="仿宋_GB2312" w:hAnsi="仿宋_GB2312" w:eastAsia="仿宋_GB2312" w:cs="仿宋_GB2312"/>
                <w:szCs w:val="21"/>
                <w:u w:val="single"/>
                <w:lang w:val="en-US" w:eastAsia="zh-CN"/>
              </w:rPr>
              <w:t xml:space="preserve">         </w:t>
            </w:r>
          </w:p>
          <w:p w14:paraId="11EA1CB2">
            <w:pPr>
              <w:shd w:val="clear" w:color="auto" w:fill="FFFFFF"/>
              <w:ind w:firstLine="210" w:firstLineChars="100"/>
              <w:jc w:val="left"/>
              <w:rPr>
                <w:rFonts w:ascii="仿宋_GB2312" w:hAnsi="仿宋_GB2312" w:eastAsia="仿宋_GB2312" w:cs="仿宋_GB2312"/>
                <w:szCs w:val="21"/>
                <w:u w:val="single"/>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szCs w:val="21"/>
                <w:u w:val="single"/>
                <w:lang w:val="en-US" w:eastAsia="zh-CN"/>
              </w:rPr>
              <w:t xml:space="preserve">         </w:t>
            </w:r>
          </w:p>
          <w:p w14:paraId="7FCFFA6A">
            <w:pPr>
              <w:shd w:val="clear" w:color="auto" w:fill="FFFFFF"/>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szCs w:val="21"/>
              </w:rPr>
              <w:t>履约保证金递交方式：</w:t>
            </w:r>
            <w:r>
              <w:rPr>
                <w:rFonts w:hint="eastAsia" w:ascii="仿宋_GB2312" w:hAnsi="仿宋_GB2312" w:eastAsia="仿宋_GB2312" w:cs="仿宋_GB2312"/>
                <w:color w:val="auto"/>
                <w:szCs w:val="21"/>
              </w:rPr>
              <w:t>☑保函   □支票  ☑电汇</w:t>
            </w:r>
          </w:p>
          <w:p w14:paraId="3E11F5AB">
            <w:pPr>
              <w:shd w:val="clear" w:color="auto" w:fill="FFFFFF"/>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账户信息：</w:t>
            </w:r>
          </w:p>
          <w:p w14:paraId="2F3E0EC8">
            <w:pP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rPr>
              <w:t xml:space="preserve">    </w:t>
            </w:r>
            <w:r>
              <w:rPr>
                <w:rFonts w:hint="eastAsia" w:ascii="仿宋_GB2312" w:hAnsi="仿宋_GB2312" w:eastAsia="仿宋_GB2312" w:cs="仿宋_GB2312"/>
                <w:color w:val="auto"/>
                <w:szCs w:val="21"/>
                <w:highlight w:val="none"/>
              </w:rPr>
              <w:t>开 户 名：</w:t>
            </w:r>
            <w:r>
              <w:rPr>
                <w:rFonts w:hint="eastAsia" w:ascii="仿宋_GB2312" w:hAnsi="仿宋_GB2312" w:eastAsia="仿宋_GB2312" w:cs="仿宋_GB2312"/>
                <w:color w:val="auto"/>
                <w:kern w:val="0"/>
                <w:szCs w:val="21"/>
                <w:highlight w:val="none"/>
                <w:u w:val="single"/>
                <w:lang w:val="en-US" w:eastAsia="zh-CN"/>
              </w:rPr>
              <w:t xml:space="preserve">             </w:t>
            </w:r>
          </w:p>
          <w:p w14:paraId="2A9968B0">
            <w:pPr>
              <w:ind w:firstLine="420" w:firstLineChars="200"/>
              <w:rPr>
                <w:rFonts w:hint="default"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rPr>
              <w:t>开 户 行：</w:t>
            </w:r>
            <w:r>
              <w:rPr>
                <w:rFonts w:hint="eastAsia" w:ascii="仿宋_GB2312" w:hAnsi="仿宋_GB2312" w:eastAsia="仿宋_GB2312" w:cs="仿宋_GB2312"/>
                <w:color w:val="auto"/>
                <w:szCs w:val="21"/>
                <w:highlight w:val="none"/>
                <w:u w:val="single"/>
                <w:lang w:val="en-US" w:eastAsia="zh-CN"/>
              </w:rPr>
              <w:t xml:space="preserve">             </w:t>
            </w:r>
          </w:p>
          <w:p w14:paraId="5A9C08A7">
            <w:pP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 xml:space="preserve">    账    号：</w:t>
            </w:r>
            <w:r>
              <w:rPr>
                <w:rFonts w:hint="eastAsia" w:ascii="仿宋_GB2312" w:hAnsi="仿宋_GB2312" w:eastAsia="仿宋_GB2312" w:cs="仿宋_GB2312"/>
                <w:color w:val="auto"/>
                <w:szCs w:val="21"/>
                <w:highlight w:val="none"/>
                <w:u w:val="single"/>
                <w:lang w:val="en-US" w:eastAsia="zh-CN"/>
              </w:rPr>
              <w:t xml:space="preserve">             </w:t>
            </w:r>
          </w:p>
          <w:p w14:paraId="32D51D52">
            <w:pPr>
              <w:shd w:val="clear" w:color="auto" w:fill="FFFFFF"/>
              <w:ind w:firstLine="210" w:firstLineChars="100"/>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履约保证金退还时间及规定：</w:t>
            </w:r>
            <w:r>
              <w:rPr>
                <w:rFonts w:hint="eastAsia" w:ascii="仿宋_GB2312" w:hAnsi="仿宋_GB2312" w:eastAsia="仿宋_GB2312" w:cs="仿宋_GB2312"/>
                <w:color w:val="auto"/>
                <w:kern w:val="0"/>
                <w:szCs w:val="21"/>
                <w:u w:val="single"/>
                <w:lang w:val="en-US" w:eastAsia="zh-CN"/>
              </w:rPr>
              <w:t xml:space="preserve">          </w:t>
            </w:r>
          </w:p>
        </w:tc>
      </w:tr>
      <w:tr w14:paraId="5B012444">
        <w:tblPrEx>
          <w:tblCellMar>
            <w:top w:w="0" w:type="dxa"/>
            <w:left w:w="108" w:type="dxa"/>
            <w:bottom w:w="0" w:type="dxa"/>
            <w:right w:w="108" w:type="dxa"/>
          </w:tblCellMar>
        </w:tblPrEx>
        <w:trPr>
          <w:trHeight w:val="6291" w:hRule="atLeast"/>
        </w:trPr>
        <w:tc>
          <w:tcPr>
            <w:tcW w:w="852" w:type="dxa"/>
            <w:tcBorders>
              <w:top w:val="nil"/>
              <w:left w:val="single" w:color="auto" w:sz="8" w:space="0"/>
              <w:bottom w:val="single" w:color="auto" w:sz="8" w:space="0"/>
              <w:right w:val="single" w:color="auto" w:sz="4" w:space="0"/>
            </w:tcBorders>
            <w:noWrap w:val="0"/>
            <w:vAlign w:val="center"/>
          </w:tcPr>
          <w:p w14:paraId="220DDD4F">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36</w:t>
            </w:r>
          </w:p>
        </w:tc>
        <w:tc>
          <w:tcPr>
            <w:tcW w:w="1917" w:type="dxa"/>
            <w:tcBorders>
              <w:top w:val="nil"/>
              <w:left w:val="single" w:color="auto" w:sz="4" w:space="0"/>
              <w:bottom w:val="single" w:color="auto" w:sz="8" w:space="0"/>
              <w:right w:val="single" w:color="auto" w:sz="8" w:space="0"/>
            </w:tcBorders>
            <w:noWrap w:val="0"/>
            <w:vAlign w:val="center"/>
          </w:tcPr>
          <w:p w14:paraId="0F2D682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采购代理服务费</w:t>
            </w:r>
          </w:p>
        </w:tc>
        <w:tc>
          <w:tcPr>
            <w:tcW w:w="5887" w:type="dxa"/>
            <w:tcBorders>
              <w:top w:val="nil"/>
              <w:left w:val="nil"/>
              <w:bottom w:val="single" w:color="auto" w:sz="8" w:space="0"/>
              <w:right w:val="single" w:color="auto" w:sz="8" w:space="0"/>
            </w:tcBorders>
            <w:noWrap w:val="0"/>
            <w:vAlign w:val="center"/>
          </w:tcPr>
          <w:p w14:paraId="6016161B">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A3"/>
            </w:r>
            <w:r>
              <w:rPr>
                <w:rFonts w:hint="eastAsia" w:ascii="仿宋_GB2312" w:hAnsi="仿宋_GB2312" w:eastAsia="仿宋_GB2312" w:cs="仿宋_GB2312"/>
                <w:color w:val="auto"/>
                <w:szCs w:val="21"/>
              </w:rPr>
              <w:t>本项目不收取</w:t>
            </w:r>
            <w:r>
              <w:rPr>
                <w:rFonts w:hint="eastAsia" w:ascii="仿宋_GB2312" w:hAnsi="仿宋_GB2312" w:eastAsia="仿宋_GB2312" w:cs="仿宋_GB2312"/>
                <w:color w:val="auto"/>
                <w:kern w:val="0"/>
                <w:szCs w:val="21"/>
              </w:rPr>
              <w:t>采购代理服务费</w:t>
            </w:r>
          </w:p>
          <w:p w14:paraId="60FAC05E">
            <w:pPr>
              <w:shd w:val="clear" w:color="auto" w:fill="FFFFFF"/>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sym w:font="Wingdings 2" w:char="0052"/>
            </w:r>
            <w:r>
              <w:rPr>
                <w:rFonts w:hint="eastAsia" w:ascii="仿宋_GB2312" w:hAnsi="仿宋_GB2312" w:eastAsia="仿宋_GB2312" w:cs="仿宋_GB2312"/>
                <w:color w:val="auto"/>
                <w:szCs w:val="21"/>
              </w:rPr>
              <w:t>本项目收取</w:t>
            </w:r>
            <w:r>
              <w:rPr>
                <w:rFonts w:hint="eastAsia" w:ascii="仿宋_GB2312" w:hAnsi="仿宋_GB2312" w:eastAsia="仿宋_GB2312" w:cs="仿宋_GB2312"/>
                <w:color w:val="auto"/>
                <w:kern w:val="0"/>
                <w:szCs w:val="21"/>
              </w:rPr>
              <w:t>采购代理服务费</w:t>
            </w:r>
          </w:p>
          <w:p w14:paraId="255AEAA3">
            <w:pPr>
              <w:widowControl/>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本项目采购代理服务费由</w:t>
            </w:r>
            <w:r>
              <w:rPr>
                <w:rFonts w:hint="eastAsia" w:ascii="仿宋_GB2312" w:hAnsi="仿宋_GB2312" w:eastAsia="仿宋_GB2312" w:cs="仿宋_GB2312"/>
                <w:color w:val="auto"/>
                <w:kern w:val="0"/>
                <w:szCs w:val="21"/>
                <w:u w:val="single"/>
                <w:lang w:val="en-US" w:eastAsia="zh-CN"/>
              </w:rPr>
              <w:t>中标供应商</w:t>
            </w:r>
            <w:r>
              <w:rPr>
                <w:rFonts w:hint="eastAsia" w:ascii="仿宋_GB2312" w:hAnsi="仿宋_GB2312" w:eastAsia="仿宋_GB2312" w:cs="仿宋_GB2312"/>
                <w:color w:val="auto"/>
                <w:kern w:val="0"/>
                <w:szCs w:val="21"/>
              </w:rPr>
              <w:t>向采购代理机构予以支付。</w:t>
            </w:r>
          </w:p>
          <w:p w14:paraId="1AF64D48">
            <w:pPr>
              <w:keepNext w:val="0"/>
              <w:keepLines w:val="0"/>
              <w:pageBreakBefore w:val="0"/>
              <w:widowControl/>
              <w:kinsoku/>
              <w:wordWrap/>
              <w:overflowPunct/>
              <w:topLinePunct w:val="0"/>
              <w:autoSpaceDE/>
              <w:autoSpaceDN/>
              <w:bidi w:val="0"/>
              <w:adjustRightInd w:val="0"/>
              <w:snapToGrid w:val="0"/>
              <w:spacing w:line="240" w:lineRule="auto"/>
              <w:ind w:firstLine="210" w:firstLineChars="100"/>
              <w:textAlignment w:val="auto"/>
              <w:rPr>
                <w:rFonts w:hint="eastAsia" w:ascii="仿宋" w:hAnsi="仿宋" w:eastAsia="仿宋" w:cs="仿宋"/>
                <w:color w:val="auto"/>
                <w:kern w:val="0"/>
                <w:szCs w:val="21"/>
                <w:highlight w:val="none"/>
                <w:u w:val="single"/>
                <w:lang w:val="en-US"/>
              </w:rPr>
            </w:pPr>
            <w:r>
              <w:rPr>
                <w:rFonts w:hint="eastAsia" w:ascii="仿宋_GB2312" w:hAnsi="仿宋_GB2312" w:eastAsia="仿宋_GB2312" w:cs="仿宋_GB2312"/>
                <w:color w:val="auto"/>
                <w:kern w:val="0"/>
                <w:szCs w:val="21"/>
              </w:rPr>
              <w:t>支付标准：</w:t>
            </w:r>
            <w:r>
              <w:rPr>
                <w:rFonts w:hint="eastAsia" w:ascii="仿宋" w:hAnsi="仿宋" w:eastAsia="仿宋" w:cs="仿宋"/>
                <w:color w:val="auto"/>
                <w:kern w:val="0"/>
                <w:szCs w:val="21"/>
                <w:highlight w:val="none"/>
                <w:u w:val="single"/>
              </w:rPr>
              <w:t>参照</w:t>
            </w:r>
            <w:r>
              <w:rPr>
                <w:rFonts w:hint="eastAsia" w:ascii="仿宋" w:hAnsi="仿宋" w:eastAsia="仿宋" w:cs="仿宋"/>
                <w:color w:val="auto"/>
                <w:kern w:val="0"/>
                <w:sz w:val="21"/>
                <w:szCs w:val="21"/>
                <w:highlight w:val="none"/>
                <w:u w:val="single"/>
              </w:rPr>
              <w:t>采购代理服务费以成交金额作为收费的计算基数，收取标准</w:t>
            </w:r>
            <w:r>
              <w:rPr>
                <w:rFonts w:hint="eastAsia" w:ascii="仿宋" w:hAnsi="仿宋" w:cs="仿宋"/>
                <w:color w:val="auto"/>
                <w:kern w:val="0"/>
                <w:sz w:val="21"/>
                <w:szCs w:val="21"/>
                <w:highlight w:val="none"/>
                <w:u w:val="single"/>
                <w:lang w:val="en-US" w:eastAsia="zh-CN"/>
              </w:rPr>
              <w:t>参照如下表格</w:t>
            </w:r>
            <w:r>
              <w:rPr>
                <w:rFonts w:hint="eastAsia" w:ascii="仿宋" w:hAnsi="仿宋" w:eastAsia="仿宋" w:cs="仿宋"/>
                <w:color w:val="auto"/>
                <w:kern w:val="0"/>
                <w:sz w:val="21"/>
                <w:szCs w:val="21"/>
                <w:highlight w:val="none"/>
                <w:u w:val="single"/>
                <w:lang w:val="en-US" w:eastAsia="zh-CN"/>
              </w:rPr>
              <w:t>（不足5000元按5000元收取）</w:t>
            </w:r>
            <w:r>
              <w:rPr>
                <w:rFonts w:hint="eastAsia" w:ascii="仿宋" w:hAnsi="仿宋" w:cs="仿宋"/>
                <w:color w:val="auto"/>
                <w:kern w:val="0"/>
                <w:sz w:val="21"/>
                <w:szCs w:val="21"/>
                <w:highlight w:val="none"/>
                <w:u w:val="single"/>
                <w:lang w:val="en-US" w:eastAsia="zh-CN"/>
              </w:rPr>
              <w:t>。</w:t>
            </w:r>
          </w:p>
          <w:p w14:paraId="6B6CC638">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支付形式：</w:t>
            </w:r>
            <w:r>
              <w:rPr>
                <w:rFonts w:hint="eastAsia" w:ascii="仿宋" w:hAnsi="仿宋" w:eastAsia="仿宋" w:cs="仿宋"/>
                <w:color w:val="auto"/>
                <w:kern w:val="0"/>
                <w:szCs w:val="21"/>
                <w:highlight w:val="none"/>
                <w:u w:val="single"/>
              </w:rPr>
              <w:t>现金或电汇</w:t>
            </w:r>
          </w:p>
          <w:p w14:paraId="33140EAE">
            <w:pPr>
              <w:widowControl/>
              <w:ind w:firstLine="210" w:firstLineChars="100"/>
              <w:rPr>
                <w:rFonts w:hint="eastAsia" w:ascii="仿宋" w:hAnsi="仿宋" w:eastAsia="仿宋" w:cs="仿宋"/>
                <w:color w:val="auto"/>
                <w:kern w:val="0"/>
                <w:szCs w:val="21"/>
                <w:u w:val="single"/>
              </w:rPr>
            </w:pPr>
            <w:r>
              <w:rPr>
                <w:rFonts w:hint="eastAsia" w:ascii="仿宋" w:hAnsi="仿宋" w:eastAsia="仿宋" w:cs="仿宋"/>
                <w:color w:val="auto"/>
                <w:kern w:val="0"/>
                <w:szCs w:val="21"/>
              </w:rPr>
              <w:t>支付时间：</w:t>
            </w:r>
            <w:r>
              <w:rPr>
                <w:rFonts w:hint="eastAsia" w:ascii="仿宋" w:hAnsi="仿宋" w:cs="仿宋"/>
                <w:color w:val="auto"/>
                <w:kern w:val="0"/>
                <w:szCs w:val="21"/>
                <w:u w:val="single"/>
                <w:lang w:val="en-US" w:eastAsia="zh-CN"/>
              </w:rPr>
              <w:t>中标</w:t>
            </w:r>
            <w:r>
              <w:rPr>
                <w:rFonts w:hint="eastAsia" w:ascii="仿宋" w:hAnsi="仿宋" w:eastAsia="仿宋" w:cs="仿宋"/>
                <w:color w:val="auto"/>
                <w:kern w:val="0"/>
                <w:szCs w:val="21"/>
                <w:u w:val="single"/>
              </w:rPr>
              <w:t>供应商在领取成交通知书的同时向招标代理机构一次性交纳采购代理服务费。</w:t>
            </w:r>
          </w:p>
          <w:tbl>
            <w:tblPr>
              <w:tblStyle w:val="19"/>
              <w:tblpPr w:leftFromText="180" w:rightFromText="180" w:vertAnchor="text" w:horzAnchor="page" w:tblpX="268" w:tblpY="129"/>
              <w:tblOverlap w:val="never"/>
              <w:tblW w:w="5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1399"/>
              <w:gridCol w:w="1140"/>
              <w:gridCol w:w="969"/>
            </w:tblGrid>
            <w:tr w14:paraId="0563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031" w:type="dxa"/>
                  <w:vMerge w:val="restart"/>
                  <w:noWrap w:val="0"/>
                  <w:vAlign w:val="center"/>
                </w:tcPr>
                <w:p w14:paraId="7E8E130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cs="仿宋"/>
                      <w:color w:val="auto"/>
                      <w:kern w:val="0"/>
                      <w:szCs w:val="21"/>
                      <w:u w:val="none"/>
                      <w:lang w:val="en-US" w:eastAsia="zh-CN"/>
                    </w:rPr>
                  </w:pPr>
                  <w:r>
                    <w:rPr>
                      <w:rFonts w:hint="eastAsia" w:ascii="仿宋" w:hAnsi="仿宋" w:cs="仿宋"/>
                      <w:color w:val="auto"/>
                      <w:kern w:val="0"/>
                      <w:szCs w:val="21"/>
                      <w:u w:val="none"/>
                      <w:lang w:val="en-US" w:eastAsia="zh-CN"/>
                    </w:rPr>
                    <w:t>服务类型、费率、中标金额(万元)</w:t>
                  </w:r>
                </w:p>
              </w:tc>
              <w:tc>
                <w:tcPr>
                  <w:tcW w:w="3508" w:type="dxa"/>
                  <w:gridSpan w:val="3"/>
                  <w:noWrap w:val="0"/>
                  <w:vAlign w:val="center"/>
                </w:tcPr>
                <w:p w14:paraId="76557C4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cs="仿宋"/>
                      <w:color w:val="auto"/>
                      <w:kern w:val="0"/>
                      <w:szCs w:val="21"/>
                      <w:u w:val="none"/>
                      <w:lang w:val="en-US" w:eastAsia="zh-CN"/>
                    </w:rPr>
                  </w:pPr>
                  <w:r>
                    <w:rPr>
                      <w:rFonts w:hint="eastAsia" w:ascii="仿宋" w:hAnsi="仿宋" w:cs="仿宋"/>
                      <w:color w:val="auto"/>
                      <w:kern w:val="0"/>
                      <w:szCs w:val="21"/>
                      <w:u w:val="none"/>
                      <w:lang w:val="en-US" w:eastAsia="zh-CN"/>
                    </w:rPr>
                    <w:t>货物招标</w:t>
                  </w:r>
                </w:p>
              </w:tc>
            </w:tr>
            <w:tr w14:paraId="6407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2031" w:type="dxa"/>
                  <w:vMerge w:val="continue"/>
                  <w:noWrap w:val="0"/>
                  <w:vAlign w:val="center"/>
                </w:tcPr>
                <w:p w14:paraId="17C6AD95">
                  <w:pPr>
                    <w:widowControl/>
                    <w:jc w:val="center"/>
                    <w:rPr>
                      <w:rFonts w:hint="eastAsia" w:ascii="仿宋" w:hAnsi="仿宋" w:cs="仿宋"/>
                      <w:color w:val="auto"/>
                      <w:kern w:val="0"/>
                      <w:szCs w:val="21"/>
                      <w:u w:val="none"/>
                      <w:lang w:val="en-US" w:eastAsia="zh-CN"/>
                    </w:rPr>
                  </w:pPr>
                </w:p>
              </w:tc>
              <w:tc>
                <w:tcPr>
                  <w:tcW w:w="1399" w:type="dxa"/>
                  <w:noWrap w:val="0"/>
                  <w:vAlign w:val="center"/>
                </w:tcPr>
                <w:p w14:paraId="5194E3DC">
                  <w:pPr>
                    <w:widowControl/>
                    <w:jc w:val="center"/>
                    <w:rPr>
                      <w:rFonts w:hint="eastAsia" w:ascii="仿宋" w:hAnsi="仿宋" w:cs="仿宋"/>
                      <w:color w:val="auto"/>
                      <w:kern w:val="0"/>
                      <w:szCs w:val="21"/>
                      <w:u w:val="none"/>
                      <w:lang w:val="en-US" w:eastAsia="zh-CN"/>
                    </w:rPr>
                  </w:pPr>
                  <w:r>
                    <w:rPr>
                      <w:rFonts w:hint="eastAsia" w:ascii="仿宋" w:hAnsi="仿宋" w:cs="仿宋"/>
                      <w:color w:val="auto"/>
                      <w:kern w:val="0"/>
                      <w:szCs w:val="21"/>
                      <w:u w:val="none"/>
                      <w:lang w:val="en-US" w:eastAsia="zh-CN"/>
                    </w:rPr>
                    <w:t>费率</w:t>
                  </w:r>
                </w:p>
              </w:tc>
              <w:tc>
                <w:tcPr>
                  <w:tcW w:w="1140" w:type="dxa"/>
                  <w:noWrap w:val="0"/>
                  <w:vAlign w:val="center"/>
                </w:tcPr>
                <w:p w14:paraId="6CDF5E83">
                  <w:pPr>
                    <w:widowControl/>
                    <w:jc w:val="center"/>
                    <w:rPr>
                      <w:rFonts w:hint="eastAsia" w:ascii="仿宋" w:hAnsi="仿宋" w:cs="仿宋"/>
                      <w:color w:val="auto"/>
                      <w:kern w:val="0"/>
                      <w:szCs w:val="21"/>
                      <w:u w:val="none"/>
                      <w:lang w:val="en-US" w:eastAsia="zh-CN"/>
                    </w:rPr>
                  </w:pPr>
                  <w:r>
                    <w:rPr>
                      <w:rFonts w:hint="eastAsia" w:ascii="仿宋" w:hAnsi="仿宋" w:cs="仿宋"/>
                      <w:color w:val="auto"/>
                      <w:kern w:val="0"/>
                      <w:szCs w:val="21"/>
                      <w:u w:val="none"/>
                      <w:lang w:val="en-US" w:eastAsia="zh-CN"/>
                    </w:rPr>
                    <w:t>中标价</w:t>
                  </w:r>
                </w:p>
              </w:tc>
              <w:tc>
                <w:tcPr>
                  <w:tcW w:w="969" w:type="dxa"/>
                  <w:noWrap w:val="0"/>
                  <w:vAlign w:val="center"/>
                </w:tcPr>
                <w:p w14:paraId="4FA2B83E">
                  <w:pPr>
                    <w:widowControl/>
                    <w:jc w:val="center"/>
                    <w:rPr>
                      <w:rFonts w:hint="eastAsia" w:ascii="仿宋" w:hAnsi="仿宋" w:cs="仿宋"/>
                      <w:color w:val="auto"/>
                      <w:kern w:val="0"/>
                      <w:szCs w:val="21"/>
                      <w:u w:val="none"/>
                      <w:lang w:val="en-US" w:eastAsia="zh-CN"/>
                    </w:rPr>
                  </w:pPr>
                  <w:r>
                    <w:rPr>
                      <w:rFonts w:hint="eastAsia" w:ascii="仿宋" w:hAnsi="仿宋" w:cs="仿宋"/>
                      <w:color w:val="auto"/>
                      <w:kern w:val="0"/>
                      <w:szCs w:val="21"/>
                      <w:u w:val="none"/>
                      <w:lang w:val="en-US" w:eastAsia="zh-CN"/>
                    </w:rPr>
                    <w:t>代理费</w:t>
                  </w:r>
                </w:p>
              </w:tc>
            </w:tr>
            <w:tr w14:paraId="645B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031" w:type="dxa"/>
                  <w:noWrap w:val="0"/>
                  <w:vAlign w:val="center"/>
                </w:tcPr>
                <w:p w14:paraId="7D6A7F40">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100</w:t>
                  </w:r>
                  <w:r>
                    <w:rPr>
                      <w:rFonts w:hint="eastAsia" w:ascii="仿宋" w:hAnsi="仿宋" w:cs="仿宋"/>
                      <w:color w:val="auto"/>
                      <w:kern w:val="0"/>
                      <w:szCs w:val="21"/>
                      <w:u w:val="none"/>
                      <w:lang w:val="en-US" w:eastAsia="zh-CN"/>
                    </w:rPr>
                    <w:t>以下</w:t>
                  </w:r>
                </w:p>
              </w:tc>
              <w:tc>
                <w:tcPr>
                  <w:tcW w:w="1399" w:type="dxa"/>
                  <w:noWrap w:val="0"/>
                  <w:vAlign w:val="center"/>
                </w:tcPr>
                <w:p w14:paraId="5503ECCB">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1.50%</w:t>
                  </w:r>
                </w:p>
              </w:tc>
              <w:tc>
                <w:tcPr>
                  <w:tcW w:w="1140" w:type="dxa"/>
                  <w:noWrap w:val="0"/>
                  <w:vAlign w:val="center"/>
                </w:tcPr>
                <w:p w14:paraId="0D57EF0B">
                  <w:pPr>
                    <w:widowControl/>
                    <w:jc w:val="center"/>
                    <w:rPr>
                      <w:rFonts w:hint="eastAsia" w:ascii="仿宋" w:hAnsi="仿宋" w:cs="仿宋"/>
                      <w:color w:val="auto"/>
                      <w:kern w:val="0"/>
                      <w:szCs w:val="21"/>
                      <w:u w:val="single"/>
                      <w:lang w:val="en-US" w:eastAsia="zh-CN"/>
                    </w:rPr>
                  </w:pPr>
                </w:p>
              </w:tc>
              <w:tc>
                <w:tcPr>
                  <w:tcW w:w="969" w:type="dxa"/>
                  <w:noWrap w:val="0"/>
                  <w:vAlign w:val="center"/>
                </w:tcPr>
                <w:p w14:paraId="2C8305BA">
                  <w:pPr>
                    <w:widowControl/>
                    <w:jc w:val="center"/>
                    <w:rPr>
                      <w:rFonts w:hint="eastAsia" w:ascii="仿宋" w:hAnsi="仿宋" w:cs="仿宋"/>
                      <w:color w:val="auto"/>
                      <w:kern w:val="0"/>
                      <w:szCs w:val="21"/>
                      <w:u w:val="none"/>
                      <w:lang w:val="en-US" w:eastAsia="zh-CN"/>
                    </w:rPr>
                  </w:pPr>
                </w:p>
              </w:tc>
            </w:tr>
            <w:tr w14:paraId="3F13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031" w:type="dxa"/>
                  <w:noWrap w:val="0"/>
                  <w:vAlign w:val="center"/>
                </w:tcPr>
                <w:p w14:paraId="56264309">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100-500</w:t>
                  </w:r>
                </w:p>
              </w:tc>
              <w:tc>
                <w:tcPr>
                  <w:tcW w:w="1399" w:type="dxa"/>
                  <w:noWrap w:val="0"/>
                  <w:vAlign w:val="center"/>
                </w:tcPr>
                <w:p w14:paraId="50E70E46">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1.10%</w:t>
                  </w:r>
                </w:p>
              </w:tc>
              <w:tc>
                <w:tcPr>
                  <w:tcW w:w="1140" w:type="dxa"/>
                  <w:noWrap w:val="0"/>
                  <w:vAlign w:val="center"/>
                </w:tcPr>
                <w:p w14:paraId="542AB466">
                  <w:pPr>
                    <w:widowControl/>
                    <w:jc w:val="center"/>
                    <w:rPr>
                      <w:rFonts w:hint="eastAsia" w:ascii="仿宋" w:hAnsi="仿宋" w:cs="仿宋"/>
                      <w:color w:val="auto"/>
                      <w:kern w:val="0"/>
                      <w:szCs w:val="21"/>
                      <w:u w:val="single"/>
                      <w:lang w:val="en-US" w:eastAsia="zh-CN"/>
                    </w:rPr>
                  </w:pPr>
                </w:p>
              </w:tc>
              <w:tc>
                <w:tcPr>
                  <w:tcW w:w="969" w:type="dxa"/>
                  <w:noWrap w:val="0"/>
                  <w:vAlign w:val="center"/>
                </w:tcPr>
                <w:p w14:paraId="3E33DB4F">
                  <w:pPr>
                    <w:widowControl/>
                    <w:jc w:val="center"/>
                    <w:rPr>
                      <w:rFonts w:hint="eastAsia" w:ascii="仿宋" w:hAnsi="仿宋" w:cs="仿宋"/>
                      <w:color w:val="auto"/>
                      <w:kern w:val="0"/>
                      <w:szCs w:val="21"/>
                      <w:u w:val="none"/>
                      <w:lang w:val="en-US" w:eastAsia="zh-CN"/>
                    </w:rPr>
                  </w:pPr>
                </w:p>
              </w:tc>
            </w:tr>
            <w:tr w14:paraId="1CEC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031" w:type="dxa"/>
                  <w:noWrap w:val="0"/>
                  <w:vAlign w:val="center"/>
                </w:tcPr>
                <w:p w14:paraId="1325F0D6">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500-1000</w:t>
                  </w:r>
                </w:p>
              </w:tc>
              <w:tc>
                <w:tcPr>
                  <w:tcW w:w="1399" w:type="dxa"/>
                  <w:noWrap w:val="0"/>
                  <w:vAlign w:val="center"/>
                </w:tcPr>
                <w:p w14:paraId="57BD1C5A">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0.80%</w:t>
                  </w:r>
                </w:p>
              </w:tc>
              <w:tc>
                <w:tcPr>
                  <w:tcW w:w="1140" w:type="dxa"/>
                  <w:noWrap w:val="0"/>
                  <w:vAlign w:val="center"/>
                </w:tcPr>
                <w:p w14:paraId="7DFB4078">
                  <w:pPr>
                    <w:widowControl/>
                    <w:jc w:val="center"/>
                    <w:rPr>
                      <w:rFonts w:hint="eastAsia" w:ascii="仿宋" w:hAnsi="仿宋" w:cs="仿宋"/>
                      <w:color w:val="auto"/>
                      <w:kern w:val="0"/>
                      <w:szCs w:val="21"/>
                      <w:u w:val="single"/>
                      <w:lang w:val="en-US" w:eastAsia="zh-CN"/>
                    </w:rPr>
                  </w:pPr>
                </w:p>
              </w:tc>
              <w:tc>
                <w:tcPr>
                  <w:tcW w:w="969" w:type="dxa"/>
                  <w:noWrap w:val="0"/>
                  <w:vAlign w:val="center"/>
                </w:tcPr>
                <w:p w14:paraId="6EF1D63F">
                  <w:pPr>
                    <w:widowControl/>
                    <w:jc w:val="center"/>
                    <w:rPr>
                      <w:rFonts w:hint="eastAsia" w:ascii="仿宋" w:hAnsi="仿宋" w:cs="仿宋"/>
                      <w:color w:val="auto"/>
                      <w:kern w:val="0"/>
                      <w:szCs w:val="21"/>
                      <w:u w:val="none"/>
                      <w:lang w:val="en-US" w:eastAsia="zh-CN"/>
                    </w:rPr>
                  </w:pPr>
                </w:p>
              </w:tc>
            </w:tr>
            <w:tr w14:paraId="30463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031" w:type="dxa"/>
                  <w:noWrap w:val="0"/>
                  <w:vAlign w:val="center"/>
                </w:tcPr>
                <w:p w14:paraId="7C2D0D63">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1000-5000</w:t>
                  </w:r>
                </w:p>
              </w:tc>
              <w:tc>
                <w:tcPr>
                  <w:tcW w:w="1399" w:type="dxa"/>
                  <w:noWrap w:val="0"/>
                  <w:vAlign w:val="center"/>
                </w:tcPr>
                <w:p w14:paraId="502FEAB3">
                  <w:pPr>
                    <w:widowControl/>
                    <w:jc w:val="center"/>
                    <w:rPr>
                      <w:rFonts w:hint="eastAsia" w:ascii="仿宋" w:hAnsi="仿宋" w:cs="仿宋"/>
                      <w:color w:val="auto"/>
                      <w:kern w:val="0"/>
                      <w:szCs w:val="21"/>
                      <w:u w:val="none"/>
                      <w:lang w:val="en-US" w:eastAsia="zh-CN"/>
                    </w:rPr>
                  </w:pPr>
                  <w:r>
                    <w:rPr>
                      <w:rFonts w:hint="default" w:ascii="仿宋" w:hAnsi="仿宋" w:cs="仿宋"/>
                      <w:color w:val="auto"/>
                      <w:kern w:val="0"/>
                      <w:szCs w:val="21"/>
                      <w:u w:val="none"/>
                      <w:lang w:val="en-US" w:eastAsia="zh-CN"/>
                    </w:rPr>
                    <w:t>0.50%</w:t>
                  </w:r>
                </w:p>
              </w:tc>
              <w:tc>
                <w:tcPr>
                  <w:tcW w:w="1140" w:type="dxa"/>
                  <w:noWrap w:val="0"/>
                  <w:vAlign w:val="center"/>
                </w:tcPr>
                <w:p w14:paraId="2B437B41">
                  <w:pPr>
                    <w:widowControl/>
                    <w:jc w:val="center"/>
                    <w:rPr>
                      <w:rFonts w:hint="eastAsia" w:ascii="仿宋" w:hAnsi="仿宋" w:cs="仿宋"/>
                      <w:color w:val="auto"/>
                      <w:kern w:val="0"/>
                      <w:szCs w:val="21"/>
                      <w:u w:val="single"/>
                      <w:lang w:val="en-US" w:eastAsia="zh-CN"/>
                    </w:rPr>
                  </w:pPr>
                </w:p>
              </w:tc>
              <w:tc>
                <w:tcPr>
                  <w:tcW w:w="969" w:type="dxa"/>
                  <w:noWrap w:val="0"/>
                  <w:vAlign w:val="center"/>
                </w:tcPr>
                <w:p w14:paraId="76AE1A2D">
                  <w:pPr>
                    <w:widowControl/>
                    <w:jc w:val="center"/>
                    <w:rPr>
                      <w:rFonts w:hint="eastAsia" w:ascii="仿宋" w:hAnsi="仿宋" w:cs="仿宋"/>
                      <w:color w:val="auto"/>
                      <w:kern w:val="0"/>
                      <w:szCs w:val="21"/>
                      <w:u w:val="none"/>
                      <w:lang w:val="en-US" w:eastAsia="zh-CN"/>
                    </w:rPr>
                  </w:pPr>
                </w:p>
              </w:tc>
            </w:tr>
          </w:tbl>
          <w:p w14:paraId="1D41FAEE">
            <w:pPr>
              <w:widowControl/>
              <w:ind w:firstLine="210" w:firstLineChars="100"/>
              <w:rPr>
                <w:rFonts w:ascii="仿宋" w:hAnsi="仿宋" w:cs="仿宋"/>
                <w:kern w:val="0"/>
                <w:szCs w:val="21"/>
              </w:rPr>
            </w:pPr>
            <w:r>
              <w:rPr>
                <w:rFonts w:hint="eastAsia" w:ascii="仿宋" w:hAnsi="仿宋" w:cs="仿宋"/>
                <w:kern w:val="0"/>
                <w:szCs w:val="21"/>
              </w:rPr>
              <w:t>代理费账户缴纳信息：</w:t>
            </w:r>
          </w:p>
          <w:p w14:paraId="55F07F94">
            <w:pPr>
              <w:widowControl/>
              <w:ind w:firstLine="210" w:firstLineChars="100"/>
              <w:rPr>
                <w:rFonts w:hint="eastAsia" w:ascii="仿宋" w:hAnsi="仿宋" w:eastAsia="仿宋" w:cs="仿宋"/>
                <w:color w:val="auto"/>
                <w:kern w:val="0"/>
                <w:szCs w:val="21"/>
                <w:u w:val="single"/>
              </w:rPr>
            </w:pPr>
            <w:r>
              <w:rPr>
                <w:rFonts w:hint="eastAsia" w:ascii="仿宋" w:hAnsi="仿宋" w:eastAsia="仿宋" w:cs="仿宋"/>
                <w:color w:val="auto"/>
                <w:kern w:val="0"/>
                <w:szCs w:val="21"/>
                <w:u w:val="none"/>
              </w:rPr>
              <w:t>开户行：</w:t>
            </w:r>
            <w:r>
              <w:rPr>
                <w:rFonts w:hint="eastAsia" w:ascii="仿宋" w:hAnsi="仿宋" w:eastAsia="仿宋" w:cs="仿宋"/>
                <w:color w:val="auto"/>
                <w:kern w:val="0"/>
                <w:szCs w:val="21"/>
                <w:u w:val="single"/>
              </w:rPr>
              <w:t>丹东银行滨江支行</w:t>
            </w:r>
          </w:p>
          <w:p w14:paraId="164569AA">
            <w:pPr>
              <w:widowControl/>
              <w:ind w:firstLine="210" w:firstLineChars="100"/>
              <w:rPr>
                <w:rFonts w:hint="eastAsia" w:ascii="仿宋" w:hAnsi="仿宋" w:eastAsia="仿宋" w:cs="仿宋"/>
                <w:color w:val="auto"/>
                <w:kern w:val="0"/>
                <w:szCs w:val="21"/>
                <w:u w:val="single"/>
              </w:rPr>
            </w:pPr>
            <w:r>
              <w:rPr>
                <w:rFonts w:hint="eastAsia" w:ascii="仿宋" w:hAnsi="仿宋" w:eastAsia="仿宋" w:cs="仿宋"/>
                <w:color w:val="auto"/>
                <w:kern w:val="0"/>
                <w:szCs w:val="21"/>
                <w:u w:val="none"/>
              </w:rPr>
              <w:t>账户名称：</w:t>
            </w:r>
            <w:r>
              <w:rPr>
                <w:rFonts w:hint="eastAsia" w:ascii="仿宋" w:hAnsi="仿宋" w:eastAsia="仿宋" w:cs="仿宋"/>
                <w:color w:val="auto"/>
                <w:kern w:val="0"/>
                <w:szCs w:val="21"/>
                <w:u w:val="single"/>
              </w:rPr>
              <w:t>辽宁恒吉招标代理有限公司</w:t>
            </w:r>
          </w:p>
          <w:p w14:paraId="43AD4F71">
            <w:pPr>
              <w:widowControl/>
              <w:ind w:firstLine="210" w:firstLineChars="100"/>
              <w:rPr>
                <w:rFonts w:hint="eastAsia" w:ascii="仿宋" w:hAnsi="仿宋" w:eastAsia="仿宋" w:cs="仿宋"/>
                <w:color w:val="auto"/>
                <w:kern w:val="0"/>
                <w:szCs w:val="21"/>
                <w:u w:val="single"/>
              </w:rPr>
            </w:pPr>
            <w:r>
              <w:rPr>
                <w:rFonts w:hint="eastAsia" w:ascii="仿宋" w:hAnsi="仿宋" w:eastAsia="仿宋" w:cs="仿宋"/>
                <w:color w:val="auto"/>
                <w:kern w:val="0"/>
                <w:szCs w:val="21"/>
                <w:u w:val="none"/>
              </w:rPr>
              <w:t>账号：</w:t>
            </w:r>
            <w:r>
              <w:rPr>
                <w:rFonts w:hint="eastAsia" w:ascii="仿宋" w:hAnsi="仿宋" w:eastAsia="仿宋" w:cs="仿宋"/>
                <w:color w:val="auto"/>
                <w:kern w:val="0"/>
                <w:szCs w:val="21"/>
                <w:u w:val="single"/>
              </w:rPr>
              <w:t>01111000000281</w:t>
            </w:r>
          </w:p>
        </w:tc>
      </w:tr>
      <w:tr w14:paraId="4E9A4468">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noWrap w:val="0"/>
            <w:vAlign w:val="center"/>
          </w:tcPr>
          <w:p w14:paraId="7936E850">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39.3</w:t>
            </w:r>
          </w:p>
        </w:tc>
        <w:tc>
          <w:tcPr>
            <w:tcW w:w="1917" w:type="dxa"/>
            <w:tcBorders>
              <w:top w:val="single" w:color="auto" w:sz="4" w:space="0"/>
              <w:left w:val="single" w:color="auto" w:sz="4" w:space="0"/>
              <w:bottom w:val="single" w:color="auto" w:sz="8" w:space="0"/>
              <w:right w:val="single" w:color="auto" w:sz="8" w:space="0"/>
            </w:tcBorders>
            <w:noWrap w:val="0"/>
            <w:vAlign w:val="center"/>
          </w:tcPr>
          <w:p w14:paraId="30B07149">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质疑</w:t>
            </w:r>
          </w:p>
        </w:tc>
        <w:tc>
          <w:tcPr>
            <w:tcW w:w="5887" w:type="dxa"/>
            <w:tcBorders>
              <w:top w:val="single" w:color="auto" w:sz="4" w:space="0"/>
              <w:left w:val="nil"/>
              <w:bottom w:val="single" w:color="auto" w:sz="8" w:space="0"/>
              <w:right w:val="single" w:color="auto" w:sz="8" w:space="0"/>
            </w:tcBorders>
            <w:noWrap w:val="0"/>
            <w:vAlign w:val="center"/>
          </w:tcPr>
          <w:p w14:paraId="4DBE4E95">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一、投标人认为自己的权益受到损害的，可以在知道或者应知其权益受到损害之日起七个工作日内，向采购代理机构提出质疑。</w:t>
            </w:r>
          </w:p>
          <w:p w14:paraId="07E9B544">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1、接收质疑函的方式：接收加盖单位公章的书面质疑函</w:t>
            </w:r>
          </w:p>
          <w:p w14:paraId="23774502">
            <w:pPr>
              <w:widowControl/>
              <w:rPr>
                <w:rFonts w:hint="eastAsia" w:ascii="仿宋" w:hAnsi="仿宋" w:eastAsia="仿宋" w:cs="仿宋"/>
                <w:color w:val="auto"/>
                <w:kern w:val="0"/>
                <w:szCs w:val="21"/>
                <w:u w:val="single"/>
                <w:lang w:eastAsia="zh-CN"/>
              </w:rPr>
            </w:pPr>
            <w:r>
              <w:rPr>
                <w:rFonts w:hint="eastAsia" w:ascii="仿宋" w:hAnsi="仿宋" w:eastAsia="仿宋" w:cs="仿宋"/>
                <w:color w:val="auto"/>
                <w:szCs w:val="21"/>
              </w:rPr>
              <w:t>联系单位：</w:t>
            </w:r>
            <w:r>
              <w:rPr>
                <w:rFonts w:hint="eastAsia" w:ascii="仿宋" w:hAnsi="仿宋" w:cs="仿宋"/>
                <w:color w:val="auto"/>
                <w:kern w:val="0"/>
                <w:szCs w:val="21"/>
                <w:u w:val="single"/>
                <w:lang w:eastAsia="zh-CN"/>
              </w:rPr>
              <w:t>辽宁恒吉招标代理有限公司</w:t>
            </w:r>
          </w:p>
          <w:p w14:paraId="0E287DD0">
            <w:pPr>
              <w:widowControl/>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联 系 人：</w:t>
            </w:r>
            <w:r>
              <w:rPr>
                <w:rFonts w:hint="eastAsia" w:ascii="仿宋_GB2312" w:hAnsi="仿宋_GB2312" w:eastAsia="仿宋_GB2312" w:cs="仿宋_GB2312"/>
                <w:color w:val="auto"/>
                <w:szCs w:val="21"/>
                <w:u w:val="single"/>
              </w:rPr>
              <w:t xml:space="preserve">吕秀萍 </w:t>
            </w:r>
          </w:p>
          <w:p w14:paraId="5ADE50BE">
            <w:pPr>
              <w:widowControl/>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联系电话：</w:t>
            </w:r>
            <w:r>
              <w:rPr>
                <w:rFonts w:hint="eastAsia" w:ascii="仿宋_GB2312" w:hAnsi="仿宋_GB2312" w:eastAsia="仿宋_GB2312" w:cs="仿宋_GB2312"/>
                <w:color w:val="auto"/>
                <w:szCs w:val="21"/>
                <w:u w:val="single"/>
                <w:lang w:eastAsia="zh-CN"/>
              </w:rPr>
              <w:t>18204155586</w:t>
            </w:r>
            <w:r>
              <w:rPr>
                <w:rFonts w:hint="eastAsia" w:ascii="仿宋_GB2312" w:hAnsi="仿宋_GB2312" w:eastAsia="仿宋_GB2312" w:cs="仿宋_GB2312"/>
                <w:color w:val="auto"/>
                <w:szCs w:val="21"/>
                <w:u w:val="single"/>
              </w:rPr>
              <w:t xml:space="preserve"> </w:t>
            </w:r>
          </w:p>
          <w:p w14:paraId="2797BB92">
            <w:pPr>
              <w:widowControl/>
              <w:ind w:left="1050" w:hanging="1050" w:hangingChars="500"/>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通讯地址：</w:t>
            </w:r>
            <w:r>
              <w:rPr>
                <w:rFonts w:hint="eastAsia" w:ascii="仿宋_GB2312" w:hAnsi="仿宋_GB2312" w:eastAsia="仿宋_GB2312" w:cs="仿宋_GB2312"/>
                <w:color w:val="auto"/>
                <w:szCs w:val="21"/>
                <w:u w:val="single"/>
              </w:rPr>
              <w:t>丹东市滨江中路97号绿江华府A座1单元1楼-路口临江门市</w:t>
            </w:r>
          </w:p>
          <w:p w14:paraId="2BCD310E">
            <w:pPr>
              <w:widowControl/>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2、质疑函的内容、格式：应符合《政府采购质疑和投诉办法》相关规定和财政部门制定的《政府采购质疑函范本》格式。</w:t>
            </w:r>
          </w:p>
          <w:p w14:paraId="25A7018A">
            <w:pPr>
              <w:pStyle w:val="7"/>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auto"/>
                <w:kern w:val="0"/>
                <w:szCs w:val="21"/>
              </w:rPr>
              <w:t>招标</w:t>
            </w:r>
            <w:r>
              <w:rPr>
                <w:rFonts w:hint="eastAsia" w:ascii="仿宋_GB2312" w:hAnsi="仿宋_GB2312" w:eastAsia="仿宋_GB2312" w:cs="仿宋_GB2312"/>
                <w:color w:val="auto"/>
                <w:szCs w:val="21"/>
              </w:rPr>
              <w:t>公告、招标文件、招标过程、中标结果）</w:t>
            </w:r>
          </w:p>
        </w:tc>
      </w:tr>
    </w:tbl>
    <w:p w14:paraId="34C72B7A">
      <w:pPr>
        <w:rPr>
          <w:rFonts w:ascii="仿宋_GB2312" w:hAnsi="仿宋_GB2312" w:eastAsia="仿宋_GB2312" w:cs="仿宋_GB2312"/>
          <w:color w:val="auto"/>
        </w:rPr>
      </w:pPr>
      <w:r>
        <w:rPr>
          <w:rFonts w:hint="eastAsia" w:ascii="仿宋_GB2312" w:hAnsi="仿宋_GB2312" w:eastAsia="仿宋_GB2312" w:cs="仿宋_GB2312"/>
          <w:color w:val="auto"/>
        </w:rPr>
        <w:t>3注：表格中“</w:t>
      </w:r>
      <w:r>
        <w:rPr>
          <w:rFonts w:hint="eastAsia" w:ascii="仿宋_GB2312" w:hAnsi="仿宋_GB2312" w:eastAsia="仿宋_GB2312" w:cs="仿宋_GB2312"/>
          <w:color w:val="auto"/>
        </w:rPr>
        <w:sym w:font="Wingdings 2" w:char="0052"/>
      </w:r>
      <w:r>
        <w:rPr>
          <w:rFonts w:hint="eastAsia" w:ascii="仿宋_GB2312" w:hAnsi="仿宋_GB2312" w:eastAsia="仿宋_GB2312" w:cs="仿宋_GB2312"/>
          <w:color w:val="auto"/>
        </w:rPr>
        <w:t>”项或“■”项为被选中项。</w:t>
      </w:r>
    </w:p>
    <w:p w14:paraId="425F641D">
      <w:pPr>
        <w:bidi w:val="0"/>
        <w:rPr>
          <w:rFonts w:hint="eastAsia"/>
          <w:color w:val="auto"/>
          <w:lang w:val="en-US" w:eastAsia="zh-CN"/>
        </w:rPr>
      </w:pPr>
      <w:r>
        <w:rPr>
          <w:rFonts w:hint="eastAsia"/>
          <w:color w:val="auto"/>
        </w:rPr>
        <w:br w:type="page"/>
      </w:r>
      <w:bookmarkStart w:id="36" w:name="_Toc30384_WPSOffice_Level2"/>
    </w:p>
    <w:p w14:paraId="3A02C43B">
      <w:pPr>
        <w:pStyle w:val="3"/>
        <w:adjustRightInd w:val="0"/>
        <w:snapToGrid w:val="0"/>
        <w:spacing w:before="0" w:after="0" w:line="360" w:lineRule="auto"/>
        <w:rPr>
          <w:rFonts w:ascii="仿宋_GB2312" w:hAnsi="仿宋_GB2312" w:eastAsia="仿宋_GB2312" w:cs="仿宋_GB2312"/>
          <w:color w:val="auto"/>
          <w:sz w:val="32"/>
          <w:szCs w:val="36"/>
        </w:rPr>
      </w:pPr>
      <w:r>
        <w:rPr>
          <w:rFonts w:hint="eastAsia" w:ascii="仿宋_GB2312" w:hAnsi="仿宋_GB2312" w:eastAsia="仿宋_GB2312" w:cs="仿宋_GB2312"/>
          <w:color w:val="auto"/>
          <w:sz w:val="32"/>
          <w:szCs w:val="36"/>
        </w:rPr>
        <w:t>二 总则</w:t>
      </w:r>
      <w:bookmarkEnd w:id="36"/>
    </w:p>
    <w:p w14:paraId="3954204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w:t>
      </w:r>
      <w:r>
        <w:rPr>
          <w:rFonts w:hint="eastAsia" w:ascii="仿宋_GB2312" w:hAnsi="仿宋_GB2312" w:eastAsia="仿宋_GB2312" w:cs="仿宋_GB2312"/>
          <w:b/>
          <w:bCs/>
          <w:color w:val="auto"/>
          <w:szCs w:val="21"/>
          <w:lang w:eastAsia="zh-CN"/>
        </w:rPr>
        <w:t>招标人</w:t>
      </w:r>
      <w:r>
        <w:rPr>
          <w:rFonts w:hint="eastAsia" w:ascii="仿宋_GB2312" w:hAnsi="仿宋_GB2312" w:eastAsia="仿宋_GB2312" w:cs="仿宋_GB2312"/>
          <w:b/>
          <w:bCs/>
          <w:color w:val="auto"/>
          <w:szCs w:val="21"/>
        </w:rPr>
        <w:t>、采购代理机构及投标人</w:t>
      </w:r>
    </w:p>
    <w:p w14:paraId="6706F3C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：是指依法进行政府采购的国家机关、事业单位、团体组织。本项目</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见投标人须知表1.1款。</w:t>
      </w:r>
    </w:p>
    <w:p w14:paraId="094AD19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1.2采购代理机构：是指集中采购机构或从事采购代理业务的社会中介机构，本项目的采购代理机构见投标人须知表1.2款。</w:t>
      </w:r>
    </w:p>
    <w:p w14:paraId="3A1FC49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★1.3投标人：是指向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提供货物、工程或者服务的法人、非法人组织或者自然人。本项目的投标人及其投标货物须满足以下条件：</w:t>
      </w:r>
    </w:p>
    <w:p w14:paraId="1BCED94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1.3.1在中华人民共和国境内注册，能够独立承担民事责任，有生产或供应能力的本国供应商。</w:t>
      </w:r>
    </w:p>
    <w:p w14:paraId="1D5F145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1.3.2符合《中华人民共和国政府采购法》第二十二条关于供应商条件的规定，遵守本项目</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本级和上级财政部门关于政府采购的有关规定。</w:t>
      </w:r>
    </w:p>
    <w:p w14:paraId="6F14B1A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1.3.3以采购代理机构认可的方式获得了本项目的招标文件。</w:t>
      </w:r>
    </w:p>
    <w:p w14:paraId="7D74CF8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1.3.4符合投标人须知表1.3.4款中规定的资格条件。</w:t>
      </w:r>
    </w:p>
    <w:p w14:paraId="2BBFACB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D6E52B3">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若投标人须知表1.3.5款中未写明允许采购进口产品，如投标人所投产品为进口产品，其投标将被认定为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D729FB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D26D34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A536B5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★1.4如投标人须知表1.4款中允许联合体投标，对联合体规定如下：</w:t>
      </w:r>
    </w:p>
    <w:p w14:paraId="7778236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1.4.1两个以上供应商可以组成一个投标联合体，以一个投标人的身份投标。</w:t>
      </w:r>
    </w:p>
    <w:p w14:paraId="1A85963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1.4.2联合体各方均应符合《中华人民共和国政府采购法》第二十二条规定的条件。</w:t>
      </w:r>
    </w:p>
    <w:p w14:paraId="6D1B19B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1.4.3</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根据采购项目对投标人的特殊要求，联合体中至少应当有一方符合相关规定。</w:t>
      </w:r>
    </w:p>
    <w:p w14:paraId="5632870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1.4.4联合体各方应签订共同投标协议，明确约定联合体各方承担的工作和相应的责任。</w:t>
      </w:r>
    </w:p>
    <w:p w14:paraId="2E2D20F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1.4.5大中型企业、其他自然人、法人或者非法人组织与小型、微型企业组成联合体共同参加投标，共同投标协议中应写明小型、微型企业的协议合同金额占到共同投标协议投标总金额的比例。</w:t>
      </w:r>
    </w:p>
    <w:p w14:paraId="22BDF9A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1.4.6联合体中有同类资质的供应商按照联合体分工承担相同工作的，按照较低的资质等级确定联合体的资质等级。</w:t>
      </w:r>
    </w:p>
    <w:p w14:paraId="7507B2E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2F09039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（1）两个以上的自然人、法人或者其他组织可以组成一个联合体，以一个投标人的身份共同参加政府采购活动。</w:t>
      </w:r>
    </w:p>
    <w:p w14:paraId="3D1B093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（2）联合体中标的，联合体各方应共同与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签订采购合同，就采购合同约定的事项对</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承担连带责任。</w:t>
      </w:r>
    </w:p>
    <w:p w14:paraId="6873546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1.4.8对联合体投标的其他资格要求见投标人须知表1.4.8款。</w:t>
      </w:r>
    </w:p>
    <w:p w14:paraId="3BB6037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★1.5单位负责人为同一人或者存在直接控股、管理关系的不同供应商，其相关投标将被认定为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1BB71E2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1FE4C6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★1.7投标人在投标过程中不得向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提供、给予任何有价值的物品，影响其正常决策行为。一经发现，其将被认定为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5FFA502D">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2.资金来源</w:t>
      </w:r>
    </w:p>
    <w:p w14:paraId="12A0167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2.1本项目的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已获得足以支付本次招标后所签订的合同项下的资金（包括财政性资金和本项目采购中无法与财政性资金分割的非财政性资金）。</w:t>
      </w:r>
    </w:p>
    <w:p w14:paraId="37F826F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szCs w:val="21"/>
        </w:rPr>
        <w:t>2.2项目预算金额和分项或分包最高限价见投标人须知表2.2款。</w:t>
      </w:r>
    </w:p>
    <w:p w14:paraId="2CA44E3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szCs w:val="21"/>
        </w:rPr>
        <w:t>2.3投标人报价超过招标文件规定的预算金额或者分项、分包最高限价的，其投标将被认定为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7C46023B">
      <w:pPr>
        <w:adjustRightInd w:val="0"/>
        <w:snapToGrid w:val="0"/>
        <w:spacing w:line="360" w:lineRule="auto"/>
        <w:rPr>
          <w:rFonts w:ascii="仿宋_GB2312" w:hAnsi="仿宋_GB2312" w:eastAsia="仿宋_GB2312" w:cs="仿宋_GB2312"/>
          <w:b/>
          <w:bCs/>
          <w:color w:val="auto"/>
          <w:szCs w:val="21"/>
        </w:rPr>
      </w:pPr>
      <w:bookmarkStart w:id="37" w:name="_Toc266951048"/>
      <w:r>
        <w:rPr>
          <w:rFonts w:hint="eastAsia" w:ascii="仿宋_GB2312" w:hAnsi="仿宋_GB2312" w:eastAsia="仿宋_GB2312" w:cs="仿宋_GB2312"/>
          <w:b/>
          <w:bCs/>
          <w:color w:val="auto"/>
          <w:szCs w:val="21"/>
        </w:rPr>
        <w:t>3.语言文字</w:t>
      </w:r>
      <w:bookmarkEnd w:id="37"/>
    </w:p>
    <w:p w14:paraId="13BDA786">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除专用术语外，与投标有关的语言均使用中文。必要时专用术语应附有中文注释。对不同文字文本投标文件的解释发生异议的，以中文文本为准。</w:t>
      </w:r>
    </w:p>
    <w:p w14:paraId="6E637350">
      <w:pPr>
        <w:adjustRightInd w:val="0"/>
        <w:snapToGrid w:val="0"/>
        <w:spacing w:line="360" w:lineRule="auto"/>
        <w:rPr>
          <w:rFonts w:ascii="仿宋_GB2312" w:hAnsi="仿宋_GB2312" w:eastAsia="仿宋_GB2312" w:cs="仿宋_GB2312"/>
          <w:b/>
          <w:bCs/>
          <w:color w:val="auto"/>
          <w:szCs w:val="21"/>
        </w:rPr>
      </w:pPr>
      <w:bookmarkStart w:id="38" w:name="_1.8_计量单位"/>
      <w:bookmarkEnd w:id="38"/>
      <w:bookmarkStart w:id="39" w:name="_Toc266951049"/>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4.计量单位</w:t>
      </w:r>
      <w:bookmarkEnd w:id="39"/>
    </w:p>
    <w:p w14:paraId="1D749E36">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除投标人须知表4款中有特殊要求外，投标文件中所使用的计量单位，应采用中华人民共和国法定计量单位。</w:t>
      </w:r>
    </w:p>
    <w:p w14:paraId="7A29F96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5.投标费用</w:t>
      </w:r>
    </w:p>
    <w:p w14:paraId="1FC1450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不论投标的结果如何，投标人应承担所有与投标有关的费用。</w:t>
      </w:r>
    </w:p>
    <w:p w14:paraId="5AA3359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6.现场考察、开标前答疑会</w:t>
      </w:r>
    </w:p>
    <w:p w14:paraId="6D7FA86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6.1</w:t>
      </w:r>
      <w:r>
        <w:rPr>
          <w:color w:val="auto"/>
        </w:rPr>
        <w:fldChar w:fldCharType="begin"/>
      </w:r>
      <w:r>
        <w:rPr>
          <w:color w:val="auto"/>
        </w:rPr>
        <w:instrText xml:space="preserve"> HYPERLINK \l "_踏勘现场" </w:instrText>
      </w:r>
      <w:r>
        <w:rPr>
          <w:color w:val="auto"/>
        </w:rPr>
        <w:fldChar w:fldCharType="separate"/>
      </w:r>
      <w:r>
        <w:rPr>
          <w:rFonts w:hint="eastAsia" w:ascii="仿宋_GB2312" w:hAnsi="仿宋_GB2312" w:eastAsia="仿宋_GB2312" w:cs="仿宋_GB2312"/>
          <w:color w:val="auto"/>
          <w:szCs w:val="21"/>
        </w:rPr>
        <w:t>投标人须知表</w:t>
      </w:r>
      <w:r>
        <w:rPr>
          <w:rFonts w:ascii="仿宋_GB2312" w:hAnsi="仿宋_GB2312" w:eastAsia="仿宋_GB2312" w:cs="仿宋_GB2312"/>
          <w:color w:val="auto"/>
          <w:szCs w:val="21"/>
        </w:rPr>
        <w:fldChar w:fldCharType="end"/>
      </w:r>
      <w:r>
        <w:rPr>
          <w:rFonts w:hint="eastAsia" w:ascii="仿宋_GB2312" w:hAnsi="仿宋_GB2312" w:eastAsia="仿宋_GB2312" w:cs="仿宋_GB2312"/>
          <w:color w:val="auto"/>
          <w:szCs w:val="21"/>
        </w:rPr>
        <w:t>6.1款规定组织现场考察或开标前答疑会的，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按规定的时间、地点组织投标人现场考察或开标前答疑会，或者在领取招标文件期限截止后以书面形式通知所有获取招标文件的潜在投标人。</w:t>
      </w:r>
    </w:p>
    <w:p w14:paraId="1E38DA14">
      <w:pPr>
        <w:adjustRightInd w:val="0"/>
        <w:snapToGrid w:val="0"/>
        <w:spacing w:line="360" w:lineRule="auto"/>
        <w:rPr>
          <w:rFonts w:ascii="仿宋_GB2312" w:hAnsi="仿宋_GB2312" w:eastAsia="仿宋_GB2312" w:cs="仿宋_GB2312"/>
          <w:b/>
          <w:bCs/>
          <w:color w:val="auto"/>
          <w:szCs w:val="21"/>
        </w:rPr>
      </w:pPr>
      <w:bookmarkStart w:id="40" w:name="_1.10_投标预备会"/>
      <w:bookmarkEnd w:id="40"/>
      <w:r>
        <w:rPr>
          <w:rFonts w:hint="eastAsia" w:ascii="仿宋_GB2312" w:hAnsi="仿宋_GB2312" w:eastAsia="仿宋_GB2312" w:cs="仿宋_GB2312"/>
          <w:color w:val="auto"/>
          <w:szCs w:val="21"/>
        </w:rPr>
        <w:t>6.2</w:t>
      </w:r>
      <w:r>
        <w:rPr>
          <w:rFonts w:hint="eastAsia" w:ascii="仿宋_GB2312" w:hAnsi="仿宋_GB2312" w:eastAsia="仿宋_GB2312" w:cs="仿宋_GB2312"/>
          <w:color w:val="auto"/>
          <w:kern w:val="0"/>
          <w:szCs w:val="21"/>
        </w:rPr>
        <w:t>由于未参加现场考察或标前答疑而导致对项目实际情况不了解，影响技术文件编制、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仿宋_GB2312" w:hAnsi="仿宋_GB2312" w:eastAsia="仿宋_GB2312" w:cs="仿宋_GB2312"/>
          <w:color w:val="auto"/>
          <w:kern w:val="0"/>
          <w:szCs w:val="21"/>
        </w:rPr>
        <w:t>投标报价</w:t>
      </w:r>
      <w:r>
        <w:rPr>
          <w:rFonts w:ascii="仿宋_GB2312" w:hAnsi="仿宋_GB2312" w:eastAsia="仿宋_GB2312" w:cs="仿宋_GB2312"/>
          <w:color w:val="auto"/>
          <w:kern w:val="0"/>
          <w:szCs w:val="21"/>
        </w:rPr>
        <w:fldChar w:fldCharType="end"/>
      </w:r>
      <w:r>
        <w:rPr>
          <w:rFonts w:hint="eastAsia" w:ascii="仿宋_GB2312" w:hAnsi="仿宋_GB2312" w:eastAsia="仿宋_GB2312" w:cs="仿宋_GB2312"/>
          <w:color w:val="auto"/>
          <w:kern w:val="0"/>
          <w:szCs w:val="21"/>
        </w:rPr>
        <w:t>准确性、综合因素响应不全面等问题的，由投标人自行承担相应后果。</w:t>
      </w:r>
    </w:p>
    <w:p w14:paraId="4FDA4E2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6.3现场考察及参加标前答疑会所发生的费用及一切责任由投标人自行承担。</w:t>
      </w:r>
    </w:p>
    <w:p w14:paraId="25A8AB51">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7.适用法律</w:t>
      </w:r>
    </w:p>
    <w:p w14:paraId="23A51BC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818AE07">
      <w:pPr>
        <w:pStyle w:val="3"/>
        <w:rPr>
          <w:rFonts w:ascii="仿宋_GB2312" w:hAnsi="仿宋_GB2312" w:eastAsia="仿宋_GB2312" w:cs="仿宋_GB2312"/>
          <w:color w:val="auto"/>
          <w:sz w:val="32"/>
          <w:szCs w:val="28"/>
        </w:rPr>
      </w:pPr>
      <w:bookmarkStart w:id="41" w:name="_Toc10106_WPSOffice_Level2"/>
      <w:r>
        <w:rPr>
          <w:rFonts w:hint="eastAsia" w:ascii="仿宋_GB2312" w:hAnsi="仿宋_GB2312" w:eastAsia="仿宋_GB2312" w:cs="仿宋_GB2312"/>
          <w:color w:val="auto"/>
          <w:sz w:val="32"/>
          <w:szCs w:val="28"/>
        </w:rPr>
        <w:t>三 招标文件</w:t>
      </w:r>
      <w:bookmarkEnd w:id="41"/>
    </w:p>
    <w:p w14:paraId="4BC57B5B">
      <w:pPr>
        <w:tabs>
          <w:tab w:val="left" w:pos="312"/>
        </w:tabs>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8.招标文件构成</w:t>
      </w:r>
    </w:p>
    <w:p w14:paraId="01353368">
      <w:pPr>
        <w:adjustRightInd w:val="0"/>
        <w:snapToGrid w:val="0"/>
        <w:spacing w:line="360" w:lineRule="auto"/>
        <w:rPr>
          <w:rFonts w:ascii="仿宋_GB2312" w:hAnsi="仿宋_GB2312" w:eastAsia="仿宋_GB2312" w:cs="仿宋_GB2312"/>
          <w:color w:val="auto"/>
        </w:rPr>
      </w:pPr>
      <w:r>
        <w:rPr>
          <w:rFonts w:hint="eastAsia" w:ascii="仿宋_GB2312" w:hAnsi="仿宋_GB2312" w:eastAsia="仿宋_GB2312" w:cs="仿宋_GB2312"/>
          <w:color w:val="auto"/>
          <w:szCs w:val="21"/>
        </w:rPr>
        <w:t>招标</w:t>
      </w:r>
      <w:r>
        <w:rPr>
          <w:rFonts w:hint="eastAsia" w:ascii="仿宋_GB2312" w:hAnsi="仿宋_GB2312" w:eastAsia="仿宋_GB2312" w:cs="仿宋_GB2312"/>
          <w:color w:val="auto"/>
        </w:rPr>
        <w:t>文件内容如下:</w:t>
      </w:r>
    </w:p>
    <w:p w14:paraId="2A51B1A3">
      <w:pPr>
        <w:adjustRightInd w:val="0"/>
        <w:snapToGrid w:val="0"/>
        <w:spacing w:line="360" w:lineRule="auto"/>
        <w:ind w:firstLine="420" w:firstLineChars="200"/>
        <w:rPr>
          <w:rFonts w:ascii="仿宋_GB2312" w:hAnsi="仿宋_GB2312" w:eastAsia="仿宋_GB2312" w:cs="仿宋_GB2312"/>
          <w:color w:val="auto"/>
        </w:rPr>
      </w:pPr>
      <w:r>
        <w:rPr>
          <w:rFonts w:hint="eastAsia" w:ascii="仿宋_GB2312" w:hAnsi="仿宋_GB2312" w:eastAsia="仿宋_GB2312" w:cs="仿宋_GB2312"/>
          <w:color w:val="auto"/>
          <w:kern w:val="0"/>
          <w:szCs w:val="21"/>
        </w:rPr>
        <w:t>招标</w:t>
      </w:r>
      <w:r>
        <w:rPr>
          <w:rFonts w:hint="eastAsia" w:ascii="仿宋_GB2312" w:hAnsi="仿宋_GB2312" w:eastAsia="仿宋_GB2312" w:cs="仿宋_GB2312"/>
          <w:color w:val="auto"/>
        </w:rPr>
        <w:t>公告</w:t>
      </w:r>
    </w:p>
    <w:p w14:paraId="760F253B">
      <w:pPr>
        <w:numPr>
          <w:ilvl w:val="0"/>
          <w:numId w:val="2"/>
        </w:numPr>
        <w:adjustRightInd w:val="0"/>
        <w:snapToGrid w:val="0"/>
        <w:spacing w:line="360" w:lineRule="auto"/>
        <w:ind w:firstLine="420" w:firstLineChars="200"/>
        <w:rPr>
          <w:rFonts w:ascii="仿宋_GB2312" w:hAnsi="仿宋_GB2312" w:eastAsia="仿宋_GB2312" w:cs="仿宋_GB2312"/>
          <w:color w:val="auto"/>
        </w:rPr>
      </w:pPr>
      <w:bookmarkStart w:id="42" w:name="_Toc188_WPSOffice_Level2"/>
      <w:bookmarkStart w:id="43" w:name="_Toc4961_WPSOffice_Level2"/>
      <w:bookmarkStart w:id="44" w:name="_Toc24604_WPSOffice_Level2"/>
      <w:bookmarkStart w:id="45" w:name="_Toc25935_WPSOffice_Level2"/>
      <w:r>
        <w:rPr>
          <w:rFonts w:hint="eastAsia" w:ascii="仿宋_GB2312" w:hAnsi="仿宋_GB2312" w:eastAsia="仿宋_GB2312" w:cs="仿宋_GB2312"/>
          <w:color w:val="auto"/>
        </w:rPr>
        <w:t>投标人须知</w:t>
      </w:r>
      <w:bookmarkEnd w:id="42"/>
      <w:bookmarkEnd w:id="43"/>
      <w:bookmarkEnd w:id="44"/>
      <w:bookmarkEnd w:id="45"/>
    </w:p>
    <w:p w14:paraId="131850B9">
      <w:pPr>
        <w:adjustRightInd w:val="0"/>
        <w:snapToGrid w:val="0"/>
        <w:spacing w:line="360" w:lineRule="auto"/>
        <w:ind w:firstLine="420" w:firstLineChars="200"/>
        <w:rPr>
          <w:rFonts w:ascii="仿宋_GB2312" w:hAnsi="仿宋_GB2312" w:eastAsia="仿宋_GB2312" w:cs="仿宋_GB2312"/>
          <w:color w:val="auto"/>
        </w:rPr>
      </w:pPr>
      <w:bookmarkStart w:id="46" w:name="_Toc31424_WPSOffice_Level2"/>
      <w:bookmarkStart w:id="47" w:name="_Toc32235_WPSOffice_Level2"/>
      <w:bookmarkStart w:id="48" w:name="_Toc2443_WPSOffice_Level2"/>
      <w:bookmarkStart w:id="49" w:name="_Toc13276_WPSOffice_Level2"/>
      <w:r>
        <w:rPr>
          <w:rFonts w:hint="eastAsia" w:ascii="仿宋_GB2312" w:hAnsi="仿宋_GB2312" w:eastAsia="仿宋_GB2312" w:cs="仿宋_GB2312"/>
          <w:color w:val="auto"/>
        </w:rPr>
        <w:t>第二章 投标文件内容及格式</w:t>
      </w:r>
      <w:bookmarkEnd w:id="46"/>
      <w:bookmarkEnd w:id="47"/>
      <w:bookmarkEnd w:id="48"/>
      <w:bookmarkEnd w:id="49"/>
    </w:p>
    <w:p w14:paraId="0E906D77">
      <w:pPr>
        <w:adjustRightInd w:val="0"/>
        <w:snapToGrid w:val="0"/>
        <w:spacing w:line="360" w:lineRule="auto"/>
        <w:ind w:firstLine="420" w:firstLineChars="200"/>
        <w:rPr>
          <w:rFonts w:ascii="仿宋_GB2312" w:hAnsi="仿宋_GB2312" w:eastAsia="仿宋_GB2312" w:cs="仿宋_GB2312"/>
          <w:color w:val="auto"/>
        </w:rPr>
      </w:pPr>
      <w:bookmarkStart w:id="50" w:name="_Toc7005_WPSOffice_Level2"/>
      <w:bookmarkStart w:id="51" w:name="_Toc16269_WPSOffice_Level2"/>
      <w:bookmarkStart w:id="52" w:name="_Toc4416_WPSOffice_Level2"/>
      <w:bookmarkStart w:id="53" w:name="_Toc24836_WPSOffice_Level2"/>
      <w:r>
        <w:rPr>
          <w:rFonts w:hint="eastAsia" w:ascii="仿宋_GB2312" w:hAnsi="仿宋_GB2312" w:eastAsia="仿宋_GB2312" w:cs="仿宋_GB2312"/>
          <w:color w:val="auto"/>
        </w:rPr>
        <w:t>第三章 货物需求</w:t>
      </w:r>
      <w:bookmarkEnd w:id="50"/>
      <w:bookmarkEnd w:id="51"/>
      <w:bookmarkEnd w:id="52"/>
      <w:bookmarkEnd w:id="53"/>
    </w:p>
    <w:p w14:paraId="56E4177C">
      <w:pPr>
        <w:adjustRightInd w:val="0"/>
        <w:snapToGrid w:val="0"/>
        <w:spacing w:line="360" w:lineRule="auto"/>
        <w:ind w:firstLine="420" w:firstLineChars="200"/>
        <w:rPr>
          <w:rFonts w:ascii="仿宋_GB2312" w:hAnsi="仿宋_GB2312" w:eastAsia="仿宋_GB2312" w:cs="仿宋_GB2312"/>
          <w:color w:val="auto"/>
        </w:rPr>
      </w:pPr>
      <w:bookmarkStart w:id="54" w:name="_Toc25382_WPSOffice_Level2"/>
      <w:bookmarkStart w:id="55" w:name="_Toc16294_WPSOffice_Level2"/>
      <w:bookmarkStart w:id="56" w:name="_Toc23459_WPSOffice_Level2"/>
      <w:bookmarkStart w:id="57" w:name="_Toc16119_WPSOffice_Level2"/>
      <w:r>
        <w:rPr>
          <w:rFonts w:hint="eastAsia" w:ascii="仿宋_GB2312" w:hAnsi="仿宋_GB2312" w:eastAsia="仿宋_GB2312" w:cs="仿宋_GB2312"/>
          <w:color w:val="auto"/>
        </w:rPr>
        <w:t>第四章 评标方法</w:t>
      </w:r>
      <w:bookmarkEnd w:id="54"/>
      <w:bookmarkEnd w:id="55"/>
      <w:bookmarkEnd w:id="56"/>
      <w:bookmarkEnd w:id="57"/>
    </w:p>
    <w:p w14:paraId="7E9F4B6B">
      <w:pPr>
        <w:adjustRightInd w:val="0"/>
        <w:snapToGrid w:val="0"/>
        <w:spacing w:line="360" w:lineRule="auto"/>
        <w:ind w:firstLine="420" w:firstLineChars="200"/>
        <w:rPr>
          <w:rFonts w:ascii="仿宋_GB2312" w:hAnsi="仿宋_GB2312" w:eastAsia="仿宋_GB2312" w:cs="仿宋_GB2312"/>
          <w:color w:val="auto"/>
        </w:rPr>
      </w:pPr>
      <w:bookmarkStart w:id="58" w:name="_Toc17794_WPSOffice_Level2"/>
      <w:bookmarkStart w:id="59" w:name="_Toc16368_WPSOffice_Level2"/>
      <w:bookmarkStart w:id="60" w:name="_Toc28106_WPSOffice_Level2"/>
      <w:bookmarkStart w:id="61" w:name="_Toc9629_WPSOffice_Level2"/>
      <w:r>
        <w:rPr>
          <w:rFonts w:hint="eastAsia" w:ascii="仿宋_GB2312" w:hAnsi="仿宋_GB2312" w:eastAsia="仿宋_GB2312" w:cs="仿宋_GB2312"/>
          <w:color w:val="auto"/>
        </w:rPr>
        <w:t>第五章 政府采购合同</w:t>
      </w:r>
      <w:bookmarkEnd w:id="58"/>
      <w:bookmarkEnd w:id="59"/>
      <w:bookmarkEnd w:id="60"/>
      <w:bookmarkEnd w:id="61"/>
      <w:r>
        <w:rPr>
          <w:rFonts w:hint="eastAsia" w:ascii="仿宋_GB2312" w:hAnsi="仿宋_GB2312" w:eastAsia="仿宋_GB2312" w:cs="仿宋_GB2312"/>
          <w:color w:val="auto"/>
        </w:rPr>
        <w:t>条款及格式</w:t>
      </w:r>
    </w:p>
    <w:p w14:paraId="30E13BA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08CB2E6F">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9.招标文件的澄清与修改</w:t>
      </w:r>
    </w:p>
    <w:p w14:paraId="13F54DB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或者采购代理机构应当顺延提交投标文件的截止时间。</w:t>
      </w:r>
    </w:p>
    <w:p w14:paraId="55A1B7D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9.2澄清或者修改的内容为招标文件的组成部分，对所有招标文件的收受人具有约束力。投标人在收到上述通知后，应及时向采购代理机构回函确认。</w:t>
      </w:r>
    </w:p>
    <w:p w14:paraId="4FE7896D">
      <w:pPr>
        <w:pStyle w:val="3"/>
        <w:rPr>
          <w:rFonts w:ascii="仿宋_GB2312" w:hAnsi="仿宋_GB2312" w:eastAsia="仿宋_GB2312" w:cs="仿宋_GB2312"/>
          <w:color w:val="auto"/>
          <w:sz w:val="32"/>
          <w:szCs w:val="32"/>
        </w:rPr>
      </w:pPr>
      <w:bookmarkStart w:id="62" w:name="_Toc7415_WPSOffice_Level2"/>
      <w:r>
        <w:rPr>
          <w:rFonts w:hint="eastAsia" w:ascii="仿宋_GB2312" w:hAnsi="仿宋_GB2312" w:eastAsia="仿宋_GB2312" w:cs="仿宋_GB2312"/>
          <w:color w:val="auto"/>
          <w:sz w:val="32"/>
          <w:szCs w:val="32"/>
        </w:rPr>
        <w:t>四 投标文件的编制</w:t>
      </w:r>
      <w:bookmarkEnd w:id="62"/>
    </w:p>
    <w:p w14:paraId="54295CF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10.投标范围</w:t>
      </w:r>
    </w:p>
    <w:p w14:paraId="69C9DA5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10.1项目有分包的，投标人可对招标文件其中某一个分包或几个分包进行投标。</w:t>
      </w:r>
    </w:p>
    <w:p w14:paraId="19E184F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4903A30D">
      <w:pPr>
        <w:pStyle w:val="7"/>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★10.3如一个分包内包含多种产品的，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或采购代理机构将在投标人须知表10.3款中载明核心产品（非单一产品采购时，只能设一个核心产品），多家投标人提供的核心产品品牌相同的，按照第四章“评标办法”第4款“同一品牌产品”规定处理。</w:t>
      </w:r>
    </w:p>
    <w:p w14:paraId="68D5CF0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10.4无论招标文件第三章货物需求中是否要求，投标人所投货物均应符合国家强制性标准。</w:t>
      </w:r>
    </w:p>
    <w:p w14:paraId="5C2CF4F3">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11.投标文件构成</w:t>
      </w:r>
    </w:p>
    <w:p w14:paraId="0B3EC9B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★11.1投标人应完整地按招标文件提供的投标文件格式及要求编写投标文件。投标文件应包括资格证明文件、符合性证明文件、其它材料三部分。具体见第二章 投标文件内容及格式。</w:t>
      </w:r>
    </w:p>
    <w:p w14:paraId="03F0152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★11.2投标人应按招标文件提供的格式编写投标文件。招标文件提供标准格式的按标准格式填列，未提供标准格式的可自行拟定。</w:t>
      </w:r>
    </w:p>
    <w:p w14:paraId="6B17706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11.3 样品或演示要求详见投标人须知表11.3款。</w:t>
      </w:r>
    </w:p>
    <w:p w14:paraId="410198D4">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12.投标报价</w:t>
      </w:r>
    </w:p>
    <w:p w14:paraId="428860A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60CF684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406FAB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12.3投标人应按招标文件要求在相关表格中标明投标货物及伴随服务的单价和总价，并由法定代表人（非法人组织的负责人）或其委托代理人签署。</w:t>
      </w:r>
    </w:p>
    <w:p w14:paraId="3BB7068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auto"/>
          <w:szCs w:val="21"/>
        </w:rPr>
        <w:t>投标无效。</w:t>
      </w:r>
    </w:p>
    <w:p w14:paraId="6E38473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12.5每种货物只能有一个投标报价。</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不接受具有附加条件的报价。</w:t>
      </w:r>
    </w:p>
    <w:p w14:paraId="55FDBCCA">
      <w:pPr>
        <w:adjustRightInd w:val="0"/>
        <w:snapToGrid w:val="0"/>
        <w:spacing w:line="360" w:lineRule="auto"/>
        <w:rPr>
          <w:rFonts w:ascii="仿宋_GB2312" w:hAnsi="仿宋_GB2312" w:eastAsia="仿宋_GB2312" w:cs="仿宋_GB2312"/>
          <w:color w:val="auto"/>
          <w:szCs w:val="21"/>
        </w:rPr>
      </w:pPr>
      <w:bookmarkStart w:id="63" w:name="_Toc31973_WPSOffice_Level2"/>
      <w:bookmarkStart w:id="64" w:name="_Toc22507_WPSOffice_Level2"/>
      <w:r>
        <w:rPr>
          <w:rFonts w:hint="eastAsia" w:ascii="仿宋_GB2312" w:hAnsi="仿宋_GB2312" w:eastAsia="仿宋_GB2312" w:cs="仿宋_GB2312"/>
          <w:color w:val="auto"/>
          <w:szCs w:val="21"/>
        </w:rPr>
        <w:t>12.6除非招标文件另有规定，报价原则上精确到小数点后两位。</w:t>
      </w:r>
      <w:bookmarkEnd w:id="63"/>
      <w:bookmarkEnd w:id="64"/>
    </w:p>
    <w:p w14:paraId="745C50B7">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★13.投标保证金</w:t>
      </w:r>
    </w:p>
    <w:p w14:paraId="4C7B0CD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13.1投标人应提交投标人须知表13.1款中规定的投标保证金，并作为其投标的一部分。</w:t>
      </w:r>
    </w:p>
    <w:p w14:paraId="30613107">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13.2投标保证金缴纳人、招标文件领取人、投标登记人和投标人必须为同一组织机构或联合体内不同成员单位，否则将视同未按招标文件规定交纳投标保证金。</w:t>
      </w:r>
    </w:p>
    <w:p w14:paraId="4899046C">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13.3投标人存在下列情形的，投标保证金不予退还：</w:t>
      </w:r>
    </w:p>
    <w:p w14:paraId="766FCF85">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（1）在投标有效期内，投标人撤销投标的；</w:t>
      </w:r>
    </w:p>
    <w:p w14:paraId="0EC969CE">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（2）中标后不按本须知第34款的规定与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签订合同的；</w:t>
      </w:r>
    </w:p>
    <w:p w14:paraId="093DD30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（3）中标后不按本须知第35款的规定提交履约保证金的；</w:t>
      </w:r>
    </w:p>
    <w:p w14:paraId="1D7D6C5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（4）中标后不按本须知第36款的规定缴纳采购代理服务费的；</w:t>
      </w:r>
    </w:p>
    <w:p w14:paraId="6BE7EB0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（5）存在其他违法违规行为的。</w:t>
      </w:r>
    </w:p>
    <w:p w14:paraId="3C4EA1A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13.4联合体投标的，可以由联合体中的一方或者共同提交投标保证金。以一方名义提交投标保证金的，对联合体各方均具有约束力。</w:t>
      </w:r>
    </w:p>
    <w:p w14:paraId="1E70E54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13.5投标保证金的退还</w:t>
      </w:r>
    </w:p>
    <w:p w14:paraId="2DFE022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13.5.1中标人应在与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签订合同之日起5个工作日内，及时联系保证金收受机构办理投标保证金退还手续。</w:t>
      </w:r>
    </w:p>
    <w:p w14:paraId="7CD194C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13.5.2未中标投标人的投标保证金将在中标通知书发出之日暨中标结果公告公布之日起5个工作日内无息退还。投标人应及时联系保证金收受机构办理退还投标保证金手续。</w:t>
      </w:r>
    </w:p>
    <w:p w14:paraId="25E31C1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13.5.3投标人在投标截止时间前撤回已提交的投标文件的，投标人应自</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或者采购代理机构收到投标人书面撤回通知之日起５个工作日内，及时联系保证金收受机构办理投标保证金退还手续。</w:t>
      </w:r>
    </w:p>
    <w:p w14:paraId="2DDB78C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13.5.4 政府采购投标担保函不予退回。</w:t>
      </w:r>
    </w:p>
    <w:p w14:paraId="4A57344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13.6 因投标人自身原因导致无法及时退还的，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或采购代理机构将不承担相应责任。</w:t>
      </w:r>
    </w:p>
    <w:p w14:paraId="049C0F8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14.证明投标标的的合格性和符合招标文件规定的技术文件</w:t>
      </w:r>
    </w:p>
    <w:p w14:paraId="2009A09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14.1投标人应提交证明文件，证明其投标内容符合招标文件规定。该证明文件是投标文件的一部分。</w:t>
      </w:r>
    </w:p>
    <w:p w14:paraId="11546F3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14.2上款所述的证明文件，可以是文字资料、图纸和数据，它包括：</w:t>
      </w:r>
    </w:p>
    <w:p w14:paraId="33E47F5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（1）货物主要技术指标和性能的详细说明；</w:t>
      </w:r>
    </w:p>
    <w:p w14:paraId="2798F63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（2）货物从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开始使用至招标文件规定的保质期内正常、连续地使用所必须的备件和专用工具清单，包括备件和专用工具的货源及现行价格;</w:t>
      </w:r>
    </w:p>
    <w:p w14:paraId="05DEE20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（3）对照招标文件技术规格，逐条说明所提供货物及伴随的工程和服务已对招标文件的技术规格做出了实质性的响应，或申明与技术规格条文的偏差和例外。</w:t>
      </w:r>
    </w:p>
    <w:p w14:paraId="16A681B1">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15.投标有效期</w:t>
      </w:r>
    </w:p>
    <w:p w14:paraId="56B6F8F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47C4545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15.2在特殊情况下，</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F58C28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16.投标文件的签署及规定</w:t>
      </w:r>
    </w:p>
    <w:p w14:paraId="2FE278CF">
      <w:pPr>
        <w:adjustRightInd w:val="0"/>
        <w:snapToGrid w:val="0"/>
        <w:spacing w:line="360" w:lineRule="auto"/>
        <w:rPr>
          <w:rFonts w:ascii="仿宋_GB2312" w:hAnsi="仿宋_GB2312" w:eastAsia="仿宋_GB2312" w:cs="仿宋_GB2312"/>
          <w:color w:val="auto"/>
          <w:szCs w:val="21"/>
        </w:rPr>
      </w:pPr>
      <w:bookmarkStart w:id="65" w:name="_Toc27725_WPSOffice_Level2"/>
      <w:r>
        <w:rPr>
          <w:rFonts w:hint="eastAsia" w:ascii="仿宋_GB2312" w:hAnsi="仿宋_GB2312" w:eastAsia="仿宋_GB2312" w:cs="仿宋_GB2312"/>
          <w:color w:val="auto"/>
          <w:szCs w:val="21"/>
        </w:rPr>
        <w:t>16.1投标人应按投标人须知表16.1款中的规定，准备和递交投标文件正本、副本和电子文档。</w:t>
      </w:r>
    </w:p>
    <w:p w14:paraId="3B88E1D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★16.2每份投标文件封皮须清楚地标明“正本”或“副本”。若正本和副本不符，以正本为准。</w:t>
      </w:r>
    </w:p>
    <w:p w14:paraId="633441B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17879555">
      <w:pPr>
        <w:pStyle w:val="3"/>
        <w:rPr>
          <w:rFonts w:ascii="仿宋_GB2312" w:hAnsi="仿宋_GB2312" w:eastAsia="仿宋_GB2312" w:cs="仿宋_GB2312"/>
          <w:color w:val="auto"/>
          <w:sz w:val="32"/>
          <w:szCs w:val="28"/>
        </w:rPr>
      </w:pPr>
      <w:r>
        <w:rPr>
          <w:rFonts w:hint="eastAsia" w:ascii="仿宋_GB2312" w:hAnsi="仿宋_GB2312" w:eastAsia="仿宋_GB2312" w:cs="仿宋_GB2312"/>
          <w:color w:val="auto"/>
          <w:sz w:val="32"/>
          <w:szCs w:val="28"/>
        </w:rPr>
        <w:t>五 投标文件的递交</w:t>
      </w:r>
      <w:bookmarkEnd w:id="65"/>
    </w:p>
    <w:p w14:paraId="063783E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17.投标文件的密封和标记</w:t>
      </w:r>
    </w:p>
    <w:p w14:paraId="41E5DB0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17.1投标人应将投标文件密封，将正本和所有的副本、电子文档密封，并进行包封。</w:t>
      </w:r>
    </w:p>
    <w:p w14:paraId="7329DBF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17.2所有包装封皮上均应：</w:t>
      </w:r>
    </w:p>
    <w:p w14:paraId="47C536F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（1）注明项目名称、项目编号、包号、投标人名称。</w:t>
      </w:r>
    </w:p>
    <w:p w14:paraId="6CF8631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（2）加盖投标人单位公章。</w:t>
      </w:r>
    </w:p>
    <w:p w14:paraId="42E4248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17.3如果投标人未按上述要求密封，其投标文件将被</w:t>
      </w:r>
      <w:r>
        <w:rPr>
          <w:rFonts w:hint="eastAsia" w:ascii="仿宋_GB2312" w:hAnsi="仿宋_GB2312" w:eastAsia="仿宋_GB2312" w:cs="仿宋_GB2312"/>
          <w:b/>
          <w:bCs/>
          <w:color w:val="auto"/>
          <w:szCs w:val="21"/>
        </w:rPr>
        <w:t>拒绝接收</w:t>
      </w:r>
      <w:r>
        <w:rPr>
          <w:rFonts w:hint="eastAsia" w:ascii="仿宋_GB2312" w:hAnsi="仿宋_GB2312" w:eastAsia="仿宋_GB2312" w:cs="仿宋_GB2312"/>
          <w:color w:val="auto"/>
          <w:szCs w:val="21"/>
        </w:rPr>
        <w:t>。</w:t>
      </w:r>
    </w:p>
    <w:p w14:paraId="1A8786DD">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18.投标截止</w:t>
      </w:r>
    </w:p>
    <w:p w14:paraId="309AF3B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18.1投标人应在投标人须知表18.1中规定的递交投标文件截止时间前，将投标文件递交到投标人须知表18.1款中规定的地点。</w:t>
      </w:r>
    </w:p>
    <w:p w14:paraId="0452562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18.2</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和采购代理机构有权按本须知的规定，延迟投标截止时间。在此情况下，</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、采购代理机构和投标人受投标截止时间制约的所有权利和义务均应延长至新的截止时间。</w:t>
      </w:r>
    </w:p>
    <w:p w14:paraId="40AF4E1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19.投标文件的接收、修改与撤回</w:t>
      </w:r>
    </w:p>
    <w:p w14:paraId="5259451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19.1在投标截止时间后送达的投标文件，</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和采购代理机构将</w:t>
      </w:r>
      <w:r>
        <w:rPr>
          <w:rFonts w:hint="eastAsia" w:ascii="仿宋_GB2312" w:hAnsi="仿宋_GB2312" w:eastAsia="仿宋_GB2312" w:cs="仿宋_GB2312"/>
          <w:b/>
          <w:bCs/>
          <w:color w:val="auto"/>
          <w:szCs w:val="21"/>
        </w:rPr>
        <w:t>拒绝接收</w:t>
      </w:r>
      <w:r>
        <w:rPr>
          <w:rFonts w:hint="eastAsia" w:ascii="仿宋_GB2312" w:hAnsi="仿宋_GB2312" w:eastAsia="仿宋_GB2312" w:cs="仿宋_GB2312"/>
          <w:color w:val="auto"/>
          <w:szCs w:val="21"/>
        </w:rPr>
        <w:t>。</w:t>
      </w:r>
    </w:p>
    <w:p w14:paraId="4A339FB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19.2</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或者采购代理机构收到投标文件后，应当如实记载投标文件的送达时间和密封情况，并向投标人出具以下签收回执。</w:t>
      </w:r>
    </w:p>
    <w:p w14:paraId="7B1EC136">
      <w:pPr>
        <w:adjustRightInd w:val="0"/>
        <w:snapToGrid w:val="0"/>
        <w:spacing w:line="360" w:lineRule="auto"/>
        <w:jc w:val="center"/>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接收投标文件回执单</w:t>
      </w:r>
    </w:p>
    <w:tbl>
      <w:tblPr>
        <w:tblStyle w:val="18"/>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1F49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jc w:val="center"/>
        </w:trPr>
        <w:tc>
          <w:tcPr>
            <w:tcW w:w="1650" w:type="dxa"/>
            <w:noWrap w:val="0"/>
            <w:vAlign w:val="center"/>
          </w:tcPr>
          <w:p w14:paraId="7A4916B5">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项目编号</w:t>
            </w:r>
          </w:p>
        </w:tc>
        <w:tc>
          <w:tcPr>
            <w:tcW w:w="5415" w:type="dxa"/>
            <w:noWrap w:val="0"/>
            <w:vAlign w:val="center"/>
          </w:tcPr>
          <w:p w14:paraId="2C21AC56">
            <w:pPr>
              <w:adjustRightInd w:val="0"/>
              <w:snapToGrid w:val="0"/>
              <w:jc w:val="center"/>
              <w:rPr>
                <w:rFonts w:ascii="仿宋_GB2312" w:hAnsi="仿宋_GB2312" w:eastAsia="仿宋_GB2312" w:cs="仿宋_GB2312"/>
                <w:color w:val="auto"/>
                <w:szCs w:val="21"/>
              </w:rPr>
            </w:pPr>
          </w:p>
        </w:tc>
      </w:tr>
      <w:tr w14:paraId="0B94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7C9357F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项目名称</w:t>
            </w:r>
          </w:p>
        </w:tc>
        <w:tc>
          <w:tcPr>
            <w:tcW w:w="5415" w:type="dxa"/>
            <w:noWrap w:val="0"/>
            <w:vAlign w:val="center"/>
          </w:tcPr>
          <w:p w14:paraId="2E2AE651">
            <w:pPr>
              <w:adjustRightInd w:val="0"/>
              <w:snapToGrid w:val="0"/>
              <w:jc w:val="center"/>
              <w:rPr>
                <w:rFonts w:ascii="仿宋_GB2312" w:hAnsi="仿宋_GB2312" w:eastAsia="仿宋_GB2312" w:cs="仿宋_GB2312"/>
                <w:color w:val="auto"/>
                <w:szCs w:val="21"/>
              </w:rPr>
            </w:pPr>
          </w:p>
        </w:tc>
      </w:tr>
      <w:tr w14:paraId="2FE0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3E45DEE0">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w:t>
            </w:r>
          </w:p>
        </w:tc>
        <w:tc>
          <w:tcPr>
            <w:tcW w:w="5415" w:type="dxa"/>
            <w:noWrap w:val="0"/>
            <w:vAlign w:val="center"/>
          </w:tcPr>
          <w:p w14:paraId="0E70DE37">
            <w:pPr>
              <w:adjustRightInd w:val="0"/>
              <w:snapToGrid w:val="0"/>
              <w:jc w:val="center"/>
              <w:rPr>
                <w:rFonts w:ascii="仿宋_GB2312" w:hAnsi="仿宋_GB2312" w:eastAsia="仿宋_GB2312" w:cs="仿宋_GB2312"/>
                <w:color w:val="auto"/>
                <w:szCs w:val="21"/>
              </w:rPr>
            </w:pPr>
          </w:p>
        </w:tc>
      </w:tr>
      <w:tr w14:paraId="0637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7C1B09F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递交时间</w:t>
            </w:r>
          </w:p>
        </w:tc>
        <w:tc>
          <w:tcPr>
            <w:tcW w:w="5415" w:type="dxa"/>
            <w:noWrap w:val="0"/>
            <w:vAlign w:val="center"/>
          </w:tcPr>
          <w:p w14:paraId="0B8C825E">
            <w:pPr>
              <w:adjustRightInd w:val="0"/>
              <w:snapToGrid w:val="0"/>
              <w:jc w:val="center"/>
              <w:rPr>
                <w:rFonts w:ascii="仿宋_GB2312" w:hAnsi="仿宋_GB2312" w:eastAsia="仿宋_GB2312" w:cs="仿宋_GB2312"/>
                <w:color w:val="auto"/>
                <w:szCs w:val="21"/>
              </w:rPr>
            </w:pPr>
          </w:p>
        </w:tc>
      </w:tr>
      <w:tr w14:paraId="455D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0"/>
            <w:vAlign w:val="center"/>
          </w:tcPr>
          <w:p w14:paraId="13183AB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接收单位</w:t>
            </w:r>
          </w:p>
        </w:tc>
        <w:tc>
          <w:tcPr>
            <w:tcW w:w="5415" w:type="dxa"/>
            <w:noWrap w:val="0"/>
            <w:vAlign w:val="center"/>
          </w:tcPr>
          <w:p w14:paraId="346FC6E3">
            <w:pPr>
              <w:adjustRightInd w:val="0"/>
              <w:snapToGrid w:val="0"/>
              <w:jc w:val="center"/>
              <w:rPr>
                <w:rFonts w:ascii="仿宋_GB2312" w:hAnsi="仿宋_GB2312" w:eastAsia="仿宋_GB2312" w:cs="仿宋_GB2312"/>
                <w:color w:val="auto"/>
                <w:szCs w:val="21"/>
              </w:rPr>
            </w:pPr>
          </w:p>
        </w:tc>
      </w:tr>
      <w:tr w14:paraId="6023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noWrap w:val="0"/>
            <w:vAlign w:val="center"/>
          </w:tcPr>
          <w:p w14:paraId="24124F01">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接收人签字</w:t>
            </w:r>
          </w:p>
        </w:tc>
        <w:tc>
          <w:tcPr>
            <w:tcW w:w="5415" w:type="dxa"/>
            <w:noWrap w:val="0"/>
            <w:vAlign w:val="center"/>
          </w:tcPr>
          <w:p w14:paraId="21C8CC10">
            <w:pPr>
              <w:adjustRightInd w:val="0"/>
              <w:snapToGrid w:val="0"/>
              <w:jc w:val="center"/>
              <w:rPr>
                <w:rFonts w:ascii="仿宋_GB2312" w:hAnsi="仿宋_GB2312" w:eastAsia="仿宋_GB2312" w:cs="仿宋_GB2312"/>
                <w:color w:val="auto"/>
                <w:szCs w:val="21"/>
              </w:rPr>
            </w:pPr>
          </w:p>
        </w:tc>
      </w:tr>
    </w:tbl>
    <w:p w14:paraId="041722B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19.3递交投标文件以后，如果投标人要进行修改或撤回投标，须提出书面申请并在投标截止时间前送达开标地点，投标人对投标文件的修改或撤回通知应按本须知规定编制、密封、标记。</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和采购代理机构将予以接收，并视为投标文件的组成部分。否则，修改后的投标文件或撤回行为无效。</w:t>
      </w:r>
    </w:p>
    <w:p w14:paraId="54AC60B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19.4在投标截止时间之后，投标人不得对其投标文件做任何修改。</w:t>
      </w:r>
    </w:p>
    <w:p w14:paraId="1BD44A8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19.5</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和采购代理机构对所接收并当众宣读投标内容的投标文件概不退回。</w:t>
      </w:r>
    </w:p>
    <w:p w14:paraId="14CC5072">
      <w:pPr>
        <w:pStyle w:val="3"/>
        <w:rPr>
          <w:rFonts w:ascii="仿宋_GB2312" w:hAnsi="仿宋_GB2312" w:eastAsia="仿宋_GB2312" w:cs="仿宋_GB2312"/>
          <w:color w:val="auto"/>
          <w:sz w:val="32"/>
          <w:szCs w:val="28"/>
        </w:rPr>
      </w:pPr>
      <w:bookmarkStart w:id="66" w:name="_Toc988_WPSOffice_Level2"/>
      <w:r>
        <w:rPr>
          <w:rFonts w:hint="eastAsia" w:ascii="仿宋_GB2312" w:hAnsi="仿宋_GB2312" w:eastAsia="仿宋_GB2312" w:cs="仿宋_GB2312"/>
          <w:color w:val="auto"/>
          <w:sz w:val="32"/>
          <w:szCs w:val="28"/>
        </w:rPr>
        <w:t>六 开标及评标</w:t>
      </w:r>
      <w:bookmarkEnd w:id="66"/>
    </w:p>
    <w:p w14:paraId="1B1A0673">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20.开标</w:t>
      </w:r>
    </w:p>
    <w:p w14:paraId="61B6458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和采购代理机构将按投标人须知表20.1款中规定的开标时间和地点组织公开开标并邀请所有投标人代表参加。</w:t>
      </w:r>
    </w:p>
    <w:p w14:paraId="6C0097E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投标人不足3家的，不得开标。评标委员会成员不得参加开标活动。</w:t>
      </w:r>
    </w:p>
    <w:p w14:paraId="2BB9DE2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20.2开标时，由投标人或其推选的代表检查投标文件的密封情况，经记录后，由</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或采购代理机构当众拆封投标文件，宣读投标人名称、投标价格及招标文件规定的内容。对于投标人在投标截止时间前递交的投标声明，在开标时当众宣读，评标时有效。</w:t>
      </w:r>
    </w:p>
    <w:p w14:paraId="6D2B3B5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未宣读投标价格、价格折扣等实质内容，评标时不予承认。</w:t>
      </w:r>
    </w:p>
    <w:p w14:paraId="564CE84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20.3</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或采购代理机构将对开标过程进行记录，由参加开标的各投标人代表和相关工作人员签字确认，并存档备查。投标人未参加开标或未签字确认的，视同认可开标结果。</w:t>
      </w:r>
    </w:p>
    <w:p w14:paraId="223EBA1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20.4投标人代表对开标过程和开标记录有疑义，以及认为</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、采购代理机构相关工作人员有需要回避的情形的，应当场提出询问或者回避申请。</w:t>
      </w:r>
    </w:p>
    <w:p w14:paraId="61209AB4">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21.组建评标委员会</w:t>
      </w:r>
    </w:p>
    <w:p w14:paraId="3B64597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按照《中华人民共和国政府采购法》、《中华人民共和国政府采购法实施条例》有关规定依法组建评标委员会，负责本项目评标工作。本项目评标委员会组成详见投标人须知表21款。</w:t>
      </w:r>
    </w:p>
    <w:p w14:paraId="42B18BC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22.资格审查</w:t>
      </w:r>
    </w:p>
    <w:p w14:paraId="06F934D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；通过资格审查的投标人不足3家的，不得评标。</w:t>
      </w:r>
    </w:p>
    <w:p w14:paraId="6885CFF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6954576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5091DF2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以联合体形式参加投标的，联合体任何成员存在以上不良信用记录的，联合体投标将被认定为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0E61963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22.2.2查询及记录方式：</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或采购代理机构经办人将查询网页打印并存档备查。投标人不良信用记录以</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或采购代理机构查询结果为准。</w:t>
      </w:r>
    </w:p>
    <w:p w14:paraId="4A388012">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在本招标文件规定的查询时间之后，网站信息发生的任何变更均不再作为评标依据。</w:t>
      </w:r>
    </w:p>
    <w:p w14:paraId="2EBA4E9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投标人自行提供的与网站信息不一致的其他证明材料亦不作为资格审查依据。</w:t>
      </w:r>
    </w:p>
    <w:p w14:paraId="4C9F72D2">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23.符合性审查</w:t>
      </w:r>
    </w:p>
    <w:p w14:paraId="058274E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；通过符合性审查的投标人数量不足3家的，不得作进一步的比较和评价。</w:t>
      </w:r>
    </w:p>
    <w:p w14:paraId="72A9A39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24.投标文件的澄清</w:t>
      </w:r>
    </w:p>
    <w:p w14:paraId="0D5B291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1A3CC36B">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24.2投标人的澄清、说明或补正将作为投标文件的一部分。</w:t>
      </w:r>
    </w:p>
    <w:p w14:paraId="404B121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24.3投标文件报价出现前后不一致的，按照下列规定修正：</w:t>
      </w:r>
    </w:p>
    <w:p w14:paraId="727F5D0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（1）投标文件中开标一览表内容与投标文件中相应内容不一致的，以开标一览表为准；</w:t>
      </w:r>
    </w:p>
    <w:p w14:paraId="0D47BB3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（2）大写金额和小写金额不一致的，以大写金额为准；</w:t>
      </w:r>
    </w:p>
    <w:p w14:paraId="6C91D4E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（3）单价金额小数点或者百分比有明显错位的，以开标一览表的总价为准，并修改单价；</w:t>
      </w:r>
    </w:p>
    <w:p w14:paraId="793A697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（4）总价金额与按单价汇总金额不一致的，以单价金额计算结果为准。</w:t>
      </w:r>
    </w:p>
    <w:p w14:paraId="3BD839F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631482D7">
      <w:pPr>
        <w:adjustRightInd w:val="0"/>
        <w:snapToGrid w:val="0"/>
        <w:spacing w:line="360" w:lineRule="auto"/>
        <w:rPr>
          <w:rFonts w:ascii="仿宋_GB2312" w:hAnsi="仿宋_GB2312" w:eastAsia="仿宋_GB2312" w:cs="仿宋_GB2312"/>
          <w:color w:val="auto"/>
        </w:rPr>
      </w:pPr>
      <w:r>
        <w:rPr>
          <w:rFonts w:hint="eastAsia" w:ascii="仿宋_GB2312" w:hAnsi="仿宋_GB2312" w:eastAsia="仿宋_GB2312" w:cs="仿宋_GB2312"/>
          <w:color w:val="auto"/>
          <w:szCs w:val="21"/>
        </w:rPr>
        <w:t>24.4</w:t>
      </w:r>
      <w:r>
        <w:rPr>
          <w:rFonts w:hint="eastAsia" w:ascii="仿宋_GB2312" w:hAnsi="仿宋_GB2312" w:eastAsia="仿宋_GB2312" w:cs="仿宋_GB2312"/>
          <w:b/>
          <w:bCs/>
          <w:color w:val="auto"/>
          <w:szCs w:val="21"/>
        </w:rPr>
        <w:t>评标委员会认为</w:t>
      </w:r>
      <w:r>
        <w:rPr>
          <w:rFonts w:hint="eastAsia" w:ascii="仿宋_GB2312" w:hAnsi="仿宋_GB2312" w:eastAsia="仿宋_GB2312" w:cs="仿宋_GB2312"/>
          <w:color w:val="auto"/>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auto"/>
          <w:szCs w:val="21"/>
        </w:rPr>
        <w:t>无效投标</w:t>
      </w:r>
      <w:r>
        <w:rPr>
          <w:rFonts w:hint="eastAsia" w:ascii="仿宋_GB2312" w:hAnsi="仿宋_GB2312" w:eastAsia="仿宋_GB2312" w:cs="仿宋_GB2312"/>
          <w:color w:val="auto"/>
          <w:szCs w:val="21"/>
        </w:rPr>
        <w:t>处理。提交证明材料的合理时间按第四章 评标方法规定执行。</w:t>
      </w:r>
    </w:p>
    <w:p w14:paraId="7EF6634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25样品及演示</w:t>
      </w:r>
    </w:p>
    <w:p w14:paraId="41DEEF1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25.1投标人须知表11.3款中要求投标人提供样品的，按照投标人须知表25.1款中样品的评审方法以及评审标准进行评审。</w:t>
      </w:r>
    </w:p>
    <w:p w14:paraId="7FCE554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297FFCF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25.3演示的评审方法以及评审标准具体内容见投标人须知表25.1款。</w:t>
      </w:r>
    </w:p>
    <w:p w14:paraId="15EB1F8C">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26.投标无效</w:t>
      </w:r>
    </w:p>
    <w:p w14:paraId="5FD67DD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26.1在比较与评价之前，根据本须知的规定，评标委员会将审查每份投标文件是否实质上响应了招标文件的要求。</w:t>
      </w:r>
    </w:p>
    <w:p w14:paraId="5CDC6C0B">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实质性要求是指招标文件中带有★号标识内容（包括本级及其下级编号中所有内容）等文字说明的要求。</w:t>
      </w:r>
    </w:p>
    <w:p w14:paraId="623E4F0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对招标文件的实质性要求进行响应是指与招标文件中带有★号标识内容的文字说明、条款、条件和规格等要求相符。</w:t>
      </w:r>
    </w:p>
    <w:p w14:paraId="0B68972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如果投标文件没有对招标文件的实质性要求进行响应，将作为</w:t>
      </w:r>
      <w:r>
        <w:rPr>
          <w:rFonts w:hint="eastAsia" w:ascii="仿宋_GB2312" w:hAnsi="仿宋_GB2312" w:eastAsia="仿宋_GB2312" w:cs="仿宋_GB2312"/>
          <w:b/>
          <w:bCs/>
          <w:color w:val="auto"/>
          <w:szCs w:val="21"/>
        </w:rPr>
        <w:t>无效投标</w:t>
      </w:r>
      <w:r>
        <w:rPr>
          <w:rFonts w:hint="eastAsia" w:ascii="仿宋_GB2312" w:hAnsi="仿宋_GB2312" w:eastAsia="仿宋_GB2312" w:cs="仿宋_GB2312"/>
          <w:color w:val="auto"/>
          <w:szCs w:val="21"/>
        </w:rPr>
        <w:t>处理，投标人不得再对投标文件进行任何修正从而使其投标成为实质上响应的投标。</w:t>
      </w:r>
    </w:p>
    <w:p w14:paraId="1B5FF4B9">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评标委员会决定投标的响应性只根据招标文件要求、投标文件内容及财政主管部门指定媒体发布的相关信息。</w:t>
      </w:r>
    </w:p>
    <w:p w14:paraId="595DC61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26.2如发现下列情况之一的，其投标将被认定为</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16039CF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（1）未按招标文件的规定提交投标保证金的；</w:t>
      </w:r>
    </w:p>
    <w:p w14:paraId="04F6A09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（2）未按照招标文件规定要求签署、盖章的；</w:t>
      </w:r>
    </w:p>
    <w:p w14:paraId="59B3C4B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（3）投标人的报价超过了招标文件中规定的预算金额或者最高限价的；</w:t>
      </w:r>
    </w:p>
    <w:p w14:paraId="52509FD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（4）不具备招标文件中规定的资格要求的；</w:t>
      </w:r>
    </w:p>
    <w:p w14:paraId="2A9814C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（5）不符合法律、法规和招标文件中规定的其他实质性要求的。</w:t>
      </w:r>
    </w:p>
    <w:p w14:paraId="3FB6925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（6）与其他投标人串通投标，或者与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串通投标；</w:t>
      </w:r>
    </w:p>
    <w:p w14:paraId="02CFE71E">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（7）评标委员会认为投标人的报价明显低于其他通过符合性审查投标人的报价，有可能影响履约的，且投标人未按照规定证明其报价合理性的；</w:t>
      </w:r>
    </w:p>
    <w:p w14:paraId="4984C60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（8）投标文件含有</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不能接受的附加条件的；</w:t>
      </w:r>
    </w:p>
    <w:p w14:paraId="1749651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（9）属于法律、法规和招标文件规定的其他投标无效情形；</w:t>
      </w:r>
    </w:p>
    <w:p w14:paraId="497B77AD">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27.比较与评价</w:t>
      </w:r>
    </w:p>
    <w:p w14:paraId="0EFDA16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27.1经符合性审查合格的投标文件，评标委员会将根据招标文件确定的评标方法和标准，对其技术部分和商务部分作进一步的比较和评价。</w:t>
      </w:r>
    </w:p>
    <w:p w14:paraId="71C4ADA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27.2评标严格按照招标文件的要求和条件进行。根据实际情况，在投标人须知表27.2款中规定采用下列一种评标方法，详细评标标准见第四章 评标方法。</w:t>
      </w:r>
    </w:p>
    <w:p w14:paraId="2A0AB2C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（1）最低评标价法，是指投标文件满足招标文件全部实质性要求，且投标报价最低的投标人为中标候选人的评标方法。</w:t>
      </w:r>
    </w:p>
    <w:p w14:paraId="4A5BBBB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（2）综合评分法，是指投标文件满足招标文件全部实质性要求，且按照评审因素的量化指标评审得分最高的投标人为中标候选人的评标方法。</w:t>
      </w:r>
    </w:p>
    <w:p w14:paraId="212B8E9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27.3根据《财政部 工业和信息化部关于印发&lt;政府采购促进中小企业发展管理办法</w:t>
      </w:r>
      <w:r>
        <w:rPr>
          <w:rFonts w:ascii="仿宋_GB2312" w:hAnsi="仿宋_GB2312" w:eastAsia="仿宋_GB2312" w:cs="仿宋_GB2312"/>
          <w:szCs w:val="21"/>
          <w:highlight w:val="none"/>
        </w:rPr>
        <w:t>&gt;</w:t>
      </w:r>
      <w:r>
        <w:rPr>
          <w:rFonts w:hint="eastAsia" w:ascii="仿宋_GB2312" w:hAnsi="仿宋_GB2312" w:eastAsia="仿宋_GB2312" w:cs="仿宋_GB2312"/>
          <w:szCs w:val="21"/>
          <w:highlight w:val="none"/>
        </w:rPr>
        <w:t>的通知》（财库[20</w:t>
      </w:r>
      <w:r>
        <w:rPr>
          <w:rFonts w:ascii="仿宋_GB2312" w:hAnsi="仿宋_GB2312" w:eastAsia="仿宋_GB2312" w:cs="仿宋_GB2312"/>
          <w:szCs w:val="21"/>
          <w:highlight w:val="none"/>
        </w:rPr>
        <w:t>20</w:t>
      </w:r>
      <w:r>
        <w:rPr>
          <w:rFonts w:hint="eastAsia" w:ascii="仿宋_GB2312" w:hAnsi="仿宋_GB2312" w:eastAsia="仿宋_GB2312" w:cs="仿宋_GB2312"/>
          <w:szCs w:val="21"/>
          <w:highlight w:val="none"/>
        </w:rPr>
        <w:t>]</w:t>
      </w:r>
      <w:r>
        <w:rPr>
          <w:rFonts w:ascii="仿宋_GB2312" w:hAnsi="仿宋_GB2312" w:eastAsia="仿宋_GB2312" w:cs="仿宋_GB2312"/>
          <w:szCs w:val="21"/>
          <w:highlight w:val="none"/>
        </w:rPr>
        <w:t>46</w:t>
      </w:r>
      <w:r>
        <w:rPr>
          <w:rFonts w:hint="eastAsia" w:ascii="仿宋_GB2312" w:hAnsi="仿宋_GB2312" w:eastAsia="仿宋_GB2312" w:cs="仿宋_GB2312"/>
          <w:szCs w:val="21"/>
          <w:highlight w:val="none"/>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其投标报价扣除10-20%后参与评审。具体详见第四章 评标方法。</w:t>
      </w:r>
    </w:p>
    <w:p w14:paraId="36BA13D5">
      <w:pPr>
        <w:adjustRightInd w:val="0"/>
        <w:snapToGrid w:val="0"/>
        <w:spacing w:line="360" w:lineRule="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2E911B7E">
      <w:pPr>
        <w:adjustRightInd w:val="0"/>
        <w:snapToGrid w:val="0"/>
        <w:spacing w:line="360" w:lineRule="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27.5根据财政部、辽宁省财政厅相关规定，对于列入《</w:t>
      </w:r>
      <w:r>
        <w:rPr>
          <w:rFonts w:hint="eastAsia" w:ascii="仿宋_GB2312" w:hAnsi="仿宋_GB2312" w:eastAsia="仿宋_GB2312" w:cs="仿宋_GB2312"/>
          <w:color w:val="auto"/>
          <w:szCs w:val="21"/>
          <w:lang w:eastAsia="zh-CN"/>
        </w:rPr>
        <w:t>创新产品和服务目录</w:t>
      </w:r>
      <w:r>
        <w:rPr>
          <w:rFonts w:hint="eastAsia" w:ascii="仿宋_GB2312" w:hAnsi="仿宋_GB2312" w:eastAsia="仿宋_GB2312" w:cs="仿宋_GB2312"/>
          <w:color w:val="auto"/>
          <w:szCs w:val="21"/>
        </w:rPr>
        <w:t>》内的产品、服务实施政府优先采购。具体优先采购办法详见第四章 评标方法。</w:t>
      </w:r>
    </w:p>
    <w:p w14:paraId="38060C3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28.废标</w:t>
      </w:r>
    </w:p>
    <w:p w14:paraId="1D5B2A6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出现下列情形之一，将导致项目</w:t>
      </w:r>
      <w:r>
        <w:rPr>
          <w:rFonts w:hint="eastAsia" w:ascii="仿宋_GB2312" w:hAnsi="仿宋_GB2312" w:eastAsia="仿宋_GB2312" w:cs="仿宋_GB2312"/>
          <w:b/>
          <w:bCs/>
          <w:color w:val="auto"/>
          <w:szCs w:val="21"/>
        </w:rPr>
        <w:t>废标</w:t>
      </w:r>
      <w:r>
        <w:rPr>
          <w:rFonts w:hint="eastAsia" w:ascii="仿宋_GB2312" w:hAnsi="仿宋_GB2312" w:eastAsia="仿宋_GB2312" w:cs="仿宋_GB2312"/>
          <w:color w:val="auto"/>
          <w:szCs w:val="21"/>
        </w:rPr>
        <w:t>：</w:t>
      </w:r>
    </w:p>
    <w:p w14:paraId="3FD218E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（1）符合专业条件的投标人或者对招标文件做实质性响应的投标人不足3家；</w:t>
      </w:r>
    </w:p>
    <w:p w14:paraId="2EBAE39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（2）出现影响采购公正的违法、违规行为的；</w:t>
      </w:r>
    </w:p>
    <w:p w14:paraId="72137B7C">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（3）投标人的报价均超过了采购预算或最高限价，</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不能支付的；</w:t>
      </w:r>
    </w:p>
    <w:p w14:paraId="065278B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（4）因重大变故，采购任务取消的。</w:t>
      </w:r>
    </w:p>
    <w:p w14:paraId="089692A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29.中标候选人的推荐原则及标准</w:t>
      </w:r>
    </w:p>
    <w:p w14:paraId="3B152B6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29.1除第32条规定外，评标委员会将根据评标标准，对实质上响应招标文件的投标人按下列方法进行排序，推荐中标候选人：</w:t>
      </w:r>
    </w:p>
    <w:p w14:paraId="4F3AF08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4CBB5276">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（2）采用综合评分法的，评标结果按评审后得分由高到低顺序排序。得分相同的，按第四章评标办法规定执行。</w:t>
      </w:r>
    </w:p>
    <w:p w14:paraId="09A3977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29.2评标委员会将根据评标标准，按投标人须知表29.2款中规定的数量推荐中标候选人。</w:t>
      </w:r>
    </w:p>
    <w:p w14:paraId="27E7557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29.3因推荐中标候选人名单产生其他问题，由评标委员会集体研究处理。</w:t>
      </w:r>
    </w:p>
    <w:p w14:paraId="6DF2F99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30.保密原则</w:t>
      </w:r>
    </w:p>
    <w:p w14:paraId="65E8549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30.1评标将在严格保密的情况下进行。</w:t>
      </w:r>
    </w:p>
    <w:p w14:paraId="7B0031C7">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30.2有关人员应当遵守评标工作纪律，不得泄露评审文件、评标情况和评标过程中获悉的国家秘密、商业秘密。</w:t>
      </w:r>
    </w:p>
    <w:p w14:paraId="438E76C9">
      <w:pPr>
        <w:pStyle w:val="3"/>
        <w:rPr>
          <w:rFonts w:ascii="仿宋_GB2312" w:hAnsi="仿宋_GB2312" w:eastAsia="仿宋_GB2312" w:cs="仿宋_GB2312"/>
          <w:color w:val="auto"/>
          <w:sz w:val="32"/>
          <w:szCs w:val="28"/>
        </w:rPr>
      </w:pPr>
      <w:bookmarkStart w:id="67" w:name="_Toc4544_WPSOffice_Level2"/>
      <w:r>
        <w:rPr>
          <w:rFonts w:hint="eastAsia" w:ascii="仿宋_GB2312" w:hAnsi="仿宋_GB2312" w:eastAsia="仿宋_GB2312" w:cs="仿宋_GB2312"/>
          <w:color w:val="auto"/>
          <w:sz w:val="32"/>
          <w:szCs w:val="28"/>
        </w:rPr>
        <w:t>七 确定中标</w:t>
      </w:r>
      <w:bookmarkEnd w:id="67"/>
    </w:p>
    <w:p w14:paraId="7C510F54">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31.确定中标人</w:t>
      </w:r>
    </w:p>
    <w:p w14:paraId="1FC91832">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由</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委托评标委员会按照投标人须知表31中规定的方式确定中标人。</w:t>
      </w:r>
    </w:p>
    <w:p w14:paraId="095896F8">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在收到评标报告5个工作日内未按评标报告推荐的中标候选人顺序确定中标人，又不能说明合法理由的，视同按评标报告推荐的顺序确定排名第一的中标候选人为中标人。</w:t>
      </w:r>
    </w:p>
    <w:p w14:paraId="64E9DCF4">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★32.采购任务取消</w:t>
      </w:r>
    </w:p>
    <w:p w14:paraId="70A5F27B">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因重大变故采购任务取消时，</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有权拒绝任何供应商中标，且对受影响的投标人不承担任何责任。</w:t>
      </w:r>
    </w:p>
    <w:p w14:paraId="116013FC">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33.中标通知书</w:t>
      </w:r>
    </w:p>
    <w:p w14:paraId="2C4991F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33.1</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或者采购代理机构应当自中标人确定之日起2个工作日内，在</w:t>
      </w:r>
      <w:r>
        <w:rPr>
          <w:rFonts w:hint="eastAsia" w:ascii="仿宋_GB2312" w:hAnsi="仿宋_GB2312" w:eastAsia="仿宋_GB2312" w:cs="仿宋_GB2312"/>
          <w:color w:val="auto"/>
          <w:szCs w:val="21"/>
          <w:lang w:val="en-US" w:eastAsia="zh-CN"/>
        </w:rPr>
        <w:t>中国政府采购网</w:t>
      </w:r>
      <w:r>
        <w:rPr>
          <w:rFonts w:hint="eastAsia" w:ascii="仿宋_GB2312" w:hAnsi="仿宋_GB2312" w:eastAsia="仿宋_GB2312" w:cs="仿宋_GB2312"/>
          <w:color w:val="auto"/>
          <w:szCs w:val="21"/>
        </w:rPr>
        <w:t>上公告中标结果。同时向中标人发出中标通知书。</w:t>
      </w:r>
    </w:p>
    <w:p w14:paraId="0590616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33.2中标通知书是合同的组成部分。</w:t>
      </w:r>
    </w:p>
    <w:p w14:paraId="1DF6A566">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34.签订合同</w:t>
      </w:r>
    </w:p>
    <w:p w14:paraId="045686BF">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34.1中标人应当自发出中标通知书之日起 30 日内，与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签订书面合同。</w:t>
      </w:r>
    </w:p>
    <w:p w14:paraId="3803B255">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34.2招标文件、中标人的投标文件及其澄清文件等，均为签订合同的依据。所签订的合同不得对招标文件确定的事项和中标人投标文件作实质性修改。</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不得向中标人提出任何不合理的要求，作为签订合同的条件。</w:t>
      </w:r>
    </w:p>
    <w:p w14:paraId="18E0BBF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34.3 中标人拒绝与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签订合同的，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可以按照评标报告推荐的中标候选人名单排序，确定下一中标候选人为中标人，也可以重新开展政府采购活动。</w:t>
      </w:r>
    </w:p>
    <w:p w14:paraId="3F18224B">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35.履约保证金</w:t>
      </w:r>
    </w:p>
    <w:p w14:paraId="1741EB63">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35.1中标人应按照投标人须知表35.1款规定向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缴纳履约保证金。</w:t>
      </w:r>
    </w:p>
    <w:p w14:paraId="3910D169">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35.2如果中标人没有按照上述履约保证金的规定执行，将视为拒绝签订合同并放弃中标资格，中标人的投标保证金将不予退还。在此情况下，</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可确定下一中标候选人为中标人，也可以重新开展采购活动。</w:t>
      </w:r>
    </w:p>
    <w:p w14:paraId="00DC8C27">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bCs/>
          <w:color w:val="auto"/>
          <w:szCs w:val="21"/>
        </w:rPr>
        <w:t>36.采购代理服务费</w:t>
      </w:r>
    </w:p>
    <w:p w14:paraId="5F20112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中标人须按照投标须知表36款规定，向采购代理机构支付采购代理服务费。</w:t>
      </w:r>
    </w:p>
    <w:p w14:paraId="710E93D3">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37.廉洁自律规定</w:t>
      </w:r>
    </w:p>
    <w:p w14:paraId="2D014F90">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37.1采购代理机构工作人员不得以不正当手段获取政府采购代理业务，不得与</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、投标人恶意串通操纵政府采购活动。</w:t>
      </w:r>
    </w:p>
    <w:p w14:paraId="2EC98BF2">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37.2采购代理机构工作人员不得接受</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或者投标人组织的宴请、旅游、娱乐，不得收受礼品、现金、有价证券等，不得向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或者投标人报销应当由个人承担的费用。</w:t>
      </w:r>
    </w:p>
    <w:p w14:paraId="1C5E158E">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38.人员回避</w:t>
      </w:r>
    </w:p>
    <w:p w14:paraId="65D5CA2A">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投标人认为</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及其相关人员有法律法规所列与其他投标人有利害关系的，可以向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或采购代理机构书面提出回避申请，并说明理由。</w:t>
      </w:r>
    </w:p>
    <w:p w14:paraId="6973AF25">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39.质疑与接收</w:t>
      </w:r>
    </w:p>
    <w:p w14:paraId="34D26D1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39.1投标人认为招标文件、招标过程和中标结果使自己的权益受到损害的，可以根据《中华人民共和国政府采购法》、《中华人民共和国政府采购法实施条例》和《政府采购质疑和投诉办法》的有关规定，依法向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或其委托的采购代理机构提出质疑。</w:t>
      </w:r>
    </w:p>
    <w:p w14:paraId="7B6609F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CF46112">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超出法定质疑期的、重复提出的、分次提出的或内容、形式不符合《政府采购质疑和投诉办法》的，质疑投标人将依法承担不利后果。</w:t>
      </w:r>
    </w:p>
    <w:p w14:paraId="1D32263A">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39.3采购代理机构质疑函接收部门、联系电话和通讯地址, 见投标人须知表39.3款。</w:t>
      </w:r>
    </w:p>
    <w:p w14:paraId="273DA9E8">
      <w:pPr>
        <w:adjustRightInd w:val="0"/>
        <w:snapToGrid w:val="0"/>
        <w:spacing w:line="360" w:lineRule="auto"/>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40.履约验收</w:t>
      </w:r>
    </w:p>
    <w:p w14:paraId="37A8B48B">
      <w:pPr>
        <w:adjustRightInd w:val="0"/>
        <w:snapToGrid w:val="0"/>
        <w:spacing w:line="360" w:lineRule="auto"/>
        <w:ind w:firstLine="420"/>
        <w:rPr>
          <w:rFonts w:ascii="仿宋_GB2312" w:hAnsi="仿宋_GB2312" w:eastAsia="仿宋_GB2312" w:cs="仿宋_GB2312"/>
          <w:b/>
          <w:color w:val="auto"/>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highlight w:val="none"/>
          <w:lang w:val="en-US" w:eastAsia="zh-CN"/>
        </w:rPr>
        <w:t>将严格按照政府采购相关法律法规以及行业管理规定和《辽宁省消防救援总队自然灾害应急能力提升工程装备建设项目验收实施方案》的要求进行验收。</w:t>
      </w:r>
    </w:p>
    <w:p w14:paraId="5DCA8FB6">
      <w:pPr>
        <w:pStyle w:val="2"/>
        <w:adjustRightInd w:val="0"/>
        <w:snapToGrid w:val="0"/>
        <w:spacing w:before="0" w:after="0"/>
        <w:rPr>
          <w:rFonts w:ascii="仿宋_GB2312" w:hAnsi="仿宋_GB2312" w:eastAsia="仿宋_GB2312" w:cs="仿宋_GB2312"/>
          <w:color w:val="auto"/>
        </w:rPr>
      </w:pPr>
      <w:bookmarkStart w:id="68" w:name="_Toc6403"/>
      <w:bookmarkStart w:id="69" w:name="_Toc17725_WPSOffice_Level1"/>
      <w:r>
        <w:rPr>
          <w:rFonts w:hint="eastAsia" w:ascii="仿宋_GB2312" w:hAnsi="仿宋_GB2312" w:eastAsia="仿宋_GB2312" w:cs="仿宋_GB2312"/>
          <w:color w:val="auto"/>
        </w:rPr>
        <w:t>第二章 投标文件内容及格式</w:t>
      </w:r>
      <w:bookmarkEnd w:id="68"/>
      <w:bookmarkEnd w:id="69"/>
    </w:p>
    <w:p w14:paraId="3B35333D">
      <w:pPr>
        <w:spacing w:before="159" w:beforeLines="50"/>
        <w:rPr>
          <w:rFonts w:ascii="仿宋_GB2312" w:hAnsi="仿宋_GB2312" w:eastAsia="仿宋_GB2312" w:cs="仿宋_GB2312"/>
          <w:b/>
          <w:color w:val="auto"/>
          <w:sz w:val="24"/>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_GB2312" w:hAnsi="仿宋_GB2312" w:eastAsia="仿宋_GB2312" w:cs="仿宋_GB2312"/>
          <w:b/>
          <w:color w:val="auto"/>
          <w:sz w:val="24"/>
        </w:rPr>
        <w:t>一、投标文件、电子文档的外封面、封口、封皮及目录</w:t>
      </w:r>
      <w:bookmarkEnd w:id="72"/>
      <w:bookmarkEnd w:id="73"/>
    </w:p>
    <w:tbl>
      <w:tblPr>
        <w:tblStyle w:val="18"/>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17A9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54C567A9">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76" w:type="dxa"/>
            <w:noWrap w:val="0"/>
            <w:vAlign w:val="center"/>
          </w:tcPr>
          <w:p w14:paraId="773AE893">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内容</w:t>
            </w:r>
          </w:p>
        </w:tc>
        <w:tc>
          <w:tcPr>
            <w:tcW w:w="742" w:type="dxa"/>
            <w:noWrap w:val="0"/>
            <w:vAlign w:val="center"/>
          </w:tcPr>
          <w:p w14:paraId="1147B349">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0389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1874537B">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6976" w:type="dxa"/>
            <w:noWrap w:val="0"/>
            <w:vAlign w:val="center"/>
          </w:tcPr>
          <w:p w14:paraId="58442392">
            <w:pPr>
              <w:widowControl/>
              <w:adjustRightInd w:val="0"/>
              <w:snapToGrid w:val="0"/>
              <w:jc w:val="left"/>
              <w:rPr>
                <w:rFonts w:ascii="仿宋_GB2312" w:hAnsi="仿宋_GB2312" w:eastAsia="仿宋_GB2312" w:cs="仿宋_GB2312"/>
                <w:b/>
                <w:color w:val="auto"/>
                <w:kern w:val="0"/>
                <w:szCs w:val="21"/>
              </w:rPr>
            </w:pPr>
            <w:r>
              <w:rPr>
                <w:rFonts w:hint="eastAsia" w:ascii="仿宋_GB2312" w:hAnsi="仿宋_GB2312" w:eastAsia="仿宋_GB2312" w:cs="仿宋_GB2312"/>
                <w:color w:val="auto"/>
                <w:kern w:val="0"/>
                <w:szCs w:val="21"/>
              </w:rPr>
              <w:t>投标文件、电子文档的外封面及封口</w:t>
            </w:r>
          </w:p>
        </w:tc>
        <w:tc>
          <w:tcPr>
            <w:tcW w:w="742" w:type="dxa"/>
            <w:noWrap w:val="0"/>
            <w:vAlign w:val="center"/>
          </w:tcPr>
          <w:p w14:paraId="02490EF7">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r>
      <w:tr w14:paraId="5064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0060A1C1">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c>
          <w:tcPr>
            <w:tcW w:w="6976" w:type="dxa"/>
            <w:noWrap w:val="0"/>
            <w:vAlign w:val="center"/>
          </w:tcPr>
          <w:p w14:paraId="19FB890A">
            <w:pPr>
              <w:widowControl/>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投标文件的封皮</w:t>
            </w:r>
          </w:p>
        </w:tc>
        <w:tc>
          <w:tcPr>
            <w:tcW w:w="742" w:type="dxa"/>
            <w:noWrap w:val="0"/>
            <w:vAlign w:val="center"/>
          </w:tcPr>
          <w:p w14:paraId="63C01DB3">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w:t>
            </w:r>
          </w:p>
        </w:tc>
      </w:tr>
      <w:tr w14:paraId="7BD2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26CBC28B">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c>
          <w:tcPr>
            <w:tcW w:w="6976" w:type="dxa"/>
            <w:noWrap w:val="0"/>
            <w:vAlign w:val="center"/>
          </w:tcPr>
          <w:p w14:paraId="1D81EBC7">
            <w:pPr>
              <w:widowControl/>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投标文件的目录</w:t>
            </w:r>
          </w:p>
        </w:tc>
        <w:tc>
          <w:tcPr>
            <w:tcW w:w="742" w:type="dxa"/>
            <w:noWrap w:val="0"/>
            <w:vAlign w:val="center"/>
          </w:tcPr>
          <w:p w14:paraId="00279C72">
            <w:pPr>
              <w:widowControl/>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w:t>
            </w:r>
          </w:p>
        </w:tc>
      </w:tr>
    </w:tbl>
    <w:p w14:paraId="5FC3F255">
      <w:pPr>
        <w:snapToGrid w:val="0"/>
        <w:spacing w:before="159" w:beforeLines="50"/>
        <w:rPr>
          <w:rFonts w:ascii="仿宋_GB2312" w:hAnsi="仿宋_GB2312" w:eastAsia="仿宋_GB2312" w:cs="仿宋_GB2312"/>
          <w:b/>
          <w:color w:val="auto"/>
          <w:sz w:val="24"/>
        </w:rPr>
      </w:pPr>
      <w:bookmarkStart w:id="74" w:name="_Toc1266_WPSOffice_Level2"/>
      <w:bookmarkStart w:id="75" w:name="_Toc31052_WPSOffice_Level2"/>
      <w:r>
        <w:rPr>
          <w:rFonts w:hint="eastAsia" w:ascii="仿宋_GB2312" w:hAnsi="仿宋_GB2312" w:eastAsia="仿宋_GB2312" w:cs="仿宋_GB2312"/>
          <w:b/>
          <w:color w:val="auto"/>
          <w:sz w:val="24"/>
        </w:rPr>
        <w:t>二、资格证明材料</w:t>
      </w:r>
      <w:bookmarkEnd w:id="74"/>
      <w:bookmarkEnd w:id="75"/>
      <w:r>
        <w:rPr>
          <w:rFonts w:hint="eastAsia" w:ascii="仿宋_GB2312" w:hAnsi="仿宋_GB2312" w:eastAsia="仿宋_GB2312" w:cs="仿宋_GB2312"/>
          <w:b/>
          <w:color w:val="auto"/>
          <w:sz w:val="24"/>
        </w:rPr>
        <w:t>（有一项不符合要求，不能进入下一阶段评审）</w:t>
      </w:r>
    </w:p>
    <w:tbl>
      <w:tblPr>
        <w:tblStyle w:val="18"/>
        <w:tblW w:w="8418" w:type="dxa"/>
        <w:jc w:val="center"/>
        <w:tblLayout w:type="fixed"/>
        <w:tblCellMar>
          <w:top w:w="0" w:type="dxa"/>
          <w:left w:w="0" w:type="dxa"/>
          <w:bottom w:w="0" w:type="dxa"/>
          <w:right w:w="0" w:type="dxa"/>
        </w:tblCellMar>
      </w:tblPr>
      <w:tblGrid>
        <w:gridCol w:w="671"/>
        <w:gridCol w:w="6992"/>
        <w:gridCol w:w="755"/>
      </w:tblGrid>
      <w:tr w14:paraId="783E96D8">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3D9817">
            <w:pPr>
              <w:adjustRightInd w:val="0"/>
              <w:snapToGrid w:val="0"/>
              <w:jc w:val="center"/>
              <w:rPr>
                <w:rFonts w:ascii="仿宋_GB2312" w:hAnsi="仿宋_GB2312" w:eastAsia="仿宋_GB2312" w:cs="仿宋_GB2312"/>
                <w:color w:val="auto"/>
                <w:szCs w:val="21"/>
              </w:rPr>
            </w:pPr>
            <w:bookmarkStart w:id="76" w:name="资格性证明材料：Document"/>
            <w:bookmarkStart w:id="77" w:name="sys_资格性证明材料：Document"/>
            <w:r>
              <w:rPr>
                <w:rFonts w:hint="eastAsia" w:ascii="仿宋_GB2312" w:hAnsi="仿宋_GB2312" w:eastAsia="仿宋_GB2312" w:cs="仿宋_GB2312"/>
                <w:color w:val="auto"/>
                <w:szCs w:val="21"/>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3FD4E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293FF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格式</w:t>
            </w:r>
          </w:p>
        </w:tc>
      </w:tr>
      <w:tr w14:paraId="26E49D53">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DABB66">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17D51A">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886310">
            <w:pPr>
              <w:adjustRightInd w:val="0"/>
              <w:snapToGrid w:val="0"/>
              <w:jc w:val="center"/>
              <w:rPr>
                <w:rFonts w:ascii="仿宋_GB2312" w:hAnsi="仿宋_GB2312" w:eastAsia="仿宋_GB2312" w:cs="仿宋_GB2312"/>
                <w:color w:val="auto"/>
                <w:szCs w:val="21"/>
              </w:rPr>
            </w:pPr>
          </w:p>
        </w:tc>
      </w:tr>
      <w:tr w14:paraId="6BEA614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75828F">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51110F">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D9945D">
            <w:pPr>
              <w:adjustRightInd w:val="0"/>
              <w:snapToGrid w:val="0"/>
              <w:jc w:val="center"/>
              <w:rPr>
                <w:rFonts w:ascii="仿宋_GB2312" w:hAnsi="仿宋_GB2312" w:eastAsia="仿宋_GB2312" w:cs="仿宋_GB2312"/>
                <w:color w:val="auto"/>
                <w:szCs w:val="21"/>
              </w:rPr>
            </w:pPr>
          </w:p>
        </w:tc>
      </w:tr>
      <w:tr w14:paraId="050EDF63">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AB938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35B56E">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61C277">
            <w:pPr>
              <w:adjustRightInd w:val="0"/>
              <w:snapToGrid w:val="0"/>
              <w:jc w:val="center"/>
              <w:rPr>
                <w:rFonts w:ascii="仿宋_GB2312" w:hAnsi="仿宋_GB2312" w:eastAsia="仿宋_GB2312" w:cs="仿宋_GB2312"/>
                <w:color w:val="auto"/>
                <w:szCs w:val="21"/>
              </w:rPr>
            </w:pPr>
          </w:p>
        </w:tc>
      </w:tr>
      <w:tr w14:paraId="039298A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DC954F">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647CE9">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1769D8">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w:t>
            </w:r>
          </w:p>
        </w:tc>
      </w:tr>
      <w:tr w14:paraId="7BC6E08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FCF4AA">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6D8A0E">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20497D">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w:t>
            </w:r>
          </w:p>
        </w:tc>
      </w:tr>
      <w:tr w14:paraId="59D68046">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348E08">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006B9A">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B3881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w:t>
            </w:r>
          </w:p>
        </w:tc>
      </w:tr>
      <w:tr w14:paraId="488FD0BA">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5BC109">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A6FC35">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开标时间前六个月内任一个月的依法缴纳税收的缴款凭据复印件</w:t>
            </w:r>
          </w:p>
          <w:p w14:paraId="42F07459">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8CFBA9">
            <w:pPr>
              <w:adjustRightInd w:val="0"/>
              <w:snapToGrid w:val="0"/>
              <w:jc w:val="center"/>
              <w:rPr>
                <w:rFonts w:ascii="仿宋_GB2312" w:hAnsi="仿宋_GB2312" w:eastAsia="仿宋_GB2312" w:cs="仿宋_GB2312"/>
                <w:color w:val="auto"/>
                <w:szCs w:val="21"/>
              </w:rPr>
            </w:pPr>
          </w:p>
        </w:tc>
      </w:tr>
      <w:tr w14:paraId="6F651F1E">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E9E2CF">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89CC51">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0E892C">
            <w:pPr>
              <w:adjustRightInd w:val="0"/>
              <w:snapToGrid w:val="0"/>
              <w:jc w:val="center"/>
              <w:rPr>
                <w:rFonts w:ascii="仿宋_GB2312" w:hAnsi="仿宋_GB2312" w:eastAsia="仿宋_GB2312" w:cs="仿宋_GB2312"/>
                <w:color w:val="auto"/>
                <w:szCs w:val="21"/>
              </w:rPr>
            </w:pPr>
          </w:p>
        </w:tc>
      </w:tr>
      <w:tr w14:paraId="180613C2">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8668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D26F77">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D2B6A1">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w:t>
            </w:r>
          </w:p>
        </w:tc>
      </w:tr>
      <w:tr w14:paraId="251E1DD7">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E27A2B">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A391A4">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1A6AAC">
            <w:pPr>
              <w:adjustRightInd w:val="0"/>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w:t>
            </w:r>
          </w:p>
        </w:tc>
      </w:tr>
      <w:tr w14:paraId="4B27AB3E">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27BD05">
            <w:pPr>
              <w:adjustRightInd w:val="0"/>
              <w:snapToGrid w:val="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3A8026">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FE586E">
            <w:pPr>
              <w:adjustRightInd w:val="0"/>
              <w:snapToGrid w:val="0"/>
              <w:jc w:val="center"/>
              <w:rPr>
                <w:rFonts w:ascii="仿宋_GB2312" w:hAnsi="仿宋_GB2312" w:eastAsia="仿宋_GB2312" w:cs="仿宋_GB2312"/>
                <w:color w:val="auto"/>
                <w:szCs w:val="21"/>
              </w:rPr>
            </w:pPr>
          </w:p>
        </w:tc>
      </w:tr>
      <w:tr w14:paraId="0AB5F11E">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81C77C">
            <w:pPr>
              <w:adjustRightInd w:val="0"/>
              <w:snapToGrid w:val="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DBB393">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信用记录（</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BCE7B9">
            <w:pPr>
              <w:adjustRightInd w:val="0"/>
              <w:snapToGrid w:val="0"/>
              <w:jc w:val="center"/>
              <w:rPr>
                <w:rFonts w:ascii="仿宋_GB2312" w:hAnsi="仿宋_GB2312" w:eastAsia="仿宋_GB2312" w:cs="仿宋_GB2312"/>
                <w:color w:val="auto"/>
                <w:szCs w:val="21"/>
              </w:rPr>
            </w:pPr>
          </w:p>
        </w:tc>
      </w:tr>
      <w:tr w14:paraId="343FCA2A">
        <w:tblPrEx>
          <w:tblCellMar>
            <w:top w:w="0" w:type="dxa"/>
            <w:left w:w="0" w:type="dxa"/>
            <w:bottom w:w="0" w:type="dxa"/>
            <w:right w:w="0" w:type="dxa"/>
          </w:tblCellMar>
        </w:tblPrEx>
        <w:trPr>
          <w:trHeight w:val="411"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B7D0AF">
            <w:pPr>
              <w:adjustRightInd w:val="0"/>
              <w:snapToGrid w:val="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52CB9B">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落实政府采购政策的证明材料（专门面向中小企业采购）注：本项目属于专门面向中小企业采购的项目,供应商应为中小微企业或监狱企业或残疾人福利性单位，否则响应无效。供应商须满足下述①-③任一条款的规定，并按</w:t>
            </w:r>
            <w:r>
              <w:rPr>
                <w:rFonts w:hint="eastAsia" w:ascii="仿宋_GB2312" w:hAnsi="仿宋_GB2312" w:eastAsia="仿宋_GB2312" w:cs="仿宋_GB2312"/>
                <w:color w:val="auto"/>
                <w:szCs w:val="21"/>
                <w:lang w:val="en-US" w:eastAsia="zh-CN"/>
              </w:rPr>
              <w:t>招标</w:t>
            </w:r>
            <w:r>
              <w:rPr>
                <w:rFonts w:hint="eastAsia" w:ascii="仿宋_GB2312" w:hAnsi="仿宋_GB2312" w:eastAsia="仿宋_GB2312" w:cs="仿宋_GB2312"/>
                <w:color w:val="auto"/>
                <w:szCs w:val="21"/>
              </w:rPr>
              <w:t>文件规定格式提供相应材料：①中小企业声明函；②残疾人福利性单位声明函；③监狱企业证明文件。</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79894B">
            <w:pPr>
              <w:adjustRightInd w:val="0"/>
              <w:snapToGrid w:val="0"/>
              <w:jc w:val="center"/>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15/16</w:t>
            </w:r>
          </w:p>
        </w:tc>
      </w:tr>
    </w:tbl>
    <w:p w14:paraId="520A55CA">
      <w:pPr>
        <w:snapToGrid w:val="0"/>
        <w:spacing w:before="159" w:beforeLines="50"/>
        <w:rPr>
          <w:rFonts w:ascii="仿宋_GB2312" w:hAnsi="仿宋_GB2312" w:eastAsia="仿宋_GB2312" w:cs="仿宋_GB2312"/>
          <w:b/>
          <w:color w:val="auto"/>
          <w:sz w:val="24"/>
        </w:rPr>
      </w:pPr>
      <w:bookmarkStart w:id="78" w:name="_Toc25206_WPSOffice_Level2"/>
      <w:bookmarkStart w:id="79" w:name="_Toc22359_WPSOffice_Level2"/>
      <w:r>
        <w:rPr>
          <w:rFonts w:hint="eastAsia" w:ascii="仿宋_GB2312" w:hAnsi="仿宋_GB2312" w:eastAsia="仿宋_GB2312" w:cs="仿宋_GB2312"/>
          <w:b/>
          <w:color w:val="auto"/>
          <w:sz w:val="24"/>
        </w:rPr>
        <w:t>三、符合性证明材料</w:t>
      </w:r>
      <w:bookmarkEnd w:id="78"/>
      <w:bookmarkEnd w:id="79"/>
      <w:r>
        <w:rPr>
          <w:rFonts w:hint="eastAsia" w:ascii="仿宋_GB2312" w:hAnsi="仿宋_GB2312" w:eastAsia="仿宋_GB2312" w:cs="仿宋_GB2312"/>
          <w:b/>
          <w:color w:val="auto"/>
          <w:sz w:val="24"/>
        </w:rPr>
        <w:t>（有一项不符合要求，不能进入下一阶段评审）</w:t>
      </w:r>
    </w:p>
    <w:bookmarkEnd w:id="76"/>
    <w:bookmarkEnd w:id="77"/>
    <w:tbl>
      <w:tblPr>
        <w:tblStyle w:val="1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07F5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14:paraId="416B65BA">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86" w:type="dxa"/>
            <w:noWrap w:val="0"/>
            <w:vAlign w:val="center"/>
          </w:tcPr>
          <w:p w14:paraId="3853AE01">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符合性证明材料</w:t>
            </w:r>
          </w:p>
        </w:tc>
        <w:tc>
          <w:tcPr>
            <w:tcW w:w="756" w:type="dxa"/>
            <w:noWrap w:val="0"/>
            <w:vAlign w:val="center"/>
          </w:tcPr>
          <w:p w14:paraId="1F9495A3">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28D6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C699C30">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6986" w:type="dxa"/>
            <w:noWrap w:val="0"/>
            <w:vAlign w:val="center"/>
          </w:tcPr>
          <w:p w14:paraId="70248FB7">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投标函</w:t>
            </w:r>
          </w:p>
        </w:tc>
        <w:tc>
          <w:tcPr>
            <w:tcW w:w="756" w:type="dxa"/>
            <w:noWrap w:val="0"/>
            <w:vAlign w:val="center"/>
          </w:tcPr>
          <w:p w14:paraId="40C29BA6">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9</w:t>
            </w:r>
          </w:p>
        </w:tc>
      </w:tr>
      <w:tr w14:paraId="7677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04356DA8">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2</w:t>
            </w:r>
          </w:p>
        </w:tc>
        <w:tc>
          <w:tcPr>
            <w:tcW w:w="6986" w:type="dxa"/>
            <w:noWrap w:val="0"/>
            <w:vAlign w:val="center"/>
          </w:tcPr>
          <w:p w14:paraId="0FFBE95B">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开标一览表</w:t>
            </w:r>
          </w:p>
        </w:tc>
        <w:tc>
          <w:tcPr>
            <w:tcW w:w="756" w:type="dxa"/>
            <w:noWrap w:val="0"/>
            <w:vAlign w:val="center"/>
          </w:tcPr>
          <w:p w14:paraId="0893023F">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1</w:t>
            </w:r>
            <w:r>
              <w:rPr>
                <w:rFonts w:hint="eastAsia" w:ascii="仿宋_GB2312" w:hAnsi="仿宋_GB2312" w:eastAsia="仿宋_GB2312" w:cs="仿宋_GB2312"/>
                <w:color w:val="auto"/>
                <w:kern w:val="0"/>
                <w:szCs w:val="21"/>
                <w:lang w:val="en-US" w:eastAsia="zh-CN"/>
              </w:rPr>
              <w:t>0</w:t>
            </w:r>
          </w:p>
        </w:tc>
      </w:tr>
      <w:tr w14:paraId="6683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EA7A565">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3</w:t>
            </w:r>
          </w:p>
        </w:tc>
        <w:tc>
          <w:tcPr>
            <w:tcW w:w="6986" w:type="dxa"/>
            <w:noWrap w:val="0"/>
            <w:vAlign w:val="center"/>
          </w:tcPr>
          <w:p w14:paraId="5A3D4730">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分项报价表</w:t>
            </w:r>
          </w:p>
        </w:tc>
        <w:tc>
          <w:tcPr>
            <w:tcW w:w="756" w:type="dxa"/>
            <w:noWrap w:val="0"/>
            <w:vAlign w:val="center"/>
          </w:tcPr>
          <w:p w14:paraId="1C515DE5">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11</w:t>
            </w:r>
          </w:p>
        </w:tc>
      </w:tr>
      <w:tr w14:paraId="6F91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7720833A">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4</w:t>
            </w:r>
          </w:p>
        </w:tc>
        <w:tc>
          <w:tcPr>
            <w:tcW w:w="6986" w:type="dxa"/>
            <w:noWrap w:val="0"/>
            <w:vAlign w:val="center"/>
          </w:tcPr>
          <w:p w14:paraId="181E895A">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技术规格偏离表</w:t>
            </w:r>
          </w:p>
        </w:tc>
        <w:tc>
          <w:tcPr>
            <w:tcW w:w="756" w:type="dxa"/>
            <w:noWrap w:val="0"/>
            <w:vAlign w:val="center"/>
          </w:tcPr>
          <w:p w14:paraId="6B21C3CB">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12</w:t>
            </w:r>
          </w:p>
        </w:tc>
      </w:tr>
      <w:tr w14:paraId="28A4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3CCC3FA2">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5</w:t>
            </w:r>
          </w:p>
        </w:tc>
        <w:tc>
          <w:tcPr>
            <w:tcW w:w="6986" w:type="dxa"/>
            <w:noWrap w:val="0"/>
            <w:vAlign w:val="center"/>
          </w:tcPr>
          <w:p w14:paraId="1ACA5F5E">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商务条款偏离表</w:t>
            </w:r>
          </w:p>
        </w:tc>
        <w:tc>
          <w:tcPr>
            <w:tcW w:w="756" w:type="dxa"/>
            <w:noWrap w:val="0"/>
            <w:vAlign w:val="center"/>
          </w:tcPr>
          <w:p w14:paraId="1B0A5E21">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13</w:t>
            </w:r>
          </w:p>
        </w:tc>
      </w:tr>
      <w:tr w14:paraId="74BF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215CAD74">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6</w:t>
            </w:r>
          </w:p>
        </w:tc>
        <w:tc>
          <w:tcPr>
            <w:tcW w:w="6986" w:type="dxa"/>
            <w:noWrap w:val="0"/>
            <w:vAlign w:val="center"/>
          </w:tcPr>
          <w:p w14:paraId="11615C88">
            <w:pPr>
              <w:adjustRightInd w:val="0"/>
              <w:snapToGrid w:val="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投标人关联单位说明</w:t>
            </w:r>
          </w:p>
        </w:tc>
        <w:tc>
          <w:tcPr>
            <w:tcW w:w="756" w:type="dxa"/>
            <w:noWrap w:val="0"/>
            <w:vAlign w:val="center"/>
          </w:tcPr>
          <w:p w14:paraId="45C67F53">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14</w:t>
            </w:r>
          </w:p>
        </w:tc>
      </w:tr>
      <w:tr w14:paraId="0FD5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EFE54DC">
            <w:pPr>
              <w:adjustRightInd w:val="0"/>
              <w:snapToGrid w:val="0"/>
              <w:jc w:val="center"/>
              <w:rPr>
                <w:rFonts w:hint="eastAsia" w:ascii="仿宋_GB2312" w:hAnsi="仿宋_GB2312" w:eastAsia="仿宋_GB2312" w:cs="仿宋_GB2312"/>
                <w:color w:val="000000"/>
                <w:kern w:val="0"/>
                <w:szCs w:val="21"/>
                <w:lang w:val="en-US" w:eastAsia="zh-CN"/>
              </w:rPr>
            </w:pPr>
            <w:bookmarkStart w:id="80" w:name="_Toc27769_WPSOffice_Level2"/>
            <w:bookmarkStart w:id="81" w:name="_Toc24432_WPSOffice_Level2"/>
            <w:r>
              <w:rPr>
                <w:rFonts w:hint="eastAsia" w:ascii="仿宋_GB2312" w:hAnsi="仿宋_GB2312" w:eastAsia="仿宋_GB2312" w:cs="仿宋_GB2312"/>
                <w:color w:val="000000"/>
                <w:kern w:val="0"/>
                <w:szCs w:val="21"/>
                <w:lang w:val="en-US" w:eastAsia="zh-CN"/>
              </w:rPr>
              <w:t>7</w:t>
            </w:r>
          </w:p>
        </w:tc>
        <w:tc>
          <w:tcPr>
            <w:tcW w:w="6986" w:type="dxa"/>
            <w:noWrap w:val="0"/>
            <w:vAlign w:val="center"/>
          </w:tcPr>
          <w:p w14:paraId="552EAEC5">
            <w:pPr>
              <w:rPr>
                <w:rFonts w:hint="default" w:ascii="仿宋_GB2312" w:hAnsi="仿宋_GB2312" w:eastAsia="仿宋_GB2312" w:cs="仿宋_GB2312"/>
                <w:color w:val="000000"/>
                <w:kern w:val="0"/>
                <w:szCs w:val="21"/>
                <w:lang w:val="en-US" w:eastAsia="zh-CN"/>
              </w:rPr>
            </w:pPr>
            <w:r>
              <w:rPr>
                <w:rFonts w:hint="eastAsia" w:ascii="仿宋_GB2312" w:hAnsi="仿宋_GB2312" w:eastAsia="仿宋_GB2312" w:cs="仿宋_GB2312"/>
                <w:color w:val="000000"/>
                <w:szCs w:val="21"/>
              </w:rPr>
              <w:t>其他符合性证明材料：</w:t>
            </w:r>
            <w:r>
              <w:rPr>
                <w:rFonts w:hint="eastAsia" w:ascii="仿宋_GB2312" w:hAnsi="仿宋_GB2312" w:eastAsia="仿宋_GB2312" w:cs="仿宋_GB2312"/>
                <w:color w:val="000000"/>
                <w:szCs w:val="21"/>
                <w:lang w:val="en-US" w:eastAsia="zh-CN"/>
              </w:rPr>
              <w:t>根据第三章货物需求中实质性要求提交</w:t>
            </w:r>
          </w:p>
        </w:tc>
        <w:tc>
          <w:tcPr>
            <w:tcW w:w="756" w:type="dxa"/>
            <w:noWrap w:val="0"/>
            <w:vAlign w:val="center"/>
          </w:tcPr>
          <w:p w14:paraId="2CD040F0">
            <w:pPr>
              <w:adjustRightInd w:val="0"/>
              <w:snapToGrid w:val="0"/>
              <w:jc w:val="center"/>
              <w:rPr>
                <w:rFonts w:hint="eastAsia" w:ascii="仿宋_GB2312" w:hAnsi="仿宋_GB2312" w:eastAsia="仿宋_GB2312" w:cs="仿宋_GB2312"/>
                <w:color w:val="000000"/>
                <w:kern w:val="0"/>
                <w:szCs w:val="21"/>
                <w:lang w:val="en-US" w:eastAsia="zh-CN"/>
              </w:rPr>
            </w:pPr>
          </w:p>
        </w:tc>
      </w:tr>
    </w:tbl>
    <w:p w14:paraId="173FA2E9">
      <w:pPr>
        <w:snapToGrid w:val="0"/>
        <w:spacing w:before="159" w:beforeLines="50"/>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四、其他材料</w:t>
      </w:r>
      <w:bookmarkEnd w:id="80"/>
      <w:bookmarkEnd w:id="81"/>
      <w:r>
        <w:rPr>
          <w:rFonts w:hint="eastAsia" w:ascii="仿宋_GB2312" w:hAnsi="仿宋_GB2312" w:eastAsia="仿宋_GB2312" w:cs="仿宋_GB2312"/>
          <w:b/>
          <w:color w:val="auto"/>
          <w:sz w:val="24"/>
        </w:rPr>
        <w:t>（如有，请提供；如未提供，投标文件不作无效处理）</w:t>
      </w:r>
    </w:p>
    <w:tbl>
      <w:tblPr>
        <w:tblStyle w:val="1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0398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5A4524A5">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序号</w:t>
            </w:r>
          </w:p>
        </w:tc>
        <w:tc>
          <w:tcPr>
            <w:tcW w:w="6985" w:type="dxa"/>
            <w:noWrap w:val="0"/>
            <w:vAlign w:val="center"/>
          </w:tcPr>
          <w:p w14:paraId="3433E2F2">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其他材料</w:t>
            </w:r>
          </w:p>
        </w:tc>
        <w:tc>
          <w:tcPr>
            <w:tcW w:w="756" w:type="dxa"/>
            <w:noWrap w:val="0"/>
            <w:vAlign w:val="center"/>
          </w:tcPr>
          <w:p w14:paraId="391D38BF">
            <w:pPr>
              <w:adjustRightInd w:val="0"/>
              <w:snapToGrid w:val="0"/>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格式</w:t>
            </w:r>
          </w:p>
        </w:tc>
      </w:tr>
      <w:tr w14:paraId="0D6C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277C8A6F">
            <w:pPr>
              <w:adjustRightInd w:val="0"/>
              <w:snapToGrid w:val="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val="en-US" w:eastAsia="zh-CN"/>
              </w:rPr>
              <w:t>1</w:t>
            </w:r>
          </w:p>
        </w:tc>
        <w:tc>
          <w:tcPr>
            <w:tcW w:w="6985" w:type="dxa"/>
            <w:noWrap w:val="0"/>
            <w:vAlign w:val="center"/>
          </w:tcPr>
          <w:p w14:paraId="66F7802F">
            <w:pPr>
              <w:adjustRightInd w:val="0"/>
              <w:snapToGrid w:val="0"/>
              <w:ind w:left="25" w:leftChars="12"/>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列入《</w:t>
            </w:r>
            <w:r>
              <w:rPr>
                <w:rFonts w:hint="eastAsia" w:ascii="仿宋_GB2312" w:hAnsi="仿宋_GB2312" w:eastAsia="仿宋_GB2312" w:cs="仿宋_GB2312"/>
                <w:color w:val="auto"/>
                <w:szCs w:val="21"/>
                <w:lang w:eastAsia="zh-CN"/>
              </w:rPr>
              <w:t>创新产品和服务目录</w:t>
            </w:r>
            <w:r>
              <w:rPr>
                <w:rFonts w:hint="eastAsia" w:ascii="仿宋_GB2312" w:hAnsi="仿宋_GB2312" w:eastAsia="仿宋_GB2312" w:cs="仿宋_GB2312"/>
                <w:color w:val="auto"/>
                <w:szCs w:val="21"/>
              </w:rPr>
              <w:t>》内的产品、服务的证明材料（如适用）</w:t>
            </w:r>
          </w:p>
          <w:p w14:paraId="0CB427C7">
            <w:pPr>
              <w:adjustRightInd w:val="0"/>
              <w:snapToGrid w:val="0"/>
              <w:ind w:left="25" w:leftChars="12"/>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（此项要求可视实际情况设置在符合性证明材料或其他材料中）</w:t>
            </w:r>
          </w:p>
        </w:tc>
        <w:tc>
          <w:tcPr>
            <w:tcW w:w="756" w:type="dxa"/>
            <w:noWrap w:val="0"/>
            <w:vAlign w:val="center"/>
          </w:tcPr>
          <w:p w14:paraId="178BBBD7">
            <w:pPr>
              <w:adjustRightInd w:val="0"/>
              <w:snapToGrid w:val="0"/>
              <w:jc w:val="center"/>
              <w:rPr>
                <w:rFonts w:ascii="仿宋_GB2312" w:hAnsi="仿宋_GB2312" w:eastAsia="仿宋_GB2312" w:cs="仿宋_GB2312"/>
                <w:color w:val="auto"/>
                <w:kern w:val="0"/>
                <w:szCs w:val="21"/>
              </w:rPr>
            </w:pPr>
          </w:p>
        </w:tc>
      </w:tr>
      <w:tr w14:paraId="0815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3C186F89">
            <w:pPr>
              <w:adjustRightInd w:val="0"/>
              <w:snapToGrid w:val="0"/>
              <w:jc w:val="center"/>
              <w:rPr>
                <w:rFonts w:hint="default" w:ascii="仿宋_GB2312" w:hAnsi="仿宋_GB2312" w:eastAsia="仿宋_GB2312" w:cs="仿宋_GB2312"/>
                <w:color w:val="000000"/>
                <w:kern w:val="0"/>
                <w:szCs w:val="21"/>
                <w:lang w:val="en-US" w:eastAsia="zh-CN"/>
              </w:rPr>
            </w:pPr>
            <w:bookmarkStart w:id="82" w:name="_Toc23127_WPSOffice_Level2"/>
            <w:bookmarkStart w:id="83" w:name="_Toc24011_WPSOffice_Level2"/>
            <w:r>
              <w:rPr>
                <w:rFonts w:hint="eastAsia" w:ascii="仿宋" w:hAnsi="仿宋" w:eastAsia="仿宋" w:cs="仿宋"/>
                <w:color w:val="000000"/>
                <w:kern w:val="0"/>
                <w:szCs w:val="21"/>
                <w:highlight w:val="none"/>
                <w:lang w:val="en-US" w:eastAsia="zh-CN"/>
              </w:rPr>
              <w:t>2</w:t>
            </w:r>
          </w:p>
        </w:tc>
        <w:tc>
          <w:tcPr>
            <w:tcW w:w="6985" w:type="dxa"/>
            <w:noWrap w:val="0"/>
            <w:vAlign w:val="center"/>
          </w:tcPr>
          <w:p w14:paraId="3BEDBE9A">
            <w:pPr>
              <w:adjustRightInd w:val="0"/>
              <w:snapToGrid w:val="0"/>
              <w:rPr>
                <w:rFonts w:hint="default" w:ascii="仿宋_GB2312" w:hAnsi="仿宋_GB2312" w:eastAsia="仿宋_GB2312" w:cs="仿宋_GB2312"/>
                <w:color w:val="000000"/>
                <w:szCs w:val="21"/>
                <w:lang w:val="en-US" w:eastAsia="zh-CN"/>
              </w:rPr>
            </w:pPr>
            <w:r>
              <w:rPr>
                <w:rFonts w:hint="eastAsia" w:ascii="仿宋" w:hAnsi="仿宋" w:cs="仿宋"/>
                <w:color w:val="000000"/>
                <w:kern w:val="0"/>
                <w:sz w:val="21"/>
                <w:szCs w:val="21"/>
                <w:highlight w:val="none"/>
                <w:lang w:val="en-US" w:eastAsia="zh-CN" w:bidi="ar-SA"/>
              </w:rPr>
              <w:t>供应商认为还需提供的其他材料</w:t>
            </w:r>
          </w:p>
        </w:tc>
        <w:tc>
          <w:tcPr>
            <w:tcW w:w="756" w:type="dxa"/>
            <w:noWrap w:val="0"/>
            <w:vAlign w:val="center"/>
          </w:tcPr>
          <w:p w14:paraId="6DFF93F5">
            <w:pPr>
              <w:adjustRightInd w:val="0"/>
              <w:snapToGrid w:val="0"/>
              <w:jc w:val="center"/>
              <w:rPr>
                <w:rFonts w:ascii="仿宋_GB2312" w:hAnsi="仿宋_GB2312" w:eastAsia="仿宋_GB2312" w:cs="仿宋_GB2312"/>
                <w:color w:val="auto"/>
                <w:kern w:val="0"/>
                <w:szCs w:val="21"/>
              </w:rPr>
            </w:pPr>
          </w:p>
        </w:tc>
      </w:tr>
      <w:tr w14:paraId="223C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5831EB52">
            <w:pPr>
              <w:adjustRightInd w:val="0"/>
              <w:snapToGrid w:val="0"/>
              <w:jc w:val="center"/>
              <w:rPr>
                <w:rFonts w:hint="eastAsia" w:ascii="仿宋_GB2312" w:hAnsi="仿宋_GB2312" w:eastAsia="仿宋_GB2312" w:cs="仿宋_GB2312"/>
                <w:color w:val="auto"/>
                <w:kern w:val="0"/>
                <w:szCs w:val="21"/>
                <w:lang w:val="en-US" w:eastAsia="zh-CN"/>
              </w:rPr>
            </w:pPr>
          </w:p>
        </w:tc>
        <w:tc>
          <w:tcPr>
            <w:tcW w:w="6985" w:type="dxa"/>
            <w:noWrap w:val="0"/>
            <w:vAlign w:val="center"/>
          </w:tcPr>
          <w:p w14:paraId="2D871904">
            <w:pPr>
              <w:adjustRightInd w:val="0"/>
              <w:snapToGrid w:val="0"/>
              <w:ind w:left="25" w:leftChars="12"/>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w:t>
            </w:r>
          </w:p>
        </w:tc>
        <w:tc>
          <w:tcPr>
            <w:tcW w:w="756" w:type="dxa"/>
            <w:noWrap w:val="0"/>
            <w:vAlign w:val="center"/>
          </w:tcPr>
          <w:p w14:paraId="792A121B">
            <w:pPr>
              <w:adjustRightInd w:val="0"/>
              <w:snapToGrid w:val="0"/>
              <w:jc w:val="center"/>
              <w:rPr>
                <w:rFonts w:ascii="仿宋_GB2312" w:hAnsi="仿宋_GB2312" w:eastAsia="仿宋_GB2312" w:cs="仿宋_GB2312"/>
                <w:color w:val="auto"/>
                <w:kern w:val="0"/>
                <w:szCs w:val="21"/>
              </w:rPr>
            </w:pPr>
          </w:p>
        </w:tc>
      </w:tr>
    </w:tbl>
    <w:p w14:paraId="4B79D851">
      <w:pPr>
        <w:adjustRightInd w:val="0"/>
        <w:snapToGrid w:val="0"/>
        <w:spacing w:line="360" w:lineRule="auto"/>
        <w:ind w:firstLine="480" w:firstLineChars="200"/>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重要提示：</w:t>
      </w:r>
      <w:bookmarkEnd w:id="82"/>
      <w:bookmarkEnd w:id="83"/>
    </w:p>
    <w:p w14:paraId="40087D46">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1、投标人提供的证明材料，除需要投标人填报或有特殊说明外，均须按要求提供。</w:t>
      </w:r>
      <w:r>
        <w:rPr>
          <w:rFonts w:hint="eastAsia" w:ascii="仿宋_GB2312" w:hAnsi="仿宋_GB2312" w:eastAsia="仿宋_GB2312" w:cs="仿宋_GB2312"/>
          <w:b/>
          <w:bCs/>
          <w:color w:val="auto"/>
          <w:szCs w:val="21"/>
        </w:rPr>
        <w:t xml:space="preserve"> </w:t>
      </w:r>
    </w:p>
    <w:p w14:paraId="73CA2403">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2、投标人在编制投标文件时，对于给定格式的文件内容，必须按照给定的标准格式进行填报；对于没有给定标准格式的文件内容，可以由投标人自行设计。</w:t>
      </w:r>
    </w:p>
    <w:p w14:paraId="3433B337">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3、投标文件应用中文书写。投标文件中所附或所引用的材料不是中文时，应附中文译本，并加盖单位公章（自然人投标的，无需加盖单位公章，需要签字）。</w:t>
      </w:r>
    </w:p>
    <w:p w14:paraId="18BC579A">
      <w:pPr>
        <w:adjustRightInd w:val="0"/>
        <w:snapToGrid w:val="0"/>
        <w:spacing w:line="360" w:lineRule="auto"/>
        <w:ind w:firstLine="420" w:firstLineChars="200"/>
        <w:rPr>
          <w:rFonts w:ascii="仿宋_GB2312" w:hAnsi="仿宋_GB2312" w:eastAsia="仿宋_GB2312" w:cs="仿宋_GB2312"/>
          <w:color w:val="auto"/>
        </w:rPr>
      </w:pPr>
      <w:r>
        <w:rPr>
          <w:rFonts w:hint="eastAsia" w:ascii="仿宋_GB2312" w:hAnsi="仿宋_GB2312" w:eastAsia="仿宋_GB2312" w:cs="仿宋_GB2312"/>
          <w:color w:val="auto"/>
          <w:szCs w:val="21"/>
        </w:rPr>
        <w:t>4、</w:t>
      </w:r>
      <w:r>
        <w:rPr>
          <w:rFonts w:hint="eastAsia" w:ascii="仿宋_GB2312" w:hAnsi="仿宋_GB2312" w:eastAsia="仿宋_GB2312" w:cs="仿宋_GB2312"/>
          <w:b/>
          <w:bCs/>
          <w:color w:val="auto"/>
          <w:szCs w:val="21"/>
        </w:rPr>
        <w:t>“资格证明材料”</w:t>
      </w:r>
      <w:r>
        <w:rPr>
          <w:rFonts w:hint="eastAsia" w:ascii="仿宋_GB2312" w:hAnsi="仿宋_GB2312" w:eastAsia="仿宋_GB2312" w:cs="仿宋_GB2312"/>
          <w:color w:val="auto"/>
        </w:rPr>
        <w:t>所列内容即为采购项目的资格审查条件，有一项不符合要求，不能进入下一阶段评审。</w:t>
      </w:r>
    </w:p>
    <w:p w14:paraId="47EA8123">
      <w:pPr>
        <w:adjustRightInd w:val="0"/>
        <w:snapToGrid w:val="0"/>
        <w:spacing w:line="360" w:lineRule="auto"/>
        <w:ind w:firstLine="420" w:firstLineChars="200"/>
        <w:rPr>
          <w:rFonts w:ascii="仿宋_GB2312" w:hAnsi="仿宋_GB2312" w:eastAsia="仿宋_GB2312" w:cs="仿宋_GB2312"/>
          <w:color w:val="auto"/>
        </w:rPr>
      </w:pPr>
      <w:r>
        <w:rPr>
          <w:rFonts w:hint="eastAsia" w:ascii="仿宋_GB2312" w:hAnsi="仿宋_GB2312" w:eastAsia="仿宋_GB2312" w:cs="仿宋_GB2312"/>
          <w:color w:val="auto"/>
        </w:rPr>
        <w:t>5、</w:t>
      </w:r>
      <w:r>
        <w:rPr>
          <w:rFonts w:hint="eastAsia" w:ascii="仿宋_GB2312" w:hAnsi="仿宋_GB2312" w:eastAsia="仿宋_GB2312" w:cs="仿宋_GB2312"/>
          <w:b/>
          <w:bCs/>
          <w:color w:val="auto"/>
          <w:szCs w:val="21"/>
        </w:rPr>
        <w:t>“符合性证明材料”</w:t>
      </w:r>
      <w:r>
        <w:rPr>
          <w:rFonts w:hint="eastAsia" w:ascii="仿宋_GB2312" w:hAnsi="仿宋_GB2312" w:eastAsia="仿宋_GB2312" w:cs="仿宋_GB2312"/>
          <w:color w:val="auto"/>
        </w:rPr>
        <w:t>所列内容即为采购项目的符合性审查条件，有一项不符合要求，不能进入下一阶段评审。</w:t>
      </w:r>
    </w:p>
    <w:p w14:paraId="04B14601">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rPr>
        <w:t>6、</w:t>
      </w:r>
      <w:r>
        <w:rPr>
          <w:rFonts w:hint="eastAsia" w:ascii="仿宋_GB2312" w:hAnsi="仿宋_GB2312" w:eastAsia="仿宋_GB2312" w:cs="仿宋_GB2312"/>
          <w:color w:val="auto"/>
          <w:szCs w:val="21"/>
        </w:rPr>
        <w:t>“其他材料”</w:t>
      </w:r>
    </w:p>
    <w:p w14:paraId="494880C7">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kern w:val="0"/>
          <w:szCs w:val="21"/>
        </w:rPr>
        <w:t>综合评分法：</w:t>
      </w:r>
      <w:r>
        <w:rPr>
          <w:rFonts w:hint="eastAsia" w:ascii="仿宋_GB2312" w:hAnsi="仿宋_GB2312" w:eastAsia="仿宋_GB2312" w:cs="仿宋_GB2312"/>
          <w:color w:val="auto"/>
          <w:szCs w:val="21"/>
        </w:rPr>
        <w:t>投标人可就</w:t>
      </w:r>
      <w:r>
        <w:rPr>
          <w:rFonts w:hint="eastAsia" w:ascii="仿宋_GB2312" w:hAnsi="仿宋_GB2312" w:eastAsia="仿宋_GB2312" w:cs="仿宋_GB2312"/>
          <w:color w:val="auto"/>
          <w:kern w:val="0"/>
          <w:szCs w:val="21"/>
        </w:rPr>
        <w:t>招标文件要求以及评分细则中各项要求提供相应材料。</w:t>
      </w:r>
    </w:p>
    <w:p w14:paraId="4BA8FC8E">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（2）</w:t>
      </w:r>
      <w:r>
        <w:rPr>
          <w:rFonts w:hint="eastAsia" w:ascii="仿宋_GB2312" w:hAnsi="仿宋_GB2312" w:eastAsia="仿宋_GB2312" w:cs="仿宋_GB2312"/>
          <w:color w:val="auto"/>
          <w:kern w:val="0"/>
          <w:szCs w:val="21"/>
        </w:rPr>
        <w:t>最低评标价法：</w:t>
      </w:r>
      <w:r>
        <w:rPr>
          <w:rFonts w:hint="eastAsia" w:ascii="仿宋_GB2312" w:hAnsi="仿宋_GB2312" w:eastAsia="仿宋_GB2312" w:cs="仿宋_GB2312"/>
          <w:color w:val="auto"/>
          <w:szCs w:val="21"/>
        </w:rPr>
        <w:t>投标人可就</w:t>
      </w:r>
      <w:r>
        <w:rPr>
          <w:rFonts w:hint="eastAsia" w:ascii="仿宋_GB2312" w:hAnsi="仿宋_GB2312" w:eastAsia="仿宋_GB2312" w:cs="仿宋_GB2312"/>
          <w:color w:val="auto"/>
          <w:kern w:val="0"/>
          <w:szCs w:val="21"/>
        </w:rPr>
        <w:t>招标文件要求提供相应材料。</w:t>
      </w:r>
    </w:p>
    <w:p w14:paraId="4F716072">
      <w:pPr>
        <w:snapToGrid w:val="0"/>
        <w:spacing w:line="276" w:lineRule="auto"/>
        <w:ind w:firstLine="420" w:firstLineChars="200"/>
        <w:jc w:val="left"/>
        <w:rPr>
          <w:rFonts w:ascii="仿宋_GB2312" w:hAnsi="仿宋_GB2312" w:eastAsia="仿宋_GB2312" w:cs="仿宋_GB2312"/>
          <w:color w:val="auto"/>
          <w:szCs w:val="21"/>
        </w:rPr>
      </w:pPr>
    </w:p>
    <w:p w14:paraId="27CF6F12">
      <w:pPr>
        <w:snapToGrid w:val="0"/>
        <w:spacing w:line="276" w:lineRule="auto"/>
        <w:ind w:firstLine="420" w:firstLineChars="200"/>
        <w:jc w:val="left"/>
        <w:rPr>
          <w:rFonts w:ascii="仿宋_GB2312" w:hAnsi="仿宋_GB2312" w:eastAsia="仿宋_GB2312" w:cs="仿宋_GB2312"/>
          <w:color w:val="auto"/>
          <w:szCs w:val="21"/>
        </w:rPr>
      </w:pPr>
    </w:p>
    <w:p w14:paraId="31CD4EC2">
      <w:pPr>
        <w:rPr>
          <w:rFonts w:ascii="仿宋_GB2312" w:hAnsi="仿宋_GB2312" w:eastAsia="仿宋_GB2312" w:cs="仿宋_GB2312"/>
          <w:color w:val="auto"/>
        </w:rPr>
      </w:pPr>
      <w:r>
        <w:rPr>
          <w:rFonts w:hint="eastAsia" w:ascii="仿宋_GB2312" w:hAnsi="仿宋_GB2312" w:eastAsia="仿宋_GB2312" w:cs="仿宋_GB2312"/>
          <w:color w:val="auto"/>
        </w:rPr>
        <w:br w:type="page"/>
      </w:r>
    </w:p>
    <w:p w14:paraId="106AAF2E">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格式1</w:t>
      </w:r>
    </w:p>
    <w:p w14:paraId="6C2D7D6F">
      <w:pPr>
        <w:jc w:val="center"/>
        <w:rPr>
          <w:rFonts w:ascii="仿宋_GB2312" w:hAnsi="仿宋_GB2312" w:eastAsia="仿宋_GB2312" w:cs="仿宋_GB2312"/>
          <w:b/>
          <w:bCs/>
          <w:color w:val="auto"/>
          <w:sz w:val="32"/>
          <w:szCs w:val="32"/>
        </w:rPr>
      </w:pPr>
      <w:bookmarkStart w:id="84" w:name="_Toc26322_WPSOffice_Level2"/>
      <w:bookmarkStart w:id="85" w:name="_Toc21090_WPSOffice_Level2"/>
      <w:r>
        <w:rPr>
          <w:rFonts w:hint="eastAsia" w:ascii="仿宋_GB2312" w:hAnsi="仿宋_GB2312" w:eastAsia="仿宋_GB2312" w:cs="仿宋_GB2312"/>
          <w:b/>
          <w:bCs/>
          <w:color w:val="auto"/>
          <w:sz w:val="32"/>
          <w:szCs w:val="32"/>
        </w:rPr>
        <w:t>投标文件、电子文档外封面、封口格式</w:t>
      </w:r>
      <w:bookmarkEnd w:id="84"/>
      <w:bookmarkEnd w:id="85"/>
    </w:p>
    <w:p w14:paraId="3A2A0969">
      <w:pPr>
        <w:rPr>
          <w:rFonts w:ascii="仿宋_GB2312" w:hAnsi="仿宋_GB2312" w:eastAsia="仿宋_GB2312" w:cs="仿宋_GB2312"/>
          <w:color w:val="auto"/>
        </w:rPr>
      </w:pPr>
      <w:r>
        <w:rPr>
          <w:rFonts w:hint="eastAsia" w:ascii="仿宋_GB2312" w:hAnsi="仿宋_GB2312" w:eastAsia="仿宋_GB2312" w:cs="仿宋_GB2312"/>
          <w:color w:val="auto"/>
          <w:sz w:val="28"/>
          <w:szCs w:val="28"/>
        </w:rPr>
        <w:t>封面格式：</w:t>
      </w:r>
    </w:p>
    <w:tbl>
      <w:tblPr>
        <w:tblStyle w:val="18"/>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59F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166F118C">
            <w:pPr>
              <w:jc w:val="center"/>
              <w:rPr>
                <w:rFonts w:ascii="仿宋_GB2312" w:hAnsi="仿宋_GB2312" w:eastAsia="仿宋_GB2312" w:cs="仿宋_GB2312"/>
                <w:b/>
                <w:bCs/>
                <w:color w:val="auto"/>
              </w:rPr>
            </w:pPr>
          </w:p>
          <w:p w14:paraId="1FD8336D">
            <w:pPr>
              <w:jc w:val="center"/>
              <w:rPr>
                <w:rFonts w:ascii="仿宋_GB2312" w:hAnsi="仿宋_GB2312" w:eastAsia="仿宋_GB2312" w:cs="仿宋_GB2312"/>
                <w:b/>
                <w:bCs/>
                <w:color w:val="auto"/>
              </w:rPr>
            </w:pPr>
          </w:p>
          <w:p w14:paraId="56BADFDC">
            <w:pPr>
              <w:jc w:val="center"/>
              <w:rPr>
                <w:rFonts w:ascii="仿宋_GB2312" w:hAnsi="仿宋_GB2312" w:eastAsia="仿宋_GB2312" w:cs="仿宋_GB2312"/>
                <w:b/>
                <w:bCs/>
                <w:color w:val="auto"/>
              </w:rPr>
            </w:pPr>
          </w:p>
          <w:p w14:paraId="250C191D">
            <w:pPr>
              <w:jc w:val="center"/>
              <w:rPr>
                <w:rFonts w:ascii="仿宋_GB2312" w:hAnsi="仿宋_GB2312" w:eastAsia="仿宋_GB2312" w:cs="仿宋_GB2312"/>
                <w:b/>
                <w:bCs/>
                <w:color w:val="auto"/>
              </w:rPr>
            </w:pPr>
          </w:p>
          <w:p w14:paraId="269EF32F">
            <w:pPr>
              <w:jc w:val="center"/>
              <w:rPr>
                <w:rFonts w:ascii="仿宋_GB2312" w:hAnsi="仿宋_GB2312" w:eastAsia="仿宋_GB2312" w:cs="仿宋_GB2312"/>
                <w:b/>
                <w:bCs/>
                <w:color w:val="auto"/>
              </w:rPr>
            </w:pPr>
          </w:p>
          <w:p w14:paraId="40D4A229">
            <w:pPr>
              <w:jc w:val="center"/>
              <w:rPr>
                <w:rFonts w:ascii="仿宋_GB2312" w:hAnsi="仿宋_GB2312" w:eastAsia="仿宋_GB2312" w:cs="仿宋_GB2312"/>
                <w:b/>
                <w:bCs/>
                <w:color w:val="auto"/>
              </w:rPr>
            </w:pPr>
            <w:r>
              <w:rPr>
                <w:rFonts w:hint="eastAsia" w:ascii="仿宋_GB2312" w:hAnsi="仿宋_GB2312" w:eastAsia="仿宋_GB2312" w:cs="仿宋_GB2312"/>
                <w:b/>
                <w:bCs/>
                <w:color w:val="auto"/>
                <w:sz w:val="44"/>
                <w:szCs w:val="52"/>
              </w:rPr>
              <w:t>投标文件/电子文档</w:t>
            </w:r>
          </w:p>
          <w:p w14:paraId="7CDA6A36">
            <w:pPr>
              <w:jc w:val="left"/>
              <w:rPr>
                <w:rFonts w:ascii="仿宋_GB2312" w:hAnsi="仿宋_GB2312" w:eastAsia="仿宋_GB2312" w:cs="仿宋_GB2312"/>
                <w:color w:val="auto"/>
              </w:rPr>
            </w:pPr>
          </w:p>
          <w:p w14:paraId="3B2B609A">
            <w:pPr>
              <w:jc w:val="left"/>
              <w:rPr>
                <w:rFonts w:ascii="仿宋_GB2312" w:hAnsi="仿宋_GB2312" w:eastAsia="仿宋_GB2312" w:cs="仿宋_GB2312"/>
                <w:color w:val="auto"/>
              </w:rPr>
            </w:pPr>
          </w:p>
          <w:p w14:paraId="02C43565">
            <w:pPr>
              <w:jc w:val="left"/>
              <w:rPr>
                <w:rFonts w:ascii="仿宋_GB2312" w:hAnsi="仿宋_GB2312" w:eastAsia="仿宋_GB2312" w:cs="仿宋_GB2312"/>
                <w:color w:val="auto"/>
              </w:rPr>
            </w:pPr>
          </w:p>
          <w:p w14:paraId="65AA2832">
            <w:pPr>
              <w:jc w:val="left"/>
              <w:rPr>
                <w:rFonts w:ascii="仿宋_GB2312" w:hAnsi="仿宋_GB2312" w:eastAsia="仿宋_GB2312" w:cs="仿宋_GB2312"/>
                <w:color w:val="auto"/>
              </w:rPr>
            </w:pPr>
          </w:p>
          <w:p w14:paraId="14F491D6">
            <w:pPr>
              <w:jc w:val="left"/>
              <w:rPr>
                <w:rFonts w:ascii="仿宋_GB2312" w:hAnsi="仿宋_GB2312" w:eastAsia="仿宋_GB2312" w:cs="仿宋_GB2312"/>
                <w:color w:val="auto"/>
              </w:rPr>
            </w:pPr>
          </w:p>
          <w:p w14:paraId="7FD3860E">
            <w:pPr>
              <w:jc w:val="left"/>
              <w:rPr>
                <w:rFonts w:ascii="仿宋_GB2312" w:hAnsi="仿宋_GB2312" w:eastAsia="仿宋_GB2312" w:cs="仿宋_GB2312"/>
                <w:color w:val="auto"/>
              </w:rPr>
            </w:pPr>
          </w:p>
          <w:p w14:paraId="46CBFF57">
            <w:pPr>
              <w:jc w:val="left"/>
              <w:rPr>
                <w:rFonts w:ascii="仿宋_GB2312" w:hAnsi="仿宋_GB2312" w:eastAsia="仿宋_GB2312" w:cs="仿宋_GB2312"/>
                <w:color w:val="auto"/>
              </w:rPr>
            </w:pPr>
          </w:p>
          <w:p w14:paraId="73CF8F2F">
            <w:pPr>
              <w:jc w:val="left"/>
              <w:rPr>
                <w:rFonts w:ascii="仿宋_GB2312" w:hAnsi="仿宋_GB2312" w:eastAsia="仿宋_GB2312" w:cs="仿宋_GB2312"/>
                <w:color w:val="auto"/>
              </w:rPr>
            </w:pPr>
            <w:r>
              <w:rPr>
                <w:rFonts w:hint="eastAsia" w:ascii="仿宋_GB2312" w:hAnsi="仿宋_GB2312" w:eastAsia="仿宋_GB2312" w:cs="仿宋_GB2312"/>
                <w:color w:val="auto"/>
              </w:rPr>
              <w:t>所投包号：第  包</w:t>
            </w:r>
          </w:p>
          <w:p w14:paraId="01492229">
            <w:pPr>
              <w:jc w:val="left"/>
              <w:rPr>
                <w:rFonts w:ascii="仿宋_GB2312" w:hAnsi="仿宋_GB2312" w:eastAsia="仿宋_GB2312" w:cs="仿宋_GB2312"/>
                <w:color w:val="auto"/>
              </w:rPr>
            </w:pPr>
          </w:p>
          <w:p w14:paraId="6E1917E4">
            <w:pPr>
              <w:jc w:val="left"/>
              <w:rPr>
                <w:rFonts w:ascii="仿宋_GB2312" w:hAnsi="仿宋_GB2312" w:eastAsia="仿宋_GB2312" w:cs="仿宋_GB2312"/>
                <w:color w:val="auto"/>
              </w:rPr>
            </w:pPr>
            <w:r>
              <w:rPr>
                <w:rFonts w:hint="eastAsia" w:ascii="仿宋_GB2312" w:hAnsi="仿宋_GB2312" w:eastAsia="仿宋_GB2312" w:cs="仿宋_GB2312"/>
                <w:color w:val="auto"/>
              </w:rPr>
              <w:t>项目名称：</w:t>
            </w:r>
          </w:p>
          <w:p w14:paraId="6923F2FE">
            <w:pPr>
              <w:jc w:val="left"/>
              <w:rPr>
                <w:rFonts w:ascii="仿宋_GB2312" w:hAnsi="仿宋_GB2312" w:eastAsia="仿宋_GB2312" w:cs="仿宋_GB2312"/>
                <w:color w:val="auto"/>
              </w:rPr>
            </w:pPr>
          </w:p>
          <w:p w14:paraId="505D670D">
            <w:pPr>
              <w:jc w:val="left"/>
              <w:rPr>
                <w:rFonts w:ascii="仿宋_GB2312" w:hAnsi="仿宋_GB2312" w:eastAsia="仿宋_GB2312" w:cs="仿宋_GB2312"/>
                <w:color w:val="auto"/>
              </w:rPr>
            </w:pPr>
            <w:r>
              <w:rPr>
                <w:rFonts w:hint="eastAsia" w:ascii="仿宋_GB2312" w:hAnsi="仿宋_GB2312" w:eastAsia="仿宋_GB2312" w:cs="仿宋_GB2312"/>
                <w:color w:val="auto"/>
              </w:rPr>
              <w:t>项目编号：</w:t>
            </w:r>
          </w:p>
          <w:p w14:paraId="21E37E03">
            <w:pPr>
              <w:jc w:val="center"/>
              <w:rPr>
                <w:rFonts w:ascii="仿宋_GB2312" w:hAnsi="仿宋_GB2312" w:eastAsia="仿宋_GB2312" w:cs="仿宋_GB2312"/>
                <w:color w:val="auto"/>
              </w:rPr>
            </w:pPr>
          </w:p>
          <w:p w14:paraId="45BAB827">
            <w:pPr>
              <w:jc w:val="center"/>
              <w:rPr>
                <w:rFonts w:ascii="仿宋_GB2312" w:hAnsi="仿宋_GB2312" w:eastAsia="仿宋_GB2312" w:cs="仿宋_GB2312"/>
                <w:color w:val="auto"/>
              </w:rPr>
            </w:pPr>
          </w:p>
          <w:p w14:paraId="05E939C2">
            <w:pPr>
              <w:jc w:val="center"/>
              <w:rPr>
                <w:rFonts w:ascii="仿宋_GB2312" w:hAnsi="仿宋_GB2312" w:eastAsia="仿宋_GB2312" w:cs="仿宋_GB2312"/>
                <w:color w:val="auto"/>
              </w:rPr>
            </w:pPr>
          </w:p>
          <w:p w14:paraId="32B1BC1D">
            <w:pPr>
              <w:jc w:val="left"/>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p>
        </w:tc>
      </w:tr>
    </w:tbl>
    <w:p w14:paraId="3712B8FF">
      <w:pPr>
        <w:rPr>
          <w:rFonts w:ascii="仿宋_GB2312" w:hAnsi="仿宋_GB2312" w:eastAsia="仿宋_GB2312" w:cs="仿宋_GB2312"/>
          <w:color w:val="auto"/>
        </w:rPr>
      </w:pPr>
    </w:p>
    <w:p w14:paraId="765B277D">
      <w:pPr>
        <w:rPr>
          <w:rFonts w:ascii="仿宋_GB2312" w:hAnsi="仿宋_GB2312" w:eastAsia="仿宋_GB2312" w:cs="仿宋_GB2312"/>
          <w:color w:val="auto"/>
        </w:rPr>
      </w:pPr>
    </w:p>
    <w:p w14:paraId="107F856B">
      <w:pPr>
        <w:rPr>
          <w:rFonts w:ascii="仿宋_GB2312" w:hAnsi="仿宋_GB2312" w:eastAsia="仿宋_GB2312" w:cs="仿宋_GB2312"/>
          <w:color w:val="auto"/>
        </w:rPr>
      </w:pPr>
      <w:r>
        <w:rPr>
          <w:rFonts w:hint="eastAsia" w:ascii="仿宋_GB2312" w:hAnsi="仿宋_GB2312" w:eastAsia="仿宋_GB2312" w:cs="仿宋_GB2312"/>
          <w:color w:val="auto"/>
          <w:sz w:val="24"/>
          <w:szCs w:val="32"/>
        </w:rPr>
        <w:t>封口格式：</w:t>
      </w:r>
    </w:p>
    <w:tbl>
      <w:tblPr>
        <w:tblStyle w:val="18"/>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236D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365CA199">
            <w:pPr>
              <w:jc w:val="center"/>
              <w:rPr>
                <w:rFonts w:ascii="仿宋_GB2312" w:hAnsi="仿宋_GB2312" w:eastAsia="仿宋_GB2312" w:cs="仿宋_GB2312"/>
                <w:color w:val="auto"/>
              </w:rPr>
            </w:pPr>
            <w:r>
              <w:rPr>
                <w:rFonts w:hint="eastAsia" w:ascii="仿宋_GB2312" w:hAnsi="仿宋_GB2312" w:eastAsia="仿宋_GB2312" w:cs="仿宋_GB2312"/>
                <w:color w:val="auto"/>
              </w:rPr>
              <w:t>——于   年  月  日   时之前不准启封（公章）——</w:t>
            </w:r>
          </w:p>
        </w:tc>
      </w:tr>
    </w:tbl>
    <w:p w14:paraId="00A12B38">
      <w:pPr>
        <w:rPr>
          <w:rFonts w:ascii="仿宋_GB2312" w:hAnsi="仿宋_GB2312" w:eastAsia="仿宋_GB2312" w:cs="仿宋_GB2312"/>
          <w:color w:val="auto"/>
        </w:rPr>
      </w:pPr>
    </w:p>
    <w:p w14:paraId="05E85C39">
      <w:pPr>
        <w:rPr>
          <w:rFonts w:ascii="仿宋_GB2312" w:hAnsi="仿宋_GB2312" w:eastAsia="仿宋_GB2312" w:cs="仿宋_GB2312"/>
          <w:color w:val="auto"/>
        </w:rPr>
      </w:pPr>
    </w:p>
    <w:p w14:paraId="674E7E13">
      <w:pPr>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br w:type="page"/>
      </w:r>
    </w:p>
    <w:p w14:paraId="1C0BA2BE">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格式2</w:t>
      </w:r>
    </w:p>
    <w:p w14:paraId="78ECE760">
      <w:pPr>
        <w:jc w:val="center"/>
        <w:rPr>
          <w:rFonts w:ascii="仿宋_GB2312" w:hAnsi="仿宋_GB2312" w:eastAsia="仿宋_GB2312" w:cs="仿宋_GB2312"/>
          <w:b/>
          <w:bCs/>
          <w:color w:val="auto"/>
          <w:sz w:val="32"/>
          <w:szCs w:val="32"/>
        </w:rPr>
      </w:pPr>
      <w:r>
        <w:rPr>
          <w:rFonts w:ascii="仿宋_GB2312" w:hAnsi="仿宋_GB2312" w:eastAsia="仿宋_GB2312" w:cs="仿宋_GB2312"/>
          <w:color w:val="auto"/>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6350" b="1143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4A54233">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04A54233">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auto"/>
          <w:sz w:val="32"/>
          <w:szCs w:val="32"/>
        </w:rPr>
        <w:t>投标文件的封皮</w:t>
      </w:r>
    </w:p>
    <w:p w14:paraId="5D9C40CD">
      <w:pPr>
        <w:rPr>
          <w:rFonts w:ascii="仿宋_GB2312" w:hAnsi="仿宋_GB2312" w:eastAsia="仿宋_GB2312" w:cs="仿宋_GB2312"/>
          <w:color w:val="auto"/>
        </w:rPr>
      </w:pPr>
    </w:p>
    <w:p w14:paraId="0FA0A06C">
      <w:pPr>
        <w:rPr>
          <w:rFonts w:ascii="仿宋_GB2312" w:hAnsi="仿宋_GB2312" w:eastAsia="仿宋_GB2312" w:cs="仿宋_GB2312"/>
          <w:color w:val="auto"/>
        </w:rPr>
      </w:pPr>
    </w:p>
    <w:p w14:paraId="3D257408">
      <w:pPr>
        <w:rPr>
          <w:rFonts w:ascii="仿宋_GB2312" w:hAnsi="仿宋_GB2312" w:eastAsia="仿宋_GB2312" w:cs="仿宋_GB2312"/>
          <w:color w:val="auto"/>
        </w:rPr>
      </w:pPr>
    </w:p>
    <w:p w14:paraId="0409F29D">
      <w:pPr>
        <w:rPr>
          <w:rFonts w:ascii="仿宋_GB2312" w:hAnsi="仿宋_GB2312" w:eastAsia="仿宋_GB2312" w:cs="仿宋_GB2312"/>
          <w:color w:val="auto"/>
        </w:rPr>
      </w:pPr>
    </w:p>
    <w:p w14:paraId="195F1D52">
      <w:pPr>
        <w:rPr>
          <w:rFonts w:ascii="仿宋_GB2312" w:hAnsi="仿宋_GB2312" w:eastAsia="仿宋_GB2312" w:cs="仿宋_GB2312"/>
          <w:color w:val="auto"/>
        </w:rPr>
      </w:pPr>
    </w:p>
    <w:p w14:paraId="403657C0">
      <w:pPr>
        <w:rPr>
          <w:rFonts w:ascii="仿宋_GB2312" w:hAnsi="仿宋_GB2312" w:eastAsia="仿宋_GB2312" w:cs="仿宋_GB2312"/>
          <w:color w:val="auto"/>
        </w:rPr>
      </w:pPr>
    </w:p>
    <w:p w14:paraId="1B393CC4">
      <w:pPr>
        <w:rPr>
          <w:rFonts w:ascii="仿宋_GB2312" w:hAnsi="仿宋_GB2312" w:eastAsia="仿宋_GB2312" w:cs="仿宋_GB2312"/>
          <w:color w:val="auto"/>
        </w:rPr>
      </w:pPr>
    </w:p>
    <w:p w14:paraId="2C4441EF">
      <w:pPr>
        <w:rPr>
          <w:rFonts w:ascii="仿宋_GB2312" w:hAnsi="仿宋_GB2312" w:eastAsia="仿宋_GB2312" w:cs="仿宋_GB2312"/>
          <w:color w:val="auto"/>
        </w:rPr>
      </w:pPr>
    </w:p>
    <w:p w14:paraId="23C25952">
      <w:pPr>
        <w:rPr>
          <w:rFonts w:ascii="仿宋_GB2312" w:hAnsi="仿宋_GB2312" w:eastAsia="仿宋_GB2312" w:cs="仿宋_GB2312"/>
          <w:color w:val="auto"/>
        </w:rPr>
      </w:pPr>
    </w:p>
    <w:p w14:paraId="0EC21BA7">
      <w:pPr>
        <w:rPr>
          <w:rFonts w:ascii="仿宋_GB2312" w:hAnsi="仿宋_GB2312" w:eastAsia="仿宋_GB2312" w:cs="仿宋_GB2312"/>
          <w:color w:val="auto"/>
        </w:rPr>
      </w:pPr>
    </w:p>
    <w:p w14:paraId="26D6FDE6">
      <w:pPr>
        <w:jc w:val="center"/>
        <w:rPr>
          <w:rFonts w:ascii="仿宋_GB2312" w:hAnsi="仿宋_GB2312" w:eastAsia="仿宋_GB2312" w:cs="仿宋_GB2312"/>
          <w:b/>
          <w:bCs/>
          <w:color w:val="auto"/>
          <w:sz w:val="52"/>
          <w:szCs w:val="52"/>
        </w:rPr>
      </w:pPr>
      <w:r>
        <w:rPr>
          <w:rFonts w:hint="eastAsia" w:ascii="仿宋_GB2312" w:hAnsi="仿宋_GB2312" w:eastAsia="仿宋_GB2312" w:cs="仿宋_GB2312"/>
          <w:b/>
          <w:bCs/>
          <w:color w:val="auto"/>
          <w:sz w:val="52"/>
          <w:szCs w:val="52"/>
        </w:rPr>
        <w:t>投  标  文  件</w:t>
      </w:r>
    </w:p>
    <w:p w14:paraId="4FC149DC">
      <w:pPr>
        <w:rPr>
          <w:rFonts w:ascii="仿宋_GB2312" w:hAnsi="仿宋_GB2312" w:eastAsia="仿宋_GB2312" w:cs="仿宋_GB2312"/>
          <w:color w:val="auto"/>
        </w:rPr>
      </w:pPr>
    </w:p>
    <w:p w14:paraId="4F72CA71">
      <w:pPr>
        <w:rPr>
          <w:rFonts w:ascii="仿宋_GB2312" w:hAnsi="仿宋_GB2312" w:eastAsia="仿宋_GB2312" w:cs="仿宋_GB2312"/>
          <w:color w:val="auto"/>
        </w:rPr>
      </w:pPr>
    </w:p>
    <w:p w14:paraId="04957077">
      <w:pPr>
        <w:rPr>
          <w:rFonts w:ascii="仿宋_GB2312" w:hAnsi="仿宋_GB2312" w:eastAsia="仿宋_GB2312" w:cs="仿宋_GB2312"/>
          <w:color w:val="auto"/>
        </w:rPr>
      </w:pPr>
    </w:p>
    <w:p w14:paraId="4D2156A1">
      <w:pPr>
        <w:rPr>
          <w:rFonts w:ascii="仿宋_GB2312" w:hAnsi="仿宋_GB2312" w:eastAsia="仿宋_GB2312" w:cs="仿宋_GB2312"/>
          <w:color w:val="auto"/>
          <w:sz w:val="28"/>
          <w:szCs w:val="28"/>
        </w:rPr>
      </w:pPr>
    </w:p>
    <w:p w14:paraId="4E0925FE">
      <w:pPr>
        <w:rPr>
          <w:rFonts w:ascii="仿宋_GB2312" w:hAnsi="仿宋_GB2312" w:eastAsia="仿宋_GB2312" w:cs="仿宋_GB2312"/>
          <w:color w:val="auto"/>
          <w:sz w:val="28"/>
          <w:szCs w:val="28"/>
        </w:rPr>
      </w:pPr>
    </w:p>
    <w:p w14:paraId="6D00451A">
      <w:pPr>
        <w:rPr>
          <w:rFonts w:ascii="仿宋_GB2312" w:hAnsi="仿宋_GB2312" w:eastAsia="仿宋_GB2312" w:cs="仿宋_GB2312"/>
          <w:color w:val="auto"/>
          <w:sz w:val="28"/>
          <w:szCs w:val="28"/>
        </w:rPr>
      </w:pPr>
    </w:p>
    <w:p w14:paraId="37D5E1DC">
      <w:pPr>
        <w:rPr>
          <w:rFonts w:ascii="仿宋_GB2312" w:hAnsi="仿宋_GB2312" w:eastAsia="仿宋_GB2312" w:cs="仿宋_GB2312"/>
          <w:color w:val="auto"/>
          <w:sz w:val="28"/>
          <w:szCs w:val="28"/>
        </w:rPr>
      </w:pPr>
    </w:p>
    <w:p w14:paraId="3BF05DB8">
      <w:pPr>
        <w:rPr>
          <w:rFonts w:ascii="仿宋_GB2312" w:hAnsi="仿宋_GB2312" w:eastAsia="仿宋_GB2312" w:cs="仿宋_GB2312"/>
          <w:color w:val="auto"/>
          <w:sz w:val="28"/>
          <w:szCs w:val="28"/>
        </w:rPr>
      </w:pPr>
    </w:p>
    <w:p w14:paraId="7FAF24E2">
      <w:pPr>
        <w:rPr>
          <w:rFonts w:ascii="仿宋_GB2312" w:hAnsi="仿宋_GB2312" w:eastAsia="仿宋_GB2312" w:cs="仿宋_GB2312"/>
          <w:color w:val="auto"/>
          <w:sz w:val="28"/>
          <w:szCs w:val="28"/>
        </w:rPr>
      </w:pPr>
    </w:p>
    <w:p w14:paraId="5E3B35EB">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所投包号：第  包</w:t>
      </w:r>
    </w:p>
    <w:p w14:paraId="19484EFC">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项目名称：</w:t>
      </w:r>
    </w:p>
    <w:p w14:paraId="317BBE14">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项目编号：</w:t>
      </w:r>
    </w:p>
    <w:p w14:paraId="22BDB31A">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投标人名称 ：</w:t>
      </w:r>
    </w:p>
    <w:p w14:paraId="69296867">
      <w:pP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br w:type="page"/>
      </w:r>
    </w:p>
    <w:p w14:paraId="76BD6DE3">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格式3</w:t>
      </w:r>
    </w:p>
    <w:p w14:paraId="7B51B16C">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bookmarkStart w:id="86" w:name="_Toc21414_WPSOffice_Level2"/>
      <w:bookmarkStart w:id="87" w:name="_Toc2304_WPSOffice_Level2"/>
      <w:r>
        <w:rPr>
          <w:rFonts w:hint="eastAsia" w:ascii="仿宋_GB2312" w:hAnsi="仿宋_GB2312" w:eastAsia="仿宋_GB2312" w:cs="仿宋_GB2312"/>
          <w:b/>
          <w:color w:val="auto"/>
          <w:sz w:val="32"/>
          <w:szCs w:val="32"/>
        </w:rPr>
        <w:t>目  录</w:t>
      </w:r>
      <w:bookmarkEnd w:id="86"/>
      <w:bookmarkEnd w:id="87"/>
    </w:p>
    <w:p w14:paraId="5FA09612">
      <w:pPr>
        <w:rPr>
          <w:rFonts w:ascii="仿宋_GB2312" w:hAnsi="仿宋_GB2312" w:eastAsia="仿宋_GB2312" w:cs="仿宋_GB2312"/>
          <w:color w:val="auto"/>
        </w:rPr>
      </w:pPr>
      <w:bookmarkStart w:id="88" w:name="_Toc30940_WPSOffice_Level2"/>
      <w:bookmarkStart w:id="89" w:name="_Toc7636_WPSOffice_Level2"/>
      <w:r>
        <w:rPr>
          <w:rFonts w:hint="eastAsia" w:ascii="仿宋_GB2312" w:hAnsi="仿宋_GB2312" w:eastAsia="仿宋_GB2312" w:cs="仿宋_GB2312"/>
          <w:color w:val="auto"/>
        </w:rPr>
        <w:t>一、资格证明材料</w:t>
      </w:r>
      <w:bookmarkEnd w:id="88"/>
      <w:bookmarkEnd w:id="89"/>
    </w:p>
    <w:p w14:paraId="7915ED65">
      <w:pPr>
        <w:rPr>
          <w:rFonts w:ascii="仿宋_GB2312" w:hAnsi="仿宋_GB2312" w:eastAsia="仿宋_GB2312" w:cs="仿宋_GB2312"/>
          <w:color w:val="auto"/>
        </w:rPr>
      </w:pPr>
      <w:r>
        <w:rPr>
          <w:rFonts w:hint="eastAsia" w:ascii="仿宋_GB2312" w:hAnsi="仿宋_GB2312" w:eastAsia="仿宋_GB2312" w:cs="仿宋_GB2312"/>
          <w:color w:val="auto"/>
        </w:rPr>
        <w:t>……</w:t>
      </w:r>
    </w:p>
    <w:p w14:paraId="7F2350B0">
      <w:pPr>
        <w:rPr>
          <w:rFonts w:ascii="仿宋_GB2312" w:hAnsi="仿宋_GB2312" w:eastAsia="仿宋_GB2312" w:cs="仿宋_GB2312"/>
          <w:color w:val="auto"/>
        </w:rPr>
      </w:pPr>
      <w:bookmarkStart w:id="90" w:name="_Toc31702_WPSOffice_Level2"/>
      <w:bookmarkStart w:id="91" w:name="_Toc13950_WPSOffice_Level2"/>
      <w:r>
        <w:rPr>
          <w:rFonts w:hint="eastAsia" w:ascii="仿宋_GB2312" w:hAnsi="仿宋_GB2312" w:eastAsia="仿宋_GB2312" w:cs="仿宋_GB2312"/>
          <w:color w:val="auto"/>
        </w:rPr>
        <w:t>二、符合性证明材料</w:t>
      </w:r>
      <w:bookmarkEnd w:id="90"/>
      <w:bookmarkEnd w:id="91"/>
    </w:p>
    <w:p w14:paraId="2E72BC0D">
      <w:pPr>
        <w:rPr>
          <w:rFonts w:ascii="仿宋_GB2312" w:hAnsi="仿宋_GB2312" w:eastAsia="仿宋_GB2312" w:cs="仿宋_GB2312"/>
          <w:color w:val="auto"/>
        </w:rPr>
      </w:pPr>
      <w:r>
        <w:rPr>
          <w:rFonts w:hint="eastAsia" w:ascii="仿宋_GB2312" w:hAnsi="仿宋_GB2312" w:eastAsia="仿宋_GB2312" w:cs="仿宋_GB2312"/>
          <w:color w:val="auto"/>
        </w:rPr>
        <w:t>……</w:t>
      </w:r>
    </w:p>
    <w:p w14:paraId="69984EA0">
      <w:pPr>
        <w:rPr>
          <w:rFonts w:ascii="仿宋_GB2312" w:hAnsi="仿宋_GB2312" w:eastAsia="仿宋_GB2312" w:cs="仿宋_GB2312"/>
          <w:color w:val="auto"/>
        </w:rPr>
      </w:pPr>
      <w:bookmarkStart w:id="92" w:name="_Toc14854_WPSOffice_Level2"/>
      <w:bookmarkStart w:id="93" w:name="_Toc9090_WPSOffice_Level2"/>
      <w:r>
        <w:rPr>
          <w:rFonts w:hint="eastAsia" w:ascii="仿宋_GB2312" w:hAnsi="仿宋_GB2312" w:eastAsia="仿宋_GB2312" w:cs="仿宋_GB2312"/>
          <w:color w:val="auto"/>
        </w:rPr>
        <w:t>三、其它材料</w:t>
      </w:r>
      <w:bookmarkEnd w:id="92"/>
      <w:bookmarkEnd w:id="93"/>
    </w:p>
    <w:p w14:paraId="11F01B90">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p>
    <w:p w14:paraId="12194B37">
      <w:pPr>
        <w:rPr>
          <w:rFonts w:ascii="仿宋_GB2312" w:hAnsi="仿宋_GB2312" w:eastAsia="仿宋_GB2312" w:cs="仿宋_GB2312"/>
          <w:color w:val="auto"/>
          <w:szCs w:val="21"/>
        </w:rPr>
      </w:pPr>
    </w:p>
    <w:p w14:paraId="12D9A2F7">
      <w:pPr>
        <w:rPr>
          <w:rFonts w:ascii="仿宋_GB2312" w:hAnsi="仿宋_GB2312" w:eastAsia="仿宋_GB2312" w:cs="仿宋_GB2312"/>
          <w:color w:val="auto"/>
          <w:szCs w:val="21"/>
        </w:rPr>
      </w:pPr>
    </w:p>
    <w:p w14:paraId="5F0DBA35">
      <w:pPr>
        <w:rPr>
          <w:rFonts w:ascii="仿宋_GB2312" w:hAnsi="仿宋_GB2312" w:eastAsia="仿宋_GB2312" w:cs="仿宋_GB2312"/>
          <w:color w:val="auto"/>
          <w:szCs w:val="21"/>
        </w:rPr>
      </w:pPr>
    </w:p>
    <w:p w14:paraId="7AD965A2">
      <w:pPr>
        <w:adjustRightInd w:val="0"/>
        <w:snapToGrid w:val="0"/>
        <w:spacing w:line="360" w:lineRule="auto"/>
        <w:ind w:firstLine="420" w:firstLineChars="200"/>
        <w:rPr>
          <w:rFonts w:ascii="仿宋_GB2312" w:hAnsi="仿宋_GB2312" w:eastAsia="仿宋_GB2312" w:cs="仿宋_GB2312"/>
          <w:color w:val="auto"/>
        </w:rPr>
      </w:pPr>
      <w:r>
        <w:rPr>
          <w:rFonts w:hint="eastAsia" w:ascii="仿宋_GB2312" w:hAnsi="仿宋_GB2312" w:eastAsia="仿宋_GB2312" w:cs="仿宋_GB2312"/>
          <w:color w:val="auto"/>
        </w:rPr>
        <w:t>我单位的投标文件由资格证明材料、符合性证明材料和其它材料三部分组成，在此加盖单位公章并由法定代表人（或非法人组织负责人）或其授权委托人签字，保证投标文件中所有材料真实、有效。</w:t>
      </w:r>
    </w:p>
    <w:p w14:paraId="0E911ACA">
      <w:pPr>
        <w:spacing w:line="360" w:lineRule="auto"/>
        <w:rPr>
          <w:rFonts w:ascii="仿宋_GB2312" w:hAnsi="仿宋_GB2312" w:eastAsia="仿宋_GB2312" w:cs="仿宋_GB2312"/>
          <w:color w:val="auto"/>
        </w:rPr>
      </w:pPr>
    </w:p>
    <w:p w14:paraId="059EDF72">
      <w:pPr>
        <w:rPr>
          <w:rFonts w:ascii="仿宋_GB2312" w:hAnsi="仿宋_GB2312" w:eastAsia="仿宋_GB2312" w:cs="仿宋_GB2312"/>
          <w:color w:val="auto"/>
        </w:rPr>
      </w:pPr>
    </w:p>
    <w:p w14:paraId="46453D99">
      <w:pPr>
        <w:rPr>
          <w:rFonts w:ascii="仿宋_GB2312" w:hAnsi="仿宋_GB2312" w:eastAsia="仿宋_GB2312" w:cs="仿宋_GB2312"/>
          <w:color w:val="auto"/>
        </w:rPr>
      </w:pPr>
    </w:p>
    <w:p w14:paraId="676527DF">
      <w:pPr>
        <w:rPr>
          <w:rFonts w:ascii="仿宋_GB2312" w:hAnsi="仿宋_GB2312" w:eastAsia="仿宋_GB2312" w:cs="仿宋_GB2312"/>
          <w:color w:val="auto"/>
        </w:rPr>
      </w:pPr>
    </w:p>
    <w:p w14:paraId="4A778CD8">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4511AD57">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其授权委托人(签字或盖章)：</w:t>
      </w:r>
      <w:r>
        <w:rPr>
          <w:rFonts w:hint="eastAsia" w:ascii="仿宋_GB2312" w:hAnsi="仿宋_GB2312" w:eastAsia="仿宋_GB2312" w:cs="仿宋_GB2312"/>
          <w:color w:val="auto"/>
          <w:u w:val="single"/>
        </w:rPr>
        <w:t xml:space="preserve">           </w:t>
      </w:r>
    </w:p>
    <w:p w14:paraId="7BC099ED">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6744EDE3">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rPr>
        <w:br w:type="page"/>
      </w:r>
      <w:r>
        <w:rPr>
          <w:rFonts w:hint="eastAsia" w:ascii="仿宋_GB2312" w:hAnsi="仿宋_GB2312" w:eastAsia="仿宋_GB2312" w:cs="仿宋_GB2312"/>
          <w:color w:val="auto"/>
          <w:szCs w:val="28"/>
        </w:rPr>
        <w:t>格式4</w:t>
      </w:r>
    </w:p>
    <w:p w14:paraId="5E4FAA5D">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bookmarkStart w:id="94" w:name="_Toc16924_WPSOffice_Level2"/>
      <w:bookmarkStart w:id="95" w:name="_Toc3401_WPSOffice_Level2"/>
      <w:r>
        <w:rPr>
          <w:rFonts w:hint="eastAsia" w:ascii="仿宋_GB2312" w:hAnsi="仿宋_GB2312" w:eastAsia="仿宋_GB2312" w:cs="仿宋_GB2312"/>
          <w:b/>
          <w:color w:val="auto"/>
          <w:sz w:val="32"/>
          <w:szCs w:val="32"/>
        </w:rPr>
        <w:t>法定代表人（或非法人组织负责人）身份证明书</w:t>
      </w:r>
      <w:bookmarkEnd w:id="94"/>
      <w:bookmarkEnd w:id="95"/>
    </w:p>
    <w:p w14:paraId="1E14E371">
      <w:pPr>
        <w:spacing w:line="360" w:lineRule="auto"/>
        <w:ind w:firstLine="840" w:firstLineChars="4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姓名：</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，性别：</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，出生日期：</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，现任职务：</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，系</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（投标人名称）的法定代表人（或非法人组织负责人）。</w:t>
      </w:r>
    </w:p>
    <w:p w14:paraId="0E5F1112">
      <w:pPr>
        <w:rPr>
          <w:rFonts w:ascii="仿宋_GB2312" w:hAnsi="仿宋_GB2312" w:eastAsia="仿宋_GB2312" w:cs="仿宋_GB2312"/>
          <w:color w:val="auto"/>
          <w:szCs w:val="21"/>
        </w:rPr>
      </w:pPr>
    </w:p>
    <w:p w14:paraId="0155908A">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特此证明。</w:t>
      </w:r>
    </w:p>
    <w:p w14:paraId="41C0A1B2">
      <w:pPr>
        <w:rPr>
          <w:rFonts w:ascii="仿宋_GB2312" w:hAnsi="仿宋_GB2312" w:eastAsia="仿宋_GB2312" w:cs="仿宋_GB2312"/>
          <w:color w:val="auto"/>
          <w:szCs w:val="21"/>
        </w:rPr>
      </w:pPr>
    </w:p>
    <w:p w14:paraId="74266D47">
      <w:pPr>
        <w:rPr>
          <w:rFonts w:ascii="仿宋_GB2312" w:hAnsi="仿宋_GB2312" w:eastAsia="仿宋_GB2312" w:cs="仿宋_GB2312"/>
          <w:color w:val="auto"/>
          <w:szCs w:val="21"/>
        </w:rPr>
      </w:pPr>
    </w:p>
    <w:p w14:paraId="6302D1A1">
      <w:pPr>
        <w:rPr>
          <w:rFonts w:ascii="仿宋_GB2312" w:hAnsi="仿宋_GB2312" w:eastAsia="仿宋_GB2312" w:cs="仿宋_GB2312"/>
          <w:color w:val="auto"/>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0CEA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36BDF432">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（※法定代表人（或非法人组织负责人）身份证正、反面复印件※）</w:t>
            </w:r>
          </w:p>
        </w:tc>
      </w:tr>
    </w:tbl>
    <w:p w14:paraId="418D548E">
      <w:pPr>
        <w:rPr>
          <w:rFonts w:ascii="仿宋_GB2312" w:hAnsi="仿宋_GB2312" w:eastAsia="仿宋_GB2312" w:cs="仿宋_GB2312"/>
          <w:color w:val="auto"/>
          <w:szCs w:val="21"/>
        </w:rPr>
      </w:pPr>
    </w:p>
    <w:p w14:paraId="2CC1B90F">
      <w:pPr>
        <w:rPr>
          <w:rFonts w:ascii="仿宋_GB2312" w:hAnsi="仿宋_GB2312" w:eastAsia="仿宋_GB2312" w:cs="仿宋_GB2312"/>
          <w:color w:val="auto"/>
          <w:szCs w:val="21"/>
        </w:rPr>
      </w:pPr>
    </w:p>
    <w:p w14:paraId="7286FA1B">
      <w:pPr>
        <w:rPr>
          <w:rFonts w:ascii="仿宋_GB2312" w:hAnsi="仿宋_GB2312" w:eastAsia="仿宋_GB2312" w:cs="仿宋_GB2312"/>
          <w:color w:val="auto"/>
          <w:szCs w:val="21"/>
        </w:rPr>
      </w:pPr>
    </w:p>
    <w:p w14:paraId="601FF3DA">
      <w:pPr>
        <w:rPr>
          <w:rFonts w:ascii="仿宋_GB2312" w:hAnsi="仿宋_GB2312" w:eastAsia="仿宋_GB2312" w:cs="仿宋_GB2312"/>
          <w:color w:val="auto"/>
          <w:szCs w:val="21"/>
        </w:rPr>
      </w:pPr>
    </w:p>
    <w:p w14:paraId="52C3B0B9">
      <w:pPr>
        <w:rPr>
          <w:rFonts w:ascii="仿宋_GB2312" w:hAnsi="仿宋_GB2312" w:eastAsia="仿宋_GB2312" w:cs="仿宋_GB2312"/>
          <w:color w:val="auto"/>
          <w:szCs w:val="21"/>
        </w:rPr>
      </w:pPr>
    </w:p>
    <w:p w14:paraId="6A151D57">
      <w:pPr>
        <w:rPr>
          <w:rFonts w:ascii="仿宋_GB2312" w:hAnsi="仿宋_GB2312" w:eastAsia="仿宋_GB2312" w:cs="仿宋_GB2312"/>
          <w:color w:val="auto"/>
          <w:szCs w:val="21"/>
        </w:rPr>
      </w:pPr>
    </w:p>
    <w:p w14:paraId="555B1B8B">
      <w:pPr>
        <w:spacing w:line="480" w:lineRule="auto"/>
        <w:rPr>
          <w:rFonts w:ascii="仿宋_GB2312" w:hAnsi="仿宋_GB2312" w:eastAsia="仿宋_GB2312" w:cs="仿宋_GB2312"/>
          <w:color w:val="auto"/>
          <w:u w:val="single"/>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56D414C7">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06B0D721">
      <w:pPr>
        <w:rPr>
          <w:rFonts w:ascii="仿宋_GB2312" w:hAnsi="仿宋_GB2312" w:eastAsia="仿宋_GB2312" w:cs="仿宋_GB2312"/>
          <w:color w:val="auto"/>
        </w:rPr>
      </w:pPr>
    </w:p>
    <w:p w14:paraId="52277D84">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1B0FF984">
      <w:pPr>
        <w:pStyle w:val="3"/>
        <w:adjustRightInd w:val="0"/>
        <w:snapToGrid w:val="0"/>
        <w:spacing w:before="0" w:after="0" w:line="240" w:lineRule="auto"/>
        <w:jc w:val="left"/>
        <w:rPr>
          <w:rFonts w:ascii="仿宋_GB2312" w:hAnsi="仿宋_GB2312" w:eastAsia="仿宋_GB2312" w:cs="仿宋_GB2312"/>
          <w:b w:val="0"/>
          <w:bCs/>
          <w:color w:val="auto"/>
          <w:sz w:val="32"/>
          <w:szCs w:val="32"/>
        </w:rPr>
      </w:pPr>
      <w:r>
        <w:rPr>
          <w:rFonts w:hint="eastAsia" w:ascii="仿宋_GB2312" w:hAnsi="仿宋_GB2312" w:eastAsia="仿宋_GB2312" w:cs="仿宋_GB2312"/>
          <w:color w:val="auto"/>
          <w:szCs w:val="28"/>
        </w:rPr>
        <w:t>格式5</w:t>
      </w:r>
      <w:bookmarkStart w:id="96" w:name="_Toc21833_WPSOffice_Level2"/>
      <w:bookmarkStart w:id="97" w:name="_Toc122_WPSOffice_Level2"/>
    </w:p>
    <w:p w14:paraId="0E04DDC1">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法定代表人（或非法人组织负责人）授权委托书</w:t>
      </w:r>
      <w:bookmarkEnd w:id="96"/>
      <w:bookmarkEnd w:id="97"/>
    </w:p>
    <w:p w14:paraId="18C0D6AF">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单位名称：</w:t>
      </w:r>
      <w:r>
        <w:rPr>
          <w:rFonts w:hint="eastAsia" w:ascii="仿宋_GB2312" w:hAnsi="仿宋_GB2312" w:eastAsia="仿宋_GB2312" w:cs="仿宋_GB2312"/>
          <w:color w:val="auto"/>
          <w:szCs w:val="21"/>
          <w:u w:val="single"/>
        </w:rPr>
        <w:t xml:space="preserve">                </w:t>
      </w:r>
    </w:p>
    <w:p w14:paraId="232A905B">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法定代表人（或非法人组织负责人）姓名：</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身份证号码：</w:t>
      </w:r>
      <w:r>
        <w:rPr>
          <w:rFonts w:hint="eastAsia" w:ascii="仿宋_GB2312" w:hAnsi="仿宋_GB2312" w:eastAsia="仿宋_GB2312" w:cs="仿宋_GB2312"/>
          <w:color w:val="auto"/>
          <w:szCs w:val="21"/>
          <w:u w:val="single"/>
        </w:rPr>
        <w:t xml:space="preserve">         </w:t>
      </w:r>
    </w:p>
    <w:p w14:paraId="7051CFD7">
      <w:pPr>
        <w:tabs>
          <w:tab w:val="left" w:pos="5205"/>
        </w:tabs>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住所地：</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rPr>
        <w:tab/>
      </w:r>
    </w:p>
    <w:p w14:paraId="1EABEEA8">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人姓名：</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身份证号码：</w:t>
      </w:r>
      <w:r>
        <w:rPr>
          <w:rFonts w:hint="eastAsia" w:ascii="仿宋_GB2312" w:hAnsi="仿宋_GB2312" w:eastAsia="仿宋_GB2312" w:cs="仿宋_GB2312"/>
          <w:color w:val="auto"/>
          <w:szCs w:val="21"/>
          <w:u w:val="single"/>
        </w:rPr>
        <w:t xml:space="preserve">         </w:t>
      </w:r>
    </w:p>
    <w:p w14:paraId="7B3D66FD">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工作单位：</w:t>
      </w:r>
      <w:r>
        <w:rPr>
          <w:rFonts w:hint="eastAsia" w:ascii="仿宋_GB2312" w:hAnsi="仿宋_GB2312" w:eastAsia="仿宋_GB2312" w:cs="仿宋_GB2312"/>
          <w:color w:val="auto"/>
          <w:szCs w:val="21"/>
          <w:u w:val="single"/>
        </w:rPr>
        <w:t xml:space="preserve">                  </w:t>
      </w:r>
    </w:p>
    <w:p w14:paraId="293B7C36">
      <w:pPr>
        <w:spacing w:line="360" w:lineRule="auto"/>
        <w:ind w:firstLine="420" w:firstLineChars="2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住址：</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电话：</w:t>
      </w:r>
      <w:r>
        <w:rPr>
          <w:rFonts w:hint="eastAsia" w:ascii="仿宋_GB2312" w:hAnsi="仿宋_GB2312" w:eastAsia="仿宋_GB2312" w:cs="仿宋_GB2312"/>
          <w:color w:val="auto"/>
          <w:szCs w:val="21"/>
          <w:u w:val="single"/>
        </w:rPr>
        <w:t xml:space="preserve">               </w:t>
      </w:r>
    </w:p>
    <w:p w14:paraId="2BA583DE">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现委托</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就</w:t>
      </w:r>
      <w:r>
        <w:rPr>
          <w:rFonts w:hint="eastAsia" w:ascii="仿宋_GB2312" w:hAnsi="仿宋_GB2312" w:eastAsia="仿宋_GB2312" w:cs="仿宋_GB2312"/>
          <w:color w:val="auto"/>
          <w:szCs w:val="21"/>
          <w:u w:val="single"/>
        </w:rPr>
        <w:t>（项目编号、项目名称、包号）</w:t>
      </w:r>
      <w:r>
        <w:rPr>
          <w:rFonts w:hint="eastAsia" w:ascii="仿宋_GB2312" w:hAnsi="仿宋_GB2312" w:eastAsia="仿宋_GB2312" w:cs="仿宋_GB2312"/>
          <w:color w:val="auto"/>
          <w:szCs w:val="21"/>
        </w:rPr>
        <w:t>投标中，以我单位名义处理一切与之有关的事务。</w:t>
      </w:r>
    </w:p>
    <w:p w14:paraId="36962EEF">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本授权书于</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年</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月</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日签字或盖章生效，无转委托，特此声明。</w:t>
      </w:r>
    </w:p>
    <w:p w14:paraId="45FD4857">
      <w:pPr>
        <w:spacing w:line="360" w:lineRule="auto"/>
        <w:rPr>
          <w:rFonts w:ascii="仿宋_GB2312" w:hAnsi="仿宋_GB2312" w:eastAsia="仿宋_GB2312" w:cs="仿宋_GB2312"/>
          <w:color w:val="auto"/>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B61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54EB404">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人身份证正、反面复印件※）</w:t>
            </w:r>
          </w:p>
        </w:tc>
      </w:tr>
    </w:tbl>
    <w:p w14:paraId="5BF7EADA">
      <w:pPr>
        <w:spacing w:line="360" w:lineRule="auto"/>
        <w:rPr>
          <w:rFonts w:ascii="仿宋_GB2312" w:hAnsi="仿宋_GB2312" w:eastAsia="仿宋_GB2312" w:cs="仿宋_GB2312"/>
          <w:color w:val="auto"/>
          <w:szCs w:val="21"/>
        </w:rPr>
      </w:pPr>
    </w:p>
    <w:p w14:paraId="3A6FDE6C">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委托人（加盖单位公章）：</w:t>
      </w:r>
      <w:r>
        <w:rPr>
          <w:rFonts w:hint="eastAsia" w:ascii="仿宋_GB2312" w:hAnsi="仿宋_GB2312" w:eastAsia="仿宋_GB2312" w:cs="仿宋_GB2312"/>
          <w:color w:val="auto"/>
          <w:szCs w:val="21"/>
          <w:u w:val="single"/>
        </w:rPr>
        <w:t xml:space="preserve">              </w:t>
      </w:r>
    </w:p>
    <w:p w14:paraId="1165CA71">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法定代表人（或非法人组织负责人）（签字或盖章）：</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w:t>
      </w:r>
    </w:p>
    <w:p w14:paraId="4C2FF7A8">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人（签字或盖章）：</w:t>
      </w:r>
      <w:r>
        <w:rPr>
          <w:rFonts w:hint="eastAsia" w:ascii="仿宋_GB2312" w:hAnsi="仿宋_GB2312" w:eastAsia="仿宋_GB2312" w:cs="仿宋_GB2312"/>
          <w:color w:val="auto"/>
          <w:szCs w:val="21"/>
          <w:u w:val="single"/>
        </w:rPr>
        <w:t xml:space="preserve">              </w:t>
      </w:r>
    </w:p>
    <w:p w14:paraId="2DE49644">
      <w:pPr>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详细通讯地址：</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邮政编码 ：</w:t>
      </w:r>
      <w:r>
        <w:rPr>
          <w:rFonts w:hint="eastAsia" w:ascii="仿宋_GB2312" w:hAnsi="仿宋_GB2312" w:eastAsia="仿宋_GB2312" w:cs="仿宋_GB2312"/>
          <w:color w:val="auto"/>
          <w:szCs w:val="21"/>
          <w:u w:val="single"/>
        </w:rPr>
        <w:t xml:space="preserve">              </w:t>
      </w:r>
    </w:p>
    <w:p w14:paraId="4E607632">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传        真：</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电     话：</w:t>
      </w:r>
      <w:r>
        <w:rPr>
          <w:rFonts w:hint="eastAsia" w:ascii="仿宋_GB2312" w:hAnsi="仿宋_GB2312" w:eastAsia="仿宋_GB2312" w:cs="仿宋_GB2312"/>
          <w:color w:val="auto"/>
          <w:szCs w:val="21"/>
          <w:u w:val="single"/>
        </w:rPr>
        <w:t xml:space="preserve">              </w:t>
      </w:r>
    </w:p>
    <w:p w14:paraId="129C3F0F">
      <w:pPr>
        <w:spacing w:line="360" w:lineRule="auto"/>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        期:</w:t>
      </w:r>
      <w:r>
        <w:rPr>
          <w:rFonts w:hint="eastAsia" w:ascii="仿宋_GB2312" w:hAnsi="仿宋_GB2312" w:eastAsia="仿宋_GB2312" w:cs="仿宋_GB2312"/>
          <w:color w:val="auto"/>
          <w:szCs w:val="21"/>
          <w:u w:val="single"/>
        </w:rPr>
        <w:t xml:space="preserve">                       </w:t>
      </w:r>
    </w:p>
    <w:p w14:paraId="7F97A89F">
      <w:pPr>
        <w:rPr>
          <w:rFonts w:ascii="仿宋_GB2312" w:hAnsi="仿宋_GB2312" w:eastAsia="仿宋_GB2312" w:cs="仿宋_GB2312"/>
          <w:color w:val="auto"/>
          <w:szCs w:val="28"/>
        </w:rPr>
      </w:pPr>
      <w:r>
        <w:rPr>
          <w:rFonts w:hint="eastAsia" w:ascii="仿宋_GB2312" w:hAnsi="仿宋_GB2312" w:eastAsia="仿宋_GB2312" w:cs="仿宋_GB2312"/>
          <w:color w:val="auto"/>
          <w:szCs w:val="28"/>
        </w:rPr>
        <w:br w:type="page"/>
      </w:r>
    </w:p>
    <w:p w14:paraId="102B16DF">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格式6</w:t>
      </w:r>
    </w:p>
    <w:p w14:paraId="60DA0472">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具有良好的商业信誉和健全的财务会计制度的承诺函</w:t>
      </w:r>
    </w:p>
    <w:p w14:paraId="77925C6D">
      <w:pPr>
        <w:spacing w:before="319" w:beforeLines="100" w:after="319" w:afterLines="100" w:line="480" w:lineRule="exact"/>
        <w:ind w:right="630" w:rightChars="30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（格式自拟）</w:t>
      </w:r>
    </w:p>
    <w:p w14:paraId="71B6ABE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9AD27DE">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6434A5C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D10878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022598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09DA2B2D">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75AA1A6E">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D5C418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B96007E">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2BEAB06">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0A345A2E">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65C62086">
      <w:pPr>
        <w:adjustRightInd w:val="0"/>
        <w:snapToGrid w:val="0"/>
        <w:spacing w:line="360" w:lineRule="auto"/>
        <w:ind w:right="105" w:rightChars="50"/>
        <w:jc w:val="left"/>
        <w:rPr>
          <w:rFonts w:ascii="仿宋_GB2312" w:hAnsi="仿宋_GB2312" w:eastAsia="仿宋_GB2312" w:cs="仿宋_GB2312"/>
          <w:color w:val="auto"/>
          <w:u w:val="single"/>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5D74AF54">
      <w:pPr>
        <w:adjustRightInd w:val="0"/>
        <w:snapToGrid w:val="0"/>
        <w:spacing w:line="360" w:lineRule="auto"/>
        <w:ind w:right="105" w:rightChars="50"/>
        <w:jc w:val="left"/>
        <w:rPr>
          <w:rFonts w:ascii="仿宋_GB2312" w:hAnsi="仿宋_GB2312" w:eastAsia="仿宋_GB2312" w:cs="仿宋_GB2312"/>
          <w:color w:val="auto"/>
          <w:u w:val="single"/>
        </w:rPr>
      </w:pPr>
    </w:p>
    <w:p w14:paraId="3A368C17">
      <w:pPr>
        <w:rPr>
          <w:rFonts w:ascii="仿宋_GB2312" w:hAnsi="仿宋_GB2312" w:eastAsia="仿宋_GB2312" w:cs="仿宋_GB2312"/>
          <w:color w:val="auto"/>
          <w:szCs w:val="28"/>
        </w:rPr>
      </w:pPr>
      <w:r>
        <w:rPr>
          <w:rFonts w:hint="eastAsia" w:ascii="仿宋_GB2312" w:hAnsi="仿宋_GB2312" w:eastAsia="仿宋_GB2312" w:cs="仿宋_GB2312"/>
          <w:color w:val="auto"/>
          <w:szCs w:val="28"/>
        </w:rPr>
        <w:br w:type="page"/>
      </w:r>
    </w:p>
    <w:p w14:paraId="23BCF5B2">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格式7</w:t>
      </w:r>
    </w:p>
    <w:p w14:paraId="23B9863D">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bookmarkStart w:id="98" w:name="_Toc12037_WPSOffice_Level2"/>
      <w:bookmarkStart w:id="99" w:name="_Toc23728_WPSOffice_Level2"/>
      <w:r>
        <w:rPr>
          <w:rFonts w:hint="eastAsia" w:ascii="仿宋_GB2312" w:hAnsi="仿宋_GB2312" w:eastAsia="仿宋_GB2312" w:cs="仿宋_GB2312"/>
          <w:b/>
          <w:color w:val="auto"/>
          <w:sz w:val="32"/>
          <w:szCs w:val="32"/>
        </w:rPr>
        <w:t>具备履行合同所必需的设备和专业技术能力声明函</w:t>
      </w:r>
      <w:bookmarkEnd w:id="98"/>
      <w:bookmarkEnd w:id="99"/>
    </w:p>
    <w:p w14:paraId="1A78CA51">
      <w:pPr>
        <w:spacing w:before="319" w:beforeLines="100" w:after="319" w:afterLines="100" w:line="480" w:lineRule="exact"/>
        <w:ind w:right="630" w:rightChars="300"/>
        <w:jc w:val="center"/>
        <w:rPr>
          <w:rFonts w:ascii="仿宋_GB2312" w:hAnsi="仿宋_GB2312" w:eastAsia="仿宋_GB2312" w:cs="仿宋_GB2312"/>
          <w:color w:val="auto"/>
          <w:sz w:val="28"/>
          <w:szCs w:val="28"/>
        </w:rPr>
      </w:pPr>
      <w:bookmarkStart w:id="100" w:name="_Toc28831_WPSOffice_Level2"/>
      <w:bookmarkStart w:id="101" w:name="_Toc1917_WPSOffice_Level2"/>
      <w:r>
        <w:rPr>
          <w:rFonts w:hint="eastAsia" w:ascii="仿宋_GB2312" w:hAnsi="仿宋_GB2312" w:eastAsia="仿宋_GB2312" w:cs="仿宋_GB2312"/>
          <w:color w:val="auto"/>
          <w:sz w:val="28"/>
          <w:szCs w:val="28"/>
        </w:rPr>
        <w:t>（格式自拟）</w:t>
      </w:r>
      <w:bookmarkEnd w:id="100"/>
      <w:bookmarkEnd w:id="101"/>
    </w:p>
    <w:p w14:paraId="283043E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D436D80">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257861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FF4158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12E145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2B31E74">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AE3F448">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42B99D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2C14E19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68DEE470">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1A855AD5">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3F891E01">
      <w:pPr>
        <w:adjustRightInd w:val="0"/>
        <w:snapToGrid w:val="0"/>
        <w:spacing w:line="360" w:lineRule="auto"/>
        <w:ind w:right="105" w:rightChars="50"/>
        <w:jc w:val="left"/>
        <w:rPr>
          <w:rFonts w:ascii="仿宋_GB2312" w:hAnsi="仿宋_GB2312" w:eastAsia="仿宋_GB2312" w:cs="仿宋_GB2312"/>
          <w:color w:val="auto"/>
          <w:u w:val="single"/>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2D560D18">
      <w:pPr>
        <w:adjustRightInd w:val="0"/>
        <w:snapToGrid w:val="0"/>
        <w:spacing w:line="360" w:lineRule="auto"/>
        <w:ind w:right="105" w:rightChars="50"/>
        <w:jc w:val="left"/>
        <w:rPr>
          <w:rFonts w:ascii="仿宋_GB2312" w:hAnsi="仿宋_GB2312" w:eastAsia="仿宋_GB2312" w:cs="仿宋_GB2312"/>
          <w:color w:val="auto"/>
          <w:u w:val="single"/>
        </w:rPr>
      </w:pPr>
    </w:p>
    <w:p w14:paraId="25E506B3">
      <w:pPr>
        <w:adjustRightInd w:val="0"/>
        <w:snapToGrid w:val="0"/>
        <w:spacing w:line="360" w:lineRule="auto"/>
        <w:ind w:right="105" w:rightChars="50"/>
        <w:jc w:val="left"/>
        <w:rPr>
          <w:rFonts w:ascii="仿宋_GB2312" w:hAnsi="仿宋_GB2312" w:eastAsia="仿宋_GB2312" w:cs="仿宋_GB2312"/>
          <w:b/>
          <w:color w:val="auto"/>
          <w:sz w:val="28"/>
          <w:szCs w:val="28"/>
        </w:rPr>
      </w:pPr>
    </w:p>
    <w:p w14:paraId="72FFE772">
      <w:pPr>
        <w:widowControl/>
        <w:jc w:val="left"/>
        <w:rPr>
          <w:rFonts w:ascii="仿宋_GB2312" w:hAnsi="仿宋_GB2312" w:eastAsia="仿宋_GB2312" w:cs="仿宋_GB2312"/>
          <w:b/>
          <w:color w:val="auto"/>
          <w:sz w:val="28"/>
          <w:szCs w:val="28"/>
        </w:rPr>
      </w:pPr>
      <w:r>
        <w:rPr>
          <w:rFonts w:hint="eastAsia" w:ascii="仿宋_GB2312" w:hAnsi="仿宋_GB2312" w:eastAsia="仿宋_GB2312" w:cs="仿宋_GB2312"/>
          <w:color w:val="auto"/>
          <w:szCs w:val="28"/>
        </w:rPr>
        <w:br w:type="page"/>
      </w:r>
    </w:p>
    <w:p w14:paraId="1601161F">
      <w:pPr>
        <w:pStyle w:val="3"/>
        <w:adjustRightInd w:val="0"/>
        <w:snapToGrid w:val="0"/>
        <w:spacing w:before="0" w:after="0" w:line="240" w:lineRule="auto"/>
        <w:jc w:val="left"/>
        <w:rPr>
          <w:rFonts w:ascii="仿宋_GB2312" w:hAnsi="仿宋_GB2312" w:eastAsia="仿宋_GB2312" w:cs="仿宋_GB2312"/>
          <w:color w:val="auto"/>
        </w:rPr>
      </w:pPr>
      <w:r>
        <w:rPr>
          <w:rFonts w:hint="eastAsia" w:ascii="仿宋_GB2312" w:hAnsi="仿宋_GB2312" w:eastAsia="仿宋_GB2312" w:cs="仿宋_GB2312"/>
          <w:color w:val="auto"/>
          <w:szCs w:val="28"/>
        </w:rPr>
        <w:t>格式8</w:t>
      </w:r>
    </w:p>
    <w:p w14:paraId="487B6F2E">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 xml:space="preserve">   </w:t>
      </w:r>
      <w:bookmarkStart w:id="102" w:name="_Toc7498_WPSOffice_Level2"/>
      <w:bookmarkStart w:id="103" w:name="_Toc11967_WPSOffice_Level2"/>
      <w:r>
        <w:rPr>
          <w:rFonts w:hint="eastAsia" w:ascii="仿宋_GB2312" w:hAnsi="仿宋_GB2312" w:eastAsia="仿宋_GB2312" w:cs="仿宋_GB2312"/>
          <w:b/>
          <w:color w:val="auto"/>
          <w:sz w:val="32"/>
          <w:szCs w:val="32"/>
        </w:rPr>
        <w:t>参加政府采购活动前3年内在经营活动中没有重大违法记录的书面声明</w:t>
      </w:r>
      <w:bookmarkEnd w:id="102"/>
      <w:bookmarkEnd w:id="103"/>
    </w:p>
    <w:p w14:paraId="703FD604">
      <w:pPr>
        <w:spacing w:line="360" w:lineRule="auto"/>
        <w:ind w:right="630" w:rightChars="300"/>
        <w:rPr>
          <w:rFonts w:ascii="仿宋_GB2312" w:hAnsi="仿宋_GB2312" w:eastAsia="仿宋_GB2312" w:cs="仿宋_GB2312"/>
          <w:b/>
          <w:color w:val="auto"/>
          <w:szCs w:val="21"/>
        </w:rPr>
      </w:pPr>
      <w:r>
        <w:rPr>
          <w:rFonts w:hint="eastAsia" w:ascii="仿宋_GB2312" w:hAnsi="仿宋_GB2312" w:eastAsia="仿宋_GB2312" w:cs="仿宋_GB2312"/>
          <w:b/>
          <w:color w:val="auto"/>
          <w:szCs w:val="21"/>
          <w:u w:val="single"/>
        </w:rPr>
        <w:t>（</w:t>
      </w:r>
      <w:r>
        <w:rPr>
          <w:rFonts w:hint="eastAsia" w:ascii="仿宋_GB2312" w:hAnsi="仿宋_GB2312" w:eastAsia="仿宋_GB2312" w:cs="仿宋_GB2312"/>
          <w:b/>
          <w:color w:val="auto"/>
          <w:szCs w:val="21"/>
          <w:u w:val="single"/>
          <w:lang w:eastAsia="zh-CN"/>
        </w:rPr>
        <w:t>招标人</w:t>
      </w:r>
      <w:r>
        <w:rPr>
          <w:rFonts w:hint="eastAsia" w:ascii="仿宋_GB2312" w:hAnsi="仿宋_GB2312" w:eastAsia="仿宋_GB2312" w:cs="仿宋_GB2312"/>
          <w:b/>
          <w:color w:val="auto"/>
          <w:szCs w:val="21"/>
          <w:u w:val="single"/>
        </w:rPr>
        <w:t xml:space="preserve">或采购代理机构名称） </w:t>
      </w:r>
      <w:r>
        <w:rPr>
          <w:rFonts w:hint="eastAsia" w:ascii="仿宋_GB2312" w:hAnsi="仿宋_GB2312" w:eastAsia="仿宋_GB2312" w:cs="仿宋_GB2312"/>
          <w:b/>
          <w:color w:val="auto"/>
          <w:szCs w:val="21"/>
        </w:rPr>
        <w:t xml:space="preserve"> ：</w:t>
      </w:r>
    </w:p>
    <w:p w14:paraId="11A927EB">
      <w:pPr>
        <w:spacing w:line="360" w:lineRule="auto"/>
        <w:ind w:right="-21" w:rightChars="-10" w:firstLine="493" w:firstLineChars="235"/>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078BB599">
      <w:pPr>
        <w:tabs>
          <w:tab w:val="left" w:pos="10065"/>
        </w:tabs>
        <w:spacing w:line="360" w:lineRule="auto"/>
        <w:ind w:right="-21" w:rightChars="-10" w:firstLine="371" w:firstLineChars="177"/>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如发现我单位提供的声明函不实时，我单位将按照《政府采购法》有关提供虚假材料的规定，接受处罚。</w:t>
      </w:r>
    </w:p>
    <w:p w14:paraId="5D9CBBA5">
      <w:pPr>
        <w:spacing w:line="360" w:lineRule="auto"/>
        <w:ind w:right="1050" w:rightChars="50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特此声明。</w:t>
      </w:r>
    </w:p>
    <w:p w14:paraId="0D035CEA">
      <w:pPr>
        <w:spacing w:line="500" w:lineRule="exact"/>
        <w:ind w:right="1050" w:rightChars="500"/>
        <w:rPr>
          <w:rFonts w:ascii="仿宋_GB2312" w:hAnsi="仿宋_GB2312" w:eastAsia="仿宋_GB2312" w:cs="仿宋_GB2312"/>
          <w:color w:val="auto"/>
          <w:szCs w:val="21"/>
        </w:rPr>
      </w:pPr>
    </w:p>
    <w:p w14:paraId="6D6E66EB">
      <w:pPr>
        <w:spacing w:before="159" w:beforeLines="50" w:after="159" w:afterLines="50" w:line="400" w:lineRule="exact"/>
        <w:ind w:right="1050" w:rightChars="500"/>
        <w:rPr>
          <w:rFonts w:ascii="仿宋_GB2312" w:hAnsi="仿宋_GB2312" w:eastAsia="仿宋_GB2312" w:cs="仿宋_GB2312"/>
          <w:color w:val="auto"/>
          <w:szCs w:val="21"/>
        </w:rPr>
      </w:pPr>
    </w:p>
    <w:p w14:paraId="3BB11155">
      <w:pPr>
        <w:spacing w:before="159" w:beforeLines="50" w:after="159" w:afterLines="50" w:line="400" w:lineRule="exact"/>
        <w:ind w:right="1050" w:rightChars="500"/>
        <w:rPr>
          <w:rFonts w:ascii="仿宋_GB2312" w:hAnsi="仿宋_GB2312" w:eastAsia="仿宋_GB2312" w:cs="仿宋_GB2312"/>
          <w:color w:val="auto"/>
          <w:szCs w:val="21"/>
        </w:rPr>
      </w:pPr>
    </w:p>
    <w:p w14:paraId="6F820AAE">
      <w:pPr>
        <w:spacing w:before="159" w:beforeLines="50" w:after="159" w:afterLines="50" w:line="400" w:lineRule="exact"/>
        <w:ind w:right="1050" w:rightChars="500"/>
        <w:rPr>
          <w:rFonts w:ascii="仿宋_GB2312" w:hAnsi="仿宋_GB2312" w:eastAsia="仿宋_GB2312" w:cs="仿宋_GB2312"/>
          <w:color w:val="auto"/>
          <w:szCs w:val="21"/>
        </w:rPr>
      </w:pPr>
    </w:p>
    <w:p w14:paraId="0AEF6EB7">
      <w:pPr>
        <w:spacing w:line="360" w:lineRule="exact"/>
        <w:ind w:right="1050" w:rightChars="500"/>
        <w:rPr>
          <w:rFonts w:ascii="仿宋_GB2312" w:hAnsi="仿宋_GB2312" w:eastAsia="仿宋_GB2312" w:cs="仿宋_GB2312"/>
          <w:color w:val="auto"/>
          <w:szCs w:val="21"/>
        </w:rPr>
      </w:pPr>
    </w:p>
    <w:p w14:paraId="35412A56">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54E60A49">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5E4B0477">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706FCAD6">
      <w:pPr>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0F068DB6">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szCs w:val="28"/>
        </w:rPr>
        <w:t>格式9</w:t>
      </w:r>
    </w:p>
    <w:p w14:paraId="4DAB9F2C">
      <w:pPr>
        <w:spacing w:before="319" w:beforeLines="100" w:after="319" w:afterLines="100" w:line="360" w:lineRule="auto"/>
        <w:ind w:right="-21" w:rightChars="-10"/>
        <w:jc w:val="center"/>
        <w:rPr>
          <w:rFonts w:ascii="仿宋_GB2312" w:hAnsi="仿宋_GB2312" w:eastAsia="仿宋_GB2312" w:cs="仿宋_GB2312"/>
          <w:b/>
          <w:color w:val="auto"/>
          <w:sz w:val="32"/>
          <w:szCs w:val="32"/>
        </w:rPr>
      </w:pPr>
      <w:bookmarkStart w:id="104" w:name="_Toc14782_WPSOffice_Level2"/>
      <w:bookmarkStart w:id="105" w:name="_Toc24841_WPSOffice_Level2"/>
      <w:r>
        <w:rPr>
          <w:rFonts w:hint="eastAsia" w:ascii="仿宋_GB2312" w:hAnsi="仿宋_GB2312" w:eastAsia="仿宋_GB2312" w:cs="仿宋_GB2312"/>
          <w:b/>
          <w:color w:val="auto"/>
          <w:sz w:val="32"/>
          <w:szCs w:val="32"/>
        </w:rPr>
        <w:t>投标函</w:t>
      </w:r>
      <w:bookmarkEnd w:id="104"/>
      <w:bookmarkEnd w:id="105"/>
    </w:p>
    <w:p w14:paraId="51B9A05D">
      <w:pPr>
        <w:adjustRightInd w:val="0"/>
        <w:snapToGrid w:val="0"/>
        <w:spacing w:line="360" w:lineRule="auto"/>
        <w:ind w:right="630" w:rightChars="30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 xml:space="preserve"> </w:t>
      </w:r>
      <w:r>
        <w:rPr>
          <w:rFonts w:hint="eastAsia" w:ascii="仿宋_GB2312" w:hAnsi="仿宋_GB2312" w:eastAsia="仿宋_GB2312" w:cs="仿宋_GB2312"/>
          <w:color w:val="auto"/>
          <w:szCs w:val="21"/>
          <w:u w:val="single"/>
        </w:rPr>
        <w:t>（</w:t>
      </w:r>
      <w:r>
        <w:rPr>
          <w:rFonts w:hint="eastAsia" w:ascii="仿宋_GB2312" w:hAnsi="仿宋_GB2312" w:eastAsia="仿宋_GB2312" w:cs="仿宋_GB2312"/>
          <w:color w:val="auto"/>
          <w:szCs w:val="21"/>
          <w:u w:val="single"/>
          <w:lang w:eastAsia="zh-CN"/>
        </w:rPr>
        <w:t>招标人</w:t>
      </w:r>
      <w:r>
        <w:rPr>
          <w:rFonts w:hint="eastAsia" w:ascii="仿宋_GB2312" w:hAnsi="仿宋_GB2312" w:eastAsia="仿宋_GB2312" w:cs="仿宋_GB2312"/>
          <w:color w:val="auto"/>
          <w:szCs w:val="21"/>
          <w:u w:val="single"/>
        </w:rPr>
        <w:t>或采购代理机构）：</w:t>
      </w:r>
    </w:p>
    <w:p w14:paraId="75621402">
      <w:pPr>
        <w:adjustRightInd w:val="0"/>
        <w:snapToGrid w:val="0"/>
        <w:spacing w:line="360" w:lineRule="auto"/>
        <w:ind w:right="-21" w:rightChars="-10"/>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 xml:space="preserve">    根据贵方</w:t>
      </w:r>
      <w:r>
        <w:rPr>
          <w:rFonts w:hint="eastAsia" w:ascii="仿宋_GB2312" w:hAnsi="仿宋_GB2312" w:eastAsia="仿宋_GB2312" w:cs="仿宋_GB2312"/>
          <w:color w:val="auto"/>
          <w:szCs w:val="21"/>
          <w:u w:val="single"/>
        </w:rPr>
        <w:t>(项目名称)</w:t>
      </w:r>
      <w:r>
        <w:rPr>
          <w:rFonts w:hint="eastAsia" w:ascii="仿宋_GB2312" w:hAnsi="仿宋_GB2312" w:eastAsia="仿宋_GB2312" w:cs="仿宋_GB2312"/>
          <w:color w:val="auto"/>
          <w:szCs w:val="21"/>
        </w:rPr>
        <w:t>项目的招标公告</w:t>
      </w:r>
      <w:r>
        <w:rPr>
          <w:rFonts w:hint="eastAsia" w:ascii="仿宋_GB2312" w:hAnsi="仿宋_GB2312" w:eastAsia="仿宋_GB2312" w:cs="仿宋_GB2312"/>
          <w:color w:val="auto"/>
          <w:szCs w:val="21"/>
          <w:u w:val="single"/>
        </w:rPr>
        <w:t>(招标编号)</w:t>
      </w:r>
      <w:r>
        <w:rPr>
          <w:rFonts w:hint="eastAsia" w:ascii="仿宋_GB2312" w:hAnsi="仿宋_GB2312" w:eastAsia="仿宋_GB2312" w:cs="仿宋_GB2312"/>
          <w:color w:val="auto"/>
          <w:szCs w:val="21"/>
        </w:rPr>
        <w:t>,签字代表</w:t>
      </w:r>
      <w:r>
        <w:rPr>
          <w:rFonts w:hint="eastAsia" w:ascii="仿宋_GB2312" w:hAnsi="仿宋_GB2312" w:eastAsia="仿宋_GB2312" w:cs="仿宋_GB2312"/>
          <w:color w:val="auto"/>
          <w:szCs w:val="21"/>
          <w:u w:val="single"/>
        </w:rPr>
        <w:t>(姓名、职务)</w:t>
      </w:r>
      <w:r>
        <w:rPr>
          <w:rFonts w:hint="eastAsia" w:ascii="仿宋_GB2312" w:hAnsi="仿宋_GB2312" w:eastAsia="仿宋_GB2312" w:cs="仿宋_GB2312"/>
          <w:color w:val="auto"/>
          <w:szCs w:val="21"/>
        </w:rPr>
        <w:t>经正式授权并代表投标人</w:t>
      </w:r>
      <w:r>
        <w:rPr>
          <w:rFonts w:hint="eastAsia" w:ascii="仿宋_GB2312" w:hAnsi="仿宋_GB2312" w:eastAsia="仿宋_GB2312" w:cs="仿宋_GB2312"/>
          <w:color w:val="auto"/>
          <w:szCs w:val="21"/>
          <w:u w:val="single"/>
        </w:rPr>
        <w:t>（名称、地址）</w:t>
      </w:r>
      <w:r>
        <w:rPr>
          <w:rFonts w:hint="eastAsia" w:ascii="仿宋_GB2312" w:hAnsi="仿宋_GB2312" w:eastAsia="仿宋_GB2312" w:cs="仿宋_GB2312"/>
          <w:color w:val="auto"/>
          <w:szCs w:val="21"/>
        </w:rPr>
        <w:t>提交下述文件正本</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份、副本</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份及电子文档</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份</w:t>
      </w:r>
      <w:r>
        <w:rPr>
          <w:rFonts w:hint="eastAsia" w:ascii="仿宋_GB2312" w:hAnsi="仿宋_GB2312" w:eastAsia="仿宋_GB2312" w:cs="仿宋_GB2312"/>
          <w:color w:val="auto"/>
          <w:szCs w:val="21"/>
          <w:lang w:eastAsia="zh-CN"/>
        </w:rPr>
        <w:t>。</w:t>
      </w:r>
    </w:p>
    <w:p w14:paraId="042C8EFA">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据此，签字代表宣布同意如下：</w:t>
      </w:r>
    </w:p>
    <w:p w14:paraId="00B866AC">
      <w:pPr>
        <w:numPr>
          <w:ilvl w:val="0"/>
          <w:numId w:val="3"/>
        </w:num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本项目投标总价详见开标一览表。</w:t>
      </w:r>
    </w:p>
    <w:p w14:paraId="602CEF00">
      <w:pPr>
        <w:numPr>
          <w:ilvl w:val="0"/>
          <w:numId w:val="3"/>
        </w:num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本投标有效期为自递交投标文件截止之日起</w:t>
      </w:r>
      <w:r>
        <w:rPr>
          <w:rFonts w:hint="eastAsia" w:ascii="仿宋_GB2312" w:hAnsi="仿宋_GB2312" w:eastAsia="仿宋_GB2312" w:cs="仿宋_GB2312"/>
          <w:color w:val="auto"/>
          <w:szCs w:val="21"/>
          <w:u w:val="single"/>
        </w:rPr>
        <w:t>90</w:t>
      </w:r>
      <w:r>
        <w:rPr>
          <w:rFonts w:hint="eastAsia" w:ascii="仿宋_GB2312" w:hAnsi="仿宋_GB2312" w:eastAsia="仿宋_GB2312" w:cs="仿宋_GB2312"/>
          <w:color w:val="auto"/>
          <w:szCs w:val="21"/>
        </w:rPr>
        <w:t>日历日。</w:t>
      </w:r>
    </w:p>
    <w:p w14:paraId="3D479766">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（3）已详细审查全部招标文件，包括所有补充通知（如果有的话）。</w:t>
      </w:r>
    </w:p>
    <w:p w14:paraId="769F3BC5">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（4）在规定的开标时间后，遵守招标文件中有关保证金的规定。</w:t>
      </w:r>
    </w:p>
    <w:p w14:paraId="5996E935">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（5）我方不是为本项目提供整体设计、规范编制或者项目管理、监理、检测等服务的供应商，我方不是采购代理机构的附属机构。</w:t>
      </w:r>
    </w:p>
    <w:p w14:paraId="2B7F71D4">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（6）在领取中标通知书的同时按招标文件规定的形式，向采购代理机构一次性支付采购代理服务费（适用于中标人支付采购代理服务费情形）。</w:t>
      </w:r>
    </w:p>
    <w:p w14:paraId="7D566B90">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（7）按照贵方可能要求，提供与其投标有关的一切数据或资料，完全理解贵方不一定接受最低价的投标或收到的任何投标。</w:t>
      </w:r>
    </w:p>
    <w:p w14:paraId="5DD808E2">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（8）按照招标文件的规定履行合同责任和义务。</w:t>
      </w:r>
    </w:p>
    <w:p w14:paraId="3400721D">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（9）我方承诺投标文件中的证明材料真实、合法、有效。</w:t>
      </w:r>
    </w:p>
    <w:p w14:paraId="50019680">
      <w:pPr>
        <w:adjustRightInd w:val="0"/>
        <w:snapToGrid w:val="0"/>
        <w:spacing w:line="360" w:lineRule="auto"/>
        <w:ind w:right="-21" w:rightChars="-10"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其他事项：</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w:t>
      </w:r>
    </w:p>
    <w:p w14:paraId="4AEF979D">
      <w:pPr>
        <w:adjustRightInd w:val="0"/>
        <w:snapToGrid w:val="0"/>
        <w:spacing w:line="360" w:lineRule="auto"/>
        <w:ind w:right="-21" w:rightChars="-10"/>
        <w:rPr>
          <w:rFonts w:ascii="仿宋_GB2312" w:hAnsi="仿宋_GB2312" w:eastAsia="仿宋_GB2312" w:cs="仿宋_GB2312"/>
          <w:color w:val="auto"/>
          <w:szCs w:val="21"/>
        </w:rPr>
      </w:pPr>
    </w:p>
    <w:p w14:paraId="4D55DA8E">
      <w:pPr>
        <w:adjustRightInd w:val="0"/>
        <w:snapToGrid w:val="0"/>
        <w:spacing w:line="360" w:lineRule="auto"/>
        <w:ind w:right="-21" w:rightChars="-10"/>
        <w:rPr>
          <w:rFonts w:ascii="仿宋_GB2312" w:hAnsi="仿宋_GB2312" w:eastAsia="仿宋_GB2312" w:cs="仿宋_GB2312"/>
          <w:color w:val="auto"/>
          <w:szCs w:val="21"/>
        </w:rPr>
      </w:pPr>
    </w:p>
    <w:p w14:paraId="3CAF0C17">
      <w:pPr>
        <w:adjustRightInd w:val="0"/>
        <w:snapToGrid w:val="0"/>
        <w:spacing w:line="360" w:lineRule="auto"/>
        <w:ind w:right="-21" w:rightChars="-10"/>
        <w:rPr>
          <w:rFonts w:ascii="仿宋_GB2312" w:hAnsi="仿宋_GB2312" w:eastAsia="仿宋_GB2312" w:cs="仿宋_GB2312"/>
          <w:color w:val="auto"/>
          <w:szCs w:val="21"/>
        </w:rPr>
      </w:pPr>
    </w:p>
    <w:p w14:paraId="3A295001">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与本项目有关的一切往来通讯请寄</w:t>
      </w:r>
    </w:p>
    <w:p w14:paraId="2925F2D0">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地址：</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传真：</w:t>
      </w:r>
      <w:r>
        <w:rPr>
          <w:rFonts w:hint="eastAsia" w:ascii="仿宋_GB2312" w:hAnsi="仿宋_GB2312" w:eastAsia="仿宋_GB2312" w:cs="仿宋_GB2312"/>
          <w:color w:val="auto"/>
          <w:szCs w:val="21"/>
          <w:u w:val="single"/>
        </w:rPr>
        <w:t xml:space="preserve">                         </w:t>
      </w:r>
    </w:p>
    <w:p w14:paraId="2CD2F412">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电话：</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电子邮件：</w:t>
      </w:r>
      <w:r>
        <w:rPr>
          <w:rFonts w:hint="eastAsia" w:ascii="仿宋_GB2312" w:hAnsi="仿宋_GB2312" w:eastAsia="仿宋_GB2312" w:cs="仿宋_GB2312"/>
          <w:color w:val="auto"/>
          <w:szCs w:val="21"/>
          <w:u w:val="single"/>
        </w:rPr>
        <w:t xml:space="preserve">                     </w:t>
      </w:r>
    </w:p>
    <w:p w14:paraId="0ABAD123">
      <w:pPr>
        <w:adjustRightInd w:val="0"/>
        <w:snapToGrid w:val="0"/>
        <w:spacing w:line="360" w:lineRule="auto"/>
        <w:ind w:right="-21" w:rightChars="-10"/>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法定代表人（非法人组织负责人）或其授权委托人（签字或盖章）：</w:t>
      </w:r>
      <w:r>
        <w:rPr>
          <w:rFonts w:hint="eastAsia" w:ascii="仿宋_GB2312" w:hAnsi="仿宋_GB2312" w:eastAsia="仿宋_GB2312" w:cs="仿宋_GB2312"/>
          <w:color w:val="auto"/>
          <w:szCs w:val="21"/>
          <w:u w:val="single"/>
        </w:rPr>
        <w:t xml:space="preserve">       </w:t>
      </w:r>
    </w:p>
    <w:p w14:paraId="19F405D1">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投标人名称（加盖单位公章）：</w:t>
      </w:r>
      <w:r>
        <w:rPr>
          <w:rFonts w:hint="eastAsia" w:ascii="仿宋_GB2312" w:hAnsi="仿宋_GB2312" w:eastAsia="仿宋_GB2312" w:cs="仿宋_GB2312"/>
          <w:color w:val="auto"/>
          <w:szCs w:val="21"/>
          <w:u w:val="single"/>
        </w:rPr>
        <w:t xml:space="preserve">         </w:t>
      </w:r>
    </w:p>
    <w:p w14:paraId="508A1772">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投标人开户银行（全称）：</w:t>
      </w:r>
      <w:r>
        <w:rPr>
          <w:rFonts w:hint="eastAsia" w:ascii="仿宋_GB2312" w:hAnsi="仿宋_GB2312" w:eastAsia="仿宋_GB2312" w:cs="仿宋_GB2312"/>
          <w:color w:val="auto"/>
          <w:szCs w:val="21"/>
          <w:u w:val="single"/>
        </w:rPr>
        <w:t xml:space="preserve">             </w:t>
      </w:r>
    </w:p>
    <w:p w14:paraId="27B2EC12">
      <w:pPr>
        <w:adjustRightInd w:val="0"/>
        <w:snapToGrid w:val="0"/>
        <w:spacing w:line="360" w:lineRule="auto"/>
        <w:ind w:right="-21" w:rightChars="-1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投标人银行账号：</w:t>
      </w:r>
      <w:r>
        <w:rPr>
          <w:rFonts w:hint="eastAsia" w:ascii="仿宋_GB2312" w:hAnsi="仿宋_GB2312" w:eastAsia="仿宋_GB2312" w:cs="仿宋_GB2312"/>
          <w:color w:val="auto"/>
          <w:szCs w:val="21"/>
          <w:u w:val="single"/>
        </w:rPr>
        <w:t xml:space="preserve">                     </w:t>
      </w:r>
    </w:p>
    <w:p w14:paraId="2CA8EF1C">
      <w:pPr>
        <w:adjustRightInd w:val="0"/>
        <w:snapToGrid w:val="0"/>
        <w:spacing w:line="360" w:lineRule="auto"/>
        <w:ind w:right="1050" w:rightChars="50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日    期：</w:t>
      </w:r>
      <w:r>
        <w:rPr>
          <w:rFonts w:hint="eastAsia" w:ascii="仿宋_GB2312" w:hAnsi="仿宋_GB2312" w:eastAsia="仿宋_GB2312" w:cs="仿宋_GB2312"/>
          <w:color w:val="auto"/>
          <w:szCs w:val="21"/>
          <w:u w:val="single"/>
        </w:rPr>
        <w:t xml:space="preserve">                           </w:t>
      </w:r>
    </w:p>
    <w:p w14:paraId="7170AC61">
      <w:pPr>
        <w:adjustRightInd w:val="0"/>
        <w:snapToGrid w:val="0"/>
        <w:spacing w:line="360" w:lineRule="auto"/>
        <w:ind w:right="1050" w:rightChars="500"/>
        <w:jc w:val="left"/>
        <w:rPr>
          <w:rFonts w:ascii="仿宋_GB2312" w:hAnsi="仿宋_GB2312" w:eastAsia="仿宋_GB2312" w:cs="仿宋_GB2312"/>
          <w:color w:val="auto"/>
          <w:szCs w:val="21"/>
          <w:u w:val="single"/>
        </w:rPr>
      </w:pPr>
    </w:p>
    <w:p w14:paraId="64A489AE">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0</w:t>
      </w:r>
    </w:p>
    <w:p w14:paraId="3E02BC1A">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auto"/>
          <w:sz w:val="32"/>
          <w:szCs w:val="32"/>
        </w:rPr>
      </w:pPr>
      <w:bookmarkStart w:id="106" w:name="_Toc11267_WPSOffice_Level2"/>
      <w:bookmarkStart w:id="107" w:name="_Toc2673_WPSOffice_Level2"/>
      <w:r>
        <w:rPr>
          <w:rFonts w:hint="eastAsia" w:ascii="仿宋_GB2312" w:hAnsi="仿宋_GB2312" w:eastAsia="仿宋_GB2312" w:cs="仿宋_GB2312"/>
          <w:b/>
          <w:bCs/>
          <w:color w:val="auto"/>
          <w:sz w:val="32"/>
          <w:szCs w:val="32"/>
        </w:rPr>
        <w:t>开标一览表</w:t>
      </w:r>
      <w:bookmarkEnd w:id="106"/>
      <w:bookmarkEnd w:id="107"/>
    </w:p>
    <w:p w14:paraId="712897E8">
      <w:pPr>
        <w:adjustRightInd w:val="0"/>
        <w:snapToGrid w:val="0"/>
        <w:spacing w:line="360" w:lineRule="auto"/>
        <w:ind w:right="105" w:rightChars="50"/>
        <w:jc w:val="left"/>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rPr>
        <w:t>包号：                                                      报价单位：</w:t>
      </w:r>
      <w:r>
        <w:rPr>
          <w:rFonts w:hint="eastAsia" w:ascii="仿宋_GB2312" w:hAnsi="仿宋_GB2312" w:eastAsia="仿宋_GB2312" w:cs="仿宋_GB2312"/>
          <w:b/>
          <w:bCs/>
          <w:color w:val="auto"/>
          <w:szCs w:val="21"/>
          <w:lang w:val="en-US" w:eastAsia="zh-CN"/>
        </w:rPr>
        <w:t>元</w:t>
      </w:r>
    </w:p>
    <w:tbl>
      <w:tblPr>
        <w:tblStyle w:val="18"/>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2808"/>
        <w:gridCol w:w="1312"/>
        <w:gridCol w:w="1481"/>
        <w:gridCol w:w="1125"/>
      </w:tblGrid>
      <w:tr w14:paraId="00D5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832" w:type="dxa"/>
            <w:noWrap w:val="0"/>
            <w:vAlign w:val="center"/>
          </w:tcPr>
          <w:p w14:paraId="4A7F15BC">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货物名称</w:t>
            </w:r>
          </w:p>
        </w:tc>
        <w:tc>
          <w:tcPr>
            <w:tcW w:w="2808" w:type="dxa"/>
            <w:noWrap w:val="0"/>
            <w:vAlign w:val="center"/>
          </w:tcPr>
          <w:p w14:paraId="41BF8411">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投标总价</w:t>
            </w:r>
          </w:p>
        </w:tc>
        <w:tc>
          <w:tcPr>
            <w:tcW w:w="1312" w:type="dxa"/>
            <w:noWrap w:val="0"/>
            <w:vAlign w:val="center"/>
          </w:tcPr>
          <w:p w14:paraId="7CFD991A">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交货时间</w:t>
            </w:r>
          </w:p>
        </w:tc>
        <w:tc>
          <w:tcPr>
            <w:tcW w:w="1481" w:type="dxa"/>
            <w:noWrap w:val="0"/>
            <w:vAlign w:val="center"/>
          </w:tcPr>
          <w:p w14:paraId="481AECB9">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交货地点</w:t>
            </w:r>
          </w:p>
        </w:tc>
        <w:tc>
          <w:tcPr>
            <w:tcW w:w="1125" w:type="dxa"/>
            <w:noWrap w:val="0"/>
            <w:vAlign w:val="center"/>
          </w:tcPr>
          <w:p w14:paraId="7A6B8334">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3EEF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1832" w:type="dxa"/>
            <w:noWrap w:val="0"/>
            <w:vAlign w:val="center"/>
          </w:tcPr>
          <w:p w14:paraId="293EA699">
            <w:pPr>
              <w:adjustRightInd w:val="0"/>
              <w:snapToGrid w:val="0"/>
              <w:ind w:left="-54" w:leftChars="-26" w:right="-46" w:rightChars="-22"/>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灭火机器人</w:t>
            </w:r>
          </w:p>
        </w:tc>
        <w:tc>
          <w:tcPr>
            <w:tcW w:w="2808" w:type="dxa"/>
            <w:noWrap w:val="0"/>
            <w:vAlign w:val="center"/>
          </w:tcPr>
          <w:p w14:paraId="0BF6157F">
            <w:pPr>
              <w:adjustRightInd w:val="0"/>
              <w:snapToGrid w:val="0"/>
              <w:ind w:left="-54" w:leftChars="-26" w:right="-46" w:rightChars="-22"/>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小写：</w:t>
            </w:r>
          </w:p>
          <w:p w14:paraId="1A34F294">
            <w:pPr>
              <w:adjustRightInd w:val="0"/>
              <w:snapToGrid w:val="0"/>
              <w:ind w:left="-54" w:leftChars="-26" w:right="-46" w:rightChars="-22"/>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大写：</w:t>
            </w:r>
          </w:p>
        </w:tc>
        <w:tc>
          <w:tcPr>
            <w:tcW w:w="1312" w:type="dxa"/>
            <w:noWrap w:val="0"/>
            <w:vAlign w:val="center"/>
          </w:tcPr>
          <w:p w14:paraId="2A99B421">
            <w:pPr>
              <w:adjustRightInd w:val="0"/>
              <w:snapToGrid w:val="0"/>
              <w:ind w:left="-54" w:leftChars="-26" w:right="-46" w:rightChars="-22"/>
              <w:jc w:val="center"/>
              <w:rPr>
                <w:rFonts w:ascii="仿宋_GB2312" w:hAnsi="仿宋_GB2312" w:eastAsia="仿宋_GB2312" w:cs="仿宋_GB2312"/>
                <w:color w:val="auto"/>
                <w:szCs w:val="21"/>
              </w:rPr>
            </w:pPr>
          </w:p>
        </w:tc>
        <w:tc>
          <w:tcPr>
            <w:tcW w:w="1481" w:type="dxa"/>
            <w:noWrap w:val="0"/>
            <w:vAlign w:val="center"/>
          </w:tcPr>
          <w:p w14:paraId="6B0DCF0E">
            <w:pPr>
              <w:adjustRightInd w:val="0"/>
              <w:snapToGrid w:val="0"/>
              <w:ind w:left="-54" w:leftChars="-26" w:right="-46" w:rightChars="-22"/>
              <w:jc w:val="center"/>
              <w:rPr>
                <w:rFonts w:ascii="仿宋_GB2312" w:hAnsi="仿宋_GB2312" w:eastAsia="仿宋_GB2312" w:cs="仿宋_GB2312"/>
                <w:color w:val="auto"/>
                <w:szCs w:val="21"/>
              </w:rPr>
            </w:pPr>
          </w:p>
        </w:tc>
        <w:tc>
          <w:tcPr>
            <w:tcW w:w="1125" w:type="dxa"/>
            <w:noWrap w:val="0"/>
            <w:vAlign w:val="center"/>
          </w:tcPr>
          <w:p w14:paraId="07E222A4">
            <w:pPr>
              <w:adjustRightInd w:val="0"/>
              <w:snapToGrid w:val="0"/>
              <w:ind w:left="-54" w:leftChars="-26" w:right="-46" w:rightChars="-22"/>
              <w:jc w:val="center"/>
              <w:rPr>
                <w:rFonts w:ascii="仿宋_GB2312" w:hAnsi="仿宋_GB2312" w:eastAsia="仿宋_GB2312" w:cs="仿宋_GB2312"/>
                <w:color w:val="auto"/>
                <w:szCs w:val="21"/>
              </w:rPr>
            </w:pPr>
          </w:p>
        </w:tc>
      </w:tr>
    </w:tbl>
    <w:p w14:paraId="063E28C1">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65FD682A">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注：此表中，投标总价应和分项报价表的总价相一致。</w:t>
      </w:r>
    </w:p>
    <w:p w14:paraId="596961BE">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E1E1664">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6E8122C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174FBEF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DECAC3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201A700">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27CFFA22">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3971CABA">
      <w:pPr>
        <w:spacing w:line="480" w:lineRule="auto"/>
        <w:ind w:right="1050" w:rightChars="50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r>
        <w:rPr>
          <w:rFonts w:hint="eastAsia" w:ascii="仿宋_GB2312" w:hAnsi="仿宋_GB2312" w:eastAsia="仿宋_GB2312" w:cs="仿宋_GB2312"/>
          <w:color w:val="auto"/>
          <w:szCs w:val="21"/>
        </w:rPr>
        <w:t xml:space="preserve">  </w:t>
      </w:r>
    </w:p>
    <w:p w14:paraId="7E809737">
      <w:pPr>
        <w:adjustRightInd w:val="0"/>
        <w:snapToGrid w:val="0"/>
        <w:spacing w:line="360" w:lineRule="auto"/>
        <w:ind w:right="105" w:rightChars="50"/>
        <w:jc w:val="left"/>
        <w:rPr>
          <w:rFonts w:ascii="仿宋_GB2312" w:hAnsi="仿宋_GB2312" w:eastAsia="仿宋_GB2312" w:cs="仿宋_GB2312"/>
          <w:color w:val="auto"/>
          <w:szCs w:val="21"/>
        </w:rPr>
      </w:pPr>
    </w:p>
    <w:p w14:paraId="68B77CAC">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79555465">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1</w:t>
      </w:r>
    </w:p>
    <w:p w14:paraId="781CA350">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auto"/>
          <w:sz w:val="32"/>
          <w:szCs w:val="32"/>
        </w:rPr>
      </w:pPr>
      <w:bookmarkStart w:id="108" w:name="_Toc16044_WPSOffice_Level2"/>
      <w:bookmarkStart w:id="109" w:name="_Toc28271_WPSOffice_Level2"/>
      <w:r>
        <w:rPr>
          <w:rFonts w:hint="eastAsia" w:ascii="仿宋_GB2312" w:hAnsi="仿宋_GB2312" w:eastAsia="仿宋_GB2312" w:cs="仿宋_GB2312"/>
          <w:b/>
          <w:bCs/>
          <w:color w:val="auto"/>
          <w:sz w:val="32"/>
          <w:szCs w:val="32"/>
        </w:rPr>
        <w:t>分项报价表</w:t>
      </w:r>
      <w:bookmarkEnd w:id="108"/>
      <w:bookmarkEnd w:id="109"/>
    </w:p>
    <w:p w14:paraId="18DE771C">
      <w:pPr>
        <w:adjustRightInd w:val="0"/>
        <w:snapToGrid w:val="0"/>
        <w:spacing w:line="360" w:lineRule="auto"/>
        <w:ind w:right="105" w:rightChars="50"/>
        <w:jc w:val="left"/>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rPr>
        <w:t>包号：                                                      报价单位：</w:t>
      </w:r>
      <w:r>
        <w:rPr>
          <w:rFonts w:hint="eastAsia" w:ascii="仿宋_GB2312" w:hAnsi="仿宋_GB2312" w:eastAsia="仿宋_GB2312" w:cs="仿宋_GB2312"/>
          <w:b/>
          <w:bCs/>
          <w:color w:val="auto"/>
          <w:szCs w:val="21"/>
          <w:lang w:val="en-US" w:eastAsia="zh-CN"/>
        </w:rPr>
        <w:t>元</w:t>
      </w:r>
    </w:p>
    <w:tbl>
      <w:tblPr>
        <w:tblStyle w:val="18"/>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664A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67090B7F">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1347" w:type="dxa"/>
            <w:noWrap w:val="0"/>
            <w:vAlign w:val="center"/>
          </w:tcPr>
          <w:p w14:paraId="3D045FF8">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产品名称</w:t>
            </w:r>
          </w:p>
        </w:tc>
        <w:tc>
          <w:tcPr>
            <w:tcW w:w="1033" w:type="dxa"/>
            <w:noWrap w:val="0"/>
            <w:vAlign w:val="center"/>
          </w:tcPr>
          <w:p w14:paraId="123D7BF6">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品牌</w:t>
            </w:r>
          </w:p>
        </w:tc>
        <w:tc>
          <w:tcPr>
            <w:tcW w:w="1033" w:type="dxa"/>
            <w:noWrap w:val="0"/>
            <w:vAlign w:val="center"/>
          </w:tcPr>
          <w:p w14:paraId="0E7D469C">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型号</w:t>
            </w:r>
          </w:p>
          <w:p w14:paraId="6BE90304">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规格</w:t>
            </w:r>
          </w:p>
        </w:tc>
        <w:tc>
          <w:tcPr>
            <w:tcW w:w="721" w:type="dxa"/>
            <w:noWrap w:val="0"/>
            <w:vAlign w:val="center"/>
          </w:tcPr>
          <w:p w14:paraId="6A8A3914">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tc>
        <w:tc>
          <w:tcPr>
            <w:tcW w:w="802" w:type="dxa"/>
            <w:noWrap w:val="0"/>
            <w:vAlign w:val="center"/>
          </w:tcPr>
          <w:p w14:paraId="2A43E429">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原产地</w:t>
            </w:r>
          </w:p>
        </w:tc>
        <w:tc>
          <w:tcPr>
            <w:tcW w:w="802" w:type="dxa"/>
            <w:noWrap w:val="0"/>
            <w:vAlign w:val="center"/>
          </w:tcPr>
          <w:p w14:paraId="4566C5AF">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制造商名称</w:t>
            </w:r>
          </w:p>
        </w:tc>
        <w:tc>
          <w:tcPr>
            <w:tcW w:w="675" w:type="dxa"/>
            <w:noWrap w:val="0"/>
            <w:vAlign w:val="center"/>
          </w:tcPr>
          <w:p w14:paraId="7F322FC6">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单价</w:t>
            </w:r>
          </w:p>
        </w:tc>
        <w:tc>
          <w:tcPr>
            <w:tcW w:w="682" w:type="dxa"/>
            <w:noWrap w:val="0"/>
            <w:vAlign w:val="center"/>
          </w:tcPr>
          <w:p w14:paraId="471E59A6">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总价</w:t>
            </w:r>
          </w:p>
        </w:tc>
        <w:tc>
          <w:tcPr>
            <w:tcW w:w="802" w:type="dxa"/>
            <w:noWrap w:val="0"/>
            <w:vAlign w:val="center"/>
          </w:tcPr>
          <w:p w14:paraId="2738B693">
            <w:pPr>
              <w:adjustRightInd w:val="0"/>
              <w:snapToGrid w:val="0"/>
              <w:ind w:left="-96" w:leftChars="-46" w:right="-63" w:rightChars="-3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1689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951831E">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03D643F7">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3CECCEF5">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53B2BDE5">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69E9F205">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218076F0">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71DE30B5">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7BDFEE13">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2DC339A7">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05DF49D8">
            <w:pPr>
              <w:adjustRightInd w:val="0"/>
              <w:snapToGrid w:val="0"/>
              <w:ind w:left="-96" w:leftChars="-46" w:right="-63" w:rightChars="-30"/>
              <w:jc w:val="center"/>
              <w:rPr>
                <w:rFonts w:ascii="仿宋_GB2312" w:hAnsi="仿宋_GB2312" w:eastAsia="仿宋_GB2312" w:cs="仿宋_GB2312"/>
                <w:color w:val="auto"/>
                <w:szCs w:val="21"/>
              </w:rPr>
            </w:pPr>
          </w:p>
        </w:tc>
      </w:tr>
      <w:tr w14:paraId="1FBB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D6F1900">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5E37AEEF">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3D7F8490">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63C82CB2">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60CF9FC8">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06FAE35C">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7144A4C4">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40149988">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7D3722D8">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4367FDFA">
            <w:pPr>
              <w:adjustRightInd w:val="0"/>
              <w:snapToGrid w:val="0"/>
              <w:ind w:left="-96" w:leftChars="-46" w:right="-63" w:rightChars="-30"/>
              <w:jc w:val="center"/>
              <w:rPr>
                <w:rFonts w:ascii="仿宋_GB2312" w:hAnsi="仿宋_GB2312" w:eastAsia="仿宋_GB2312" w:cs="仿宋_GB2312"/>
                <w:color w:val="auto"/>
                <w:szCs w:val="21"/>
              </w:rPr>
            </w:pPr>
          </w:p>
        </w:tc>
      </w:tr>
      <w:tr w14:paraId="69FC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1DF9B7F">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668E7E83">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1C4F3BDF">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0AE8473E">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7F403E33">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28D174B6">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017D28EE">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22EB1141">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6F4F16E3">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158216E5">
            <w:pPr>
              <w:adjustRightInd w:val="0"/>
              <w:snapToGrid w:val="0"/>
              <w:ind w:left="-96" w:leftChars="-46" w:right="-63" w:rightChars="-30"/>
              <w:jc w:val="center"/>
              <w:rPr>
                <w:rFonts w:ascii="仿宋_GB2312" w:hAnsi="仿宋_GB2312" w:eastAsia="仿宋_GB2312" w:cs="仿宋_GB2312"/>
                <w:color w:val="auto"/>
                <w:szCs w:val="21"/>
              </w:rPr>
            </w:pPr>
          </w:p>
        </w:tc>
      </w:tr>
      <w:tr w14:paraId="3E49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D2E6500">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4291B62A">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121C9377">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746C2C89">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62A65A7C">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5790BDBD">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463710BA">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3EE010BD">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308A602E">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519349B2">
            <w:pPr>
              <w:adjustRightInd w:val="0"/>
              <w:snapToGrid w:val="0"/>
              <w:ind w:left="-96" w:leftChars="-46" w:right="-63" w:rightChars="-30"/>
              <w:jc w:val="center"/>
              <w:rPr>
                <w:rFonts w:ascii="仿宋_GB2312" w:hAnsi="仿宋_GB2312" w:eastAsia="仿宋_GB2312" w:cs="仿宋_GB2312"/>
                <w:color w:val="auto"/>
                <w:szCs w:val="21"/>
              </w:rPr>
            </w:pPr>
          </w:p>
        </w:tc>
      </w:tr>
      <w:tr w14:paraId="4BF4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08C8A1B">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7315A63D">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0C21FED4">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617DD155">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0345C8AA">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3C8C96CA">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4BDCE7A4">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64210E59">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2726C1F8">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63204F7E">
            <w:pPr>
              <w:adjustRightInd w:val="0"/>
              <w:snapToGrid w:val="0"/>
              <w:ind w:left="-96" w:leftChars="-46" w:right="-63" w:rightChars="-30"/>
              <w:jc w:val="center"/>
              <w:rPr>
                <w:rFonts w:ascii="仿宋_GB2312" w:hAnsi="仿宋_GB2312" w:eastAsia="仿宋_GB2312" w:cs="仿宋_GB2312"/>
                <w:color w:val="auto"/>
                <w:szCs w:val="21"/>
              </w:rPr>
            </w:pPr>
          </w:p>
        </w:tc>
      </w:tr>
      <w:tr w14:paraId="3DFA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263E74E6">
            <w:pPr>
              <w:adjustRightInd w:val="0"/>
              <w:snapToGrid w:val="0"/>
              <w:ind w:left="-96" w:leftChars="-46" w:right="-63" w:rightChars="-30"/>
              <w:jc w:val="center"/>
              <w:rPr>
                <w:rFonts w:ascii="仿宋_GB2312" w:hAnsi="仿宋_GB2312" w:eastAsia="仿宋_GB2312" w:cs="仿宋_GB2312"/>
                <w:color w:val="auto"/>
                <w:szCs w:val="21"/>
              </w:rPr>
            </w:pPr>
          </w:p>
        </w:tc>
        <w:tc>
          <w:tcPr>
            <w:tcW w:w="1347" w:type="dxa"/>
            <w:noWrap w:val="0"/>
            <w:vAlign w:val="center"/>
          </w:tcPr>
          <w:p w14:paraId="3EE79E08">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570E8B1D">
            <w:pPr>
              <w:adjustRightInd w:val="0"/>
              <w:snapToGrid w:val="0"/>
              <w:ind w:left="-96" w:leftChars="-46" w:right="-63" w:rightChars="-30"/>
              <w:jc w:val="center"/>
              <w:rPr>
                <w:rFonts w:ascii="仿宋_GB2312" w:hAnsi="仿宋_GB2312" w:eastAsia="仿宋_GB2312" w:cs="仿宋_GB2312"/>
                <w:color w:val="auto"/>
                <w:szCs w:val="21"/>
              </w:rPr>
            </w:pPr>
          </w:p>
        </w:tc>
        <w:tc>
          <w:tcPr>
            <w:tcW w:w="1033" w:type="dxa"/>
            <w:noWrap w:val="0"/>
            <w:vAlign w:val="center"/>
          </w:tcPr>
          <w:p w14:paraId="7E4CE060">
            <w:pPr>
              <w:adjustRightInd w:val="0"/>
              <w:snapToGrid w:val="0"/>
              <w:ind w:left="-96" w:leftChars="-46" w:right="-63" w:rightChars="-30"/>
              <w:jc w:val="center"/>
              <w:rPr>
                <w:rFonts w:ascii="仿宋_GB2312" w:hAnsi="仿宋_GB2312" w:eastAsia="仿宋_GB2312" w:cs="仿宋_GB2312"/>
                <w:color w:val="auto"/>
                <w:szCs w:val="21"/>
              </w:rPr>
            </w:pPr>
          </w:p>
        </w:tc>
        <w:tc>
          <w:tcPr>
            <w:tcW w:w="721" w:type="dxa"/>
            <w:noWrap w:val="0"/>
            <w:vAlign w:val="center"/>
          </w:tcPr>
          <w:p w14:paraId="6A5D6FAF">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658B789F">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2885A2DE">
            <w:pPr>
              <w:adjustRightInd w:val="0"/>
              <w:snapToGrid w:val="0"/>
              <w:ind w:left="-96" w:leftChars="-46" w:right="-63" w:rightChars="-30"/>
              <w:jc w:val="center"/>
              <w:rPr>
                <w:rFonts w:ascii="仿宋_GB2312" w:hAnsi="仿宋_GB2312" w:eastAsia="仿宋_GB2312" w:cs="仿宋_GB2312"/>
                <w:color w:val="auto"/>
                <w:szCs w:val="21"/>
              </w:rPr>
            </w:pPr>
          </w:p>
        </w:tc>
        <w:tc>
          <w:tcPr>
            <w:tcW w:w="675" w:type="dxa"/>
            <w:noWrap w:val="0"/>
            <w:vAlign w:val="center"/>
          </w:tcPr>
          <w:p w14:paraId="1C58A153">
            <w:pPr>
              <w:adjustRightInd w:val="0"/>
              <w:snapToGrid w:val="0"/>
              <w:ind w:left="-96" w:leftChars="-46" w:right="-63" w:rightChars="-30"/>
              <w:jc w:val="center"/>
              <w:rPr>
                <w:rFonts w:ascii="仿宋_GB2312" w:hAnsi="仿宋_GB2312" w:eastAsia="仿宋_GB2312" w:cs="仿宋_GB2312"/>
                <w:color w:val="auto"/>
                <w:szCs w:val="21"/>
              </w:rPr>
            </w:pPr>
          </w:p>
        </w:tc>
        <w:tc>
          <w:tcPr>
            <w:tcW w:w="682" w:type="dxa"/>
            <w:noWrap w:val="0"/>
            <w:vAlign w:val="center"/>
          </w:tcPr>
          <w:p w14:paraId="127918FA">
            <w:pPr>
              <w:adjustRightInd w:val="0"/>
              <w:snapToGrid w:val="0"/>
              <w:ind w:left="-96" w:leftChars="-46" w:right="-63" w:rightChars="-30"/>
              <w:jc w:val="center"/>
              <w:rPr>
                <w:rFonts w:ascii="仿宋_GB2312" w:hAnsi="仿宋_GB2312" w:eastAsia="仿宋_GB2312" w:cs="仿宋_GB2312"/>
                <w:color w:val="auto"/>
                <w:szCs w:val="21"/>
              </w:rPr>
            </w:pPr>
          </w:p>
        </w:tc>
        <w:tc>
          <w:tcPr>
            <w:tcW w:w="802" w:type="dxa"/>
            <w:noWrap w:val="0"/>
            <w:vAlign w:val="center"/>
          </w:tcPr>
          <w:p w14:paraId="5AF232C6">
            <w:pPr>
              <w:adjustRightInd w:val="0"/>
              <w:snapToGrid w:val="0"/>
              <w:ind w:left="-96" w:leftChars="-46" w:right="-63" w:rightChars="-30"/>
              <w:jc w:val="center"/>
              <w:rPr>
                <w:rFonts w:ascii="仿宋_GB2312" w:hAnsi="仿宋_GB2312" w:eastAsia="仿宋_GB2312" w:cs="仿宋_GB2312"/>
                <w:color w:val="auto"/>
                <w:szCs w:val="21"/>
              </w:rPr>
            </w:pPr>
          </w:p>
        </w:tc>
      </w:tr>
      <w:tr w14:paraId="4C7C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6A908559">
            <w:pPr>
              <w:adjustRightInd w:val="0"/>
              <w:snapToGrid w:val="0"/>
              <w:ind w:right="105"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总价</w:t>
            </w:r>
          </w:p>
        </w:tc>
        <w:tc>
          <w:tcPr>
            <w:tcW w:w="1033" w:type="dxa"/>
            <w:noWrap w:val="0"/>
            <w:vAlign w:val="center"/>
          </w:tcPr>
          <w:p w14:paraId="5209C3B7">
            <w:pPr>
              <w:adjustRightInd w:val="0"/>
              <w:snapToGrid w:val="0"/>
              <w:ind w:right="105" w:rightChars="50"/>
              <w:jc w:val="center"/>
              <w:rPr>
                <w:rFonts w:ascii="仿宋_GB2312" w:hAnsi="仿宋_GB2312" w:eastAsia="仿宋_GB2312" w:cs="仿宋_GB2312"/>
                <w:color w:val="auto"/>
                <w:szCs w:val="21"/>
              </w:rPr>
            </w:pPr>
          </w:p>
        </w:tc>
        <w:tc>
          <w:tcPr>
            <w:tcW w:w="1033" w:type="dxa"/>
            <w:noWrap w:val="0"/>
            <w:vAlign w:val="center"/>
          </w:tcPr>
          <w:p w14:paraId="060D58F5">
            <w:pPr>
              <w:adjustRightInd w:val="0"/>
              <w:snapToGrid w:val="0"/>
              <w:ind w:right="105" w:rightChars="50"/>
              <w:jc w:val="center"/>
              <w:rPr>
                <w:rFonts w:ascii="仿宋_GB2312" w:hAnsi="仿宋_GB2312" w:eastAsia="仿宋_GB2312" w:cs="仿宋_GB2312"/>
                <w:color w:val="auto"/>
                <w:szCs w:val="21"/>
              </w:rPr>
            </w:pPr>
          </w:p>
        </w:tc>
        <w:tc>
          <w:tcPr>
            <w:tcW w:w="721" w:type="dxa"/>
            <w:noWrap w:val="0"/>
            <w:vAlign w:val="center"/>
          </w:tcPr>
          <w:p w14:paraId="48F01E96">
            <w:pPr>
              <w:adjustRightInd w:val="0"/>
              <w:snapToGrid w:val="0"/>
              <w:ind w:right="105" w:rightChars="50"/>
              <w:jc w:val="center"/>
              <w:rPr>
                <w:rFonts w:ascii="仿宋_GB2312" w:hAnsi="仿宋_GB2312" w:eastAsia="仿宋_GB2312" w:cs="仿宋_GB2312"/>
                <w:color w:val="auto"/>
                <w:szCs w:val="21"/>
              </w:rPr>
            </w:pPr>
          </w:p>
        </w:tc>
        <w:tc>
          <w:tcPr>
            <w:tcW w:w="802" w:type="dxa"/>
            <w:noWrap w:val="0"/>
            <w:vAlign w:val="center"/>
          </w:tcPr>
          <w:p w14:paraId="5B816BBD">
            <w:pPr>
              <w:adjustRightInd w:val="0"/>
              <w:snapToGrid w:val="0"/>
              <w:ind w:right="105" w:rightChars="50"/>
              <w:jc w:val="center"/>
              <w:rPr>
                <w:rFonts w:ascii="仿宋_GB2312" w:hAnsi="仿宋_GB2312" w:eastAsia="仿宋_GB2312" w:cs="仿宋_GB2312"/>
                <w:color w:val="auto"/>
                <w:szCs w:val="21"/>
              </w:rPr>
            </w:pPr>
          </w:p>
        </w:tc>
        <w:tc>
          <w:tcPr>
            <w:tcW w:w="802" w:type="dxa"/>
            <w:noWrap w:val="0"/>
            <w:vAlign w:val="center"/>
          </w:tcPr>
          <w:p w14:paraId="403BD7D5">
            <w:pPr>
              <w:adjustRightInd w:val="0"/>
              <w:snapToGrid w:val="0"/>
              <w:ind w:right="105" w:rightChars="50"/>
              <w:jc w:val="center"/>
              <w:rPr>
                <w:rFonts w:ascii="仿宋_GB2312" w:hAnsi="仿宋_GB2312" w:eastAsia="仿宋_GB2312" w:cs="仿宋_GB2312"/>
                <w:color w:val="auto"/>
                <w:szCs w:val="21"/>
              </w:rPr>
            </w:pPr>
          </w:p>
        </w:tc>
        <w:tc>
          <w:tcPr>
            <w:tcW w:w="675" w:type="dxa"/>
            <w:noWrap w:val="0"/>
            <w:vAlign w:val="center"/>
          </w:tcPr>
          <w:p w14:paraId="69A6236B">
            <w:pPr>
              <w:adjustRightInd w:val="0"/>
              <w:snapToGrid w:val="0"/>
              <w:ind w:right="105" w:rightChars="50"/>
              <w:jc w:val="center"/>
              <w:rPr>
                <w:rFonts w:ascii="仿宋_GB2312" w:hAnsi="仿宋_GB2312" w:eastAsia="仿宋_GB2312" w:cs="仿宋_GB2312"/>
                <w:color w:val="auto"/>
                <w:szCs w:val="21"/>
              </w:rPr>
            </w:pPr>
          </w:p>
        </w:tc>
        <w:tc>
          <w:tcPr>
            <w:tcW w:w="682" w:type="dxa"/>
            <w:noWrap w:val="0"/>
            <w:vAlign w:val="center"/>
          </w:tcPr>
          <w:p w14:paraId="4A453F0D">
            <w:pPr>
              <w:adjustRightInd w:val="0"/>
              <w:snapToGrid w:val="0"/>
              <w:ind w:right="105" w:rightChars="50"/>
              <w:jc w:val="center"/>
              <w:rPr>
                <w:rFonts w:ascii="仿宋_GB2312" w:hAnsi="仿宋_GB2312" w:eastAsia="仿宋_GB2312" w:cs="仿宋_GB2312"/>
                <w:color w:val="auto"/>
                <w:szCs w:val="21"/>
              </w:rPr>
            </w:pPr>
          </w:p>
        </w:tc>
        <w:tc>
          <w:tcPr>
            <w:tcW w:w="802" w:type="dxa"/>
            <w:noWrap w:val="0"/>
            <w:vAlign w:val="center"/>
          </w:tcPr>
          <w:p w14:paraId="6F6AD8DC">
            <w:pPr>
              <w:adjustRightInd w:val="0"/>
              <w:snapToGrid w:val="0"/>
              <w:ind w:right="105" w:rightChars="50"/>
              <w:jc w:val="center"/>
              <w:rPr>
                <w:rFonts w:ascii="仿宋_GB2312" w:hAnsi="仿宋_GB2312" w:eastAsia="仿宋_GB2312" w:cs="仿宋_GB2312"/>
                <w:color w:val="auto"/>
                <w:szCs w:val="21"/>
              </w:rPr>
            </w:pPr>
          </w:p>
        </w:tc>
      </w:tr>
    </w:tbl>
    <w:p w14:paraId="7C77744A">
      <w:pPr>
        <w:adjustRightInd w:val="0"/>
        <w:snapToGrid w:val="0"/>
        <w:spacing w:line="360" w:lineRule="auto"/>
        <w:ind w:right="105" w:rightChars="50"/>
        <w:jc w:val="left"/>
        <w:rPr>
          <w:rFonts w:ascii="仿宋_GB2312" w:hAnsi="仿宋_GB2312" w:eastAsia="仿宋_GB2312" w:cs="仿宋_GB2312"/>
          <w:color w:val="auto"/>
          <w:szCs w:val="21"/>
        </w:rPr>
      </w:pPr>
    </w:p>
    <w:p w14:paraId="4548DA10">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注：此表中，总价应和开标一览表的投标总价相一致。</w:t>
      </w:r>
    </w:p>
    <w:p w14:paraId="60CC7F75">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02C8E015">
      <w:pPr>
        <w:adjustRightInd w:val="0"/>
        <w:snapToGrid w:val="0"/>
        <w:spacing w:line="360" w:lineRule="auto"/>
        <w:ind w:right="105" w:rightChars="50" w:firstLine="420" w:firstLineChars="200"/>
        <w:jc w:val="left"/>
        <w:rPr>
          <w:rFonts w:ascii="仿宋_GB2312" w:hAnsi="仿宋_GB2312" w:eastAsia="仿宋_GB2312" w:cs="仿宋_GB2312"/>
          <w:color w:val="auto"/>
          <w:szCs w:val="21"/>
        </w:rPr>
      </w:pPr>
    </w:p>
    <w:p w14:paraId="6AD53CAA">
      <w:pPr>
        <w:adjustRightInd w:val="0"/>
        <w:snapToGrid w:val="0"/>
        <w:spacing w:line="360" w:lineRule="auto"/>
        <w:ind w:right="105" w:rightChars="50"/>
        <w:jc w:val="left"/>
        <w:rPr>
          <w:rFonts w:ascii="仿宋_GB2312" w:hAnsi="仿宋_GB2312" w:eastAsia="仿宋_GB2312" w:cs="仿宋_GB2312"/>
          <w:color w:val="auto"/>
          <w:szCs w:val="21"/>
        </w:rPr>
      </w:pPr>
    </w:p>
    <w:p w14:paraId="6EFE8AC4">
      <w:pPr>
        <w:adjustRightInd w:val="0"/>
        <w:snapToGrid w:val="0"/>
        <w:spacing w:line="360" w:lineRule="auto"/>
        <w:ind w:right="105" w:rightChars="50"/>
        <w:jc w:val="left"/>
        <w:rPr>
          <w:rFonts w:ascii="仿宋_GB2312" w:hAnsi="仿宋_GB2312" w:eastAsia="仿宋_GB2312" w:cs="仿宋_GB2312"/>
          <w:color w:val="auto"/>
          <w:szCs w:val="21"/>
        </w:rPr>
      </w:pPr>
    </w:p>
    <w:p w14:paraId="42B7C039">
      <w:pPr>
        <w:adjustRightInd w:val="0"/>
        <w:snapToGrid w:val="0"/>
        <w:spacing w:line="360" w:lineRule="auto"/>
        <w:ind w:right="105" w:rightChars="50"/>
        <w:jc w:val="left"/>
        <w:rPr>
          <w:rFonts w:ascii="仿宋_GB2312" w:hAnsi="仿宋_GB2312" w:eastAsia="仿宋_GB2312" w:cs="仿宋_GB2312"/>
          <w:color w:val="auto"/>
          <w:szCs w:val="21"/>
        </w:rPr>
      </w:pPr>
    </w:p>
    <w:p w14:paraId="7174BA59">
      <w:pPr>
        <w:adjustRightInd w:val="0"/>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3B3ADDDB">
      <w:pPr>
        <w:adjustRightInd w:val="0"/>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57B81ADD">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7A135457">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color w:val="auto"/>
          <w:szCs w:val="21"/>
        </w:rPr>
        <w:br w:type="page"/>
      </w: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2</w:t>
      </w:r>
    </w:p>
    <w:p w14:paraId="5A5F4D10">
      <w:pPr>
        <w:adjustRightInd w:val="0"/>
        <w:snapToGrid w:val="0"/>
        <w:spacing w:before="319" w:beforeLines="100" w:line="360" w:lineRule="auto"/>
        <w:ind w:right="105" w:rightChars="50"/>
        <w:jc w:val="center"/>
        <w:rPr>
          <w:rFonts w:ascii="仿宋_GB2312" w:hAnsi="仿宋_GB2312" w:eastAsia="仿宋_GB2312" w:cs="仿宋_GB2312"/>
          <w:b/>
          <w:bCs/>
          <w:color w:val="auto"/>
          <w:sz w:val="32"/>
          <w:szCs w:val="32"/>
        </w:rPr>
      </w:pPr>
      <w:bookmarkStart w:id="110" w:name="_Toc31555_WPSOffice_Level2"/>
      <w:bookmarkStart w:id="111" w:name="_Toc9235_WPSOffice_Level2"/>
      <w:r>
        <w:rPr>
          <w:rFonts w:hint="eastAsia" w:ascii="仿宋_GB2312" w:hAnsi="仿宋_GB2312" w:eastAsia="仿宋_GB2312" w:cs="仿宋_GB2312"/>
          <w:b/>
          <w:bCs/>
          <w:color w:val="auto"/>
          <w:sz w:val="32"/>
          <w:szCs w:val="32"/>
        </w:rPr>
        <w:t>技术规格偏离表</w:t>
      </w:r>
      <w:bookmarkEnd w:id="110"/>
      <w:bookmarkEnd w:id="111"/>
    </w:p>
    <w:tbl>
      <w:tblPr>
        <w:tblStyle w:val="1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1D5C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21501D97">
            <w:pPr>
              <w:adjustRightInd w:val="0"/>
              <w:snapToGrid w:val="0"/>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包号/序号：</w:t>
            </w:r>
          </w:p>
          <w:p w14:paraId="3406D8C1">
            <w:pPr>
              <w:pStyle w:val="16"/>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产品名称：</w:t>
            </w:r>
          </w:p>
          <w:p w14:paraId="455B0D51">
            <w:pPr>
              <w:pStyle w:val="16"/>
              <w:widowControl w:val="0"/>
              <w:adjustRightInd w:val="0"/>
              <w:snapToGrid w:val="0"/>
              <w:spacing w:before="0" w:beforeAutospacing="0" w:after="0" w:afterAutospacing="0"/>
              <w:jc w:val="both"/>
              <w:rPr>
                <w:rFonts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rPr>
              <w:t>数量：</w:t>
            </w:r>
          </w:p>
        </w:tc>
      </w:tr>
      <w:tr w14:paraId="0396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5FE8891">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招标文件要求</w:t>
            </w:r>
          </w:p>
          <w:p w14:paraId="37042AF2">
            <w:pPr>
              <w:ind w:hanging="1"/>
              <w:rPr>
                <w:rFonts w:ascii="仿宋_GB2312" w:hAnsi="仿宋_GB2312" w:eastAsia="仿宋_GB2312" w:cs="仿宋_GB2312"/>
                <w:b/>
                <w:color w:val="auto"/>
                <w:szCs w:val="21"/>
              </w:rPr>
            </w:pPr>
            <w:r>
              <w:rPr>
                <w:rFonts w:hint="eastAsia" w:ascii="仿宋_GB2312" w:hAnsi="仿宋_GB2312" w:eastAsia="仿宋_GB2312" w:cs="仿宋_GB2312"/>
                <w:b/>
                <w:color w:val="auto"/>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1D7B7BB7">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投标文件</w:t>
            </w:r>
          </w:p>
          <w:p w14:paraId="0537CE0F">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69F841E">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831E2D0">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68B21972">
            <w:pPr>
              <w:tabs>
                <w:tab w:val="left" w:pos="0"/>
              </w:tabs>
              <w:spacing w:line="240" w:lineRule="exact"/>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证明材料</w:t>
            </w:r>
          </w:p>
        </w:tc>
      </w:tr>
      <w:tr w14:paraId="4834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6B0F1D54">
            <w:pPr>
              <w:adjustRightInd w:val="0"/>
              <w:snapToGrid w:val="0"/>
              <w:ind w:hanging="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按采购需求填写</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12213877">
            <w:pPr>
              <w:tabs>
                <w:tab w:val="left" w:pos="0"/>
              </w:tabs>
              <w:adjustRightInd w:val="0"/>
              <w:snapToGrid w:val="0"/>
              <w:jc w:val="center"/>
              <w:rPr>
                <w:rFonts w:ascii="仿宋_GB2312" w:hAnsi="仿宋_GB2312" w:eastAsia="仿宋_GB2312" w:cs="仿宋_GB2312"/>
                <w:color w:val="auto"/>
                <w:kern w:val="0"/>
                <w:szCs w:val="21"/>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2CC87FAB">
            <w:pPr>
              <w:tabs>
                <w:tab w:val="left" w:pos="0"/>
              </w:tabs>
              <w:spacing w:line="240" w:lineRule="exact"/>
              <w:jc w:val="center"/>
              <w:rPr>
                <w:rFonts w:ascii="仿宋_GB2312" w:hAnsi="仿宋_GB2312" w:eastAsia="仿宋_GB2312" w:cs="仿宋_GB2312"/>
                <w:color w:val="auto"/>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C9093A9">
            <w:pPr>
              <w:tabs>
                <w:tab w:val="left" w:pos="0"/>
              </w:tabs>
              <w:spacing w:line="240" w:lineRule="exact"/>
              <w:jc w:val="center"/>
              <w:rPr>
                <w:rFonts w:ascii="仿宋_GB2312" w:hAnsi="仿宋_GB2312" w:eastAsia="仿宋_GB2312" w:cs="仿宋_GB2312"/>
                <w:color w:val="auto"/>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87D3B16">
            <w:pPr>
              <w:tabs>
                <w:tab w:val="left" w:pos="0"/>
              </w:tabs>
              <w:spacing w:line="240" w:lineRule="exact"/>
              <w:jc w:val="center"/>
              <w:rPr>
                <w:rFonts w:ascii="仿宋_GB2312" w:hAnsi="仿宋_GB2312" w:eastAsia="仿宋_GB2312" w:cs="仿宋_GB2312"/>
                <w:color w:val="auto"/>
                <w:kern w:val="0"/>
                <w:szCs w:val="21"/>
              </w:rPr>
            </w:pPr>
          </w:p>
        </w:tc>
      </w:tr>
      <w:tr w14:paraId="52E6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2AC5FCE3">
            <w:pPr>
              <w:adjustRightInd w:val="0"/>
              <w:snapToGrid w:val="0"/>
              <w:ind w:hanging="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其它</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FCACFD1">
            <w:pPr>
              <w:tabs>
                <w:tab w:val="left" w:pos="-61"/>
              </w:tabs>
              <w:adjustRightInd w:val="0"/>
              <w:snapToGrid w:val="0"/>
              <w:ind w:right="-54" w:rightChars="-26"/>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66AD418">
            <w:pPr>
              <w:tabs>
                <w:tab w:val="left" w:pos="0"/>
              </w:tabs>
              <w:spacing w:line="240" w:lineRule="exact"/>
              <w:jc w:val="center"/>
              <w:rPr>
                <w:rFonts w:ascii="仿宋_GB2312" w:hAnsi="仿宋_GB2312" w:eastAsia="仿宋_GB2312" w:cs="仿宋_GB2312"/>
                <w:color w:val="auto"/>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E55CD1B">
            <w:pPr>
              <w:tabs>
                <w:tab w:val="left" w:pos="0"/>
              </w:tabs>
              <w:spacing w:line="240" w:lineRule="exact"/>
              <w:jc w:val="center"/>
              <w:rPr>
                <w:rFonts w:ascii="仿宋_GB2312" w:hAnsi="仿宋_GB2312" w:eastAsia="仿宋_GB2312" w:cs="仿宋_GB2312"/>
                <w:color w:val="auto"/>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1A988AB">
            <w:pPr>
              <w:tabs>
                <w:tab w:val="left" w:pos="0"/>
              </w:tabs>
              <w:spacing w:line="240" w:lineRule="exact"/>
              <w:jc w:val="center"/>
              <w:rPr>
                <w:rFonts w:ascii="仿宋_GB2312" w:hAnsi="仿宋_GB2312" w:eastAsia="仿宋_GB2312" w:cs="仿宋_GB2312"/>
                <w:color w:val="auto"/>
                <w:kern w:val="0"/>
                <w:szCs w:val="21"/>
              </w:rPr>
            </w:pPr>
          </w:p>
        </w:tc>
      </w:tr>
    </w:tbl>
    <w:p w14:paraId="59174934">
      <w:pPr>
        <w:adjustRightInd w:val="0"/>
        <w:snapToGrid w:val="0"/>
        <w:spacing w:line="360" w:lineRule="auto"/>
        <w:ind w:right="105" w:rightChars="50"/>
        <w:jc w:val="left"/>
        <w:rPr>
          <w:rFonts w:ascii="仿宋_GB2312" w:hAnsi="仿宋_GB2312" w:eastAsia="仿宋_GB2312" w:cs="仿宋_GB2312"/>
          <w:b/>
          <w:color w:val="auto"/>
          <w:szCs w:val="21"/>
        </w:rPr>
      </w:pPr>
      <w:r>
        <w:rPr>
          <w:rFonts w:hint="eastAsia" w:ascii="仿宋_GB2312" w:hAnsi="仿宋_GB2312" w:eastAsia="仿宋_GB2312" w:cs="仿宋_GB2312"/>
          <w:b/>
          <w:color w:val="auto"/>
          <w:szCs w:val="21"/>
        </w:rPr>
        <w:t>填表要求：</w:t>
      </w:r>
    </w:p>
    <w:p w14:paraId="7DA3BEC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1．“投标文件响应内容”一栏由投标人按照招标文件要求填写并进行逐项响应。</w:t>
      </w:r>
    </w:p>
    <w:p w14:paraId="3876FB9D">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2．“偏离程度”一栏根据“投标文件响应内容”与招标文件逐项对照的结果填写。偏离必须用 “正偏离、负偏离或无偏离”三个名称中的一种进行标注。</w:t>
      </w:r>
    </w:p>
    <w:p w14:paraId="6E27F0E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3．“偏离说明”一栏由投标人对偏离的情况做详细说明。</w:t>
      </w:r>
    </w:p>
    <w:p w14:paraId="46159DB8">
      <w:pPr>
        <w:adjustRightInd w:val="0"/>
        <w:snapToGrid w:val="0"/>
        <w:spacing w:line="360" w:lineRule="auto"/>
        <w:rPr>
          <w:rFonts w:ascii="仿宋_GB2312" w:hAnsi="仿宋_GB2312" w:eastAsia="仿宋_GB2312" w:cs="仿宋_GB2312"/>
          <w:color w:val="auto"/>
          <w:szCs w:val="21"/>
        </w:rPr>
      </w:pPr>
    </w:p>
    <w:p w14:paraId="32B97556">
      <w:pPr>
        <w:adjustRightInd w:val="0"/>
        <w:snapToGrid w:val="0"/>
        <w:spacing w:line="360" w:lineRule="auto"/>
        <w:rPr>
          <w:rFonts w:ascii="仿宋_GB2312" w:hAnsi="仿宋_GB2312" w:eastAsia="仿宋_GB2312" w:cs="仿宋_GB2312"/>
          <w:color w:val="auto"/>
          <w:szCs w:val="21"/>
        </w:rPr>
      </w:pPr>
    </w:p>
    <w:p w14:paraId="39BFAB42">
      <w:pPr>
        <w:adjustRightInd w:val="0"/>
        <w:snapToGrid w:val="0"/>
        <w:spacing w:line="360" w:lineRule="auto"/>
        <w:rPr>
          <w:rFonts w:ascii="仿宋_GB2312" w:hAnsi="仿宋_GB2312" w:eastAsia="仿宋_GB2312" w:cs="仿宋_GB2312"/>
          <w:color w:val="auto"/>
          <w:szCs w:val="21"/>
        </w:rPr>
      </w:pPr>
    </w:p>
    <w:p w14:paraId="474BBA73">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16327AB2">
      <w:pPr>
        <w:snapToGrid w:val="0"/>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6EE6BB0D">
      <w:pPr>
        <w:adjustRightInd w:val="0"/>
        <w:snapToGrid w:val="0"/>
        <w:spacing w:line="480" w:lineRule="auto"/>
        <w:ind w:right="105" w:rightChars="50"/>
        <w:jc w:val="left"/>
        <w:rPr>
          <w:rFonts w:ascii="仿宋_GB2312" w:hAnsi="仿宋_GB2312" w:eastAsia="仿宋_GB2312" w:cs="仿宋_GB2312"/>
          <w:color w:val="auto"/>
          <w:szCs w:val="21"/>
          <w:u w:val="single"/>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755FFEE1">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b w:val="0"/>
          <w:color w:val="auto"/>
          <w:szCs w:val="28"/>
        </w:rPr>
        <w:br w:type="page"/>
      </w: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3</w:t>
      </w:r>
    </w:p>
    <w:p w14:paraId="4C380E4B">
      <w:pPr>
        <w:adjustRightInd w:val="0"/>
        <w:snapToGrid w:val="0"/>
        <w:ind w:right="105" w:rightChars="50"/>
        <w:jc w:val="center"/>
        <w:rPr>
          <w:rFonts w:ascii="仿宋_GB2312" w:hAnsi="仿宋_GB2312" w:eastAsia="仿宋_GB2312" w:cs="仿宋_GB2312"/>
          <w:b/>
          <w:bCs/>
          <w:color w:val="auto"/>
          <w:sz w:val="32"/>
          <w:szCs w:val="32"/>
        </w:rPr>
      </w:pPr>
      <w:bookmarkStart w:id="112" w:name="_Toc4431_WPSOffice_Level2"/>
      <w:bookmarkStart w:id="113" w:name="_Toc8488_WPSOffice_Level2"/>
      <w:r>
        <w:rPr>
          <w:rFonts w:hint="eastAsia" w:ascii="仿宋_GB2312" w:hAnsi="仿宋_GB2312" w:eastAsia="仿宋_GB2312" w:cs="仿宋_GB2312"/>
          <w:b/>
          <w:bCs/>
          <w:color w:val="auto"/>
          <w:sz w:val="32"/>
          <w:szCs w:val="32"/>
        </w:rPr>
        <w:t>商务条款偏离表</w:t>
      </w:r>
      <w:bookmarkEnd w:id="112"/>
      <w:bookmarkEnd w:id="113"/>
    </w:p>
    <w:p w14:paraId="2B3D7A51">
      <w:pPr>
        <w:adjustRightInd w:val="0"/>
        <w:snapToGrid w:val="0"/>
        <w:spacing w:line="360" w:lineRule="auto"/>
        <w:ind w:right="105" w:rightChars="5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 xml:space="preserve">包号： </w:t>
      </w:r>
    </w:p>
    <w:tbl>
      <w:tblPr>
        <w:tblStyle w:val="18"/>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4050"/>
        <w:gridCol w:w="1911"/>
        <w:gridCol w:w="926"/>
        <w:gridCol w:w="936"/>
      </w:tblGrid>
      <w:tr w14:paraId="563DC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90" w:type="dxa"/>
            <w:noWrap w:val="0"/>
            <w:vAlign w:val="center"/>
          </w:tcPr>
          <w:p w14:paraId="3701CD37">
            <w:pPr>
              <w:adjustRightInd w:val="0"/>
              <w:snapToGrid w:val="0"/>
              <w:ind w:right="-48" w:rightChars="-23"/>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4050" w:type="dxa"/>
            <w:noWrap w:val="0"/>
            <w:vAlign w:val="center"/>
          </w:tcPr>
          <w:p w14:paraId="7F795A2A">
            <w:pPr>
              <w:adjustRightInd w:val="0"/>
              <w:snapToGrid w:val="0"/>
              <w:ind w:right="-73" w:rightChars="-35"/>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招标文件的商务条款</w:t>
            </w:r>
          </w:p>
          <w:p w14:paraId="284153BD">
            <w:pPr>
              <w:adjustRightInd w:val="0"/>
              <w:snapToGrid w:val="0"/>
              <w:ind w:right="-73" w:rightChars="-35"/>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b/>
                <w:color w:val="auto"/>
                <w:sz w:val="18"/>
                <w:szCs w:val="18"/>
              </w:rPr>
              <w:t>实质性要求及重要指标用★标注，★标注项不得负偏离，如果负偏离，则投标文件无效。</w:t>
            </w:r>
            <w:r>
              <w:rPr>
                <w:rFonts w:hint="eastAsia" w:ascii="仿宋_GB2312" w:hAnsi="仿宋_GB2312" w:eastAsia="仿宋_GB2312" w:cs="仿宋_GB2312"/>
                <w:color w:val="auto"/>
                <w:szCs w:val="21"/>
              </w:rPr>
              <w:t>）</w:t>
            </w:r>
          </w:p>
        </w:tc>
        <w:tc>
          <w:tcPr>
            <w:tcW w:w="1911" w:type="dxa"/>
            <w:noWrap w:val="0"/>
            <w:vAlign w:val="center"/>
          </w:tcPr>
          <w:p w14:paraId="21D5FF61">
            <w:pPr>
              <w:adjustRightInd w:val="0"/>
              <w:snapToGrid w:val="0"/>
              <w:ind w:right="-107" w:rightChars="-5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投标文件响应内容</w:t>
            </w:r>
          </w:p>
        </w:tc>
        <w:tc>
          <w:tcPr>
            <w:tcW w:w="926" w:type="dxa"/>
            <w:noWrap w:val="0"/>
            <w:vAlign w:val="center"/>
          </w:tcPr>
          <w:p w14:paraId="73AE9720">
            <w:pPr>
              <w:adjustRightInd w:val="0"/>
              <w:snapToGrid w:val="0"/>
              <w:ind w:left="-58" w:leftChars="-28" w:right="-105" w:rightChars="-5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偏离程度</w:t>
            </w:r>
          </w:p>
        </w:tc>
        <w:tc>
          <w:tcPr>
            <w:tcW w:w="936" w:type="dxa"/>
            <w:noWrap w:val="0"/>
            <w:vAlign w:val="center"/>
          </w:tcPr>
          <w:p w14:paraId="0F83EC46">
            <w:pPr>
              <w:adjustRightInd w:val="0"/>
              <w:snapToGrid w:val="0"/>
              <w:ind w:left="-58" w:leftChars="-28" w:right="-105" w:rightChars="-5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偏离说明</w:t>
            </w:r>
          </w:p>
        </w:tc>
      </w:tr>
      <w:tr w14:paraId="4A9B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90" w:type="dxa"/>
            <w:noWrap w:val="0"/>
            <w:vAlign w:val="center"/>
          </w:tcPr>
          <w:p w14:paraId="11FE3C6A">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1</w:t>
            </w:r>
          </w:p>
        </w:tc>
        <w:tc>
          <w:tcPr>
            <w:tcW w:w="4050" w:type="dxa"/>
            <w:noWrap w:val="0"/>
            <w:vAlign w:val="center"/>
          </w:tcPr>
          <w:p w14:paraId="7DD62C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交货时间：自合同签订之日起90日内一次性交齐全部货物。</w:t>
            </w:r>
          </w:p>
        </w:tc>
        <w:tc>
          <w:tcPr>
            <w:tcW w:w="1911" w:type="dxa"/>
            <w:noWrap w:val="0"/>
            <w:vAlign w:val="center"/>
          </w:tcPr>
          <w:p w14:paraId="774702A3">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7AD1F797">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4BA0D62C">
            <w:pPr>
              <w:adjustRightInd w:val="0"/>
              <w:snapToGrid w:val="0"/>
              <w:ind w:right="105" w:rightChars="50"/>
              <w:jc w:val="center"/>
              <w:rPr>
                <w:rFonts w:ascii="仿宋_GB2312" w:hAnsi="仿宋_GB2312" w:eastAsia="仿宋_GB2312" w:cs="仿宋_GB2312"/>
                <w:color w:val="auto"/>
                <w:szCs w:val="21"/>
              </w:rPr>
            </w:pPr>
          </w:p>
        </w:tc>
      </w:tr>
      <w:tr w14:paraId="7381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90" w:type="dxa"/>
            <w:noWrap w:val="0"/>
            <w:vAlign w:val="center"/>
          </w:tcPr>
          <w:p w14:paraId="70B5D618">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2</w:t>
            </w:r>
          </w:p>
        </w:tc>
        <w:tc>
          <w:tcPr>
            <w:tcW w:w="4050" w:type="dxa"/>
            <w:noWrap w:val="0"/>
            <w:vAlign w:val="center"/>
          </w:tcPr>
          <w:p w14:paraId="28311D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交货地点：招标人指定地点。</w:t>
            </w:r>
          </w:p>
        </w:tc>
        <w:tc>
          <w:tcPr>
            <w:tcW w:w="1911" w:type="dxa"/>
            <w:noWrap w:val="0"/>
            <w:vAlign w:val="center"/>
          </w:tcPr>
          <w:p w14:paraId="0A37D588">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0EAC2558">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478DB469">
            <w:pPr>
              <w:adjustRightInd w:val="0"/>
              <w:snapToGrid w:val="0"/>
              <w:ind w:right="105" w:rightChars="50"/>
              <w:jc w:val="center"/>
              <w:rPr>
                <w:rFonts w:ascii="仿宋_GB2312" w:hAnsi="仿宋_GB2312" w:eastAsia="仿宋_GB2312" w:cs="仿宋_GB2312"/>
                <w:color w:val="auto"/>
                <w:szCs w:val="21"/>
              </w:rPr>
            </w:pPr>
          </w:p>
        </w:tc>
      </w:tr>
      <w:tr w14:paraId="537B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90" w:type="dxa"/>
            <w:noWrap w:val="0"/>
            <w:vAlign w:val="center"/>
          </w:tcPr>
          <w:p w14:paraId="63840314">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b/>
                <w:color w:val="auto"/>
                <w:sz w:val="18"/>
                <w:szCs w:val="18"/>
                <w:lang w:val="en-US" w:eastAsia="zh-CN"/>
              </w:rPr>
              <w:t>3</w:t>
            </w:r>
          </w:p>
        </w:tc>
        <w:tc>
          <w:tcPr>
            <w:tcW w:w="4050" w:type="dxa"/>
            <w:noWrap w:val="0"/>
            <w:vAlign w:val="center"/>
          </w:tcPr>
          <w:p w14:paraId="2AFFE8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付款方式及条件：</w:t>
            </w:r>
            <w:r>
              <w:rPr>
                <w:rFonts w:hint="default" w:ascii="仿宋_GB2312" w:hAnsi="仿宋_GB2312" w:eastAsia="仿宋_GB2312" w:cs="仿宋_GB2312"/>
                <w:color w:val="auto"/>
                <w:szCs w:val="21"/>
                <w:highlight w:val="none"/>
                <w:lang w:val="en-US" w:eastAsia="zh-CN"/>
              </w:rPr>
              <w:t>自中标通知书发出之日起先预付成交金额的10%作为预付款，货到验收合格后，中标人向招标人提供合同等额有效的发票后招标人支付合同总额90%的货款。</w:t>
            </w:r>
          </w:p>
          <w:p w14:paraId="624734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仿宋_GB2312" w:hAnsi="仿宋_GB2312" w:eastAsia="仿宋_GB2312" w:cs="仿宋_GB2312"/>
                <w:color w:val="auto"/>
                <w:szCs w:val="21"/>
                <w:lang w:val="en-US" w:eastAsia="zh-CN"/>
              </w:rPr>
            </w:pPr>
            <w:r>
              <w:rPr>
                <w:rFonts w:hint="default" w:ascii="仿宋_GB2312" w:hAnsi="仿宋_GB2312" w:eastAsia="仿宋_GB2312" w:cs="仿宋_GB2312"/>
                <w:color w:val="auto"/>
                <w:szCs w:val="21"/>
                <w:highlight w:val="none"/>
                <w:lang w:val="en-US" w:eastAsia="zh-CN"/>
              </w:rPr>
              <w:t>注：1）招标人使用的财政资金，付款时间为财政资金支付至招标人账户后。如因实行政府集中支付延误时间导致的付款延迟，招标人不承担任何违约责任。2）如因中标人未提供符合要求的发票导致招标人未按约定付款的，招标人不承担违约责任。3）本项目以人民币结算，付款方式：银行转账。</w:t>
            </w:r>
          </w:p>
        </w:tc>
        <w:tc>
          <w:tcPr>
            <w:tcW w:w="1911" w:type="dxa"/>
            <w:noWrap w:val="0"/>
            <w:vAlign w:val="center"/>
          </w:tcPr>
          <w:p w14:paraId="3F548421">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29554AB9">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0D24D9FB">
            <w:pPr>
              <w:adjustRightInd w:val="0"/>
              <w:snapToGrid w:val="0"/>
              <w:ind w:right="105" w:rightChars="50"/>
              <w:jc w:val="center"/>
              <w:rPr>
                <w:rFonts w:ascii="仿宋_GB2312" w:hAnsi="仿宋_GB2312" w:eastAsia="仿宋_GB2312" w:cs="仿宋_GB2312"/>
                <w:color w:val="auto"/>
                <w:szCs w:val="21"/>
              </w:rPr>
            </w:pPr>
          </w:p>
        </w:tc>
      </w:tr>
      <w:tr w14:paraId="0986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90" w:type="dxa"/>
            <w:noWrap w:val="0"/>
            <w:vAlign w:val="center"/>
          </w:tcPr>
          <w:p w14:paraId="3E2FDDD3">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4</w:t>
            </w:r>
          </w:p>
        </w:tc>
        <w:tc>
          <w:tcPr>
            <w:tcW w:w="4050" w:type="dxa"/>
            <w:noWrap w:val="0"/>
            <w:vAlign w:val="center"/>
          </w:tcPr>
          <w:p w14:paraId="7789B0CE">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验收标准：执行国家、行业相关标准并符合中标人投标文件列示的包括但不限于品牌、型号、数量、种类、规格、参数、质量、性能等指标。</w:t>
            </w:r>
          </w:p>
          <w:p w14:paraId="03EF1A2E">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验收程序：根据《辽宁省消防救援总队自然灾害应急能力提升工程装备建设项目验收实施方案》以及政府采购相关法律法规实施</w:t>
            </w:r>
          </w:p>
          <w:p w14:paraId="298A0FCB">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验收报告：按采购方验收报告填写</w:t>
            </w:r>
          </w:p>
          <w:p w14:paraId="702BDA21">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组织验收主体：本项目的履约验收工作由招标人依法组织实施。</w:t>
            </w:r>
          </w:p>
        </w:tc>
        <w:tc>
          <w:tcPr>
            <w:tcW w:w="1911" w:type="dxa"/>
            <w:noWrap w:val="0"/>
            <w:vAlign w:val="center"/>
          </w:tcPr>
          <w:p w14:paraId="2D742C49">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75435894">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2D75B423">
            <w:pPr>
              <w:adjustRightInd w:val="0"/>
              <w:snapToGrid w:val="0"/>
              <w:ind w:right="105" w:rightChars="50"/>
              <w:jc w:val="center"/>
              <w:rPr>
                <w:rFonts w:ascii="仿宋_GB2312" w:hAnsi="仿宋_GB2312" w:eastAsia="仿宋_GB2312" w:cs="仿宋_GB2312"/>
                <w:color w:val="auto"/>
                <w:szCs w:val="21"/>
              </w:rPr>
            </w:pPr>
          </w:p>
        </w:tc>
      </w:tr>
      <w:tr w14:paraId="6E445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90" w:type="dxa"/>
            <w:noWrap w:val="0"/>
            <w:vAlign w:val="center"/>
          </w:tcPr>
          <w:p w14:paraId="6B7A492C">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5</w:t>
            </w:r>
          </w:p>
        </w:tc>
        <w:tc>
          <w:tcPr>
            <w:tcW w:w="4050" w:type="dxa"/>
            <w:noWrap w:val="0"/>
            <w:vAlign w:val="center"/>
          </w:tcPr>
          <w:p w14:paraId="2B8D2920">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质量保证期</w:t>
            </w:r>
            <w:r>
              <w:rPr>
                <w:rFonts w:hint="eastAsia" w:ascii="仿宋_GB2312" w:hAnsi="仿宋_GB2312" w:eastAsia="仿宋_GB2312" w:cs="仿宋_GB2312"/>
                <w:color w:val="000000"/>
                <w:szCs w:val="21"/>
                <w:highlight w:val="none"/>
                <w:lang w:val="en-US" w:eastAsia="zh-CN"/>
              </w:rPr>
              <w:t>：（ 5 ）年，</w:t>
            </w:r>
            <w:r>
              <w:rPr>
                <w:rFonts w:hint="eastAsia"/>
                <w:color w:val="000000"/>
              </w:rPr>
              <w:t>国家标准有要求或产品厂商有更高质保承诺或招标文件中的设备有单独要求的，按更长质保期进行质保。</w:t>
            </w:r>
            <w:r>
              <w:rPr>
                <w:rFonts w:hint="eastAsia" w:ascii="仿宋" w:hAnsi="仿宋" w:cs="仿宋"/>
                <w:color w:val="000000"/>
                <w:szCs w:val="21"/>
              </w:rPr>
              <w:t>质保期自验收合格之日起计算，质保期内中标人不收取任何维修费用。</w:t>
            </w:r>
            <w:r>
              <w:rPr>
                <w:rFonts w:hint="eastAsia"/>
                <w:color w:val="000000"/>
              </w:rPr>
              <w:t>供应商须提供所投产品全寿命周期的主要耗损件、易损件及更换总成的目录和年度价格清单。</w:t>
            </w:r>
          </w:p>
        </w:tc>
        <w:tc>
          <w:tcPr>
            <w:tcW w:w="1911" w:type="dxa"/>
            <w:noWrap w:val="0"/>
            <w:vAlign w:val="center"/>
          </w:tcPr>
          <w:p w14:paraId="4316C1BF">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1C9625BC">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1F42510F">
            <w:pPr>
              <w:adjustRightInd w:val="0"/>
              <w:snapToGrid w:val="0"/>
              <w:ind w:right="105" w:rightChars="50"/>
              <w:jc w:val="center"/>
              <w:rPr>
                <w:rFonts w:ascii="仿宋_GB2312" w:hAnsi="仿宋_GB2312" w:eastAsia="仿宋_GB2312" w:cs="仿宋_GB2312"/>
                <w:color w:val="auto"/>
                <w:szCs w:val="21"/>
              </w:rPr>
            </w:pPr>
          </w:p>
        </w:tc>
      </w:tr>
      <w:tr w14:paraId="6710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90" w:type="dxa"/>
            <w:noWrap w:val="0"/>
            <w:vAlign w:val="center"/>
          </w:tcPr>
          <w:p w14:paraId="2ACFF923">
            <w:pPr>
              <w:adjustRightInd w:val="0"/>
              <w:snapToGrid w:val="0"/>
              <w:ind w:right="105" w:rightChars="50"/>
              <w:jc w:val="center"/>
              <w:rPr>
                <w:rFonts w:hint="eastAsia" w:ascii="仿宋_GB2312" w:hAnsi="仿宋_GB2312" w:eastAsia="仿宋_GB2312" w:cs="仿宋_GB2312"/>
                <w:b/>
                <w:color w:val="auto"/>
                <w:sz w:val="18"/>
                <w:szCs w:val="18"/>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6</w:t>
            </w:r>
          </w:p>
        </w:tc>
        <w:tc>
          <w:tcPr>
            <w:tcW w:w="4050" w:type="dxa"/>
            <w:noWrap w:val="0"/>
            <w:vAlign w:val="center"/>
          </w:tcPr>
          <w:p w14:paraId="5DE336B2">
            <w:pPr>
              <w:adjustRightInd w:val="0"/>
              <w:snapToGrid w:val="0"/>
              <w:rPr>
                <w:rFonts w:hint="eastAsia" w:ascii="仿宋_GB2312" w:hAnsi="仿宋_GB2312" w:eastAsia="仿宋_GB2312" w:cs="仿宋_GB2312"/>
                <w:color w:val="auto"/>
                <w:szCs w:val="21"/>
                <w:lang w:eastAsia="zh-CN"/>
              </w:rPr>
            </w:pPr>
            <w:r>
              <w:rPr>
                <w:rFonts w:hint="eastAsia" w:ascii="仿宋" w:hAnsi="仿宋" w:cs="仿宋"/>
                <w:color w:val="000000"/>
                <w:szCs w:val="21"/>
              </w:rPr>
              <w:t>供应商需提供热线电话支持，热线支持时间根据自身情况设置；质保期内供应商需确保0.5小时内响应</w:t>
            </w:r>
            <w:r>
              <w:rPr>
                <w:rFonts w:hint="eastAsia" w:ascii="仿宋" w:hAnsi="仿宋" w:cs="仿宋"/>
                <w:color w:val="000000"/>
                <w:szCs w:val="21"/>
                <w:lang w:val="en-US" w:eastAsia="zh-CN"/>
              </w:rPr>
              <w:t>12</w:t>
            </w:r>
            <w:r>
              <w:rPr>
                <w:rFonts w:hint="eastAsia" w:ascii="仿宋" w:hAnsi="仿宋" w:cs="仿宋"/>
                <w:color w:val="000000"/>
                <w:szCs w:val="21"/>
              </w:rPr>
              <w:t>小时内到达现场解除故障（问题）。</w:t>
            </w:r>
          </w:p>
        </w:tc>
        <w:tc>
          <w:tcPr>
            <w:tcW w:w="1911" w:type="dxa"/>
            <w:noWrap w:val="0"/>
            <w:vAlign w:val="center"/>
          </w:tcPr>
          <w:p w14:paraId="1EEB86B5">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0C8A9D2A">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428BDE15">
            <w:pPr>
              <w:adjustRightInd w:val="0"/>
              <w:snapToGrid w:val="0"/>
              <w:ind w:right="105" w:rightChars="50"/>
              <w:jc w:val="center"/>
              <w:rPr>
                <w:rFonts w:ascii="仿宋_GB2312" w:hAnsi="仿宋_GB2312" w:eastAsia="仿宋_GB2312" w:cs="仿宋_GB2312"/>
                <w:color w:val="auto"/>
                <w:szCs w:val="21"/>
              </w:rPr>
            </w:pPr>
          </w:p>
        </w:tc>
      </w:tr>
      <w:tr w14:paraId="2282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690" w:type="dxa"/>
            <w:noWrap w:val="0"/>
            <w:vAlign w:val="center"/>
          </w:tcPr>
          <w:p w14:paraId="01078FE8">
            <w:pPr>
              <w:adjustRightInd w:val="0"/>
              <w:snapToGrid w:val="0"/>
              <w:ind w:right="105" w:rightChars="5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7</w:t>
            </w:r>
          </w:p>
        </w:tc>
        <w:tc>
          <w:tcPr>
            <w:tcW w:w="4050" w:type="dxa"/>
            <w:noWrap w:val="0"/>
            <w:vAlign w:val="center"/>
          </w:tcPr>
          <w:p w14:paraId="03285E47">
            <w:pPr>
              <w:adjustRightInd w:val="0"/>
              <w:snapToGrid w:val="0"/>
              <w:rPr>
                <w:rFonts w:hint="eastAsia" w:ascii="仿宋" w:hAnsi="仿宋" w:cs="仿宋"/>
                <w:color w:val="000000"/>
                <w:szCs w:val="21"/>
              </w:rPr>
            </w:pPr>
            <w:r>
              <w:rPr>
                <w:rFonts w:hint="eastAsia" w:ascii="仿宋" w:hAnsi="仿宋" w:cs="仿宋"/>
                <w:color w:val="000000"/>
                <w:szCs w:val="21"/>
              </w:rPr>
              <w:t xml:space="preserve">供货时提前做好采购单位标识，同时做好存放期间的防尘、防雨等防护措施。并提 </w:t>
            </w:r>
          </w:p>
          <w:p w14:paraId="49E6FFCD">
            <w:pPr>
              <w:adjustRightInd w:val="0"/>
              <w:snapToGrid w:val="0"/>
              <w:rPr>
                <w:rFonts w:ascii="仿宋_GB2312" w:hAnsi="仿宋_GB2312" w:eastAsia="仿宋_GB2312" w:cs="仿宋_GB2312"/>
                <w:color w:val="auto"/>
                <w:szCs w:val="21"/>
              </w:rPr>
            </w:pPr>
            <w:r>
              <w:rPr>
                <w:rFonts w:hint="eastAsia" w:ascii="仿宋" w:hAnsi="仿宋" w:cs="仿宋"/>
                <w:color w:val="000000"/>
                <w:szCs w:val="21"/>
              </w:rPr>
              <w:t>供可供叉车转运的托盘或装具。</w:t>
            </w:r>
          </w:p>
        </w:tc>
        <w:tc>
          <w:tcPr>
            <w:tcW w:w="1911" w:type="dxa"/>
            <w:noWrap w:val="0"/>
            <w:vAlign w:val="center"/>
          </w:tcPr>
          <w:p w14:paraId="54E2A1ED">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427055CC">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61AABFCE">
            <w:pPr>
              <w:adjustRightInd w:val="0"/>
              <w:snapToGrid w:val="0"/>
              <w:ind w:right="105" w:rightChars="50"/>
              <w:jc w:val="center"/>
              <w:rPr>
                <w:rFonts w:ascii="仿宋_GB2312" w:hAnsi="仿宋_GB2312" w:eastAsia="仿宋_GB2312" w:cs="仿宋_GB2312"/>
                <w:color w:val="auto"/>
                <w:szCs w:val="21"/>
              </w:rPr>
            </w:pPr>
          </w:p>
        </w:tc>
      </w:tr>
      <w:tr w14:paraId="2F67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90" w:type="dxa"/>
            <w:noWrap w:val="0"/>
            <w:vAlign w:val="center"/>
          </w:tcPr>
          <w:p w14:paraId="6BDE9C7D">
            <w:pPr>
              <w:adjustRightInd w:val="0"/>
              <w:snapToGrid w:val="0"/>
              <w:ind w:right="105" w:rightChars="50"/>
              <w:jc w:val="center"/>
              <w:rPr>
                <w:rFonts w:hint="eastAsia"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b/>
                <w:color w:val="auto"/>
                <w:sz w:val="18"/>
                <w:szCs w:val="18"/>
                <w:lang w:val="en-US" w:eastAsia="zh-CN"/>
              </w:rPr>
              <w:t>8</w:t>
            </w:r>
          </w:p>
        </w:tc>
        <w:tc>
          <w:tcPr>
            <w:tcW w:w="4050" w:type="dxa"/>
            <w:noWrap w:val="0"/>
            <w:vAlign w:val="center"/>
          </w:tcPr>
          <w:p w14:paraId="4D4A87C0">
            <w:pPr>
              <w:adjustRightInd w:val="0"/>
              <w:snapToGrid w:val="0"/>
              <w:rPr>
                <w:rFonts w:hint="eastAsia" w:ascii="Times New Roman" w:hAnsi="Times New Roman" w:cs="Times New Roman"/>
                <w:color w:val="auto"/>
                <w:spacing w:val="4"/>
              </w:rPr>
            </w:pPr>
            <w:r>
              <w:rPr>
                <w:rFonts w:ascii="Times New Roman" w:hAnsi="Times New Roman" w:cs="Times New Roman"/>
                <w:color w:val="auto"/>
                <w:spacing w:val="4"/>
              </w:rPr>
              <w:t>总体要求：所投产品必须为具备相应生产资格和资质条件的公司生产的并具有自主知识产权产品，具备正规的供货渠道和铭牌编号，不得是贴牌产品，投标供应商具备完善的售后维修维护能力。</w:t>
            </w:r>
          </w:p>
        </w:tc>
        <w:tc>
          <w:tcPr>
            <w:tcW w:w="1911" w:type="dxa"/>
            <w:noWrap w:val="0"/>
            <w:vAlign w:val="center"/>
          </w:tcPr>
          <w:p w14:paraId="5C457DB6">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341D46A9">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0ABC07C9">
            <w:pPr>
              <w:adjustRightInd w:val="0"/>
              <w:snapToGrid w:val="0"/>
              <w:ind w:right="105" w:rightChars="50"/>
              <w:jc w:val="center"/>
              <w:rPr>
                <w:rFonts w:ascii="仿宋_GB2312" w:hAnsi="仿宋_GB2312" w:eastAsia="仿宋_GB2312" w:cs="仿宋_GB2312"/>
                <w:color w:val="auto"/>
                <w:szCs w:val="21"/>
              </w:rPr>
            </w:pPr>
          </w:p>
        </w:tc>
      </w:tr>
      <w:tr w14:paraId="2AA8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690" w:type="dxa"/>
            <w:noWrap w:val="0"/>
            <w:vAlign w:val="center"/>
          </w:tcPr>
          <w:p w14:paraId="3AEDB730">
            <w:pPr>
              <w:adjustRightInd w:val="0"/>
              <w:snapToGrid w:val="0"/>
              <w:ind w:right="105" w:rightChars="50"/>
              <w:jc w:val="center"/>
              <w:rPr>
                <w:rFonts w:hint="eastAsia"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b/>
                <w:color w:val="auto"/>
                <w:sz w:val="18"/>
                <w:szCs w:val="18"/>
                <w:lang w:val="en-US" w:eastAsia="zh-CN"/>
              </w:rPr>
              <w:t>9</w:t>
            </w:r>
          </w:p>
        </w:tc>
        <w:tc>
          <w:tcPr>
            <w:tcW w:w="4050" w:type="dxa"/>
            <w:noWrap w:val="0"/>
            <w:vAlign w:val="center"/>
          </w:tcPr>
          <w:p w14:paraId="5113FD20">
            <w:pPr>
              <w:adjustRightInd w:val="0"/>
              <w:snapToGrid w:val="0"/>
              <w:rPr>
                <w:rFonts w:hint="eastAsia" w:ascii="Times New Roman" w:hAnsi="Times New Roman" w:cs="Times New Roman"/>
                <w:color w:val="auto"/>
                <w:spacing w:val="4"/>
                <w:lang w:val="en-US" w:eastAsia="zh-CN"/>
              </w:rPr>
            </w:pPr>
            <w:r>
              <w:rPr>
                <w:rFonts w:hint="eastAsia" w:ascii="Times New Roman" w:hAnsi="Times New Roman" w:cs="Times New Roman"/>
                <w:color w:val="auto"/>
                <w:spacing w:val="4"/>
                <w:lang w:val="en-US" w:eastAsia="zh-CN"/>
              </w:rPr>
              <w:t>货物交付前，所有风险由中标人承担。</w:t>
            </w:r>
          </w:p>
        </w:tc>
        <w:tc>
          <w:tcPr>
            <w:tcW w:w="1911" w:type="dxa"/>
            <w:noWrap w:val="0"/>
            <w:vAlign w:val="center"/>
          </w:tcPr>
          <w:p w14:paraId="2AF38472">
            <w:pPr>
              <w:adjustRightInd w:val="0"/>
              <w:snapToGrid w:val="0"/>
              <w:ind w:right="105" w:rightChars="50"/>
              <w:jc w:val="center"/>
              <w:rPr>
                <w:rFonts w:ascii="仿宋_GB2312" w:hAnsi="仿宋_GB2312" w:eastAsia="仿宋_GB2312" w:cs="仿宋_GB2312"/>
                <w:color w:val="auto"/>
                <w:szCs w:val="21"/>
              </w:rPr>
            </w:pPr>
          </w:p>
        </w:tc>
        <w:tc>
          <w:tcPr>
            <w:tcW w:w="926" w:type="dxa"/>
            <w:noWrap w:val="0"/>
            <w:vAlign w:val="center"/>
          </w:tcPr>
          <w:p w14:paraId="0C4C4A2C">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4EAA00A4">
            <w:pPr>
              <w:adjustRightInd w:val="0"/>
              <w:snapToGrid w:val="0"/>
              <w:ind w:right="105" w:rightChars="50"/>
              <w:jc w:val="center"/>
              <w:rPr>
                <w:rFonts w:ascii="仿宋_GB2312" w:hAnsi="仿宋_GB2312" w:eastAsia="仿宋_GB2312" w:cs="仿宋_GB2312"/>
                <w:color w:val="auto"/>
                <w:szCs w:val="21"/>
              </w:rPr>
            </w:pPr>
          </w:p>
        </w:tc>
      </w:tr>
      <w:tr w14:paraId="579E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90" w:type="dxa"/>
            <w:noWrap w:val="0"/>
            <w:vAlign w:val="center"/>
          </w:tcPr>
          <w:p w14:paraId="60B33624">
            <w:pPr>
              <w:adjustRightInd w:val="0"/>
              <w:snapToGrid w:val="0"/>
              <w:ind w:right="105" w:rightChars="50"/>
              <w:jc w:val="center"/>
              <w:rPr>
                <w:rFonts w:ascii="仿宋_GB2312" w:hAnsi="仿宋_GB2312" w:eastAsia="仿宋_GB2312" w:cs="仿宋_GB2312"/>
                <w:color w:val="auto"/>
                <w:szCs w:val="21"/>
              </w:rPr>
            </w:pPr>
          </w:p>
        </w:tc>
        <w:tc>
          <w:tcPr>
            <w:tcW w:w="4050" w:type="dxa"/>
            <w:noWrap w:val="0"/>
            <w:vAlign w:val="center"/>
          </w:tcPr>
          <w:p w14:paraId="7FC9421A">
            <w:pPr>
              <w:adjustRightInd w:val="0"/>
              <w:snapToGrid w:val="0"/>
              <w:ind w:hanging="1"/>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其它</w:t>
            </w:r>
          </w:p>
        </w:tc>
        <w:tc>
          <w:tcPr>
            <w:tcW w:w="1911" w:type="dxa"/>
            <w:noWrap w:val="0"/>
            <w:vAlign w:val="center"/>
          </w:tcPr>
          <w:p w14:paraId="65926139">
            <w:pPr>
              <w:adjustRightInd w:val="0"/>
              <w:snapToGrid w:val="0"/>
              <w:ind w:left="-52" w:leftChars="-25" w:right="-16" w:rightChars="-8"/>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采购单位未提供需求而投标人认为需说明及补充的内容在此填列</w:t>
            </w:r>
          </w:p>
        </w:tc>
        <w:tc>
          <w:tcPr>
            <w:tcW w:w="926" w:type="dxa"/>
            <w:noWrap w:val="0"/>
            <w:vAlign w:val="center"/>
          </w:tcPr>
          <w:p w14:paraId="42A66EF3">
            <w:pPr>
              <w:adjustRightInd w:val="0"/>
              <w:snapToGrid w:val="0"/>
              <w:ind w:right="105" w:rightChars="50"/>
              <w:jc w:val="center"/>
              <w:rPr>
                <w:rFonts w:ascii="仿宋_GB2312" w:hAnsi="仿宋_GB2312" w:eastAsia="仿宋_GB2312" w:cs="仿宋_GB2312"/>
                <w:color w:val="auto"/>
                <w:szCs w:val="21"/>
              </w:rPr>
            </w:pPr>
          </w:p>
        </w:tc>
        <w:tc>
          <w:tcPr>
            <w:tcW w:w="936" w:type="dxa"/>
            <w:noWrap w:val="0"/>
            <w:vAlign w:val="center"/>
          </w:tcPr>
          <w:p w14:paraId="5E97185D">
            <w:pPr>
              <w:adjustRightInd w:val="0"/>
              <w:snapToGrid w:val="0"/>
              <w:ind w:right="105" w:rightChars="50"/>
              <w:jc w:val="center"/>
              <w:rPr>
                <w:rFonts w:ascii="仿宋_GB2312" w:hAnsi="仿宋_GB2312" w:eastAsia="仿宋_GB2312" w:cs="仿宋_GB2312"/>
                <w:color w:val="auto"/>
                <w:szCs w:val="21"/>
              </w:rPr>
            </w:pPr>
          </w:p>
        </w:tc>
      </w:tr>
    </w:tbl>
    <w:p w14:paraId="6562DC1C">
      <w:pPr>
        <w:adjustRightInd w:val="0"/>
        <w:snapToGrid w:val="0"/>
        <w:spacing w:line="36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b/>
          <w:color w:val="auto"/>
          <w:szCs w:val="21"/>
        </w:rPr>
        <w:t>填表要求：</w:t>
      </w:r>
    </w:p>
    <w:p w14:paraId="090CBFC8">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1．“投标文件响应内容”一栏由投标人按照招标文件要求填写，进行响应。</w:t>
      </w:r>
    </w:p>
    <w:p w14:paraId="781C4271">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2．“偏离程度”一栏根据“投标文件响应内容”与招标文件逐项对照的结果填写。偏离必须用 “正偏离、负偏离或无偏离”三个名称中的一种进行标注。</w:t>
      </w:r>
    </w:p>
    <w:p w14:paraId="68F98824">
      <w:pPr>
        <w:adjustRightInd w:val="0"/>
        <w:snapToGrid w:val="0"/>
        <w:spacing w:line="360" w:lineRule="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3．“偏离说明”一栏由投标人对偏离的情况做详细说明。</w:t>
      </w:r>
    </w:p>
    <w:p w14:paraId="4EC377E3">
      <w:pPr>
        <w:adjustRightInd w:val="0"/>
        <w:snapToGrid w:val="0"/>
        <w:spacing w:line="360" w:lineRule="auto"/>
        <w:rPr>
          <w:rFonts w:ascii="仿宋_GB2312" w:hAnsi="仿宋_GB2312" w:eastAsia="仿宋_GB2312" w:cs="仿宋_GB2312"/>
          <w:color w:val="auto"/>
          <w:szCs w:val="21"/>
        </w:rPr>
      </w:pPr>
    </w:p>
    <w:p w14:paraId="1F812052">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541A4D8B">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616B9877">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34144C44">
      <w:pPr>
        <w:pStyle w:val="3"/>
        <w:adjustRightInd w:val="0"/>
        <w:snapToGrid w:val="0"/>
        <w:spacing w:before="0" w:after="0" w:line="240" w:lineRule="auto"/>
        <w:jc w:val="left"/>
        <w:rPr>
          <w:rFonts w:hint="eastAsia" w:ascii="仿宋_GB2312" w:hAnsi="仿宋_GB2312" w:eastAsia="仿宋_GB2312" w:cs="仿宋_GB2312"/>
          <w:color w:val="auto"/>
          <w:szCs w:val="28"/>
          <w:lang w:val="en-US" w:eastAsia="zh-CN"/>
        </w:rPr>
      </w:pPr>
      <w:r>
        <w:rPr>
          <w:rFonts w:hint="eastAsia" w:ascii="仿宋_GB2312" w:hAnsi="仿宋_GB2312" w:eastAsia="仿宋_GB2312" w:cs="仿宋_GB2312"/>
          <w:color w:val="auto"/>
          <w:szCs w:val="28"/>
        </w:rPr>
        <w:br w:type="page"/>
      </w: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4</w:t>
      </w:r>
    </w:p>
    <w:p w14:paraId="109F4DFD">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auto"/>
          <w:sz w:val="32"/>
          <w:szCs w:val="32"/>
        </w:rPr>
      </w:pPr>
      <w:bookmarkStart w:id="114" w:name="_Toc20929_WPSOffice_Level2"/>
      <w:bookmarkStart w:id="115" w:name="_Toc9410_WPSOffice_Level2"/>
      <w:r>
        <w:rPr>
          <w:rFonts w:hint="eastAsia" w:ascii="仿宋_GB2312" w:hAnsi="仿宋_GB2312" w:eastAsia="仿宋_GB2312" w:cs="仿宋_GB2312"/>
          <w:b/>
          <w:bCs/>
          <w:color w:val="auto"/>
          <w:sz w:val="32"/>
          <w:szCs w:val="32"/>
        </w:rPr>
        <w:t>投标人关联单位的说明</w:t>
      </w:r>
      <w:bookmarkEnd w:id="114"/>
      <w:bookmarkEnd w:id="115"/>
    </w:p>
    <w:p w14:paraId="7B726EA6">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说明：投标人应当如实披露与本单位存在下列关联关系的单位名称：</w:t>
      </w:r>
    </w:p>
    <w:p w14:paraId="59194D7B">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bookmarkStart w:id="116" w:name="_Toc2074_WPSOffice_Level2"/>
      <w:bookmarkStart w:id="117" w:name="_Toc31070_WPSOffice_Level2"/>
      <w:r>
        <w:rPr>
          <w:rFonts w:hint="eastAsia" w:ascii="仿宋_GB2312" w:hAnsi="仿宋_GB2312" w:eastAsia="仿宋_GB2312" w:cs="仿宋_GB2312"/>
          <w:color w:val="auto"/>
          <w:szCs w:val="21"/>
        </w:rPr>
        <w:t>（1）与投标人单位法定代表人（或非法人组织负责人）为同一人的其他单位；</w:t>
      </w:r>
      <w:bookmarkEnd w:id="116"/>
      <w:bookmarkEnd w:id="117"/>
    </w:p>
    <w:p w14:paraId="6BBD07B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bookmarkStart w:id="118" w:name="_Toc889_WPSOffice_Level2"/>
      <w:bookmarkStart w:id="119" w:name="_Toc27053_WPSOffice_Level2"/>
      <w:r>
        <w:rPr>
          <w:rFonts w:hint="eastAsia" w:ascii="仿宋_GB2312" w:hAnsi="仿宋_GB2312" w:eastAsia="仿宋_GB2312" w:cs="仿宋_GB2312"/>
          <w:color w:val="auto"/>
          <w:szCs w:val="21"/>
        </w:rPr>
        <w:t>（2）与投标人存在直接控股、管理关系的其他单位。</w:t>
      </w:r>
      <w:bookmarkEnd w:id="118"/>
      <w:bookmarkEnd w:id="119"/>
    </w:p>
    <w:p w14:paraId="12CC3DA7">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EAA489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注：若无此情形，写“无”即可</w:t>
      </w:r>
    </w:p>
    <w:p w14:paraId="0FC9EE64">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42C6963">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5A2ED71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C2DC3F5">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4094DCDF">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EA09A0D">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14:paraId="76F66CD3">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授权</w:t>
      </w:r>
      <w:r>
        <w:rPr>
          <w:rFonts w:hint="eastAsia" w:ascii="仿宋_GB2312" w:hAnsi="仿宋_GB2312" w:eastAsia="仿宋_GB2312" w:cs="仿宋_GB2312"/>
          <w:color w:val="auto"/>
        </w:rPr>
        <w:t>委托</w:t>
      </w:r>
      <w:r>
        <w:rPr>
          <w:rFonts w:hint="eastAsia" w:ascii="仿宋_GB2312" w:hAnsi="仿宋_GB2312" w:eastAsia="仿宋_GB2312" w:cs="仿宋_GB2312"/>
          <w:color w:val="auto"/>
          <w:szCs w:val="21"/>
        </w:rPr>
        <w:t>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14:paraId="5735AA87">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14:paraId="1EE8BDD2">
      <w:pPr>
        <w:adjustRightInd w:val="0"/>
        <w:snapToGrid w:val="0"/>
        <w:spacing w:line="360" w:lineRule="auto"/>
        <w:ind w:right="105" w:rightChars="50"/>
        <w:jc w:val="left"/>
        <w:rPr>
          <w:rFonts w:ascii="仿宋_GB2312" w:hAnsi="仿宋_GB2312" w:eastAsia="仿宋_GB2312" w:cs="仿宋_GB2312"/>
          <w:color w:val="auto"/>
          <w:szCs w:val="21"/>
        </w:rPr>
      </w:pPr>
    </w:p>
    <w:p w14:paraId="15833877">
      <w:pPr>
        <w:adjustRightInd w:val="0"/>
        <w:snapToGrid w:val="0"/>
        <w:spacing w:line="360" w:lineRule="auto"/>
        <w:ind w:right="105" w:rightChars="50"/>
        <w:jc w:val="left"/>
        <w:rPr>
          <w:rFonts w:ascii="仿宋_GB2312" w:hAnsi="仿宋_GB2312" w:eastAsia="仿宋_GB2312" w:cs="仿宋_GB2312"/>
          <w:color w:val="auto"/>
          <w:szCs w:val="21"/>
        </w:rPr>
      </w:pPr>
    </w:p>
    <w:p w14:paraId="1B5057F7">
      <w:pPr>
        <w:adjustRightInd w:val="0"/>
        <w:snapToGrid w:val="0"/>
        <w:spacing w:line="360" w:lineRule="auto"/>
        <w:ind w:right="105" w:rightChars="50"/>
        <w:jc w:val="left"/>
        <w:rPr>
          <w:rFonts w:ascii="仿宋_GB2312" w:hAnsi="仿宋_GB2312" w:eastAsia="仿宋_GB2312" w:cs="仿宋_GB2312"/>
          <w:color w:val="auto"/>
          <w:szCs w:val="21"/>
        </w:rPr>
      </w:pPr>
    </w:p>
    <w:p w14:paraId="312C2E76">
      <w:pPr>
        <w:widowControl/>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8"/>
        </w:rPr>
        <w:br w:type="page"/>
      </w:r>
    </w:p>
    <w:p w14:paraId="2DA10A58">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5</w:t>
      </w:r>
    </w:p>
    <w:p w14:paraId="537CEF99">
      <w:pPr>
        <w:adjustRightInd w:val="0"/>
        <w:snapToGrid w:val="0"/>
        <w:spacing w:line="480" w:lineRule="auto"/>
        <w:ind w:right="105" w:rightChars="50"/>
        <w:jc w:val="center"/>
        <w:rPr>
          <w:rFonts w:ascii="仿宋_GB2312" w:hAnsi="仿宋_GB2312" w:eastAsia="仿宋_GB2312" w:cs="仿宋_GB2312"/>
          <w:b/>
          <w:bCs/>
          <w:color w:val="auto"/>
          <w:sz w:val="32"/>
          <w:szCs w:val="32"/>
        </w:rPr>
      </w:pPr>
      <w:bookmarkStart w:id="120" w:name="_Hlk73968874"/>
      <w:r>
        <w:rPr>
          <w:rFonts w:hint="eastAsia" w:ascii="仿宋_GB2312" w:hAnsi="仿宋_GB2312" w:eastAsia="仿宋_GB2312" w:cs="仿宋_GB2312"/>
          <w:b/>
          <w:bCs/>
          <w:color w:val="auto"/>
          <w:sz w:val="32"/>
          <w:szCs w:val="32"/>
        </w:rPr>
        <w:t>中小企业声明函（货物）</w:t>
      </w:r>
    </w:p>
    <w:bookmarkEnd w:id="120"/>
    <w:p w14:paraId="29D8748C">
      <w:pPr>
        <w:ind w:firstLine="420" w:firstLineChars="200"/>
        <w:rPr>
          <w:rFonts w:hint="eastAsia" w:ascii="仿宋_GB2312" w:eastAsia="仿宋_GB2312"/>
          <w:color w:val="auto"/>
        </w:rPr>
      </w:pPr>
      <w:r>
        <w:rPr>
          <w:rFonts w:hint="eastAsia" w:ascii="仿宋_GB2312" w:eastAsia="仿宋_GB2312"/>
          <w:color w:val="auto"/>
        </w:rPr>
        <w:t>本公司（联合体）郑重声明，根据《政府采购促进中小企业发展管理办法》（财库</w:t>
      </w:r>
      <w:r>
        <w:rPr>
          <w:rFonts w:hint="eastAsia" w:ascii="微软雅黑" w:hAnsi="微软雅黑" w:eastAsia="微软雅黑" w:cs="微软雅黑"/>
          <w:color w:val="auto"/>
        </w:rPr>
        <w:t>﹝</w:t>
      </w:r>
      <w:r>
        <w:rPr>
          <w:rFonts w:hint="eastAsia" w:ascii="仿宋_GB2312" w:eastAsia="仿宋_GB2312"/>
          <w:color w:val="auto"/>
        </w:rPr>
        <w:t>2020</w:t>
      </w:r>
      <w:r>
        <w:rPr>
          <w:rFonts w:hint="eastAsia" w:ascii="微软雅黑" w:hAnsi="微软雅黑" w:eastAsia="微软雅黑" w:cs="微软雅黑"/>
          <w:color w:val="auto"/>
        </w:rPr>
        <w:t>﹞</w:t>
      </w:r>
      <w:r>
        <w:rPr>
          <w:rFonts w:hint="eastAsia" w:ascii="仿宋_GB2312" w:eastAsia="仿宋_GB2312"/>
          <w:color w:val="auto"/>
        </w:rPr>
        <w:t>46 号）的规定，本公司（联合体）参加 （单位名称） 的 （项目名称） 采购活动，提</w:t>
      </w:r>
    </w:p>
    <w:p w14:paraId="3348057F">
      <w:pPr>
        <w:rPr>
          <w:rFonts w:hint="eastAsia" w:ascii="仿宋_GB2312" w:eastAsia="仿宋_GB2312"/>
          <w:color w:val="auto"/>
        </w:rPr>
      </w:pPr>
      <w:r>
        <w:rPr>
          <w:rFonts w:hint="eastAsia" w:ascii="仿宋_GB2312" w:eastAsia="仿宋_GB2312"/>
          <w:color w:val="auto"/>
        </w:rPr>
        <w:t>供的货物全部由符合政策要求的中小企业制造。相关企业（含联合体中的中小企业、签订分包意向协议的中小企业）的具体情况如下：</w:t>
      </w:r>
    </w:p>
    <w:p w14:paraId="2D5E8C6E">
      <w:pPr>
        <w:ind w:firstLine="420" w:firstLineChars="200"/>
        <w:rPr>
          <w:rFonts w:hint="eastAsia" w:ascii="仿宋_GB2312" w:eastAsia="仿宋_GB2312"/>
          <w:color w:val="auto"/>
        </w:rPr>
      </w:pPr>
      <w:r>
        <w:rPr>
          <w:rFonts w:hint="eastAsia" w:ascii="仿宋_GB2312" w:eastAsia="仿宋_GB2312"/>
          <w:color w:val="auto"/>
        </w:rPr>
        <w:t>1.（标的名称） ，属于（采购文件中明确的所属行业）行业 ；制造商为（企业名称） ，从业人员 人，营业收入为 万元，资产总额为 万元① ，属于（中型企业、小型企业、微型企业） ；</w:t>
      </w:r>
    </w:p>
    <w:p w14:paraId="31D6A294">
      <w:pPr>
        <w:ind w:firstLine="420" w:firstLineChars="200"/>
        <w:rPr>
          <w:rFonts w:hint="eastAsia" w:ascii="仿宋_GB2312" w:eastAsia="仿宋_GB2312"/>
          <w:color w:val="auto"/>
        </w:rPr>
      </w:pPr>
      <w:r>
        <w:rPr>
          <w:rFonts w:hint="eastAsia" w:ascii="仿宋_GB2312" w:eastAsia="仿宋_GB2312"/>
          <w:color w:val="auto"/>
        </w:rPr>
        <w:t>2.（标的名称） ，属于（采购文件中明确的所属行业）行业 ；制造商为（企业名称） ，从业人员 人，营业收入为 万元，资产总额为 万元，属于（中型企业、小型企业、微型企业）；</w:t>
      </w:r>
    </w:p>
    <w:p w14:paraId="153350A9">
      <w:pPr>
        <w:ind w:firstLine="420" w:firstLineChars="200"/>
        <w:rPr>
          <w:rFonts w:hint="eastAsia" w:ascii="仿宋_GB2312" w:eastAsia="仿宋_GB2312"/>
          <w:color w:val="auto"/>
        </w:rPr>
      </w:pPr>
      <w:r>
        <w:rPr>
          <w:rFonts w:hint="eastAsia" w:ascii="仿宋_GB2312" w:eastAsia="仿宋_GB2312"/>
          <w:color w:val="auto"/>
        </w:rPr>
        <w:t>……</w:t>
      </w:r>
    </w:p>
    <w:p w14:paraId="1A250DA6">
      <w:pPr>
        <w:ind w:firstLine="420" w:firstLineChars="200"/>
        <w:rPr>
          <w:rFonts w:hint="eastAsia" w:ascii="仿宋_GB2312" w:eastAsia="仿宋_GB2312"/>
          <w:color w:val="auto"/>
        </w:rPr>
      </w:pPr>
      <w:r>
        <w:rPr>
          <w:rFonts w:hint="eastAsia" w:ascii="仿宋_GB2312" w:eastAsia="仿宋_GB2312"/>
          <w:color w:val="auto"/>
        </w:rPr>
        <w:t>以上企业，不属于大企业的分支机构，不存在控股股东为大企业的情形，也不存在与大企业的负责人为同一人的情形。</w:t>
      </w:r>
    </w:p>
    <w:p w14:paraId="637491CC">
      <w:pPr>
        <w:ind w:firstLine="420" w:firstLineChars="200"/>
        <w:rPr>
          <w:rFonts w:hint="eastAsia" w:ascii="仿宋_GB2312" w:eastAsia="仿宋_GB2312"/>
          <w:color w:val="auto"/>
        </w:rPr>
      </w:pPr>
      <w:r>
        <w:rPr>
          <w:rFonts w:hint="eastAsia" w:ascii="仿宋_GB2312" w:eastAsia="仿宋_GB2312"/>
          <w:color w:val="auto"/>
        </w:rPr>
        <w:t>本企业对上述声明内容的真实性负责。如有虚假，将依法承担相应责任。</w:t>
      </w:r>
    </w:p>
    <w:p w14:paraId="26D35712">
      <w:pPr>
        <w:rPr>
          <w:rFonts w:ascii="仿宋_GB2312" w:eastAsia="仿宋_GB2312"/>
          <w:color w:val="auto"/>
        </w:rPr>
      </w:pPr>
      <w:r>
        <w:rPr>
          <w:rFonts w:hint="eastAsia" w:ascii="仿宋_GB2312" w:eastAsia="仿宋_GB2312"/>
          <w:color w:val="auto"/>
        </w:rPr>
        <w:t xml:space="preserve">                         </w:t>
      </w:r>
    </w:p>
    <w:p w14:paraId="6C801617">
      <w:pPr>
        <w:ind w:firstLine="3360" w:firstLineChars="1600"/>
        <w:rPr>
          <w:rFonts w:hint="eastAsia" w:ascii="仿宋_GB2312" w:eastAsia="仿宋_GB2312"/>
          <w:color w:val="auto"/>
        </w:rPr>
      </w:pPr>
      <w:r>
        <w:rPr>
          <w:rFonts w:hint="eastAsia" w:ascii="仿宋_GB2312" w:eastAsia="仿宋_GB2312"/>
          <w:color w:val="auto"/>
        </w:rPr>
        <w:t xml:space="preserve">     </w:t>
      </w:r>
    </w:p>
    <w:p w14:paraId="2D8BCF7D">
      <w:pPr>
        <w:ind w:firstLine="3360" w:firstLineChars="1600"/>
        <w:rPr>
          <w:rFonts w:hint="eastAsia" w:ascii="仿宋_GB2312" w:eastAsia="仿宋_GB2312"/>
          <w:color w:val="auto"/>
        </w:rPr>
      </w:pPr>
    </w:p>
    <w:p w14:paraId="38C9437D">
      <w:pPr>
        <w:ind w:firstLine="3360" w:firstLineChars="1600"/>
        <w:rPr>
          <w:rFonts w:hint="eastAsia" w:ascii="仿宋_GB2312" w:eastAsia="仿宋_GB2312"/>
          <w:color w:val="auto"/>
        </w:rPr>
      </w:pPr>
    </w:p>
    <w:p w14:paraId="4AE375FE">
      <w:pPr>
        <w:ind w:firstLine="4200" w:firstLineChars="2000"/>
        <w:rPr>
          <w:rFonts w:hint="eastAsia" w:ascii="仿宋_GB2312" w:eastAsia="仿宋_GB2312"/>
          <w:color w:val="auto"/>
        </w:rPr>
      </w:pPr>
      <w:r>
        <w:rPr>
          <w:rFonts w:hint="eastAsia" w:ascii="仿宋_GB2312" w:eastAsia="仿宋_GB2312"/>
          <w:color w:val="auto"/>
        </w:rPr>
        <w:t>企业名称（盖章）：</w:t>
      </w:r>
    </w:p>
    <w:p w14:paraId="2EDB4FE9">
      <w:pPr>
        <w:ind w:firstLine="4200" w:firstLineChars="2000"/>
        <w:rPr>
          <w:rFonts w:ascii="仿宋_GB2312" w:eastAsia="仿宋_GB2312"/>
          <w:color w:val="auto"/>
        </w:rPr>
      </w:pPr>
      <w:r>
        <w:rPr>
          <w:rFonts w:hint="eastAsia" w:ascii="仿宋_GB2312" w:eastAsia="仿宋_GB2312"/>
          <w:color w:val="auto"/>
        </w:rPr>
        <w:t>日 期：</w:t>
      </w:r>
    </w:p>
    <w:p w14:paraId="7C25941B">
      <w:pPr>
        <w:ind w:firstLine="3780" w:firstLineChars="1800"/>
        <w:rPr>
          <w:rFonts w:hint="eastAsia" w:ascii="仿宋_GB2312" w:eastAsia="仿宋_GB2312"/>
          <w:color w:val="auto"/>
        </w:rPr>
      </w:pPr>
    </w:p>
    <w:p w14:paraId="413683C7">
      <w:pPr>
        <w:keepNext w:val="0"/>
        <w:keepLines w:val="0"/>
        <w:widowControl/>
        <w:suppressLineNumbers w:val="0"/>
        <w:jc w:val="left"/>
        <w:rPr>
          <w:rFonts w:hint="eastAsia" w:ascii="仿宋" w:hAnsi="仿宋" w:eastAsia="仿宋" w:cs="仿宋"/>
          <w:color w:val="auto"/>
        </w:rPr>
      </w:pPr>
      <w:r>
        <w:rPr>
          <w:rFonts w:hint="eastAsia" w:ascii="仿宋_GB2312" w:eastAsia="仿宋_GB2312"/>
          <w:color w:val="auto"/>
        </w:rPr>
        <w:t>从业人员、营业收入、资产总额填报上一年度数据，无上一年度数据的新成立企业可不填报</w:t>
      </w:r>
    </w:p>
    <w:p w14:paraId="68EFA4DA">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12093D0D">
      <w:pPr>
        <w:pStyle w:val="3"/>
        <w:adjustRightInd w:val="0"/>
        <w:snapToGrid w:val="0"/>
        <w:spacing w:before="0" w:after="0" w:line="240" w:lineRule="auto"/>
        <w:jc w:val="left"/>
        <w:rPr>
          <w:rFonts w:hint="eastAsia" w:ascii="仿宋_GB2312" w:hAnsi="仿宋_GB2312" w:eastAsia="仿宋_GB2312" w:cs="仿宋_GB2312"/>
          <w:color w:val="auto"/>
          <w:szCs w:val="28"/>
          <w:lang w:eastAsia="zh-CN"/>
        </w:rPr>
      </w:pPr>
      <w:r>
        <w:rPr>
          <w:rFonts w:hint="eastAsia" w:ascii="仿宋_GB2312" w:hAnsi="仿宋_GB2312" w:eastAsia="仿宋_GB2312" w:cs="仿宋_GB2312"/>
          <w:color w:val="auto"/>
          <w:szCs w:val="28"/>
        </w:rPr>
        <w:t>格式1</w:t>
      </w:r>
      <w:r>
        <w:rPr>
          <w:rFonts w:hint="eastAsia" w:ascii="仿宋_GB2312" w:hAnsi="仿宋_GB2312" w:eastAsia="仿宋_GB2312" w:cs="仿宋_GB2312"/>
          <w:color w:val="auto"/>
          <w:szCs w:val="28"/>
          <w:lang w:val="en-US" w:eastAsia="zh-CN"/>
        </w:rPr>
        <w:t>6</w:t>
      </w:r>
    </w:p>
    <w:p w14:paraId="217A121D">
      <w:pPr>
        <w:adjustRightInd w:val="0"/>
        <w:snapToGrid w:val="0"/>
        <w:spacing w:before="319" w:beforeLines="100" w:after="319" w:afterLines="100" w:line="360" w:lineRule="auto"/>
        <w:ind w:right="105" w:rightChars="50"/>
        <w:jc w:val="center"/>
        <w:rPr>
          <w:rFonts w:ascii="仿宋_GB2312" w:hAnsi="仿宋_GB2312" w:eastAsia="仿宋_GB2312" w:cs="仿宋_GB2312"/>
          <w:b/>
          <w:bCs/>
          <w:color w:val="auto"/>
          <w:sz w:val="32"/>
          <w:szCs w:val="32"/>
        </w:rPr>
      </w:pPr>
      <w:bookmarkStart w:id="121" w:name="_Toc29880_WPSOffice_Level2"/>
      <w:bookmarkStart w:id="122" w:name="_Toc13566_WPSOffice_Level2"/>
      <w:r>
        <w:rPr>
          <w:rFonts w:hint="eastAsia" w:ascii="仿宋_GB2312" w:hAnsi="仿宋_GB2312" w:eastAsia="仿宋_GB2312" w:cs="仿宋_GB2312"/>
          <w:b/>
          <w:bCs/>
          <w:color w:val="auto"/>
          <w:sz w:val="32"/>
          <w:szCs w:val="32"/>
        </w:rPr>
        <w:t>残疾人福利性单位声明函</w:t>
      </w:r>
      <w:bookmarkEnd w:id="121"/>
      <w:bookmarkEnd w:id="122"/>
    </w:p>
    <w:p w14:paraId="6619818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单位的</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项目采购活动，提供本单位制造的货物（由本单位承担工程/提供服务），或者提供其他残疾人福利性单位制造的货物（不包括使用非残疾人福利性单位注册商标的货物）</w:t>
      </w:r>
    </w:p>
    <w:p w14:paraId="7245836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本单位对上述声明的真实性负责。如有虚假，将依法承担相应责任。</w:t>
      </w:r>
    </w:p>
    <w:tbl>
      <w:tblPr>
        <w:tblStyle w:val="18"/>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E53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063B92EF">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序号</w:t>
            </w:r>
          </w:p>
        </w:tc>
        <w:tc>
          <w:tcPr>
            <w:tcW w:w="1582" w:type="dxa"/>
            <w:noWrap w:val="0"/>
            <w:vAlign w:val="center"/>
          </w:tcPr>
          <w:p w14:paraId="728017C3">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品  名</w:t>
            </w:r>
          </w:p>
        </w:tc>
        <w:tc>
          <w:tcPr>
            <w:tcW w:w="1587" w:type="dxa"/>
            <w:noWrap w:val="0"/>
            <w:vAlign w:val="center"/>
          </w:tcPr>
          <w:p w14:paraId="25D3B19E">
            <w:pPr>
              <w:widowControl/>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数量</w:t>
            </w:r>
          </w:p>
        </w:tc>
        <w:tc>
          <w:tcPr>
            <w:tcW w:w="1427" w:type="dxa"/>
            <w:noWrap w:val="0"/>
            <w:vAlign w:val="center"/>
          </w:tcPr>
          <w:p w14:paraId="110422F0">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规格</w:t>
            </w:r>
          </w:p>
          <w:p w14:paraId="6BFFF710">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型号</w:t>
            </w:r>
          </w:p>
        </w:tc>
        <w:tc>
          <w:tcPr>
            <w:tcW w:w="1427" w:type="dxa"/>
            <w:noWrap w:val="0"/>
            <w:vAlign w:val="center"/>
          </w:tcPr>
          <w:p w14:paraId="1EDCBD30">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生产</w:t>
            </w:r>
          </w:p>
          <w:p w14:paraId="60F9BE0C">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厂家</w:t>
            </w:r>
          </w:p>
        </w:tc>
        <w:tc>
          <w:tcPr>
            <w:tcW w:w="1344" w:type="dxa"/>
            <w:noWrap w:val="0"/>
            <w:vAlign w:val="center"/>
          </w:tcPr>
          <w:p w14:paraId="61431D39">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备注</w:t>
            </w:r>
          </w:p>
        </w:tc>
      </w:tr>
      <w:tr w14:paraId="35FF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5FA4C5AB">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1582" w:type="dxa"/>
            <w:noWrap w:val="0"/>
            <w:vAlign w:val="center"/>
          </w:tcPr>
          <w:p w14:paraId="474DF551">
            <w:pPr>
              <w:jc w:val="center"/>
              <w:rPr>
                <w:rFonts w:ascii="仿宋_GB2312" w:hAnsi="仿宋_GB2312" w:eastAsia="仿宋_GB2312" w:cs="仿宋_GB2312"/>
                <w:color w:val="auto"/>
                <w:szCs w:val="21"/>
              </w:rPr>
            </w:pPr>
          </w:p>
        </w:tc>
        <w:tc>
          <w:tcPr>
            <w:tcW w:w="1587" w:type="dxa"/>
            <w:noWrap w:val="0"/>
            <w:vAlign w:val="center"/>
          </w:tcPr>
          <w:p w14:paraId="334D8B22">
            <w:pPr>
              <w:jc w:val="center"/>
              <w:rPr>
                <w:rFonts w:ascii="仿宋_GB2312" w:hAnsi="仿宋_GB2312" w:eastAsia="仿宋_GB2312" w:cs="仿宋_GB2312"/>
                <w:color w:val="auto"/>
                <w:szCs w:val="21"/>
              </w:rPr>
            </w:pPr>
          </w:p>
        </w:tc>
        <w:tc>
          <w:tcPr>
            <w:tcW w:w="1427" w:type="dxa"/>
            <w:noWrap w:val="0"/>
            <w:vAlign w:val="center"/>
          </w:tcPr>
          <w:p w14:paraId="71EF0DDE">
            <w:pPr>
              <w:jc w:val="center"/>
              <w:rPr>
                <w:rFonts w:ascii="仿宋_GB2312" w:hAnsi="仿宋_GB2312" w:eastAsia="仿宋_GB2312" w:cs="仿宋_GB2312"/>
                <w:color w:val="auto"/>
                <w:szCs w:val="21"/>
              </w:rPr>
            </w:pPr>
          </w:p>
        </w:tc>
        <w:tc>
          <w:tcPr>
            <w:tcW w:w="1427" w:type="dxa"/>
            <w:noWrap w:val="0"/>
            <w:vAlign w:val="center"/>
          </w:tcPr>
          <w:p w14:paraId="3D94BEC7">
            <w:pPr>
              <w:jc w:val="center"/>
              <w:rPr>
                <w:rFonts w:ascii="仿宋_GB2312" w:hAnsi="仿宋_GB2312" w:eastAsia="仿宋_GB2312" w:cs="仿宋_GB2312"/>
                <w:color w:val="auto"/>
                <w:szCs w:val="21"/>
              </w:rPr>
            </w:pPr>
          </w:p>
        </w:tc>
        <w:tc>
          <w:tcPr>
            <w:tcW w:w="1344" w:type="dxa"/>
            <w:noWrap w:val="0"/>
            <w:vAlign w:val="center"/>
          </w:tcPr>
          <w:p w14:paraId="1276F48D">
            <w:pPr>
              <w:spacing w:line="360" w:lineRule="auto"/>
              <w:rPr>
                <w:rFonts w:ascii="仿宋_GB2312" w:hAnsi="仿宋_GB2312" w:eastAsia="仿宋_GB2312" w:cs="仿宋_GB2312"/>
                <w:color w:val="auto"/>
                <w:szCs w:val="21"/>
              </w:rPr>
            </w:pPr>
          </w:p>
        </w:tc>
      </w:tr>
      <w:tr w14:paraId="48BF0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0C00D4F2">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1582" w:type="dxa"/>
            <w:noWrap w:val="0"/>
            <w:vAlign w:val="center"/>
          </w:tcPr>
          <w:p w14:paraId="3485EB6C">
            <w:pPr>
              <w:jc w:val="center"/>
              <w:rPr>
                <w:rFonts w:ascii="仿宋_GB2312" w:hAnsi="仿宋_GB2312" w:eastAsia="仿宋_GB2312" w:cs="仿宋_GB2312"/>
                <w:color w:val="auto"/>
                <w:szCs w:val="21"/>
              </w:rPr>
            </w:pPr>
          </w:p>
        </w:tc>
        <w:tc>
          <w:tcPr>
            <w:tcW w:w="1587" w:type="dxa"/>
            <w:noWrap w:val="0"/>
            <w:vAlign w:val="center"/>
          </w:tcPr>
          <w:p w14:paraId="6CA291A0">
            <w:pPr>
              <w:jc w:val="center"/>
              <w:rPr>
                <w:rFonts w:ascii="仿宋_GB2312" w:hAnsi="仿宋_GB2312" w:eastAsia="仿宋_GB2312" w:cs="仿宋_GB2312"/>
                <w:color w:val="auto"/>
                <w:szCs w:val="21"/>
              </w:rPr>
            </w:pPr>
          </w:p>
        </w:tc>
        <w:tc>
          <w:tcPr>
            <w:tcW w:w="1427" w:type="dxa"/>
            <w:noWrap w:val="0"/>
            <w:vAlign w:val="center"/>
          </w:tcPr>
          <w:p w14:paraId="5F2CC1B2">
            <w:pPr>
              <w:jc w:val="center"/>
              <w:rPr>
                <w:rFonts w:ascii="仿宋_GB2312" w:hAnsi="仿宋_GB2312" w:eastAsia="仿宋_GB2312" w:cs="仿宋_GB2312"/>
                <w:color w:val="auto"/>
                <w:szCs w:val="21"/>
              </w:rPr>
            </w:pPr>
          </w:p>
        </w:tc>
        <w:tc>
          <w:tcPr>
            <w:tcW w:w="1427" w:type="dxa"/>
            <w:noWrap w:val="0"/>
            <w:vAlign w:val="center"/>
          </w:tcPr>
          <w:p w14:paraId="1EC160E4">
            <w:pPr>
              <w:jc w:val="center"/>
              <w:rPr>
                <w:rFonts w:ascii="仿宋_GB2312" w:hAnsi="仿宋_GB2312" w:eastAsia="仿宋_GB2312" w:cs="仿宋_GB2312"/>
                <w:color w:val="auto"/>
                <w:szCs w:val="21"/>
              </w:rPr>
            </w:pPr>
          </w:p>
        </w:tc>
        <w:tc>
          <w:tcPr>
            <w:tcW w:w="1344" w:type="dxa"/>
            <w:noWrap w:val="0"/>
            <w:vAlign w:val="center"/>
          </w:tcPr>
          <w:p w14:paraId="38D48EE4">
            <w:pPr>
              <w:spacing w:line="360" w:lineRule="auto"/>
              <w:rPr>
                <w:rFonts w:ascii="仿宋_GB2312" w:hAnsi="仿宋_GB2312" w:eastAsia="仿宋_GB2312" w:cs="仿宋_GB2312"/>
                <w:color w:val="auto"/>
                <w:szCs w:val="21"/>
              </w:rPr>
            </w:pPr>
          </w:p>
        </w:tc>
      </w:tr>
      <w:tr w14:paraId="24CA1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11DC0C8F">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w:t>
            </w:r>
          </w:p>
        </w:tc>
        <w:tc>
          <w:tcPr>
            <w:tcW w:w="1582" w:type="dxa"/>
            <w:noWrap w:val="0"/>
            <w:vAlign w:val="center"/>
          </w:tcPr>
          <w:p w14:paraId="42A0EC29">
            <w:pPr>
              <w:jc w:val="center"/>
              <w:rPr>
                <w:rFonts w:ascii="仿宋_GB2312" w:hAnsi="仿宋_GB2312" w:eastAsia="仿宋_GB2312" w:cs="仿宋_GB2312"/>
                <w:color w:val="auto"/>
                <w:szCs w:val="21"/>
              </w:rPr>
            </w:pPr>
          </w:p>
        </w:tc>
        <w:tc>
          <w:tcPr>
            <w:tcW w:w="1587" w:type="dxa"/>
            <w:noWrap w:val="0"/>
            <w:vAlign w:val="center"/>
          </w:tcPr>
          <w:p w14:paraId="45E9D81D">
            <w:pPr>
              <w:jc w:val="center"/>
              <w:rPr>
                <w:rFonts w:ascii="仿宋_GB2312" w:hAnsi="仿宋_GB2312" w:eastAsia="仿宋_GB2312" w:cs="仿宋_GB2312"/>
                <w:color w:val="auto"/>
                <w:szCs w:val="21"/>
              </w:rPr>
            </w:pPr>
          </w:p>
        </w:tc>
        <w:tc>
          <w:tcPr>
            <w:tcW w:w="1427" w:type="dxa"/>
            <w:noWrap w:val="0"/>
            <w:vAlign w:val="center"/>
          </w:tcPr>
          <w:p w14:paraId="41DED4AD">
            <w:pPr>
              <w:jc w:val="center"/>
              <w:rPr>
                <w:rFonts w:ascii="仿宋_GB2312" w:hAnsi="仿宋_GB2312" w:eastAsia="仿宋_GB2312" w:cs="仿宋_GB2312"/>
                <w:color w:val="auto"/>
                <w:szCs w:val="21"/>
              </w:rPr>
            </w:pPr>
          </w:p>
        </w:tc>
        <w:tc>
          <w:tcPr>
            <w:tcW w:w="1427" w:type="dxa"/>
            <w:noWrap w:val="0"/>
            <w:vAlign w:val="center"/>
          </w:tcPr>
          <w:p w14:paraId="005E4B87">
            <w:pPr>
              <w:jc w:val="center"/>
              <w:rPr>
                <w:rFonts w:ascii="仿宋_GB2312" w:hAnsi="仿宋_GB2312" w:eastAsia="仿宋_GB2312" w:cs="仿宋_GB2312"/>
                <w:color w:val="auto"/>
                <w:szCs w:val="21"/>
              </w:rPr>
            </w:pPr>
          </w:p>
        </w:tc>
        <w:tc>
          <w:tcPr>
            <w:tcW w:w="1344" w:type="dxa"/>
            <w:noWrap w:val="0"/>
            <w:vAlign w:val="center"/>
          </w:tcPr>
          <w:p w14:paraId="3E57FD7A">
            <w:pPr>
              <w:spacing w:line="360" w:lineRule="auto"/>
              <w:rPr>
                <w:rFonts w:ascii="仿宋_GB2312" w:hAnsi="仿宋_GB2312" w:eastAsia="仿宋_GB2312" w:cs="仿宋_GB2312"/>
                <w:color w:val="auto"/>
                <w:szCs w:val="21"/>
              </w:rPr>
            </w:pPr>
          </w:p>
        </w:tc>
      </w:tr>
      <w:tr w14:paraId="0263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32721DD1">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w:t>
            </w:r>
          </w:p>
        </w:tc>
        <w:tc>
          <w:tcPr>
            <w:tcW w:w="1582" w:type="dxa"/>
            <w:noWrap w:val="0"/>
            <w:vAlign w:val="center"/>
          </w:tcPr>
          <w:p w14:paraId="3D2D7F68">
            <w:pPr>
              <w:jc w:val="center"/>
              <w:rPr>
                <w:rFonts w:ascii="仿宋_GB2312" w:hAnsi="仿宋_GB2312" w:eastAsia="仿宋_GB2312" w:cs="仿宋_GB2312"/>
                <w:color w:val="auto"/>
                <w:szCs w:val="21"/>
              </w:rPr>
            </w:pPr>
          </w:p>
        </w:tc>
        <w:tc>
          <w:tcPr>
            <w:tcW w:w="1587" w:type="dxa"/>
            <w:noWrap w:val="0"/>
            <w:vAlign w:val="center"/>
          </w:tcPr>
          <w:p w14:paraId="1292431E">
            <w:pPr>
              <w:jc w:val="center"/>
              <w:rPr>
                <w:rFonts w:ascii="仿宋_GB2312" w:hAnsi="仿宋_GB2312" w:eastAsia="仿宋_GB2312" w:cs="仿宋_GB2312"/>
                <w:color w:val="auto"/>
                <w:szCs w:val="21"/>
              </w:rPr>
            </w:pPr>
          </w:p>
        </w:tc>
        <w:tc>
          <w:tcPr>
            <w:tcW w:w="1427" w:type="dxa"/>
            <w:noWrap w:val="0"/>
            <w:vAlign w:val="center"/>
          </w:tcPr>
          <w:p w14:paraId="2728DFB3">
            <w:pPr>
              <w:jc w:val="center"/>
              <w:rPr>
                <w:rFonts w:ascii="仿宋_GB2312" w:hAnsi="仿宋_GB2312" w:eastAsia="仿宋_GB2312" w:cs="仿宋_GB2312"/>
                <w:color w:val="auto"/>
                <w:szCs w:val="21"/>
              </w:rPr>
            </w:pPr>
          </w:p>
        </w:tc>
        <w:tc>
          <w:tcPr>
            <w:tcW w:w="1427" w:type="dxa"/>
            <w:noWrap w:val="0"/>
            <w:vAlign w:val="center"/>
          </w:tcPr>
          <w:p w14:paraId="0C06911A">
            <w:pPr>
              <w:jc w:val="center"/>
              <w:rPr>
                <w:rFonts w:ascii="仿宋_GB2312" w:hAnsi="仿宋_GB2312" w:eastAsia="仿宋_GB2312" w:cs="仿宋_GB2312"/>
                <w:color w:val="auto"/>
                <w:szCs w:val="21"/>
              </w:rPr>
            </w:pPr>
          </w:p>
        </w:tc>
        <w:tc>
          <w:tcPr>
            <w:tcW w:w="1344" w:type="dxa"/>
            <w:noWrap w:val="0"/>
            <w:vAlign w:val="center"/>
          </w:tcPr>
          <w:p w14:paraId="48941DAB">
            <w:pPr>
              <w:spacing w:line="360" w:lineRule="auto"/>
              <w:rPr>
                <w:rFonts w:ascii="仿宋_GB2312" w:hAnsi="仿宋_GB2312" w:eastAsia="仿宋_GB2312" w:cs="仿宋_GB2312"/>
                <w:color w:val="auto"/>
                <w:szCs w:val="21"/>
              </w:rPr>
            </w:pPr>
          </w:p>
        </w:tc>
      </w:tr>
      <w:tr w14:paraId="6377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8" w:hRule="atLeast"/>
        </w:trPr>
        <w:tc>
          <w:tcPr>
            <w:tcW w:w="8320" w:type="dxa"/>
            <w:gridSpan w:val="6"/>
            <w:noWrap w:val="0"/>
            <w:vAlign w:val="center"/>
          </w:tcPr>
          <w:p w14:paraId="25EBF91A">
            <w:pPr>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b/>
                <w:color w:val="auto"/>
                <w:szCs w:val="21"/>
              </w:rPr>
              <w:t xml:space="preserve"> </w:t>
            </w:r>
            <w:r>
              <w:rPr>
                <w:rFonts w:hint="eastAsia" w:ascii="仿宋_GB2312" w:hAnsi="仿宋_GB2312" w:eastAsia="仿宋_GB2312" w:cs="仿宋_GB2312"/>
                <w:b/>
                <w:color w:val="auto"/>
                <w:szCs w:val="21"/>
                <w:lang w:val="zh-CN"/>
              </w:rPr>
              <w:t>投标文件中所提供投标的以上伴随产品为我单位生产的产品，</w:t>
            </w:r>
            <w:r>
              <w:rPr>
                <w:rFonts w:hint="eastAsia" w:ascii="仿宋_GB2312" w:hAnsi="仿宋_GB2312" w:eastAsia="仿宋_GB2312" w:cs="仿宋_GB2312"/>
                <w:b/>
                <w:color w:val="auto"/>
                <w:szCs w:val="21"/>
              </w:rPr>
              <w:t>如有虚假</w:t>
            </w:r>
            <w:r>
              <w:rPr>
                <w:rFonts w:hint="eastAsia" w:ascii="仿宋_GB2312" w:hAnsi="仿宋_GB2312" w:eastAsia="仿宋_GB2312" w:cs="仿宋_GB2312"/>
                <w:b/>
                <w:color w:val="auto"/>
                <w:szCs w:val="21"/>
                <w:lang w:val="zh-CN"/>
              </w:rPr>
              <w:t>，我单位承担由此产生的一切后果</w:t>
            </w:r>
            <w:r>
              <w:rPr>
                <w:rFonts w:hint="eastAsia" w:ascii="仿宋_GB2312" w:hAnsi="仿宋_GB2312" w:eastAsia="仿宋_GB2312" w:cs="仿宋_GB2312"/>
                <w:color w:val="auto"/>
                <w:szCs w:val="21"/>
                <w:lang w:val="zh-CN"/>
              </w:rPr>
              <w:t>。</w:t>
            </w:r>
          </w:p>
        </w:tc>
      </w:tr>
    </w:tbl>
    <w:p w14:paraId="5C91345A">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p>
    <w:p w14:paraId="3D925460">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注：1、供应商为非残疾人福利性单位的，无需填写此声明函。</w:t>
      </w:r>
    </w:p>
    <w:p w14:paraId="2AE8EF1C">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2、仅为本项目提供服务，未提供服务所伴随产品的，此表格可不填写。</w:t>
      </w:r>
    </w:p>
    <w:p w14:paraId="4E812751">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3、如为本项目提供本单位伴随产品的，请填写此表格。</w:t>
      </w:r>
    </w:p>
    <w:p w14:paraId="125D0982">
      <w:pPr>
        <w:adjustRightInd w:val="0"/>
        <w:snapToGrid w:val="0"/>
        <w:spacing w:line="360" w:lineRule="auto"/>
        <w:ind w:right="105" w:rightChars="50" w:firstLine="476" w:firstLineChars="227"/>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4、如为本项目提供的伴随产品是其他单位生产的，无需填写此表格，但需生产单位按此格式出具此声明。</w:t>
      </w:r>
    </w:p>
    <w:p w14:paraId="24A161C6">
      <w:pPr>
        <w:adjustRightInd w:val="0"/>
        <w:snapToGrid w:val="0"/>
        <w:spacing w:line="360" w:lineRule="auto"/>
        <w:ind w:right="105" w:rightChars="50"/>
        <w:jc w:val="left"/>
        <w:rPr>
          <w:rFonts w:ascii="仿宋_GB2312" w:hAnsi="仿宋_GB2312" w:eastAsia="仿宋_GB2312" w:cs="仿宋_GB2312"/>
          <w:color w:val="auto"/>
          <w:szCs w:val="21"/>
        </w:rPr>
      </w:pPr>
    </w:p>
    <w:p w14:paraId="0FF2EBA5">
      <w:pPr>
        <w:adjustRightInd w:val="0"/>
        <w:snapToGrid w:val="0"/>
        <w:spacing w:line="360" w:lineRule="auto"/>
        <w:ind w:right="105" w:rightChars="50"/>
        <w:jc w:val="left"/>
        <w:rPr>
          <w:rFonts w:ascii="仿宋_GB2312" w:hAnsi="仿宋_GB2312" w:eastAsia="仿宋_GB2312" w:cs="仿宋_GB2312"/>
          <w:color w:val="auto"/>
          <w:szCs w:val="21"/>
        </w:rPr>
      </w:pPr>
    </w:p>
    <w:p w14:paraId="67A7198D">
      <w:pPr>
        <w:adjustRightInd w:val="0"/>
        <w:snapToGrid w:val="0"/>
        <w:spacing w:line="360" w:lineRule="auto"/>
        <w:ind w:right="105" w:rightChars="50"/>
        <w:jc w:val="left"/>
        <w:rPr>
          <w:rFonts w:ascii="仿宋_GB2312" w:hAnsi="仿宋_GB2312" w:eastAsia="仿宋_GB2312" w:cs="仿宋_GB2312"/>
          <w:color w:val="auto"/>
          <w:szCs w:val="21"/>
        </w:rPr>
      </w:pPr>
    </w:p>
    <w:p w14:paraId="17A4870B">
      <w:pPr>
        <w:adjustRightInd w:val="0"/>
        <w:snapToGrid w:val="0"/>
        <w:spacing w:line="480" w:lineRule="auto"/>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投标人名称（加盖单位公章）：</w:t>
      </w:r>
      <w:r>
        <w:rPr>
          <w:rFonts w:hint="eastAsia" w:ascii="仿宋_GB2312" w:hAnsi="仿宋_GB2312" w:eastAsia="仿宋_GB2312" w:cs="仿宋_GB2312"/>
          <w:color w:val="auto"/>
          <w:szCs w:val="21"/>
          <w:u w:val="single"/>
        </w:rPr>
        <w:t xml:space="preserve">              </w:t>
      </w:r>
    </w:p>
    <w:p w14:paraId="0A7CE5EF">
      <w:pPr>
        <w:adjustRightInd w:val="0"/>
        <w:snapToGrid w:val="0"/>
        <w:spacing w:line="480" w:lineRule="auto"/>
        <w:ind w:right="105" w:rightChars="50"/>
        <w:jc w:val="left"/>
        <w:rPr>
          <w:rFonts w:ascii="仿宋_GB2312" w:hAnsi="仿宋_GB2312" w:eastAsia="仿宋_GB2312" w:cs="仿宋_GB2312"/>
          <w:b/>
          <w:color w:val="auto"/>
          <w:sz w:val="28"/>
          <w:szCs w:val="28"/>
        </w:rPr>
      </w:pPr>
      <w:r>
        <w:rPr>
          <w:rFonts w:hint="eastAsia" w:ascii="仿宋_GB2312" w:hAnsi="仿宋_GB2312" w:eastAsia="仿宋_GB2312" w:cs="仿宋_GB2312"/>
          <w:color w:val="auto"/>
          <w:szCs w:val="21"/>
        </w:rPr>
        <w:t>日 期：</w:t>
      </w:r>
      <w:r>
        <w:rPr>
          <w:rFonts w:hint="eastAsia" w:ascii="仿宋_GB2312" w:hAnsi="仿宋_GB2312" w:eastAsia="仿宋_GB2312" w:cs="仿宋_GB2312"/>
          <w:color w:val="auto"/>
          <w:szCs w:val="21"/>
          <w:u w:val="single"/>
        </w:rPr>
        <w:t xml:space="preserve">              </w:t>
      </w:r>
    </w:p>
    <w:p w14:paraId="3235AC69">
      <w:pPr>
        <w:adjustRightInd w:val="0"/>
        <w:snapToGrid w:val="0"/>
        <w:spacing w:line="360" w:lineRule="auto"/>
        <w:ind w:right="105" w:rightChars="50"/>
        <w:jc w:val="left"/>
        <w:rPr>
          <w:rFonts w:ascii="仿宋_GB2312" w:hAnsi="仿宋_GB2312" w:eastAsia="仿宋_GB2312" w:cs="仿宋_GB2312"/>
          <w:color w:val="auto"/>
          <w:szCs w:val="21"/>
          <w:u w:val="single"/>
        </w:rPr>
      </w:pPr>
    </w:p>
    <w:p w14:paraId="3D152BFC">
      <w:pPr>
        <w:widowControl/>
        <w:jc w:val="left"/>
        <w:rPr>
          <w:rFonts w:ascii="仿宋_GB2312" w:hAnsi="仿宋_GB2312" w:eastAsia="仿宋_GB2312" w:cs="仿宋_GB2312"/>
          <w:color w:val="auto"/>
          <w:szCs w:val="21"/>
          <w:u w:val="single"/>
        </w:rPr>
      </w:pPr>
    </w:p>
    <w:p w14:paraId="2F30A63B">
      <w:pPr>
        <w:pStyle w:val="2"/>
        <w:snapToGrid w:val="0"/>
        <w:spacing w:before="319" w:beforeLines="100" w:after="319" w:afterLines="100" w:line="360" w:lineRule="auto"/>
        <w:rPr>
          <w:rFonts w:ascii="仿宋_GB2312" w:hAnsi="仿宋_GB2312" w:eastAsia="仿宋_GB2312" w:cs="仿宋_GB2312"/>
          <w:color w:val="auto"/>
        </w:rPr>
      </w:pPr>
      <w:bookmarkStart w:id="123" w:name="_Toc17590"/>
      <w:bookmarkStart w:id="124" w:name="_Toc4498_WPSOffice_Level1"/>
      <w:r>
        <w:rPr>
          <w:rFonts w:hint="eastAsia" w:ascii="仿宋_GB2312" w:hAnsi="仿宋_GB2312" w:eastAsia="仿宋_GB2312" w:cs="仿宋_GB2312"/>
          <w:color w:val="auto"/>
        </w:rPr>
        <w:t>第三章 货物需求</w:t>
      </w:r>
      <w:bookmarkEnd w:id="123"/>
      <w:bookmarkEnd w:id="124"/>
    </w:p>
    <w:p w14:paraId="5A144DA8">
      <w:pPr>
        <w:pStyle w:val="30"/>
        <w:rPr>
          <w:rFonts w:hint="default" w:ascii="仿宋_GB2312" w:hAnsi="仿宋_GB2312" w:eastAsia="仿宋_GB2312" w:cs="仿宋_GB2312"/>
          <w:b/>
          <w:bCs/>
          <w:color w:val="auto"/>
          <w:szCs w:val="21"/>
          <w:lang w:val="en-US" w:eastAsia="zh-CN"/>
        </w:rPr>
      </w:pPr>
      <w:r>
        <w:rPr>
          <w:rFonts w:hint="eastAsia" w:ascii="仿宋_GB2312" w:hAnsi="仿宋_GB2312" w:eastAsia="仿宋_GB2312" w:cs="仿宋_GB2312"/>
          <w:b/>
          <w:color w:val="auto"/>
          <w:kern w:val="0"/>
          <w:szCs w:val="21"/>
        </w:rPr>
        <w:t>★</w:t>
      </w:r>
      <w:r>
        <w:rPr>
          <w:rFonts w:hint="eastAsia" w:ascii="仿宋_GB2312" w:hAnsi="仿宋_GB2312" w:eastAsia="仿宋_GB2312" w:cs="仿宋_GB2312"/>
          <w:b/>
          <w:bCs/>
          <w:color w:val="auto"/>
          <w:szCs w:val="21"/>
          <w:lang w:val="en-US" w:eastAsia="zh-CN"/>
        </w:rPr>
        <w:t>一、商务要求：</w:t>
      </w:r>
    </w:p>
    <w:p w14:paraId="2BFBBBFB">
      <w:pPr>
        <w:numPr>
          <w:ilvl w:val="0"/>
          <w:numId w:val="0"/>
        </w:num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2"/>
          <w:sz w:val="21"/>
          <w:szCs w:val="21"/>
          <w:lang w:val="en-US" w:eastAsia="zh-CN" w:bidi="ar-SA"/>
        </w:rPr>
        <w:t>1、</w:t>
      </w:r>
      <w:r>
        <w:rPr>
          <w:rFonts w:hint="eastAsia" w:ascii="仿宋_GB2312" w:hAnsi="仿宋_GB2312" w:eastAsia="仿宋_GB2312" w:cs="仿宋_GB2312"/>
          <w:color w:val="auto"/>
          <w:szCs w:val="21"/>
          <w:highlight w:val="none"/>
        </w:rPr>
        <w:t>交货时间</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自合同签订之日起90日内一次性交齐全部货物。</w:t>
      </w:r>
    </w:p>
    <w:p w14:paraId="2D977B0C">
      <w:pPr>
        <w:numPr>
          <w:ilvl w:val="0"/>
          <w:numId w:val="0"/>
        </w:num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2"/>
          <w:sz w:val="21"/>
          <w:szCs w:val="21"/>
          <w:highlight w:val="none"/>
          <w:lang w:val="en-US" w:eastAsia="zh-CN" w:bidi="ar-SA"/>
        </w:rPr>
        <w:t>2、</w:t>
      </w:r>
      <w:r>
        <w:rPr>
          <w:rFonts w:hint="eastAsia" w:ascii="仿宋_GB2312" w:hAnsi="仿宋_GB2312" w:eastAsia="仿宋_GB2312" w:cs="仿宋_GB2312"/>
          <w:color w:val="auto"/>
          <w:szCs w:val="21"/>
          <w:highlight w:val="none"/>
        </w:rPr>
        <w:t>交货地点</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招标人指定地点。</w:t>
      </w:r>
    </w:p>
    <w:p w14:paraId="202C1364">
      <w:pPr>
        <w:numPr>
          <w:ilvl w:val="0"/>
          <w:numId w:val="0"/>
        </w:numP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kern w:val="2"/>
          <w:sz w:val="21"/>
          <w:szCs w:val="21"/>
          <w:highlight w:val="none"/>
          <w:lang w:val="en-US" w:eastAsia="zh-CN" w:bidi="ar-SA"/>
        </w:rPr>
        <w:t>3、</w:t>
      </w:r>
      <w:r>
        <w:rPr>
          <w:rFonts w:hint="eastAsia" w:ascii="仿宋" w:hAnsi="仿宋" w:cs="仿宋"/>
          <w:color w:val="auto"/>
          <w:szCs w:val="21"/>
        </w:rPr>
        <w:t>付款方式及条件：</w:t>
      </w:r>
      <w:r>
        <w:rPr>
          <w:rFonts w:hint="eastAsia" w:ascii="仿宋_GB2312" w:hAnsi="仿宋_GB2312" w:eastAsia="仿宋_GB2312" w:cs="仿宋_GB2312"/>
          <w:color w:val="auto"/>
          <w:szCs w:val="21"/>
          <w:highlight w:val="none"/>
        </w:rPr>
        <w:t>自中标通知书发出之日起先预付成交金额的10%作为预付款，货到验收合格后，中标人向招标人提供合同等额有效的发票后招标人支付合同总额90%的货款。</w:t>
      </w:r>
    </w:p>
    <w:p w14:paraId="28363D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注：1）招标人使用的财政资金，付款时间为财政资金支付至招标人账户后。如因实行政府集中支付延误时间导致的付款延迟，招标人不承担任何违约责任。2）如因中标人未提供符合要求的发票导致招标人未按约定付款的，招标人不承担违约责任。3）本项目以人民币结算，付款方式：银行转账。</w:t>
      </w:r>
    </w:p>
    <w:p w14:paraId="71115B61">
      <w:pPr>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4、质保期：5年，</w:t>
      </w:r>
      <w:r>
        <w:rPr>
          <w:rFonts w:hint="eastAsia"/>
          <w:color w:val="auto"/>
          <w:highlight w:val="none"/>
        </w:rPr>
        <w:t>国家标准有要求或产品厂商有更高质保承诺或招标文件中的设备有单独要求的，按更长质保期进行质保。</w:t>
      </w:r>
      <w:r>
        <w:rPr>
          <w:rFonts w:hint="eastAsia" w:ascii="仿宋" w:hAnsi="仿宋" w:cs="仿宋"/>
          <w:color w:val="auto"/>
          <w:szCs w:val="21"/>
          <w:highlight w:val="none"/>
        </w:rPr>
        <w:t>质保期自验收合格之日起</w:t>
      </w:r>
      <w:r>
        <w:rPr>
          <w:rFonts w:hint="eastAsia" w:ascii="仿宋" w:hAnsi="仿宋" w:cs="仿宋"/>
          <w:color w:val="000000"/>
          <w:szCs w:val="21"/>
          <w:highlight w:val="none"/>
        </w:rPr>
        <w:t>计算，质保期内中标人不收取任何维修费用。</w:t>
      </w:r>
      <w:r>
        <w:rPr>
          <w:rFonts w:hint="eastAsia"/>
          <w:color w:val="000000"/>
          <w:highlight w:val="none"/>
        </w:rPr>
        <w:t>供应商须提供所投产品全寿命周期的主要耗损件、易损件及更换总成的目录和年度价格清单。</w:t>
      </w:r>
    </w:p>
    <w:p w14:paraId="0A20D49D">
      <w:pPr>
        <w:spacing w:line="360" w:lineRule="auto"/>
        <w:ind w:firstLine="420" w:firstLineChars="200"/>
        <w:rPr>
          <w:rFonts w:hint="eastAsia" w:ascii="Times New Roman" w:hAnsi="Times New Roman" w:cs="Times New Roman"/>
          <w:color w:val="000000"/>
        </w:rPr>
      </w:pPr>
      <w:r>
        <w:rPr>
          <w:rFonts w:hint="eastAsia" w:ascii="仿宋_GB2312" w:hAnsi="仿宋_GB2312" w:eastAsia="仿宋_GB2312" w:cs="仿宋_GB2312"/>
          <w:color w:val="auto"/>
          <w:szCs w:val="21"/>
          <w:highlight w:val="none"/>
          <w:lang w:val="en-US" w:eastAsia="zh-CN"/>
        </w:rPr>
        <w:t>5、</w:t>
      </w:r>
      <w:r>
        <w:rPr>
          <w:rFonts w:hint="eastAsia" w:ascii="仿宋" w:hAnsi="仿宋" w:cs="仿宋"/>
          <w:color w:val="000000"/>
          <w:szCs w:val="21"/>
          <w:highlight w:val="none"/>
        </w:rPr>
        <w:t>供应商需提供热线电话支持，热线支持时间根据自身情况设置；质保期内供应商需确保0.5小时内响应</w:t>
      </w:r>
      <w:r>
        <w:rPr>
          <w:rFonts w:hint="eastAsia" w:ascii="仿宋" w:hAnsi="仿宋" w:cs="仿宋"/>
          <w:color w:val="000000"/>
          <w:szCs w:val="21"/>
          <w:highlight w:val="none"/>
          <w:lang w:val="en-US" w:eastAsia="zh-CN"/>
        </w:rPr>
        <w:t>12</w:t>
      </w:r>
      <w:r>
        <w:rPr>
          <w:rFonts w:hint="eastAsia" w:ascii="仿宋" w:hAnsi="仿宋" w:cs="仿宋"/>
          <w:color w:val="000000"/>
          <w:szCs w:val="21"/>
        </w:rPr>
        <w:t>小时内到达现场解</w:t>
      </w:r>
      <w:r>
        <w:rPr>
          <w:rFonts w:hint="eastAsia" w:ascii="Times New Roman" w:hAnsi="Times New Roman" w:cs="Times New Roman"/>
          <w:color w:val="000000"/>
        </w:rPr>
        <w:t>除故障（问题）。</w:t>
      </w:r>
    </w:p>
    <w:p w14:paraId="7D22A2A4">
      <w:pPr>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6、供货时提前做好采购单位标识，同时做好存放期间的防尘、防雨等防护措施。并提供可供叉车转运的托盘或装具。</w:t>
      </w:r>
    </w:p>
    <w:p w14:paraId="1F3128F2">
      <w:pPr>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7、总体要求：所投产品必须为具备相应生产资格和资质条件的公司生产的并具有自主知识产权产品，具备正规的供货渠道和铭牌编号，不得是贴牌产品，投标供应商具备完善的售后维修维护能力。</w:t>
      </w:r>
    </w:p>
    <w:p w14:paraId="7B032A6A">
      <w:pPr>
        <w:spacing w:line="360" w:lineRule="auto"/>
        <w:ind w:firstLine="420" w:firstLineChars="200"/>
        <w:rPr>
          <w:rFonts w:hint="eastAsia" w:ascii="仿宋" w:hAnsi="仿宋" w:cs="仿宋"/>
          <w:szCs w:val="21"/>
          <w:highlight w:val="none"/>
        </w:rPr>
      </w:pPr>
      <w:r>
        <w:rPr>
          <w:rFonts w:hint="eastAsia" w:ascii="仿宋_GB2312" w:hAnsi="仿宋_GB2312" w:eastAsia="仿宋_GB2312" w:cs="仿宋_GB2312"/>
          <w:color w:val="auto"/>
          <w:szCs w:val="21"/>
          <w:highlight w:val="none"/>
          <w:lang w:val="en-US" w:eastAsia="zh-CN"/>
        </w:rPr>
        <w:t>8、验收要求：本项目履</w:t>
      </w:r>
      <w:r>
        <w:rPr>
          <w:rFonts w:hint="eastAsia" w:ascii="仿宋" w:hAnsi="仿宋" w:cs="仿宋"/>
          <w:szCs w:val="21"/>
          <w:highlight w:val="none"/>
        </w:rPr>
        <w:t>约验收工作由招标人根据《辽宁省消防救援总队自然灾害应急能力提升工程装备建设项目验收实施方案》（详见本章附件1）以及政府采购相关法律法规实施的内容依法组织实施，验收标准执行国家、行业相关标准并符合中标人投标文件列示的包括但不限于品牌、型号、数量、种类、规格、参数、质量、性能等指标。</w:t>
      </w:r>
    </w:p>
    <w:p w14:paraId="3B1CB60A">
      <w:pPr>
        <w:spacing w:line="360" w:lineRule="auto"/>
        <w:ind w:firstLine="420" w:firstLineChars="200"/>
        <w:rPr>
          <w:rFonts w:hint="default" w:ascii="仿宋" w:hAnsi="仿宋" w:eastAsia="仿宋" w:cs="仿宋"/>
          <w:szCs w:val="21"/>
          <w:highlight w:val="none"/>
          <w:lang w:val="en-US" w:eastAsia="zh-CN"/>
        </w:rPr>
      </w:pPr>
      <w:r>
        <w:rPr>
          <w:rFonts w:hint="eastAsia" w:ascii="仿宋" w:hAnsi="仿宋" w:cs="仿宋"/>
          <w:szCs w:val="21"/>
          <w:highlight w:val="none"/>
          <w:lang w:val="en-US" w:eastAsia="zh-CN"/>
        </w:rPr>
        <w:t>9、</w:t>
      </w:r>
      <w:r>
        <w:rPr>
          <w:rFonts w:hint="eastAsia" w:ascii="仿宋_GB2312" w:hAnsi="仿宋_GB2312" w:eastAsia="仿宋_GB2312" w:cs="仿宋_GB2312"/>
          <w:color w:val="auto"/>
          <w:szCs w:val="21"/>
          <w:highlight w:val="none"/>
          <w:lang w:val="en-US" w:eastAsia="zh-CN"/>
        </w:rPr>
        <w:t>货物交付前，所有风险由中标人承担。</w:t>
      </w:r>
    </w:p>
    <w:p w14:paraId="19DF317C">
      <w:pPr>
        <w:spacing w:line="360" w:lineRule="auto"/>
        <w:ind w:firstLine="240" w:firstLineChars="100"/>
        <w:rPr>
          <w:rFonts w:hint="eastAsia" w:ascii="仿宋_GB2312" w:hAnsi="仿宋_GB2312" w:eastAsia="仿宋_GB2312" w:cs="仿宋_GB2312"/>
          <w:b/>
          <w:bCs/>
          <w:color w:val="auto"/>
          <w:kern w:val="0"/>
          <w:sz w:val="24"/>
          <w:szCs w:val="21"/>
          <w:lang w:val="en-US" w:eastAsia="zh-CN" w:bidi="ar-SA"/>
        </w:rPr>
      </w:pPr>
      <w:r>
        <w:rPr>
          <w:rFonts w:hint="eastAsia" w:ascii="仿宋_GB2312" w:hAnsi="仿宋_GB2312" w:eastAsia="仿宋_GB2312" w:cs="仿宋_GB2312"/>
          <w:b/>
          <w:bCs/>
          <w:color w:val="auto"/>
          <w:kern w:val="0"/>
          <w:sz w:val="24"/>
          <w:szCs w:val="21"/>
          <w:lang w:val="en-US" w:eastAsia="zh-CN" w:bidi="ar-SA"/>
        </w:rPr>
        <w:t>二、采购参数及要求：</w:t>
      </w:r>
    </w:p>
    <w:tbl>
      <w:tblPr>
        <w:tblStyle w:val="19"/>
        <w:tblW w:w="8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436"/>
        <w:gridCol w:w="932"/>
        <w:gridCol w:w="5708"/>
      </w:tblGrid>
      <w:tr w14:paraId="09D0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862" w:type="dxa"/>
            <w:noWrap w:val="0"/>
            <w:vAlign w:val="center"/>
          </w:tcPr>
          <w:p w14:paraId="3FF5E79A">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bCs/>
                <w:color w:val="auto"/>
                <w:szCs w:val="21"/>
                <w:vertAlign w:val="baseline"/>
                <w:lang w:val="en-US" w:eastAsia="zh-CN"/>
              </w:rPr>
            </w:pPr>
            <w:r>
              <w:rPr>
                <w:rFonts w:hint="eastAsia" w:ascii="仿宋_GB2312" w:hAnsi="仿宋_GB2312" w:eastAsia="仿宋_GB2312" w:cs="仿宋_GB2312"/>
                <w:b/>
                <w:bCs/>
                <w:color w:val="auto"/>
                <w:szCs w:val="21"/>
                <w:vertAlign w:val="baseline"/>
                <w:lang w:val="en-US" w:eastAsia="zh-CN"/>
              </w:rPr>
              <w:t>序号</w:t>
            </w:r>
          </w:p>
        </w:tc>
        <w:tc>
          <w:tcPr>
            <w:tcW w:w="1436" w:type="dxa"/>
            <w:noWrap w:val="0"/>
            <w:vAlign w:val="center"/>
          </w:tcPr>
          <w:p w14:paraId="4E87EE10">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bCs/>
                <w:color w:val="auto"/>
                <w:szCs w:val="21"/>
                <w:vertAlign w:val="baseline"/>
                <w:lang w:val="en-US" w:eastAsia="zh-CN"/>
              </w:rPr>
            </w:pPr>
            <w:r>
              <w:rPr>
                <w:rFonts w:hint="eastAsia" w:ascii="仿宋_GB2312" w:hAnsi="仿宋_GB2312" w:eastAsia="仿宋_GB2312" w:cs="仿宋_GB2312"/>
                <w:b/>
                <w:bCs/>
                <w:color w:val="auto"/>
                <w:szCs w:val="21"/>
                <w:vertAlign w:val="baseline"/>
                <w:lang w:val="en-US" w:eastAsia="zh-CN"/>
              </w:rPr>
              <w:t>货物名称</w:t>
            </w:r>
          </w:p>
        </w:tc>
        <w:tc>
          <w:tcPr>
            <w:tcW w:w="932" w:type="dxa"/>
            <w:noWrap w:val="0"/>
            <w:vAlign w:val="center"/>
          </w:tcPr>
          <w:p w14:paraId="51D3EB83">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bCs/>
                <w:color w:val="auto"/>
                <w:szCs w:val="21"/>
                <w:vertAlign w:val="baseline"/>
                <w:lang w:val="en-US" w:eastAsia="zh-CN"/>
              </w:rPr>
            </w:pPr>
            <w:r>
              <w:rPr>
                <w:rFonts w:hint="eastAsia" w:ascii="仿宋_GB2312" w:hAnsi="仿宋_GB2312" w:eastAsia="仿宋_GB2312" w:cs="仿宋_GB2312"/>
                <w:b/>
                <w:bCs/>
                <w:color w:val="auto"/>
                <w:szCs w:val="21"/>
                <w:vertAlign w:val="baseline"/>
                <w:lang w:val="en-US" w:eastAsia="zh-CN"/>
              </w:rPr>
              <w:t>数量</w:t>
            </w:r>
          </w:p>
        </w:tc>
        <w:tc>
          <w:tcPr>
            <w:tcW w:w="5708" w:type="dxa"/>
            <w:noWrap w:val="0"/>
            <w:vAlign w:val="center"/>
          </w:tcPr>
          <w:p w14:paraId="78F5EF61">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bCs/>
                <w:color w:val="auto"/>
                <w:szCs w:val="21"/>
                <w:vertAlign w:val="baseline"/>
                <w:lang w:val="en-US" w:eastAsia="zh-CN"/>
              </w:rPr>
            </w:pPr>
            <w:r>
              <w:rPr>
                <w:rFonts w:hint="eastAsia" w:ascii="仿宋_GB2312" w:hAnsi="仿宋_GB2312" w:eastAsia="仿宋_GB2312" w:cs="仿宋_GB2312"/>
                <w:b/>
                <w:bCs/>
                <w:color w:val="auto"/>
                <w:szCs w:val="21"/>
                <w:vertAlign w:val="baseline"/>
                <w:lang w:val="en-US" w:eastAsia="zh-CN"/>
              </w:rPr>
              <w:t>参数要求</w:t>
            </w:r>
          </w:p>
        </w:tc>
      </w:tr>
      <w:tr w14:paraId="09B9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862" w:type="dxa"/>
            <w:noWrap w:val="0"/>
            <w:vAlign w:val="center"/>
          </w:tcPr>
          <w:p w14:paraId="01E13111">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1</w:t>
            </w:r>
          </w:p>
        </w:tc>
        <w:tc>
          <w:tcPr>
            <w:tcW w:w="1436" w:type="dxa"/>
            <w:noWrap w:val="0"/>
            <w:vAlign w:val="center"/>
          </w:tcPr>
          <w:p w14:paraId="5F7DF364">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灭火机器人</w:t>
            </w:r>
          </w:p>
        </w:tc>
        <w:tc>
          <w:tcPr>
            <w:tcW w:w="932" w:type="dxa"/>
            <w:noWrap w:val="0"/>
            <w:vAlign w:val="center"/>
          </w:tcPr>
          <w:p w14:paraId="7CA4171E">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2</w:t>
            </w:r>
          </w:p>
        </w:tc>
        <w:tc>
          <w:tcPr>
            <w:tcW w:w="5708" w:type="dxa"/>
            <w:noWrap w:val="0"/>
            <w:vAlign w:val="center"/>
          </w:tcPr>
          <w:p w14:paraId="0572EA2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color w:val="auto"/>
                <w:szCs w:val="21"/>
                <w:highlight w:val="none"/>
                <w:lang w:val="en-US" w:eastAsia="zh-CN"/>
              </w:rPr>
              <w:t>★一、实质性要求</w:t>
            </w:r>
          </w:p>
          <w:p w14:paraId="6BA6867A">
            <w:pPr>
              <w:pStyle w:val="30"/>
              <w:ind w:firstLine="0" w:firstLine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1、符合 XF 892.1-2010《消防机器人第 1 部分通用技术条件》的标准要求。</w:t>
            </w:r>
            <w:r>
              <w:rPr>
                <w:rFonts w:hint="eastAsia" w:ascii="仿宋_GB2312" w:hAnsi="仿宋_GB2312" w:eastAsia="仿宋_GB2312" w:cs="仿宋_GB2312"/>
                <w:b w:val="0"/>
                <w:bCs w:val="0"/>
                <w:sz w:val="21"/>
                <w:szCs w:val="21"/>
                <w:lang w:val="en-US" w:eastAsia="zh-CN"/>
              </w:rPr>
              <w:t>提供所投产品第三方检验检测机构出具的检测报告，出具检测报告的机构应取得国家相关部门的资质认定。</w:t>
            </w:r>
          </w:p>
          <w:p w14:paraId="2EFC4CFE">
            <w:pPr>
              <w:pStyle w:val="30"/>
              <w:ind w:firstLine="0" w:firstLine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根</w:t>
            </w:r>
            <w:r>
              <w:rPr>
                <w:rFonts w:hint="eastAsia" w:ascii="仿宋_GB2312" w:hAnsi="仿宋_GB2312" w:eastAsia="仿宋_GB2312" w:cs="仿宋_GB2312"/>
                <w:b w:val="0"/>
                <w:bCs w:val="0"/>
                <w:sz w:val="21"/>
                <w:szCs w:val="21"/>
              </w:rPr>
              <w:t>据采购单位要求，安装符合《消防装备物资物联网标识管理》规定的二维码和 RFID 标签，器材在交付前须完成部局系统赋码工作，确保一物一码。</w:t>
            </w:r>
          </w:p>
          <w:p w14:paraId="39123617">
            <w:pPr>
              <w:pStyle w:val="30"/>
              <w:ind w:firstLine="0" w:firstLine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消防灭火侦察机器人应采用电</w:t>
            </w:r>
            <w:r>
              <w:rPr>
                <w:rFonts w:hint="eastAsia" w:ascii="仿宋_GB2312" w:hAnsi="仿宋_GB2312" w:eastAsia="仿宋_GB2312" w:cs="仿宋_GB2312"/>
                <w:b w:val="0"/>
                <w:bCs w:val="0"/>
                <w:sz w:val="21"/>
                <w:szCs w:val="21"/>
                <w:lang w:val="en-US" w:eastAsia="zh-CN"/>
              </w:rPr>
              <w:t>机</w:t>
            </w:r>
            <w:r>
              <w:rPr>
                <w:rFonts w:hint="eastAsia" w:ascii="仿宋_GB2312" w:hAnsi="仿宋_GB2312" w:eastAsia="仿宋_GB2312" w:cs="仿宋_GB2312"/>
                <w:b w:val="0"/>
                <w:bCs w:val="0"/>
                <w:sz w:val="21"/>
                <w:szCs w:val="21"/>
              </w:rPr>
              <w:t>驱动，采用橡胶履带式行走机构。应配备独立悬挂减震系统。需为每台机器人配备专属应急运输拖挂车，可由汽车拖挂运输。</w:t>
            </w:r>
          </w:p>
          <w:p w14:paraId="6F79BB1D">
            <w:pPr>
              <w:pStyle w:val="30"/>
              <w:ind w:firstLine="0" w:firstLineChars="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二、一般指标性参数（共计</w:t>
            </w:r>
            <w:r>
              <w:rPr>
                <w:rFonts w:hint="eastAsia" w:ascii="仿宋_GB2312" w:hAnsi="仿宋_GB2312" w:eastAsia="仿宋_GB2312" w:cs="仿宋_GB2312"/>
                <w:b/>
                <w:bCs/>
                <w:sz w:val="21"/>
                <w:szCs w:val="21"/>
                <w:lang w:val="en-US" w:eastAsia="zh-CN"/>
              </w:rPr>
              <w:t>30</w:t>
            </w:r>
            <w:r>
              <w:rPr>
                <w:rFonts w:hint="eastAsia" w:ascii="仿宋_GB2312" w:hAnsi="仿宋_GB2312" w:eastAsia="仿宋_GB2312" w:cs="仿宋_GB2312"/>
                <w:b/>
                <w:bCs/>
                <w:sz w:val="21"/>
                <w:szCs w:val="21"/>
              </w:rPr>
              <w:t>项，其中“▲”项为</w:t>
            </w:r>
            <w:r>
              <w:rPr>
                <w:rFonts w:hint="eastAsia" w:ascii="仿宋_GB2312" w:hAnsi="仿宋_GB2312" w:eastAsia="仿宋_GB2312" w:cs="仿宋_GB2312"/>
                <w:b/>
                <w:bCs/>
                <w:sz w:val="21"/>
                <w:szCs w:val="21"/>
                <w:lang w:val="en-US" w:eastAsia="zh-CN"/>
              </w:rPr>
              <w:t>10</w:t>
            </w:r>
            <w:r>
              <w:rPr>
                <w:rFonts w:hint="eastAsia" w:ascii="仿宋_GB2312" w:hAnsi="仿宋_GB2312" w:eastAsia="仿宋_GB2312" w:cs="仿宋_GB2312"/>
                <w:b/>
                <w:bCs/>
                <w:sz w:val="21"/>
                <w:szCs w:val="21"/>
              </w:rPr>
              <w:t>项）</w:t>
            </w:r>
          </w:p>
          <w:p w14:paraId="20DC8B47">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▲1、机器人具有整机防爆认证证书，防爆等级ExdⅡBT4Gb或高于，需提供有效期内的防爆合格证。 </w:t>
            </w:r>
          </w:p>
          <w:p w14:paraId="382A3F09">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2、制动距离≤0.3m</w:t>
            </w:r>
          </w:p>
          <w:p w14:paraId="130C3FD9">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3、机身（底盘）长：≥1300mm</w:t>
            </w:r>
          </w:p>
          <w:p w14:paraId="528A1086">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4、机身（底盘）宽：≥900mm</w:t>
            </w:r>
          </w:p>
          <w:p w14:paraId="09EC1C78">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5、机身（底盘）高：≥1000mm</w:t>
            </w:r>
          </w:p>
          <w:p w14:paraId="5C95255D">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6、整机质量：≥500kg；</w:t>
            </w:r>
          </w:p>
          <w:p w14:paraId="4CA28E1C">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▲7、整机牵引力≥5.0kN</w:t>
            </w:r>
          </w:p>
          <w:p w14:paraId="761601C2">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8、直线速度≥1.5 m/s</w:t>
            </w:r>
          </w:p>
          <w:p w14:paraId="5B1E3089">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▲9、爬坡能力：≥70%； </w:t>
            </w:r>
          </w:p>
          <w:p w14:paraId="3294075C">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▲10、越障高度： 300mm； </w:t>
            </w:r>
          </w:p>
          <w:p w14:paraId="02D732F0">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11、侧倾稳定角≥45°</w:t>
            </w:r>
          </w:p>
          <w:p w14:paraId="095F596A">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12、消防水炮额定工作压力≤1.2Mpa</w:t>
            </w:r>
          </w:p>
          <w:p w14:paraId="4A7E6BE7">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13、水炮回转角-45°～ 45°；</w:t>
            </w:r>
          </w:p>
          <w:p w14:paraId="041A052E">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14、水泡最大喷雾角≥90°；</w:t>
            </w:r>
          </w:p>
          <w:p w14:paraId="0A5A0686">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15、水炮仰角≥85°</w:t>
            </w:r>
          </w:p>
          <w:p w14:paraId="6A5A991A">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16、流量：水≥80L/s，泡沫混合液≥80L/s ；</w:t>
            </w:r>
          </w:p>
          <w:p w14:paraId="6406E8B4">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▲17、射程：水≥85m，低倍泡沫≥80m；</w:t>
            </w:r>
          </w:p>
          <w:p w14:paraId="259FD3CE">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18、具备后座力自抑制功能。</w:t>
            </w:r>
          </w:p>
          <w:p w14:paraId="5B094EEE">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▲19、视频采集装置数量：≥4 个；</w:t>
            </w:r>
          </w:p>
          <w:p w14:paraId="30D87970">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20、环境参数采集功能：满足消防机器人采集作业现场温度、湿度； </w:t>
            </w:r>
          </w:p>
          <w:p w14:paraId="72FC1AAD">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▲21、气体检测：≥8 种有毒有害气体；</w:t>
            </w:r>
          </w:p>
          <w:p w14:paraId="22E8DA3C">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22、自喷淋功能：机器人机载设备中配备水幕喷头或自喷淋喷头；</w:t>
            </w:r>
          </w:p>
          <w:p w14:paraId="67ED1013">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▲23、防碰撞功能：机器人配备避障传感器，具有避障功能；</w:t>
            </w:r>
          </w:p>
          <w:p w14:paraId="00942F95">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24、进水口结构：进水口采用万向球节结构，可 360°回转；配备自脱扣功能：机器人配备有自脱扣装置，具有远程遥控机器人和水带脱离功能；</w:t>
            </w:r>
          </w:p>
          <w:p w14:paraId="2CF3A00E">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25、机器人侦察系统 1：通过配置气体仪表，环境监测模块，可以对作业现场的有毒有害气体进行远程侦察； </w:t>
            </w:r>
          </w:p>
          <w:p w14:paraId="392422F2">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▲26、机器人侦察系统 2：气体与环境感知探测模块：装载无线应急救援快速部署检测系统和温湿度检测仪，可以探测：PM2.5、噪音、VOC、O3、SO2、H2S、NO、CO、CH4、温度、湿度；</w:t>
            </w:r>
          </w:p>
          <w:p w14:paraId="10C2C03D">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 xml:space="preserve">▲27、机器人侦察系统3：音视频：搭载 ≥3 路高清 4G 网络摄像头，可以实现对现场环境的远程监控； </w:t>
            </w:r>
          </w:p>
          <w:p w14:paraId="0AAEC75A">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28、应具有红外热成像功能，红外可视距离≥20m。</w:t>
            </w:r>
          </w:p>
          <w:p w14:paraId="762416B5">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29、配备可视化遥控器，视频传输距离≥1000m，遥控距离≥1000m，具备抗干扰能力。</w:t>
            </w:r>
          </w:p>
          <w:p w14:paraId="6C3E4D96">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_GB2312" w:hAnsi="仿宋_GB2312" w:eastAsia="仿宋_GB2312" w:cs="仿宋_GB2312"/>
                <w:b w:val="0"/>
                <w:bCs/>
                <w:color w:val="auto"/>
                <w:sz w:val="21"/>
                <w:szCs w:val="21"/>
                <w:lang w:val="en-US" w:eastAsia="zh-CN"/>
              </w:rPr>
            </w:pPr>
            <w:r>
              <w:rPr>
                <w:rFonts w:hint="default" w:ascii="仿宋_GB2312" w:hAnsi="仿宋_GB2312" w:eastAsia="仿宋_GB2312" w:cs="仿宋_GB2312"/>
                <w:b w:val="0"/>
                <w:bCs/>
                <w:color w:val="auto"/>
                <w:sz w:val="21"/>
                <w:szCs w:val="21"/>
                <w:lang w:val="en-US" w:eastAsia="zh-CN"/>
              </w:rPr>
              <w:t>30、最小离地间隙≥110mm</w:t>
            </w:r>
          </w:p>
        </w:tc>
      </w:tr>
    </w:tbl>
    <w:p w14:paraId="131C747A">
      <w:pPr>
        <w:numPr>
          <w:ilvl w:val="0"/>
          <w:numId w:val="0"/>
        </w:numPr>
        <w:spacing w:line="360" w:lineRule="auto"/>
        <w:rPr>
          <w:rFonts w:hint="eastAsia" w:ascii="仿宋" w:hAnsi="仿宋" w:cs="仿宋"/>
          <w:color w:val="000000"/>
          <w:sz w:val="21"/>
          <w:szCs w:val="21"/>
          <w:highlight w:val="none"/>
          <w:lang w:val="en-US" w:eastAsia="zh-CN"/>
        </w:rPr>
      </w:pPr>
      <w:bookmarkStart w:id="125" w:name="_Toc2821_WPSOffice_Level1"/>
      <w:r>
        <w:rPr>
          <w:rFonts w:hint="eastAsia" w:ascii="仿宋" w:hAnsi="仿宋" w:cs="仿宋"/>
          <w:color w:val="000000"/>
          <w:szCs w:val="21"/>
          <w:highlight w:val="none"/>
          <w:lang w:val="en-US" w:eastAsia="zh-CN"/>
        </w:rPr>
        <w:br w:type="page"/>
      </w:r>
      <w:r>
        <w:rPr>
          <w:rFonts w:hint="eastAsia" w:ascii="仿宋" w:hAnsi="仿宋" w:cs="仿宋"/>
          <w:color w:val="000000"/>
          <w:sz w:val="21"/>
          <w:szCs w:val="21"/>
          <w:highlight w:val="none"/>
          <w:lang w:val="en-US" w:eastAsia="zh-CN"/>
        </w:rPr>
        <w:t>附件1《辽宁省消防救援总队自然灾害应急能力提升工程装备建设项目验收实施方案》</w:t>
      </w:r>
    </w:p>
    <w:p w14:paraId="73FCFD96">
      <w:pPr>
        <w:pStyle w:val="3"/>
        <w:bidi w:val="0"/>
        <w:rPr>
          <w:rFonts w:hint="eastAsia"/>
          <w:sz w:val="24"/>
          <w:szCs w:val="24"/>
          <w:lang w:val="en-US" w:eastAsia="zh-CN"/>
        </w:rPr>
      </w:pPr>
      <w:r>
        <w:rPr>
          <w:rFonts w:hint="eastAsia"/>
          <w:sz w:val="24"/>
          <w:szCs w:val="24"/>
          <w:lang w:val="en-US" w:eastAsia="zh-CN"/>
        </w:rPr>
        <w:t>辽宁省消防救援总队自然灾害应急能力提升工程装备建设项目验收实施方案</w:t>
      </w:r>
    </w:p>
    <w:p w14:paraId="62548D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为科学高效开展辽宁省消防救援总队自然灾害应急能力提升工程装备建设项目验收工作，按照《自然灾害应急能力提升工程国家综合性消防救援队伍项目实施管理办法》、《从严监督管理2023年增发国债装备采购项目十条举措》、《辽宁省消防救援总队自然灾害应急能力提升工程国家综合性消防救援队伍项  目建设实施工作机制》、《辽宁省消防救援总队消防装备采购管理暂行规定》等文件要求，制定此方案。</w:t>
      </w:r>
    </w:p>
    <w:p w14:paraId="02399F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一、基本要求</w:t>
      </w:r>
    </w:p>
    <w:p w14:paraId="55FA8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严格执行“提采验”分离、“背对背”等验收要求，验收由采购部门组织业务部门、使用单位、外部专家、采购业务专家库人员组成两个独立的验收组，分别对照验收标准对全部货物开展检查，并进行结论比对、整合。验收内容要包括每一项技术和商务要求的履约情况，验收标准应根据技术标准、招标文件和中标人的投标文件综合确定，包括所有客观、量化指标。</w:t>
      </w:r>
    </w:p>
    <w:p w14:paraId="17E396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二、验收小组组成</w:t>
      </w:r>
    </w:p>
    <w:p w14:paraId="107415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（一）验收工作由采购办组织，验收小组人员由业务部门、使用单位、采购业务专家库人员组成。</w:t>
      </w:r>
    </w:p>
    <w:p w14:paraId="25E1D2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（二）积极邀请地方科研院所、检测机构、专业院校等单位装备领域第三方专家参与。</w:t>
      </w:r>
    </w:p>
    <w:p w14:paraId="161E0F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检查程序和内容</w:t>
      </w:r>
    </w:p>
    <w:p w14:paraId="07B8C3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（一）车辆验收</w:t>
      </w:r>
    </w:p>
    <w:p w14:paraId="581A72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（1）车辆行驶测试，使用单位派遣1名具有5年以上消防车驾驶经验的驾驶员，对验收车辆进行试驾，主要检查验收车辆，在行驶过程中是否存在质量、安全、操作等方面的问题；</w:t>
      </w:r>
    </w:p>
    <w:p w14:paraId="2B6D49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（2）隐蔽工程资料审查，对验收车辆的生产进度表、底盘合格证、水力测 试报告、泵炮等大件采购证明文件及车辆底盘进场、上装安装2个时间节点的影像资料进行审验；</w:t>
      </w:r>
    </w:p>
    <w:p w14:paraId="7978C1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（3）参数与车辆一致性比对，对照投标文件、随车文件及其他相关文件对车辆开展一致性检查；</w:t>
      </w:r>
    </w:p>
    <w:p w14:paraId="79B3BE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（4）现场车辆性能测试，按照《消防车辆验收性能测试表》要求，对消防车辆性能进行测试，并将测试结果填写到表内。</w:t>
      </w:r>
    </w:p>
    <w:p w14:paraId="2E8422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（二）装备器材及灭火剂</w:t>
      </w:r>
    </w:p>
    <w:p w14:paraId="2D2BE5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14:paraId="348137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（1）清点数量，检查包装标识是否清晰且标识的装备种类、数量是否与到货单相符；</w:t>
      </w:r>
    </w:p>
    <w:p w14:paraId="40088B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（2）核对装备器材品牌型号；</w:t>
      </w:r>
    </w:p>
    <w:p w14:paraId="57562C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（3）检验装备的名称、型号、规格、产品序号、生产厂家和出厂(生产）日期是否与产品清单相符；</w:t>
      </w:r>
    </w:p>
    <w:p w14:paraId="1B6402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（4）按照招标文件参数核对装备器材核心参数；</w:t>
      </w:r>
    </w:p>
    <w:p w14:paraId="6D521C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（5）检验质量保证书、检验合格证、技术资料、装箱清单等是否齐全；</w:t>
      </w:r>
    </w:p>
    <w:p w14:paraId="66DAC6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（6）检验成套装备的主件、附件、备件和配套部件等是否齐全；</w:t>
      </w:r>
    </w:p>
    <w:p w14:paraId="5F9990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（7）检验装备外观是否有明显质量问题，如结构是否完整，安装是否牢固，有无损伤、脱漆、松动、变形，金属件镀层是否良好，有无氧化、锈蚀，塑料、橡胶件有无老化、变质等；</w:t>
      </w:r>
    </w:p>
    <w:p w14:paraId="709E0E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（8）应对装备进行试启动或试运行，一般应全检；对于数量较多的装备，可采取抽检，抽检不少于2件套；若发现装备存在质量问题，应加倍抽检；若仍存在质量问题，则该批装备为不合格；</w:t>
      </w:r>
    </w:p>
    <w:p w14:paraId="1981EF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（9）应根据产品标准、订货合同所约定的技术指标以及产品说明书规定的技术指标进行相关性能检验。如果对检验结果存在争议，应委托有资质的第三方检测机构进行检验；</w:t>
      </w:r>
    </w:p>
    <w:p w14:paraId="2D4056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（10）实地性能测试，对装备器材的核心功能开展测试；</w:t>
      </w:r>
    </w:p>
    <w:p w14:paraId="18717C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cs="仿宋"/>
          <w:color w:val="000000"/>
          <w:sz w:val="21"/>
          <w:szCs w:val="21"/>
          <w:highlight w:val="none"/>
          <w:lang w:val="en-US" w:eastAsia="zh-CN"/>
        </w:rPr>
        <w:t>（</w:t>
      </w:r>
      <w:r>
        <w:rPr>
          <w:rFonts w:hint="eastAsia" w:ascii="仿宋" w:hAnsi="仿宋" w:eastAsia="仿宋" w:cs="仿宋"/>
          <w:color w:val="000000"/>
          <w:sz w:val="21"/>
          <w:szCs w:val="21"/>
          <w:highlight w:val="none"/>
          <w:lang w:val="en-US" w:eastAsia="zh-CN"/>
        </w:rPr>
        <w:t>11）其他需要验收内容。</w:t>
      </w:r>
    </w:p>
    <w:p w14:paraId="14FC8B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四、验收结果确定</w:t>
      </w:r>
    </w:p>
    <w:p w14:paraId="1CD64A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与供货商对每个包组的检查结果逐一进行会商。</w:t>
      </w:r>
    </w:p>
    <w:p w14:paraId="32A958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（一）对于检查未发现问题的，出具同意收货的验收备忘录、采购合同履约验收意见书。</w:t>
      </w:r>
    </w:p>
    <w:p w14:paraId="3F26C3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（二）对检查中发现质量、安全、一致性、不符合投标文件响应内容等问题的，要求供货商对发现的问题进行整改，与供货商签订不同意收货的验收备忘录、采购合同履约验收意见书。</w:t>
      </w:r>
    </w:p>
    <w:p w14:paraId="6D88DB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三）对检查中发现的不属于质量、安全、一致性、不符合投标文件响应内容等问题且不影响需求单位使用实际的或验收小组提出招标文件相应内容外合理化建议的，出具同意收货的验收备忘录、采购合同履约验收意见书并明确收货后供应商整改意见。</w:t>
      </w:r>
    </w:p>
    <w:p w14:paraId="1B4C98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五、售后培训</w:t>
      </w:r>
    </w:p>
    <w:p w14:paraId="3B6420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（一）技术要求强的车辆、装备应以先培训后验收形式进行，并将培训成果作为验收的一项。</w:t>
      </w:r>
    </w:p>
    <w:p w14:paraId="60EE1D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（二）对于常用车辆、装备可以采用先验收后培训的形式进行验收。</w:t>
      </w:r>
    </w:p>
    <w:p w14:paraId="45D2AC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（三）培训的具体要求按照招标文件内售后要求执行。</w:t>
      </w:r>
    </w:p>
    <w:p w14:paraId="4060FF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六、工作要求</w:t>
      </w:r>
    </w:p>
    <w:p w14:paraId="5FFFC3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（一）强化验收认识。验收小组成员要提高对车辆器材验收工作的认识，把思想统一端正，采取有效措施，确保验收工作有效开展。</w:t>
      </w:r>
    </w:p>
    <w:p w14:paraId="526EC6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（二）强化后续保障。验收小组成员要学习车辆器材相关参数和招标文件要求，做到准确有效的验收。</w:t>
      </w:r>
    </w:p>
    <w:p w14:paraId="00B033D7">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_GB2312" w:hAnsi="仿宋_GB2312" w:eastAsia="仿宋_GB2312" w:cs="仿宋_GB2312"/>
          <w:b/>
          <w:color w:val="auto"/>
          <w:kern w:val="44"/>
          <w:sz w:val="21"/>
          <w:szCs w:val="21"/>
          <w:lang w:val="en-US" w:eastAsia="zh-CN"/>
        </w:rPr>
      </w:pPr>
      <w:r>
        <w:rPr>
          <w:rFonts w:hint="eastAsia" w:ascii="仿宋" w:hAnsi="仿宋" w:eastAsia="仿宋" w:cs="仿宋"/>
          <w:color w:val="000000"/>
          <w:sz w:val="21"/>
          <w:szCs w:val="21"/>
          <w:highlight w:val="none"/>
          <w:lang w:val="en-US" w:eastAsia="zh-CN"/>
        </w:rPr>
        <w:t>（三）强化信息录入。信息录入公开项目单位应将装备项目的采购公告、招标文件、中标公告、采购合同等信息在中国政府采购网发布后5日内，装备验收信息在交货后10日内，录入装备采购信息网。</w:t>
      </w:r>
      <w:r>
        <w:rPr>
          <w:rFonts w:hint="eastAsia" w:ascii="仿宋_GB2312" w:hAnsi="仿宋_GB2312" w:eastAsia="仿宋_GB2312" w:cs="仿宋_GB2312"/>
          <w:b/>
          <w:bCs w:val="0"/>
          <w:color w:val="auto"/>
          <w:sz w:val="21"/>
          <w:szCs w:val="21"/>
          <w:lang w:val="en-US" w:eastAsia="zh-CN"/>
        </w:rPr>
        <w:br w:type="page"/>
      </w:r>
    </w:p>
    <w:p w14:paraId="3988B70B">
      <w:pPr>
        <w:pStyle w:val="2"/>
        <w:snapToGrid w:val="0"/>
        <w:spacing w:before="319" w:beforeLines="100" w:after="319" w:afterLines="100" w:line="360" w:lineRule="auto"/>
        <w:rPr>
          <w:rFonts w:ascii="仿宋_GB2312" w:hAnsi="仿宋_GB2312" w:eastAsia="仿宋_GB2312" w:cs="仿宋_GB2312"/>
          <w:color w:val="auto"/>
        </w:rPr>
      </w:pPr>
      <w:bookmarkStart w:id="126" w:name="_Toc25237"/>
      <w:r>
        <w:rPr>
          <w:rFonts w:hint="eastAsia" w:ascii="仿宋_GB2312" w:hAnsi="仿宋_GB2312" w:eastAsia="仿宋_GB2312" w:cs="仿宋_GB2312"/>
          <w:color w:val="auto"/>
        </w:rPr>
        <w:t>第四章 评标方法</w:t>
      </w:r>
      <w:bookmarkEnd w:id="125"/>
      <w:bookmarkEnd w:id="126"/>
    </w:p>
    <w:p w14:paraId="653D581C">
      <w:pPr>
        <w:adjustRightInd w:val="0"/>
        <w:snapToGrid w:val="0"/>
        <w:spacing w:line="360" w:lineRule="auto"/>
        <w:ind w:firstLine="420" w:firstLineChars="200"/>
        <w:rPr>
          <w:rFonts w:ascii="仿宋_GB2312" w:hAnsi="仿宋_GB2312" w:eastAsia="仿宋_GB2312" w:cs="仿宋_GB2312"/>
          <w:b/>
          <w:color w:val="auto"/>
          <w:kern w:val="0"/>
          <w:szCs w:val="21"/>
        </w:rPr>
      </w:pPr>
      <w:r>
        <w:rPr>
          <w:rFonts w:hint="eastAsia" w:ascii="仿宋_GB2312" w:hAnsi="仿宋_GB2312" w:eastAsia="仿宋_GB2312" w:cs="仿宋_GB2312"/>
          <w:bCs/>
          <w:color w:val="auto"/>
          <w:kern w:val="0"/>
          <w:szCs w:val="21"/>
        </w:rPr>
        <w:t>本项目将按照招标文件第一章投标人须知中“六 开标及评标”、“七 确定中标”及本章的规定评标。</w:t>
      </w:r>
    </w:p>
    <w:p w14:paraId="7574B08F">
      <w:pPr>
        <w:adjustRightInd w:val="0"/>
        <w:snapToGrid w:val="0"/>
        <w:spacing w:line="360" w:lineRule="auto"/>
        <w:ind w:firstLine="420" w:firstLineChars="200"/>
        <w:rPr>
          <w:rFonts w:ascii="仿宋_GB2312" w:hAnsi="仿宋_GB2312" w:eastAsia="仿宋_GB2312" w:cs="仿宋_GB2312"/>
          <w:b/>
          <w:color w:val="auto"/>
          <w:kern w:val="0"/>
          <w:szCs w:val="21"/>
        </w:rPr>
      </w:pPr>
      <w:bookmarkStart w:id="127" w:name="_Toc22313_WPSOffice_Level2"/>
      <w:r>
        <w:rPr>
          <w:rFonts w:hint="eastAsia" w:ascii="仿宋_GB2312" w:hAnsi="仿宋_GB2312" w:eastAsia="仿宋_GB2312" w:cs="仿宋_GB2312"/>
          <w:b/>
          <w:color w:val="auto"/>
          <w:kern w:val="0"/>
          <w:szCs w:val="21"/>
        </w:rPr>
        <w:t>一、评标方法</w:t>
      </w:r>
      <w:bookmarkEnd w:id="127"/>
    </w:p>
    <w:p w14:paraId="31DCCB0B">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本项目采用</w:t>
      </w:r>
      <w:r>
        <w:rPr>
          <w:rFonts w:hint="eastAsia" w:ascii="仿宋_GB2312" w:hAnsi="仿宋_GB2312" w:eastAsia="仿宋_GB2312" w:cs="仿宋_GB2312"/>
          <w:color w:val="auto"/>
          <w:kern w:val="0"/>
          <w:szCs w:val="21"/>
          <w:u w:val="single"/>
        </w:rPr>
        <w:t>综合评分法</w:t>
      </w:r>
      <w:r>
        <w:rPr>
          <w:rFonts w:hint="eastAsia" w:ascii="仿宋_GB2312" w:hAnsi="仿宋_GB2312" w:eastAsia="仿宋_GB2312" w:cs="仿宋_GB2312"/>
          <w:color w:val="auto"/>
          <w:kern w:val="0"/>
          <w:szCs w:val="21"/>
        </w:rPr>
        <w:t>进行评标。</w:t>
      </w:r>
    </w:p>
    <w:p w14:paraId="005E7521">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bookmarkStart w:id="128" w:name="_Toc21368_WPSOffice_Level2"/>
      <w:r>
        <w:rPr>
          <w:rFonts w:hint="eastAsia" w:ascii="仿宋_GB2312" w:hAnsi="仿宋_GB2312" w:eastAsia="仿宋_GB2312" w:cs="仿宋_GB2312"/>
          <w:b/>
          <w:color w:val="auto"/>
          <w:kern w:val="0"/>
          <w:szCs w:val="21"/>
        </w:rPr>
        <w:t>二、评标原则及程序</w:t>
      </w:r>
      <w:bookmarkEnd w:id="128"/>
    </w:p>
    <w:p w14:paraId="1697F582">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（一）评标原则</w:t>
      </w:r>
    </w:p>
    <w:p w14:paraId="2A6C5A48">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color w:val="auto"/>
          <w:kern w:val="0"/>
        </w:rPr>
        <w:t>评标委员会应当按照客观、公正、审慎的原则，根据采购文件规定的评审程序、评审方法和评审标准进行独立评审。采购文件内容违反国家有关强制性规定的，评标委员会应当停止评审并向</w:t>
      </w:r>
      <w:r>
        <w:rPr>
          <w:rFonts w:hint="eastAsia" w:ascii="仿宋_GB2312" w:hAnsi="仿宋_GB2312" w:eastAsia="仿宋_GB2312" w:cs="仿宋_GB2312"/>
          <w:color w:val="auto"/>
          <w:kern w:val="0"/>
          <w:lang w:eastAsia="zh-CN"/>
        </w:rPr>
        <w:t>招标人</w:t>
      </w:r>
      <w:r>
        <w:rPr>
          <w:rFonts w:hint="eastAsia" w:ascii="仿宋_GB2312" w:hAnsi="仿宋_GB2312" w:eastAsia="仿宋_GB2312" w:cs="仿宋_GB2312"/>
          <w:color w:val="auto"/>
          <w:kern w:val="0"/>
        </w:rPr>
        <w:t>或者采购代理机构说明情况。</w:t>
      </w:r>
    </w:p>
    <w:p w14:paraId="7E4CC579">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（二）评标程序</w:t>
      </w:r>
    </w:p>
    <w:p w14:paraId="0DBF8A29">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★1、资格审查</w:t>
      </w:r>
    </w:p>
    <w:p w14:paraId="5B212C82">
      <w:pPr>
        <w:adjustRightInd w:val="0"/>
        <w:snapToGrid w:val="0"/>
        <w:spacing w:line="360" w:lineRule="auto"/>
        <w:ind w:firstLine="420" w:firstLineChars="200"/>
        <w:textAlignment w:val="baseline"/>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1.1详见投标人须知22条。资格审查表详见本章附件1。</w:t>
      </w:r>
    </w:p>
    <w:p w14:paraId="581D83C6">
      <w:pPr>
        <w:adjustRightInd w:val="0"/>
        <w:snapToGrid w:val="0"/>
        <w:spacing w:line="360" w:lineRule="auto"/>
        <w:ind w:firstLine="420"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w:t>
      </w:r>
      <w:r>
        <w:rPr>
          <w:rFonts w:hint="eastAsia" w:ascii="仿宋_GB2312" w:hAnsi="仿宋_GB2312" w:eastAsia="仿宋_GB2312" w:cs="仿宋_GB2312"/>
          <w:b/>
          <w:bCs/>
          <w:color w:val="auto"/>
          <w:kern w:val="0"/>
          <w:szCs w:val="21"/>
        </w:rPr>
        <w:t>2、符合性审查</w:t>
      </w:r>
    </w:p>
    <w:p w14:paraId="5DD99BD0">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2.1详见投标人须知23条。符合性审查表详见本章附件2。</w:t>
      </w:r>
    </w:p>
    <w:p w14:paraId="676FDA94">
      <w:pPr>
        <w:adjustRightInd w:val="0"/>
        <w:snapToGrid w:val="0"/>
        <w:spacing w:line="360" w:lineRule="auto"/>
        <w:ind w:firstLine="420" w:firstLineChars="200"/>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3、样品及演示</w:t>
      </w:r>
    </w:p>
    <w:p w14:paraId="114FD08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3.1</w:t>
      </w:r>
      <w:r>
        <w:rPr>
          <w:rFonts w:hint="eastAsia" w:ascii="仿宋_GB2312" w:hAnsi="仿宋_GB2312" w:eastAsia="仿宋_GB2312" w:cs="仿宋_GB2312"/>
          <w:color w:val="auto"/>
          <w:kern w:val="0"/>
          <w:szCs w:val="21"/>
        </w:rPr>
        <w:t>投标人须知表11.3条</w:t>
      </w:r>
      <w:r>
        <w:rPr>
          <w:rFonts w:hint="eastAsia" w:ascii="仿宋_GB2312" w:hAnsi="仿宋_GB2312" w:eastAsia="仿宋_GB2312" w:cs="仿宋_GB2312"/>
          <w:color w:val="auto"/>
          <w:szCs w:val="21"/>
        </w:rPr>
        <w:t>中要求投标人提供样品或演示的，按照</w:t>
      </w:r>
      <w:r>
        <w:rPr>
          <w:rFonts w:hint="eastAsia" w:ascii="仿宋_GB2312" w:hAnsi="仿宋_GB2312" w:eastAsia="仿宋_GB2312" w:cs="仿宋_GB2312"/>
          <w:color w:val="auto"/>
          <w:kern w:val="0"/>
          <w:szCs w:val="21"/>
        </w:rPr>
        <w:t>投标人须知表25.1条</w:t>
      </w:r>
      <w:r>
        <w:rPr>
          <w:rFonts w:hint="eastAsia" w:ascii="仿宋_GB2312" w:hAnsi="仿宋_GB2312" w:eastAsia="仿宋_GB2312" w:cs="仿宋_GB2312"/>
          <w:color w:val="auto"/>
          <w:szCs w:val="21"/>
        </w:rPr>
        <w:t>中确定的评审方法以及评审标准进行评审。(样品或演示属于符合性审查的，按照</w:t>
      </w:r>
      <w:r>
        <w:rPr>
          <w:rFonts w:hint="eastAsia" w:ascii="仿宋_GB2312" w:hAnsi="仿宋_GB2312" w:eastAsia="仿宋_GB2312" w:cs="仿宋_GB2312"/>
          <w:color w:val="auto"/>
          <w:kern w:val="0"/>
          <w:szCs w:val="21"/>
        </w:rPr>
        <w:t>投标人须知23条</w:t>
      </w:r>
      <w:r>
        <w:rPr>
          <w:rFonts w:hint="eastAsia" w:ascii="仿宋_GB2312" w:hAnsi="仿宋_GB2312" w:eastAsia="仿宋_GB2312" w:cs="仿宋_GB2312"/>
          <w:color w:val="auto"/>
          <w:szCs w:val="21"/>
        </w:rPr>
        <w:t>规定执行）</w:t>
      </w:r>
    </w:p>
    <w:p w14:paraId="1D5328C3">
      <w:pPr>
        <w:adjustRightInd w:val="0"/>
        <w:snapToGrid w:val="0"/>
        <w:spacing w:line="360" w:lineRule="auto"/>
        <w:ind w:firstLine="420"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★4</w:t>
      </w:r>
      <w:r>
        <w:rPr>
          <w:rFonts w:hint="eastAsia" w:ascii="仿宋_GB2312" w:hAnsi="仿宋_GB2312" w:eastAsia="仿宋_GB2312" w:cs="仿宋_GB2312"/>
          <w:b/>
          <w:bCs/>
          <w:color w:val="auto"/>
          <w:kern w:val="0"/>
          <w:szCs w:val="21"/>
        </w:rPr>
        <w:t>、同一品牌产品</w:t>
      </w:r>
    </w:p>
    <w:p w14:paraId="695EE55B">
      <w:pPr>
        <w:adjustRightInd w:val="0"/>
        <w:snapToGrid w:val="0"/>
        <w:spacing w:line="360" w:lineRule="auto"/>
        <w:ind w:firstLine="420" w:firstLineChars="200"/>
        <w:rPr>
          <w:rFonts w:ascii="仿宋_GB2312" w:hAnsi="仿宋_GB2312" w:eastAsia="仿宋_GB2312" w:cs="仿宋_GB2312"/>
          <w:b/>
          <w:bCs/>
          <w:color w:val="auto"/>
          <w:szCs w:val="21"/>
        </w:rPr>
      </w:pPr>
      <w:r>
        <w:rPr>
          <w:rFonts w:hint="eastAsia" w:ascii="仿宋_GB2312" w:hAnsi="仿宋_GB2312" w:eastAsia="仿宋_GB2312" w:cs="仿宋_GB2312"/>
          <w:color w:val="auto"/>
          <w:szCs w:val="21"/>
        </w:rPr>
        <w:t>4.1通过资格审查、符合性审查的不同品牌投标人不足3家的，按照</w:t>
      </w:r>
      <w:r>
        <w:rPr>
          <w:rFonts w:hint="eastAsia" w:ascii="仿宋_GB2312" w:hAnsi="仿宋_GB2312" w:eastAsia="仿宋_GB2312" w:cs="仿宋_GB2312"/>
          <w:color w:val="auto"/>
          <w:kern w:val="0"/>
          <w:szCs w:val="21"/>
        </w:rPr>
        <w:t>投标人须知28条第（1）款</w:t>
      </w:r>
      <w:r>
        <w:rPr>
          <w:rFonts w:hint="eastAsia" w:ascii="仿宋_GB2312" w:hAnsi="仿宋_GB2312" w:eastAsia="仿宋_GB2312" w:cs="仿宋_GB2312"/>
          <w:color w:val="auto"/>
          <w:szCs w:val="21"/>
        </w:rPr>
        <w:t>执行</w:t>
      </w:r>
      <w:r>
        <w:rPr>
          <w:rFonts w:hint="eastAsia" w:ascii="仿宋_GB2312" w:hAnsi="仿宋_GB2312" w:eastAsia="仿宋_GB2312" w:cs="仿宋_GB2312"/>
          <w:color w:val="auto"/>
          <w:kern w:val="0"/>
          <w:szCs w:val="21"/>
        </w:rPr>
        <w:t>。</w:t>
      </w:r>
    </w:p>
    <w:p w14:paraId="3E4288A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4.2提供相同品牌产品且通过资格审查、符合性审查的不同投标人，按一家投标人计算。</w:t>
      </w:r>
    </w:p>
    <w:p w14:paraId="07390BA7">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4.3如一个分包内只有一种产品，不同投标人所投产品为同一品牌的，按如下方式处理：</w:t>
      </w:r>
    </w:p>
    <w:p w14:paraId="31ED66C7">
      <w:pPr>
        <w:numPr>
          <w:ilvl w:val="0"/>
          <w:numId w:val="4"/>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auto"/>
          <w:kern w:val="0"/>
          <w:szCs w:val="21"/>
        </w:rPr>
        <w:t>本章第8条</w:t>
      </w:r>
      <w:r>
        <w:rPr>
          <w:rFonts w:hint="eastAsia" w:ascii="仿宋_GB2312" w:hAnsi="仿宋_GB2312" w:eastAsia="仿宋_GB2312" w:cs="仿宋_GB2312"/>
          <w:color w:val="auto"/>
          <w:szCs w:val="21"/>
        </w:rPr>
        <w:t>“推荐中标候选人的原则”规定执行；未规定的采取随机抽取方式确定，其他</w:t>
      </w:r>
      <w:r>
        <w:rPr>
          <w:rFonts w:hint="eastAsia" w:ascii="仿宋_GB2312" w:hAnsi="仿宋_GB2312" w:eastAsia="仿宋_GB2312" w:cs="仿宋_GB2312"/>
          <w:b/>
          <w:bCs/>
          <w:color w:val="auto"/>
          <w:szCs w:val="21"/>
        </w:rPr>
        <w:t>投标无效</w:t>
      </w:r>
      <w:r>
        <w:rPr>
          <w:rFonts w:hint="eastAsia" w:ascii="仿宋_GB2312" w:hAnsi="仿宋_GB2312" w:eastAsia="仿宋_GB2312" w:cs="仿宋_GB2312"/>
          <w:color w:val="auto"/>
          <w:szCs w:val="21"/>
        </w:rPr>
        <w:t>。</w:t>
      </w:r>
    </w:p>
    <w:p w14:paraId="3D7F64FC">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5F7463A3">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4.4如一个分包内包含多种产品的，</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或采购代理机构将在招标文件中载明核心产品，多家投标人提供的核心产品品牌相同的，</w:t>
      </w:r>
      <w:r>
        <w:rPr>
          <w:rFonts w:hint="eastAsia" w:ascii="仿宋_GB2312" w:hAnsi="仿宋_GB2312" w:eastAsia="仿宋_GB2312" w:cs="仿宋_GB2312"/>
          <w:color w:val="auto"/>
          <w:kern w:val="0"/>
          <w:szCs w:val="21"/>
        </w:rPr>
        <w:t>按本章第4.3条规定处理。</w:t>
      </w:r>
    </w:p>
    <w:p w14:paraId="3D978E95">
      <w:pPr>
        <w:adjustRightInd w:val="0"/>
        <w:snapToGrid w:val="0"/>
        <w:spacing w:line="360" w:lineRule="auto"/>
        <w:ind w:firstLine="420"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★5</w:t>
      </w:r>
      <w:r>
        <w:rPr>
          <w:rFonts w:hint="eastAsia" w:ascii="仿宋_GB2312" w:hAnsi="仿宋_GB2312" w:eastAsia="仿宋_GB2312" w:cs="仿宋_GB2312"/>
          <w:b/>
          <w:bCs/>
          <w:color w:val="auto"/>
          <w:kern w:val="0"/>
          <w:szCs w:val="21"/>
        </w:rPr>
        <w:t>、比较及评价</w:t>
      </w:r>
    </w:p>
    <w:p w14:paraId="3D38C51C">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5.1评标委员会对通过符合性审查的投标文件进行比较和评价。</w:t>
      </w:r>
    </w:p>
    <w:p w14:paraId="3774C750">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5.2在评标期间，对投标文件的澄清按投标人须知24条内容执行。</w:t>
      </w:r>
    </w:p>
    <w:p w14:paraId="40722FB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auto"/>
          <w:kern w:val="0"/>
          <w:szCs w:val="21"/>
        </w:rPr>
        <w:t>接到通知后</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0.5</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小时</w:t>
      </w:r>
      <w:r>
        <w:rPr>
          <w:rFonts w:hint="eastAsia" w:ascii="仿宋_GB2312" w:hAnsi="仿宋_GB2312" w:eastAsia="仿宋_GB2312" w:cs="仿宋_GB2312"/>
          <w:color w:val="auto"/>
          <w:szCs w:val="21"/>
        </w:rPr>
        <w:t>）内提供书面说明，并提交相关证明材料，</w:t>
      </w:r>
      <w:r>
        <w:rPr>
          <w:rFonts w:hint="eastAsia" w:ascii="仿宋_GB2312" w:hAnsi="仿宋_GB2312" w:eastAsia="仿宋_GB2312" w:cs="仿宋_GB2312"/>
          <w:color w:val="auto"/>
          <w:kern w:val="0"/>
          <w:szCs w:val="21"/>
        </w:rPr>
        <w:t>投标人不能证明其报价合理性的，评标委员会应当将</w:t>
      </w:r>
      <w:r>
        <w:rPr>
          <w:rFonts w:hint="eastAsia" w:ascii="仿宋_GB2312" w:hAnsi="仿宋_GB2312" w:eastAsia="仿宋_GB2312" w:cs="仿宋_GB2312"/>
          <w:color w:val="auto"/>
          <w:szCs w:val="21"/>
        </w:rPr>
        <w:t>其投标作为</w:t>
      </w:r>
      <w:r>
        <w:rPr>
          <w:rFonts w:hint="eastAsia" w:ascii="仿宋_GB2312" w:hAnsi="仿宋_GB2312" w:eastAsia="仿宋_GB2312" w:cs="仿宋_GB2312"/>
          <w:b/>
          <w:bCs/>
          <w:color w:val="auto"/>
          <w:szCs w:val="21"/>
        </w:rPr>
        <w:t>无效投标处理</w:t>
      </w:r>
      <w:r>
        <w:rPr>
          <w:rFonts w:hint="eastAsia" w:ascii="仿宋_GB2312" w:hAnsi="仿宋_GB2312" w:eastAsia="仿宋_GB2312" w:cs="仿宋_GB2312"/>
          <w:color w:val="auto"/>
          <w:szCs w:val="21"/>
        </w:rPr>
        <w:t>。</w:t>
      </w:r>
    </w:p>
    <w:p w14:paraId="48C19A2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投标人的书面说明材料包含货物本身成本、人工费用、运输、税收等，以及报价不会影响产品质量或诚信履约能力的说明等。</w:t>
      </w:r>
    </w:p>
    <w:p w14:paraId="733083B0">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投标人的书面说明应当签字确认或者加盖公章，否则无效。书面说明的签字确认，由其法定代表人（非法人单位负责人或自然人本人）或者其授权代表签字确认。</w:t>
      </w:r>
    </w:p>
    <w:p w14:paraId="41708CBF">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F485F70">
      <w:pPr>
        <w:numPr>
          <w:ilvl w:val="0"/>
          <w:numId w:val="5"/>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拒绝或者变相拒绝提供有效书面说明；</w:t>
      </w:r>
    </w:p>
    <w:p w14:paraId="6B7E0BBC">
      <w:pPr>
        <w:numPr>
          <w:ilvl w:val="0"/>
          <w:numId w:val="5"/>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书面说明不能证明其报价合理性的；</w:t>
      </w:r>
    </w:p>
    <w:p w14:paraId="614DF782">
      <w:pPr>
        <w:numPr>
          <w:ilvl w:val="0"/>
          <w:numId w:val="5"/>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未在规定时间内递交有效书面说明书的。</w:t>
      </w:r>
    </w:p>
    <w:p w14:paraId="2E17F6C0">
      <w:pPr>
        <w:adjustRightInd w:val="0"/>
        <w:snapToGrid w:val="0"/>
        <w:spacing w:line="360" w:lineRule="auto"/>
        <w:ind w:firstLine="420" w:firstLineChars="200"/>
        <w:rPr>
          <w:rFonts w:hint="eastAsia" w:ascii="仿宋_GB2312" w:hAnsi="仿宋_GB2312" w:eastAsia="仿宋_GB2312" w:cs="仿宋_GB2312"/>
          <w:b/>
          <w:bCs/>
          <w:color w:val="auto"/>
          <w:szCs w:val="21"/>
        </w:rPr>
      </w:pPr>
      <w:r>
        <w:rPr>
          <w:rFonts w:hint="eastAsia" w:ascii="仿宋_GB2312" w:hAnsi="仿宋_GB2312" w:eastAsia="仿宋_GB2312" w:cs="仿宋_GB2312"/>
          <w:b/>
          <w:color w:val="auto"/>
          <w:kern w:val="0"/>
          <w:szCs w:val="21"/>
        </w:rPr>
        <w:t>★6</w:t>
      </w:r>
      <w:r>
        <w:rPr>
          <w:rFonts w:hint="eastAsia" w:ascii="仿宋_GB2312" w:hAnsi="仿宋_GB2312" w:eastAsia="仿宋_GB2312" w:cs="仿宋_GB2312"/>
          <w:b/>
          <w:bCs/>
          <w:color w:val="auto"/>
          <w:kern w:val="0"/>
          <w:szCs w:val="21"/>
        </w:rPr>
        <w:t>、需落实的政府采购政策性规定：</w:t>
      </w:r>
      <w:r>
        <w:rPr>
          <w:rFonts w:hint="eastAsia" w:ascii="仿宋_GB2312" w:hAnsi="仿宋_GB2312" w:eastAsia="仿宋_GB2312" w:cs="仿宋_GB2312"/>
          <w:b/>
          <w:bCs/>
          <w:color w:val="auto"/>
          <w:szCs w:val="21"/>
        </w:rPr>
        <w:t>本项目属于专门面向中小企业采购的项目，供应商应为中小微企业或监狱企业或残疾人福利性单位。</w:t>
      </w:r>
    </w:p>
    <w:p w14:paraId="602E8AA4">
      <w:pPr>
        <w:adjustRightInd w:val="0"/>
        <w:snapToGrid w:val="0"/>
        <w:spacing w:line="360" w:lineRule="auto"/>
        <w:ind w:firstLine="420" w:firstLineChars="20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6.1对于中小微企业的相关规定</w:t>
      </w:r>
    </w:p>
    <w:p w14:paraId="2C04F1E8">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6.1.1对于非专门面向中小企业的项目，在满足价格扣除条件且在投标文件中按要求提交了《中小企业声明函》、</w:t>
      </w:r>
      <w:r>
        <w:rPr>
          <w:rFonts w:hint="eastAsia" w:ascii="仿宋_GB2312" w:hAnsi="仿宋_GB2312" w:eastAsia="仿宋_GB2312" w:cs="仿宋_GB2312"/>
          <w:color w:val="auto"/>
          <w:kern w:val="0"/>
          <w:szCs w:val="21"/>
        </w:rPr>
        <w:t>（</w:t>
      </w:r>
      <w:r>
        <w:rPr>
          <w:rFonts w:hint="eastAsia" w:ascii="仿宋_GB2312" w:hAnsi="仿宋_GB2312" w:eastAsia="仿宋_GB2312" w:cs="仿宋_GB2312"/>
          <w:color w:val="auto"/>
          <w:kern w:val="0"/>
          <w:szCs w:val="21"/>
          <w:lang w:eastAsia="zh-CN"/>
        </w:rPr>
        <w:t>招标人</w:t>
      </w:r>
      <w:r>
        <w:rPr>
          <w:rFonts w:hint="eastAsia" w:ascii="仿宋_GB2312" w:hAnsi="仿宋_GB2312" w:eastAsia="仿宋_GB2312" w:cs="仿宋_GB2312"/>
          <w:color w:val="auto"/>
          <w:kern w:val="0"/>
          <w:szCs w:val="21"/>
        </w:rPr>
        <w:t>采购的服务有伴随货物时，投标人所投货物为其它企业生产时须提供此声明函，仅作为价格扣除条件）的，</w:t>
      </w:r>
      <w:r>
        <w:rPr>
          <w:rFonts w:hint="eastAsia" w:ascii="仿宋_GB2312" w:hAnsi="仿宋_GB2312" w:eastAsia="仿宋_GB2312" w:cs="仿宋_GB2312"/>
          <w:color w:val="auto"/>
          <w:szCs w:val="21"/>
        </w:rPr>
        <w:t>对投标报价给予价格扣除，用扣除后的价格参与评审。投标报价扣除比例如下：</w:t>
      </w:r>
    </w:p>
    <w:p w14:paraId="0676D41B">
      <w:pPr>
        <w:adjustRightInd w:val="0"/>
        <w:snapToGrid w:val="0"/>
        <w:spacing w:line="360" w:lineRule="auto"/>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（1）非联合体投标</w:t>
      </w:r>
    </w:p>
    <w:p w14:paraId="33F25F9D">
      <w:pPr>
        <w:adjustRightInd w:val="0"/>
        <w:snapToGrid w:val="0"/>
        <w:spacing w:line="360" w:lineRule="auto"/>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       小型和微型企业相应产品、服务投标报价的</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w:t>
      </w:r>
      <w:r>
        <w:rPr>
          <w:rFonts w:ascii="仿宋" w:hAnsi="仿宋" w:eastAsia="仿宋" w:cs="仿宋"/>
          <w:i w:val="0"/>
          <w:iCs w:val="0"/>
          <w:caps w:val="0"/>
          <w:color w:val="auto"/>
          <w:spacing w:val="0"/>
          <w:sz w:val="21"/>
          <w:szCs w:val="21"/>
          <w:shd w:val="clear" w:color="auto" w:fill="FFFFFF"/>
        </w:rPr>
        <w:t>10%</w:t>
      </w:r>
      <w:r>
        <w:rPr>
          <w:rFonts w:hint="eastAsia" w:ascii="仿宋" w:hAnsi="仿宋" w:cs="仿宋"/>
          <w:i w:val="0"/>
          <w:iCs w:val="0"/>
          <w:caps w:val="0"/>
          <w:color w:val="auto"/>
          <w:spacing w:val="0"/>
          <w:sz w:val="21"/>
          <w:szCs w:val="21"/>
          <w:shd w:val="clear" w:color="auto" w:fill="FFFFFF"/>
          <w:lang w:val="en-US" w:eastAsia="zh-CN"/>
        </w:rPr>
        <w:t>-</w:t>
      </w:r>
      <w:r>
        <w:rPr>
          <w:rFonts w:ascii="仿宋" w:hAnsi="仿宋" w:eastAsia="仿宋" w:cs="仿宋"/>
          <w:i w:val="0"/>
          <w:iCs w:val="0"/>
          <w:caps w:val="0"/>
          <w:color w:val="auto"/>
          <w:spacing w:val="0"/>
          <w:sz w:val="21"/>
          <w:szCs w:val="21"/>
          <w:shd w:val="clear" w:color="auto" w:fill="FFFFFF"/>
        </w:rPr>
        <w:t>20%</w:t>
      </w:r>
      <w:r>
        <w:rPr>
          <w:rFonts w:hint="eastAsia" w:ascii="仿宋_GB2312" w:hAnsi="仿宋_GB2312" w:eastAsia="仿宋_GB2312" w:cs="仿宋_GB2312"/>
          <w:color w:val="auto"/>
          <w:szCs w:val="21"/>
        </w:rPr>
        <w:t>）</w:t>
      </w:r>
    </w:p>
    <w:p w14:paraId="0A604AD2">
      <w:pPr>
        <w:adjustRightInd w:val="0"/>
        <w:snapToGrid w:val="0"/>
        <w:spacing w:line="360" w:lineRule="auto"/>
        <w:ind w:firstLine="210" w:firstLineChars="1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（2）联合体投标</w:t>
      </w:r>
    </w:p>
    <w:p w14:paraId="66802CAB">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w:t>
      </w:r>
      <w:r>
        <w:rPr>
          <w:rFonts w:hint="eastAsia" w:ascii="仿宋_GB2312" w:hAnsi="仿宋_GB2312" w:eastAsia="仿宋_GB2312" w:cs="仿宋_GB2312"/>
          <w:color w:val="auto"/>
          <w:kern w:val="0"/>
          <w:szCs w:val="21"/>
          <w:lang w:val="en-US" w:eastAsia="zh-CN"/>
        </w:rPr>
        <w:t>4</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w:t>
      </w:r>
    </w:p>
    <w:p w14:paraId="2D2B0C18">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7E6E2713">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6.1.2监狱企业视同小型、微型企业，在满足价格扣除条件且在投标文件中按要求提交了省级以上监狱管理局、戒毒管理局（含新疆生产建设兵团）出具的属于监狱企业的证明文件的，对其投标报价按本章</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.1.1条款的比例予以扣除，</w:t>
      </w:r>
      <w:r>
        <w:rPr>
          <w:rFonts w:hint="eastAsia" w:ascii="仿宋_GB2312" w:hAnsi="仿宋_GB2312" w:eastAsia="仿宋_GB2312" w:cs="仿宋_GB2312"/>
          <w:color w:val="auto"/>
          <w:kern w:val="0"/>
          <w:szCs w:val="21"/>
        </w:rPr>
        <w:t>用扣除后的价格参与评审</w:t>
      </w:r>
      <w:r>
        <w:rPr>
          <w:rFonts w:hint="eastAsia" w:ascii="仿宋_GB2312" w:hAnsi="仿宋_GB2312" w:eastAsia="仿宋_GB2312" w:cs="仿宋_GB2312"/>
          <w:color w:val="auto"/>
          <w:szCs w:val="21"/>
        </w:rPr>
        <w:t>。</w:t>
      </w:r>
    </w:p>
    <w:p w14:paraId="7B0CC9ED">
      <w:p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b/>
          <w:color w:val="auto"/>
          <w:kern w:val="0"/>
          <w:szCs w:val="21"/>
        </w:rPr>
        <w:t>6.1.3</w:t>
      </w:r>
      <w:r>
        <w:rPr>
          <w:rFonts w:hint="eastAsia" w:ascii="仿宋_GB2312" w:hAnsi="仿宋_GB2312" w:eastAsia="仿宋_GB2312" w:cs="仿宋_GB2312"/>
          <w:color w:val="auto"/>
          <w:szCs w:val="21"/>
        </w:rPr>
        <w:t>残疾人福利性单位视同小型、微型企业，在满足价格扣除条件且在</w:t>
      </w:r>
      <w:r>
        <w:rPr>
          <w:rFonts w:hint="eastAsia" w:ascii="仿宋_GB2312" w:hAnsi="仿宋_GB2312" w:eastAsia="仿宋_GB2312" w:cs="仿宋_GB2312"/>
          <w:color w:val="auto"/>
          <w:kern w:val="0"/>
          <w:szCs w:val="21"/>
        </w:rPr>
        <w:t>投标文件中提供了《残疾人福利性单位声明函》的，</w:t>
      </w:r>
      <w:r>
        <w:rPr>
          <w:rFonts w:hint="eastAsia" w:ascii="仿宋_GB2312" w:hAnsi="仿宋_GB2312" w:eastAsia="仿宋_GB2312" w:cs="仿宋_GB2312"/>
          <w:color w:val="auto"/>
          <w:szCs w:val="21"/>
        </w:rPr>
        <w:t>对其投标报价按本章</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.1.1条款的比例予以扣除</w:t>
      </w:r>
      <w:r>
        <w:rPr>
          <w:rFonts w:hint="eastAsia" w:ascii="仿宋_GB2312" w:hAnsi="仿宋_GB2312" w:eastAsia="仿宋_GB2312" w:cs="仿宋_GB2312"/>
          <w:color w:val="auto"/>
          <w:kern w:val="0"/>
          <w:szCs w:val="21"/>
        </w:rPr>
        <w:t>，用扣除后的价格参与评审。</w:t>
      </w:r>
    </w:p>
    <w:p w14:paraId="5DF0E38E">
      <w:pPr>
        <w:adjustRightInd w:val="0"/>
        <w:snapToGrid w:val="0"/>
        <w:spacing w:line="360" w:lineRule="auto"/>
        <w:ind w:firstLine="420" w:firstLineChars="200"/>
        <w:rPr>
          <w:rFonts w:ascii="仿宋_GB2312" w:hAnsi="仿宋_GB2312" w:eastAsia="仿宋_GB2312" w:cs="仿宋_GB2312"/>
          <w:b/>
          <w:color w:val="auto"/>
          <w:szCs w:val="21"/>
        </w:rPr>
      </w:pPr>
      <w:r>
        <w:rPr>
          <w:rFonts w:hint="eastAsia" w:ascii="仿宋_GB2312" w:hAnsi="仿宋_GB2312" w:eastAsia="仿宋_GB2312" w:cs="仿宋_GB2312"/>
          <w:b/>
          <w:color w:val="auto"/>
          <w:szCs w:val="21"/>
        </w:rPr>
        <w:t>6.1.4残疾人福利性单位属于小型、微型企业的，不重复享受政策。</w:t>
      </w:r>
    </w:p>
    <w:p w14:paraId="2CF0D2CB">
      <w:pPr>
        <w:adjustRightInd w:val="0"/>
        <w:snapToGrid w:val="0"/>
        <w:spacing w:line="360" w:lineRule="auto"/>
        <w:ind w:firstLine="420" w:firstLineChars="200"/>
        <w:rPr>
          <w:rFonts w:ascii="仿宋_GB2312" w:hAnsi="仿宋_GB2312" w:eastAsia="仿宋_GB2312" w:cs="仿宋_GB2312"/>
          <w:b/>
          <w:color w:val="auto"/>
          <w:kern w:val="0"/>
          <w:szCs w:val="21"/>
        </w:rPr>
      </w:pPr>
      <w:r>
        <w:rPr>
          <w:rFonts w:hint="eastAsia" w:ascii="仿宋_GB2312" w:hAnsi="仿宋_GB2312" w:eastAsia="仿宋_GB2312" w:cs="仿宋_GB2312"/>
          <w:b/>
          <w:color w:val="auto"/>
          <w:kern w:val="0"/>
          <w:szCs w:val="21"/>
        </w:rPr>
        <w:t>6.2对于节能产品、环境标志产品的相关规定</w:t>
      </w:r>
    </w:p>
    <w:p w14:paraId="010CE4F3">
      <w:pPr>
        <w:numPr>
          <w:ilvl w:val="0"/>
          <w:numId w:val="6"/>
        </w:numPr>
        <w:adjustRightInd w:val="0"/>
        <w:snapToGri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节能产品或环境标志产品，依据品目清单和认证证书实施政府优先采购。</w:t>
      </w:r>
      <w:r>
        <w:rPr>
          <w:rFonts w:hint="eastAsia" w:ascii="仿宋_GB2312" w:hAnsi="仿宋_GB2312" w:eastAsia="仿宋_GB2312" w:cs="仿宋_GB2312"/>
          <w:color w:val="auto"/>
        </w:rPr>
        <w:t>供应商</w:t>
      </w:r>
      <w:r>
        <w:rPr>
          <w:rFonts w:hint="eastAsia" w:ascii="仿宋_GB2312" w:hAnsi="仿宋_GB2312" w:eastAsia="仿宋_GB2312" w:cs="仿宋_GB2312"/>
          <w:color w:val="auto"/>
          <w:szCs w:val="21"/>
        </w:rPr>
        <w:t>应能够提供国家确定的认证机构出具的、处于有效期之内的节能产品、环境标志产品认证证书，方可对获得证书的产品优先推荐。</w:t>
      </w:r>
    </w:p>
    <w:p w14:paraId="638065FF">
      <w:pPr>
        <w:adjustRightInd w:val="0"/>
        <w:snapToGrid w:val="0"/>
        <w:spacing w:line="360" w:lineRule="auto"/>
        <w:ind w:firstLine="630" w:firstLineChars="300"/>
        <w:jc w:val="left"/>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采用最低评标价法的，</w:t>
      </w:r>
      <w:r>
        <w:rPr>
          <w:rFonts w:hint="eastAsia" w:ascii="仿宋_GB2312" w:hAnsi="仿宋_GB2312" w:eastAsia="仿宋_GB2312" w:cs="仿宋_GB2312"/>
          <w:color w:val="auto"/>
          <w:szCs w:val="21"/>
        </w:rPr>
        <w:t>对</w:t>
      </w:r>
      <w:r>
        <w:rPr>
          <w:rFonts w:hint="eastAsia" w:ascii="仿宋_GB2312" w:hAnsi="仿宋_GB2312" w:eastAsia="仿宋_GB2312" w:cs="仿宋_GB2312"/>
          <w:color w:val="auto"/>
          <w:kern w:val="0"/>
          <w:szCs w:val="21"/>
        </w:rPr>
        <w:t>清单中投标产品的报价</w:t>
      </w:r>
      <w:r>
        <w:rPr>
          <w:rFonts w:hint="eastAsia" w:ascii="仿宋_GB2312" w:hAnsi="仿宋_GB2312" w:eastAsia="仿宋_GB2312" w:cs="仿宋_GB2312"/>
          <w:color w:val="auto"/>
          <w:szCs w:val="21"/>
        </w:rPr>
        <w:t>给予价格扣除，用扣除后的价格参与评审。报价扣除比例为</w:t>
      </w:r>
      <w:r>
        <w:rPr>
          <w:rFonts w:hint="eastAsia" w:ascii="仿宋_GB2312" w:hAnsi="仿宋_GB2312" w:eastAsia="仿宋_GB2312" w:cs="仿宋_GB2312"/>
          <w:color w:val="auto"/>
          <w:kern w:val="0"/>
          <w:szCs w:val="21"/>
        </w:rPr>
        <w:t>清单中产品报价的</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 xml:space="preserve"> %。</w:t>
      </w:r>
    </w:p>
    <w:p w14:paraId="4472F0AF">
      <w:pPr>
        <w:adjustRightInd w:val="0"/>
        <w:snapToGrid w:val="0"/>
        <w:spacing w:line="360" w:lineRule="auto"/>
        <w:ind w:firstLine="630" w:firstLineChars="300"/>
        <w:jc w:val="left"/>
        <w:rPr>
          <w:rFonts w:ascii="仿宋_GB2312" w:hAnsi="仿宋_GB2312" w:eastAsia="仿宋_GB2312" w:cs="仿宋_GB2312"/>
          <w:color w:val="auto"/>
          <w:szCs w:val="21"/>
        </w:rPr>
      </w:pPr>
      <w:r>
        <w:rPr>
          <w:rFonts w:hint="eastAsia" w:ascii="仿宋_GB2312" w:hAnsi="仿宋_GB2312" w:eastAsia="仿宋_GB2312" w:cs="仿宋_GB2312"/>
          <w:color w:val="auto"/>
          <w:kern w:val="0"/>
          <w:szCs w:val="21"/>
        </w:rPr>
        <w:t>采用综合评分法评标的项目，对清单中产品给予相应的加分。（详见评分细则）</w:t>
      </w:r>
    </w:p>
    <w:p w14:paraId="58B53B1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（2）供应商应同时提供品目清单网络截图，并以明确标注所报产品信息和位置的方式，用以方便评审。</w:t>
      </w:r>
    </w:p>
    <w:p w14:paraId="27EB404C">
      <w:pPr>
        <w:adjustRightInd w:val="0"/>
        <w:snapToGrid w:val="0"/>
        <w:spacing w:line="360" w:lineRule="auto"/>
        <w:ind w:firstLine="420" w:firstLineChars="20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（3）认证机构和获证产品信息发布媒体：详见中国政府采购网（www.ccgp.gov.cn）建立的与认证结果信息发布平台的链接。</w:t>
      </w:r>
    </w:p>
    <w:p w14:paraId="3501D209">
      <w:pPr>
        <w:adjustRightInd w:val="0"/>
        <w:spacing w:line="360" w:lineRule="auto"/>
        <w:ind w:firstLine="420" w:firstLineChars="200"/>
        <w:jc w:val="left"/>
        <w:rPr>
          <w:rFonts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6.3对于列入《</w:t>
      </w:r>
      <w:r>
        <w:rPr>
          <w:rFonts w:hint="eastAsia" w:ascii="仿宋_GB2312" w:hAnsi="仿宋_GB2312" w:eastAsia="仿宋_GB2312" w:cs="仿宋_GB2312"/>
          <w:b/>
          <w:bCs/>
          <w:color w:val="auto"/>
          <w:szCs w:val="21"/>
          <w:lang w:eastAsia="zh-CN"/>
        </w:rPr>
        <w:t>创新产品和服务目录</w:t>
      </w:r>
      <w:r>
        <w:rPr>
          <w:rFonts w:hint="eastAsia" w:ascii="仿宋_GB2312" w:hAnsi="仿宋_GB2312" w:eastAsia="仿宋_GB2312" w:cs="仿宋_GB2312"/>
          <w:b/>
          <w:bCs/>
          <w:color w:val="auto"/>
          <w:szCs w:val="21"/>
        </w:rPr>
        <w:t>》内的产品、服务的相关规定</w:t>
      </w:r>
    </w:p>
    <w:p w14:paraId="28DDCD77">
      <w:pPr>
        <w:adjustRightInd w:val="0"/>
        <w:spacing w:line="360" w:lineRule="auto"/>
        <w:ind w:firstLine="420" w:firstLineChars="20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采用最低评标价法的：对列入《</w:t>
      </w:r>
      <w:r>
        <w:rPr>
          <w:rFonts w:hint="eastAsia" w:ascii="仿宋_GB2312" w:hAnsi="仿宋_GB2312" w:eastAsia="仿宋_GB2312" w:cs="仿宋_GB2312"/>
          <w:color w:val="auto"/>
          <w:szCs w:val="21"/>
          <w:lang w:eastAsia="zh-CN"/>
        </w:rPr>
        <w:t>创新产品和服务目录</w:t>
      </w:r>
      <w:r>
        <w:rPr>
          <w:rFonts w:hint="eastAsia" w:ascii="仿宋_GB2312" w:hAnsi="仿宋_GB2312" w:eastAsia="仿宋_GB2312" w:cs="仿宋_GB2312"/>
          <w:color w:val="auto"/>
          <w:szCs w:val="21"/>
        </w:rPr>
        <w:t>》内的投标产品、服务给予其投标报价</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6%</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（6-8%）的价格扣除，用扣除后的价格参与评审。</w:t>
      </w:r>
    </w:p>
    <w:p w14:paraId="22A2B707">
      <w:pPr>
        <w:adjustRightInd w:val="0"/>
        <w:spacing w:line="360" w:lineRule="auto"/>
        <w:ind w:firstLine="420" w:firstLineChars="200"/>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szCs w:val="21"/>
        </w:rPr>
        <w:t>采用综合评分法评标的：对列入《</w:t>
      </w:r>
      <w:r>
        <w:rPr>
          <w:rFonts w:hint="eastAsia" w:ascii="仿宋_GB2312" w:hAnsi="仿宋_GB2312" w:eastAsia="仿宋_GB2312" w:cs="仿宋_GB2312"/>
          <w:color w:val="auto"/>
          <w:szCs w:val="21"/>
          <w:lang w:eastAsia="zh-CN"/>
        </w:rPr>
        <w:t>创新产品和服务目录</w:t>
      </w:r>
      <w:r>
        <w:rPr>
          <w:rFonts w:hint="eastAsia" w:ascii="仿宋_GB2312" w:hAnsi="仿宋_GB2312" w:eastAsia="仿宋_GB2312" w:cs="仿宋_GB2312"/>
          <w:color w:val="auto"/>
          <w:szCs w:val="21"/>
        </w:rPr>
        <w:t>》内的投标产品、服务给予</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val="en-US" w:eastAsia="zh-CN"/>
        </w:rPr>
        <w:t>6%</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（6-8%）的加分（详见评分细则）。</w:t>
      </w:r>
    </w:p>
    <w:p w14:paraId="08316679">
      <w:pPr>
        <w:adjustRightInd w:val="0"/>
        <w:snapToGrid w:val="0"/>
        <w:spacing w:line="360" w:lineRule="auto"/>
        <w:ind w:firstLine="420"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★7</w:t>
      </w:r>
      <w:r>
        <w:rPr>
          <w:rFonts w:hint="eastAsia" w:ascii="仿宋_GB2312" w:hAnsi="仿宋_GB2312" w:eastAsia="仿宋_GB2312" w:cs="仿宋_GB2312"/>
          <w:b/>
          <w:bCs/>
          <w:color w:val="auto"/>
          <w:kern w:val="0"/>
          <w:szCs w:val="21"/>
        </w:rPr>
        <w:t>、投标无效情况详见投标人须知。</w:t>
      </w:r>
    </w:p>
    <w:p w14:paraId="285A617E">
      <w:pPr>
        <w:adjustRightInd w:val="0"/>
        <w:snapToGrid w:val="0"/>
        <w:spacing w:line="360" w:lineRule="auto"/>
        <w:ind w:firstLine="420" w:firstLineChars="200"/>
        <w:rPr>
          <w:rFonts w:ascii="仿宋_GB2312" w:hAnsi="仿宋_GB2312" w:eastAsia="仿宋_GB2312" w:cs="仿宋_GB2312"/>
          <w:b/>
          <w:bCs/>
          <w:color w:val="auto"/>
          <w:kern w:val="0"/>
          <w:szCs w:val="21"/>
        </w:rPr>
      </w:pPr>
      <w:r>
        <w:rPr>
          <w:rFonts w:hint="eastAsia" w:ascii="仿宋_GB2312" w:hAnsi="仿宋_GB2312" w:eastAsia="仿宋_GB2312" w:cs="仿宋_GB2312"/>
          <w:b/>
          <w:color w:val="auto"/>
          <w:kern w:val="0"/>
          <w:szCs w:val="21"/>
        </w:rPr>
        <w:t>★8</w:t>
      </w:r>
      <w:r>
        <w:rPr>
          <w:rFonts w:hint="eastAsia" w:ascii="仿宋_GB2312" w:hAnsi="仿宋_GB2312" w:eastAsia="仿宋_GB2312" w:cs="仿宋_GB2312"/>
          <w:b/>
          <w:bCs/>
          <w:color w:val="auto"/>
          <w:kern w:val="0"/>
          <w:szCs w:val="21"/>
        </w:rPr>
        <w:t>、推荐中标候选人的原则</w:t>
      </w:r>
    </w:p>
    <w:p w14:paraId="367F98D5">
      <w:pPr>
        <w:adjustRightInd w:val="0"/>
        <w:snapToGrid w:val="0"/>
        <w:spacing w:line="360" w:lineRule="auto"/>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详见第一章投标人须知第29条，具体处理办法如下：</w:t>
      </w:r>
    </w:p>
    <w:p w14:paraId="6EC01A39">
      <w:pPr>
        <w:numPr>
          <w:ilvl w:val="0"/>
          <w:numId w:val="7"/>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采用最低评标价法的：</w:t>
      </w:r>
    </w:p>
    <w:p w14:paraId="3DA2F58A">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扣除后的投标报价相同时，按投标报价由低至高排序；</w:t>
      </w:r>
    </w:p>
    <w:p w14:paraId="567C3356">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按前款不能区分的，优先采购节能产品、环境标志产品；</w:t>
      </w:r>
    </w:p>
    <w:p w14:paraId="46CCBF35">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按前款不能区分的，按技术指标优劣排序；</w:t>
      </w:r>
    </w:p>
    <w:p w14:paraId="72DA8BCA">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其他情况，由评标委员会投票处理。</w:t>
      </w:r>
    </w:p>
    <w:p w14:paraId="078232CF">
      <w:pPr>
        <w:numPr>
          <w:ilvl w:val="0"/>
          <w:numId w:val="7"/>
        </w:num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采用综合评分法的：</w:t>
      </w:r>
    </w:p>
    <w:p w14:paraId="41FB186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得分相同的，按扣除后的投标报价由低到高顺序排序；</w:t>
      </w:r>
    </w:p>
    <w:p w14:paraId="407BB5B7">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按前款不能区分的，按投标报价由低至高顺序排序；</w:t>
      </w:r>
    </w:p>
    <w:p w14:paraId="0A97CF4D">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按前款不能区分的，优先采购节能产品、环保产品；</w:t>
      </w:r>
    </w:p>
    <w:p w14:paraId="76D39478">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按前款不能区分的，按技术指标优劣排序；</w:t>
      </w:r>
    </w:p>
    <w:p w14:paraId="029774A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其他情况，由评标委员会投票处理。</w:t>
      </w:r>
    </w:p>
    <w:p w14:paraId="65C599EE">
      <w:pPr>
        <w:adjustRightInd w:val="0"/>
        <w:snapToGrid w:val="0"/>
        <w:spacing w:line="360" w:lineRule="auto"/>
        <w:ind w:firstLine="420" w:firstLineChars="200"/>
        <w:rPr>
          <w:rFonts w:ascii="仿宋_GB2312" w:hAnsi="仿宋_GB2312" w:eastAsia="仿宋_GB2312" w:cs="仿宋_GB2312"/>
          <w:b/>
          <w:color w:val="auto"/>
          <w:kern w:val="0"/>
          <w:szCs w:val="21"/>
        </w:rPr>
      </w:pPr>
      <w:bookmarkStart w:id="129" w:name="_Toc30297_WPSOffice_Level2"/>
      <w:r>
        <w:rPr>
          <w:rFonts w:hint="eastAsia" w:ascii="仿宋_GB2312" w:hAnsi="仿宋_GB2312" w:eastAsia="仿宋_GB2312" w:cs="仿宋_GB2312"/>
          <w:b/>
          <w:color w:val="auto"/>
          <w:szCs w:val="21"/>
        </w:rPr>
        <w:t>三、</w:t>
      </w:r>
      <w:r>
        <w:rPr>
          <w:rFonts w:hint="eastAsia" w:ascii="仿宋_GB2312" w:hAnsi="仿宋_GB2312" w:eastAsia="仿宋_GB2312" w:cs="仿宋_GB2312"/>
          <w:b/>
          <w:color w:val="auto"/>
          <w:kern w:val="0"/>
          <w:szCs w:val="21"/>
        </w:rPr>
        <w:t>确定中标人</w:t>
      </w:r>
      <w:bookmarkEnd w:id="129"/>
    </w:p>
    <w:p w14:paraId="2C9A37F4">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评标委员会根据全体评标委员会成员签字的原始评标记录和评标结果编写评标报告，并向</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提交书面评标报告。</w:t>
      </w:r>
    </w:p>
    <w:p w14:paraId="0ED2607E">
      <w:pPr>
        <w:adjustRightInd w:val="0"/>
        <w:snapToGrid w:val="0"/>
        <w:spacing w:line="360" w:lineRule="auto"/>
        <w:ind w:firstLine="420" w:firstLine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按照评标报告确定的中标候选人名单按顺序确定中标人，或由</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委托评标委员会按照第一章投标人须知第31条规定的方式确定中标人。</w:t>
      </w:r>
    </w:p>
    <w:p w14:paraId="3743F061">
      <w:pPr>
        <w:pStyle w:val="3"/>
        <w:adjustRightInd w:val="0"/>
        <w:snapToGrid w:val="0"/>
        <w:spacing w:before="0" w:after="0" w:line="240" w:lineRule="auto"/>
        <w:jc w:val="left"/>
        <w:rPr>
          <w:rFonts w:ascii="仿宋_GB2312" w:hAnsi="仿宋_GB2312" w:eastAsia="仿宋_GB2312" w:cs="仿宋_GB2312"/>
          <w:color w:val="auto"/>
          <w:szCs w:val="28"/>
        </w:rPr>
      </w:pPr>
      <w:r>
        <w:rPr>
          <w:rFonts w:hint="eastAsia" w:ascii="仿宋_GB2312" w:hAnsi="仿宋_GB2312" w:eastAsia="仿宋_GB2312" w:cs="仿宋_GB2312"/>
          <w:color w:val="auto"/>
        </w:rPr>
        <w:br w:type="page"/>
      </w:r>
      <w:bookmarkStart w:id="130" w:name="_Toc32318_WPSOffice_Level2"/>
      <w:r>
        <w:rPr>
          <w:rFonts w:hint="eastAsia" w:ascii="仿宋_GB2312" w:hAnsi="仿宋_GB2312" w:eastAsia="仿宋_GB2312" w:cs="仿宋_GB2312"/>
          <w:color w:val="auto"/>
          <w:szCs w:val="28"/>
        </w:rPr>
        <w:t xml:space="preserve">附件1 </w:t>
      </w:r>
    </w:p>
    <w:p w14:paraId="75732AD5">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资格审查表</w:t>
      </w:r>
      <w:bookmarkEnd w:id="130"/>
    </w:p>
    <w:tbl>
      <w:tblPr>
        <w:tblStyle w:val="1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70C73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668" w:type="dxa"/>
            <w:vMerge w:val="restart"/>
            <w:noWrap w:val="0"/>
            <w:vAlign w:val="center"/>
          </w:tcPr>
          <w:p w14:paraId="0EFC97FD">
            <w:pPr>
              <w:ind w:left="-96" w:leftChars="-46" w:right="-86" w:rightChars="-41"/>
              <w:jc w:val="center"/>
              <w:rPr>
                <w:rFonts w:ascii="仿宋_GB2312" w:hAnsi="仿宋_GB2312" w:eastAsia="仿宋_GB2312" w:cs="仿宋_GB2312"/>
                <w:color w:val="auto"/>
              </w:rPr>
            </w:pPr>
            <w:r>
              <w:rPr>
                <w:rFonts w:hint="eastAsia" w:ascii="仿宋_GB2312" w:hAnsi="仿宋_GB2312" w:eastAsia="仿宋_GB2312" w:cs="仿宋_GB2312"/>
                <w:color w:val="auto"/>
              </w:rPr>
              <w:t>序号</w:t>
            </w:r>
          </w:p>
        </w:tc>
        <w:tc>
          <w:tcPr>
            <w:tcW w:w="3837" w:type="dxa"/>
            <w:vMerge w:val="restart"/>
            <w:noWrap w:val="0"/>
            <w:vAlign w:val="center"/>
          </w:tcPr>
          <w:p w14:paraId="5CB64C25">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审查项目</w:t>
            </w:r>
          </w:p>
        </w:tc>
        <w:tc>
          <w:tcPr>
            <w:tcW w:w="1982" w:type="dxa"/>
            <w:vMerge w:val="restart"/>
            <w:noWrap w:val="0"/>
            <w:vAlign w:val="center"/>
          </w:tcPr>
          <w:p w14:paraId="1EC10FAF">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审查标准</w:t>
            </w:r>
          </w:p>
        </w:tc>
        <w:tc>
          <w:tcPr>
            <w:tcW w:w="2836" w:type="dxa"/>
            <w:gridSpan w:val="3"/>
            <w:noWrap w:val="0"/>
            <w:vAlign w:val="center"/>
          </w:tcPr>
          <w:p w14:paraId="042E81E2">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投标人名称</w:t>
            </w:r>
          </w:p>
        </w:tc>
      </w:tr>
      <w:tr w14:paraId="2ABD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668" w:type="dxa"/>
            <w:vMerge w:val="continue"/>
            <w:noWrap w:val="0"/>
            <w:vAlign w:val="center"/>
          </w:tcPr>
          <w:p w14:paraId="3EE5589F">
            <w:pPr>
              <w:pStyle w:val="3"/>
              <w:adjustRightInd w:val="0"/>
              <w:snapToGrid w:val="0"/>
              <w:spacing w:before="0" w:after="0" w:line="240" w:lineRule="auto"/>
              <w:rPr>
                <w:rFonts w:ascii="仿宋_GB2312" w:hAnsi="仿宋_GB2312" w:eastAsia="仿宋_GB2312" w:cs="仿宋_GB2312"/>
                <w:color w:val="auto"/>
              </w:rPr>
            </w:pPr>
          </w:p>
        </w:tc>
        <w:tc>
          <w:tcPr>
            <w:tcW w:w="3837" w:type="dxa"/>
            <w:vMerge w:val="continue"/>
            <w:noWrap w:val="0"/>
            <w:vAlign w:val="center"/>
          </w:tcPr>
          <w:p w14:paraId="09AE5E23">
            <w:pPr>
              <w:pStyle w:val="3"/>
              <w:adjustRightInd w:val="0"/>
              <w:snapToGrid w:val="0"/>
              <w:spacing w:before="0" w:after="0" w:line="240" w:lineRule="auto"/>
              <w:rPr>
                <w:rFonts w:ascii="仿宋_GB2312" w:hAnsi="仿宋_GB2312" w:eastAsia="仿宋_GB2312" w:cs="仿宋_GB2312"/>
                <w:color w:val="auto"/>
                <w:sz w:val="21"/>
                <w:szCs w:val="21"/>
              </w:rPr>
            </w:pPr>
          </w:p>
        </w:tc>
        <w:tc>
          <w:tcPr>
            <w:tcW w:w="1982" w:type="dxa"/>
            <w:vMerge w:val="continue"/>
            <w:noWrap w:val="0"/>
            <w:vAlign w:val="center"/>
          </w:tcPr>
          <w:p w14:paraId="348B83BD">
            <w:pPr>
              <w:pStyle w:val="3"/>
              <w:adjustRightInd w:val="0"/>
              <w:snapToGrid w:val="0"/>
              <w:spacing w:before="0" w:after="0" w:line="240" w:lineRule="auto"/>
              <w:rPr>
                <w:rFonts w:ascii="仿宋_GB2312" w:hAnsi="仿宋_GB2312" w:eastAsia="仿宋_GB2312" w:cs="仿宋_GB2312"/>
                <w:color w:val="auto"/>
                <w:sz w:val="21"/>
                <w:szCs w:val="21"/>
              </w:rPr>
            </w:pPr>
          </w:p>
        </w:tc>
        <w:tc>
          <w:tcPr>
            <w:tcW w:w="986" w:type="dxa"/>
            <w:noWrap w:val="0"/>
            <w:vAlign w:val="center"/>
          </w:tcPr>
          <w:p w14:paraId="6B6034A6">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center"/>
          </w:tcPr>
          <w:p w14:paraId="37BB5DA3">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center"/>
          </w:tcPr>
          <w:p w14:paraId="1A8DE5AB">
            <w:pPr>
              <w:pStyle w:val="3"/>
              <w:adjustRightInd w:val="0"/>
              <w:snapToGrid w:val="0"/>
              <w:spacing w:before="0" w:after="0" w:line="240" w:lineRule="auto"/>
              <w:rPr>
                <w:rFonts w:ascii="仿宋_GB2312" w:hAnsi="仿宋_GB2312" w:eastAsia="仿宋_GB2312" w:cs="仿宋_GB2312"/>
                <w:color w:val="auto"/>
                <w:sz w:val="21"/>
                <w:szCs w:val="21"/>
              </w:rPr>
            </w:pPr>
          </w:p>
        </w:tc>
      </w:tr>
      <w:tr w14:paraId="293D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32363AC4">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1</w:t>
            </w:r>
          </w:p>
        </w:tc>
        <w:tc>
          <w:tcPr>
            <w:tcW w:w="3837" w:type="dxa"/>
            <w:noWrap w:val="0"/>
            <w:vAlign w:val="center"/>
          </w:tcPr>
          <w:p w14:paraId="7E522C58">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营业执照或事业单位法人证书或执业许可证等证明文件或自然人的身份证明</w:t>
            </w:r>
          </w:p>
        </w:tc>
        <w:tc>
          <w:tcPr>
            <w:tcW w:w="1982" w:type="dxa"/>
            <w:noWrap w:val="0"/>
            <w:vAlign w:val="center"/>
          </w:tcPr>
          <w:p w14:paraId="7BC9CFA7">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41689D18">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86" w:type="dxa"/>
            <w:noWrap w:val="0"/>
            <w:vAlign w:val="center"/>
          </w:tcPr>
          <w:p w14:paraId="7F9A3982">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center"/>
          </w:tcPr>
          <w:p w14:paraId="6048641D">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center"/>
          </w:tcPr>
          <w:p w14:paraId="356EAEF9">
            <w:pPr>
              <w:pStyle w:val="3"/>
              <w:adjustRightInd w:val="0"/>
              <w:snapToGrid w:val="0"/>
              <w:spacing w:before="0" w:after="0" w:line="240" w:lineRule="auto"/>
              <w:rPr>
                <w:rFonts w:ascii="仿宋_GB2312" w:hAnsi="仿宋_GB2312" w:eastAsia="仿宋_GB2312" w:cs="仿宋_GB2312"/>
                <w:color w:val="auto"/>
                <w:sz w:val="21"/>
                <w:szCs w:val="21"/>
              </w:rPr>
            </w:pPr>
          </w:p>
        </w:tc>
      </w:tr>
      <w:tr w14:paraId="757F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37DD8310">
            <w:pPr>
              <w:widowControl/>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2</w:t>
            </w:r>
          </w:p>
        </w:tc>
        <w:tc>
          <w:tcPr>
            <w:tcW w:w="3837" w:type="dxa"/>
            <w:noWrap w:val="0"/>
            <w:vAlign w:val="center"/>
          </w:tcPr>
          <w:p w14:paraId="2F2DAFBA">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组织机构代码证</w:t>
            </w:r>
          </w:p>
        </w:tc>
        <w:tc>
          <w:tcPr>
            <w:tcW w:w="1982" w:type="dxa"/>
            <w:noWrap w:val="0"/>
            <w:vAlign w:val="center"/>
          </w:tcPr>
          <w:p w14:paraId="2E69CE43">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514824D8">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86" w:type="dxa"/>
            <w:noWrap w:val="0"/>
            <w:vAlign w:val="top"/>
          </w:tcPr>
          <w:p w14:paraId="6C2AA1D4">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24B1251E">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17B4A65B">
            <w:pPr>
              <w:pStyle w:val="3"/>
              <w:adjustRightInd w:val="0"/>
              <w:snapToGrid w:val="0"/>
              <w:spacing w:before="0" w:after="0" w:line="240" w:lineRule="auto"/>
              <w:rPr>
                <w:rFonts w:ascii="仿宋_GB2312" w:hAnsi="仿宋_GB2312" w:eastAsia="仿宋_GB2312" w:cs="仿宋_GB2312"/>
                <w:color w:val="auto"/>
                <w:sz w:val="21"/>
                <w:szCs w:val="21"/>
              </w:rPr>
            </w:pPr>
          </w:p>
        </w:tc>
      </w:tr>
      <w:tr w14:paraId="00D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668" w:type="dxa"/>
            <w:noWrap w:val="0"/>
            <w:vAlign w:val="center"/>
          </w:tcPr>
          <w:p w14:paraId="05E54343">
            <w:pPr>
              <w:widowControl/>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3</w:t>
            </w:r>
          </w:p>
        </w:tc>
        <w:tc>
          <w:tcPr>
            <w:tcW w:w="3837" w:type="dxa"/>
            <w:noWrap w:val="0"/>
            <w:vAlign w:val="center"/>
          </w:tcPr>
          <w:p w14:paraId="4BBB2765">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税务登记证</w:t>
            </w:r>
          </w:p>
        </w:tc>
        <w:tc>
          <w:tcPr>
            <w:tcW w:w="1982" w:type="dxa"/>
            <w:noWrap w:val="0"/>
            <w:vAlign w:val="center"/>
          </w:tcPr>
          <w:p w14:paraId="1A8632B5">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26676BCE">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86" w:type="dxa"/>
            <w:noWrap w:val="0"/>
            <w:vAlign w:val="top"/>
          </w:tcPr>
          <w:p w14:paraId="0144CA79">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585F3603">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32AF45E4">
            <w:pPr>
              <w:pStyle w:val="3"/>
              <w:adjustRightInd w:val="0"/>
              <w:snapToGrid w:val="0"/>
              <w:spacing w:before="0" w:after="0" w:line="240" w:lineRule="auto"/>
              <w:rPr>
                <w:rFonts w:ascii="仿宋_GB2312" w:hAnsi="仿宋_GB2312" w:eastAsia="仿宋_GB2312" w:cs="仿宋_GB2312"/>
                <w:color w:val="auto"/>
                <w:sz w:val="21"/>
                <w:szCs w:val="21"/>
              </w:rPr>
            </w:pPr>
          </w:p>
        </w:tc>
      </w:tr>
      <w:tr w14:paraId="6486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7129E173">
            <w:pPr>
              <w:widowControl/>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szCs w:val="21"/>
              </w:rPr>
              <w:t>4</w:t>
            </w:r>
          </w:p>
        </w:tc>
        <w:tc>
          <w:tcPr>
            <w:tcW w:w="3837" w:type="dxa"/>
            <w:noWrap w:val="0"/>
            <w:vAlign w:val="center"/>
          </w:tcPr>
          <w:p w14:paraId="63E9EF68">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szCs w:val="21"/>
              </w:rPr>
              <w:t>法定代表人（或非法人组织负责人）身份证明书</w:t>
            </w:r>
          </w:p>
        </w:tc>
        <w:tc>
          <w:tcPr>
            <w:tcW w:w="1982" w:type="dxa"/>
            <w:noWrap w:val="0"/>
            <w:vAlign w:val="center"/>
          </w:tcPr>
          <w:p w14:paraId="0BF8FE92">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14:paraId="4FECF666">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2.按规定签章</w:t>
            </w:r>
          </w:p>
        </w:tc>
        <w:tc>
          <w:tcPr>
            <w:tcW w:w="986" w:type="dxa"/>
            <w:noWrap w:val="0"/>
            <w:vAlign w:val="top"/>
          </w:tcPr>
          <w:p w14:paraId="4B891EC5">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6FD5ED1A">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25E8517C">
            <w:pPr>
              <w:pStyle w:val="3"/>
              <w:adjustRightInd w:val="0"/>
              <w:snapToGrid w:val="0"/>
              <w:spacing w:before="0" w:after="0" w:line="240" w:lineRule="auto"/>
              <w:rPr>
                <w:rFonts w:ascii="仿宋_GB2312" w:hAnsi="仿宋_GB2312" w:eastAsia="仿宋_GB2312" w:cs="仿宋_GB2312"/>
                <w:color w:val="auto"/>
                <w:sz w:val="21"/>
                <w:szCs w:val="21"/>
              </w:rPr>
            </w:pPr>
          </w:p>
        </w:tc>
      </w:tr>
      <w:tr w14:paraId="204C4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668" w:type="dxa"/>
            <w:noWrap w:val="0"/>
            <w:vAlign w:val="center"/>
          </w:tcPr>
          <w:p w14:paraId="3697E280">
            <w:pPr>
              <w:widowControl/>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5</w:t>
            </w:r>
          </w:p>
        </w:tc>
        <w:tc>
          <w:tcPr>
            <w:tcW w:w="3837" w:type="dxa"/>
            <w:noWrap w:val="0"/>
            <w:vAlign w:val="center"/>
          </w:tcPr>
          <w:p w14:paraId="43D22E56">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法定代表人（或非法人组织</w:t>
            </w:r>
            <w:r>
              <w:rPr>
                <w:rFonts w:hint="eastAsia" w:ascii="仿宋_GB2312" w:hAnsi="仿宋_GB2312" w:eastAsia="仿宋_GB2312" w:cs="仿宋_GB2312"/>
                <w:color w:val="auto"/>
                <w:szCs w:val="21"/>
              </w:rPr>
              <w:t>负责人）</w:t>
            </w:r>
            <w:r>
              <w:rPr>
                <w:rFonts w:hint="eastAsia" w:ascii="仿宋_GB2312" w:hAnsi="仿宋_GB2312" w:eastAsia="仿宋_GB2312" w:cs="仿宋_GB2312"/>
                <w:color w:val="auto"/>
              </w:rPr>
              <w:t>授权委托书</w:t>
            </w:r>
            <w:r>
              <w:rPr>
                <w:rFonts w:hint="eastAsia" w:ascii="仿宋_GB2312" w:hAnsi="仿宋_GB2312" w:eastAsia="仿宋_GB2312" w:cs="仿宋_GB2312"/>
                <w:color w:val="auto"/>
                <w:szCs w:val="21"/>
              </w:rPr>
              <w:t>（授权委托人参加投标的须提供）</w:t>
            </w:r>
          </w:p>
        </w:tc>
        <w:tc>
          <w:tcPr>
            <w:tcW w:w="1982" w:type="dxa"/>
            <w:noWrap w:val="0"/>
            <w:vAlign w:val="center"/>
          </w:tcPr>
          <w:p w14:paraId="590C1E8F">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14:paraId="76C0AD20">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2.按规定签章</w:t>
            </w:r>
          </w:p>
        </w:tc>
        <w:tc>
          <w:tcPr>
            <w:tcW w:w="986" w:type="dxa"/>
            <w:noWrap w:val="0"/>
            <w:vAlign w:val="top"/>
          </w:tcPr>
          <w:p w14:paraId="621174DF">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4AA9DC4B">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3DD473FA">
            <w:pPr>
              <w:pStyle w:val="3"/>
              <w:adjustRightInd w:val="0"/>
              <w:snapToGrid w:val="0"/>
              <w:spacing w:before="0" w:after="0" w:line="240" w:lineRule="auto"/>
              <w:rPr>
                <w:rFonts w:ascii="仿宋_GB2312" w:hAnsi="仿宋_GB2312" w:eastAsia="仿宋_GB2312" w:cs="仿宋_GB2312"/>
                <w:color w:val="auto"/>
                <w:sz w:val="21"/>
                <w:szCs w:val="21"/>
              </w:rPr>
            </w:pPr>
          </w:p>
        </w:tc>
      </w:tr>
      <w:tr w14:paraId="3905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2329CC43">
            <w:pPr>
              <w:widowControl/>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6</w:t>
            </w:r>
          </w:p>
        </w:tc>
        <w:tc>
          <w:tcPr>
            <w:tcW w:w="3837" w:type="dxa"/>
            <w:noWrap w:val="0"/>
            <w:vAlign w:val="center"/>
          </w:tcPr>
          <w:p w14:paraId="6EAE3B91">
            <w:pPr>
              <w:widowControl/>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具有良好的商业信誉和健全的财务会计制度的承诺函</w:t>
            </w:r>
          </w:p>
        </w:tc>
        <w:tc>
          <w:tcPr>
            <w:tcW w:w="1982" w:type="dxa"/>
            <w:noWrap w:val="0"/>
            <w:vAlign w:val="center"/>
          </w:tcPr>
          <w:p w14:paraId="278A9BA3">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1.信息完整</w:t>
            </w:r>
          </w:p>
          <w:p w14:paraId="57D48835">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2.按规定签章</w:t>
            </w:r>
          </w:p>
        </w:tc>
        <w:tc>
          <w:tcPr>
            <w:tcW w:w="986" w:type="dxa"/>
            <w:noWrap w:val="0"/>
            <w:vAlign w:val="top"/>
          </w:tcPr>
          <w:p w14:paraId="78819D5C">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64506BEC">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4206E96D">
            <w:pPr>
              <w:pStyle w:val="3"/>
              <w:adjustRightInd w:val="0"/>
              <w:snapToGrid w:val="0"/>
              <w:spacing w:before="0" w:after="0" w:line="240" w:lineRule="auto"/>
              <w:rPr>
                <w:rFonts w:ascii="仿宋_GB2312" w:hAnsi="仿宋_GB2312" w:eastAsia="仿宋_GB2312" w:cs="仿宋_GB2312"/>
                <w:color w:val="auto"/>
                <w:sz w:val="21"/>
                <w:szCs w:val="21"/>
              </w:rPr>
            </w:pPr>
          </w:p>
        </w:tc>
      </w:tr>
      <w:tr w14:paraId="0431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41908C08">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7</w:t>
            </w:r>
          </w:p>
        </w:tc>
        <w:tc>
          <w:tcPr>
            <w:tcW w:w="3837" w:type="dxa"/>
            <w:noWrap w:val="0"/>
            <w:vAlign w:val="center"/>
          </w:tcPr>
          <w:p w14:paraId="1D6749BD">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开标时间前六个月内任一个月的依法缴纳税收的缴款凭据</w:t>
            </w:r>
          </w:p>
        </w:tc>
        <w:tc>
          <w:tcPr>
            <w:tcW w:w="1982" w:type="dxa"/>
            <w:noWrap w:val="0"/>
            <w:vAlign w:val="center"/>
          </w:tcPr>
          <w:p w14:paraId="54B56B53">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14E95D90">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86" w:type="dxa"/>
            <w:noWrap w:val="0"/>
            <w:vAlign w:val="top"/>
          </w:tcPr>
          <w:p w14:paraId="373F55AD">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56F48D21">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5687EB27">
            <w:pPr>
              <w:pStyle w:val="3"/>
              <w:adjustRightInd w:val="0"/>
              <w:snapToGrid w:val="0"/>
              <w:spacing w:before="0" w:after="0" w:line="240" w:lineRule="auto"/>
              <w:rPr>
                <w:rFonts w:ascii="仿宋_GB2312" w:hAnsi="仿宋_GB2312" w:eastAsia="仿宋_GB2312" w:cs="仿宋_GB2312"/>
                <w:color w:val="auto"/>
                <w:sz w:val="21"/>
                <w:szCs w:val="21"/>
              </w:rPr>
            </w:pPr>
          </w:p>
        </w:tc>
      </w:tr>
      <w:tr w14:paraId="5FD03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615F5345">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8</w:t>
            </w:r>
          </w:p>
        </w:tc>
        <w:tc>
          <w:tcPr>
            <w:tcW w:w="3837" w:type="dxa"/>
            <w:noWrap w:val="0"/>
            <w:vAlign w:val="center"/>
          </w:tcPr>
          <w:p w14:paraId="7080034F">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开标时间前六个月内任一个月的依法缴纳社会保障资金的缴款凭据</w:t>
            </w:r>
          </w:p>
        </w:tc>
        <w:tc>
          <w:tcPr>
            <w:tcW w:w="1982" w:type="dxa"/>
            <w:noWrap w:val="0"/>
            <w:vAlign w:val="center"/>
          </w:tcPr>
          <w:p w14:paraId="4918644D">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17BE04D0">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86" w:type="dxa"/>
            <w:noWrap w:val="0"/>
            <w:vAlign w:val="top"/>
          </w:tcPr>
          <w:p w14:paraId="5D913486">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70E6353F">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3D6077AE">
            <w:pPr>
              <w:pStyle w:val="3"/>
              <w:adjustRightInd w:val="0"/>
              <w:snapToGrid w:val="0"/>
              <w:spacing w:before="0" w:after="0" w:line="240" w:lineRule="auto"/>
              <w:rPr>
                <w:rFonts w:ascii="仿宋_GB2312" w:hAnsi="仿宋_GB2312" w:eastAsia="仿宋_GB2312" w:cs="仿宋_GB2312"/>
                <w:color w:val="auto"/>
                <w:sz w:val="21"/>
                <w:szCs w:val="21"/>
              </w:rPr>
            </w:pPr>
          </w:p>
        </w:tc>
      </w:tr>
      <w:tr w14:paraId="2464E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3E45D59F">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9</w:t>
            </w:r>
          </w:p>
        </w:tc>
        <w:tc>
          <w:tcPr>
            <w:tcW w:w="3837" w:type="dxa"/>
            <w:noWrap w:val="0"/>
            <w:vAlign w:val="center"/>
          </w:tcPr>
          <w:p w14:paraId="6B9C1C3B">
            <w:pPr>
              <w:snapToGrid w:val="0"/>
              <w:jc w:val="left"/>
              <w:rPr>
                <w:rFonts w:ascii="仿宋_GB2312" w:hAnsi="仿宋_GB2312" w:eastAsia="仿宋_GB2312" w:cs="仿宋_GB2312"/>
                <w:b/>
                <w:color w:val="auto"/>
                <w:szCs w:val="21"/>
              </w:rPr>
            </w:pPr>
            <w:r>
              <w:rPr>
                <w:rFonts w:hint="eastAsia" w:ascii="仿宋_GB2312" w:hAnsi="仿宋_GB2312" w:eastAsia="仿宋_GB2312" w:cs="仿宋_GB2312"/>
                <w:color w:val="auto"/>
              </w:rPr>
              <w:t>具备履行合同所必需的设备和专业技术能力声明函</w:t>
            </w:r>
          </w:p>
        </w:tc>
        <w:tc>
          <w:tcPr>
            <w:tcW w:w="1982" w:type="dxa"/>
            <w:noWrap w:val="0"/>
            <w:vAlign w:val="center"/>
          </w:tcPr>
          <w:p w14:paraId="0C430EC2">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1.信息完整</w:t>
            </w:r>
          </w:p>
          <w:p w14:paraId="497816F3">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2.按规定签章</w:t>
            </w:r>
          </w:p>
        </w:tc>
        <w:tc>
          <w:tcPr>
            <w:tcW w:w="986" w:type="dxa"/>
            <w:noWrap w:val="0"/>
            <w:vAlign w:val="top"/>
          </w:tcPr>
          <w:p w14:paraId="656634D3">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1EA1DA4D">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4B64B214">
            <w:pPr>
              <w:pStyle w:val="3"/>
              <w:adjustRightInd w:val="0"/>
              <w:snapToGrid w:val="0"/>
              <w:spacing w:before="0" w:after="0" w:line="240" w:lineRule="auto"/>
              <w:rPr>
                <w:rFonts w:ascii="仿宋_GB2312" w:hAnsi="仿宋_GB2312" w:eastAsia="仿宋_GB2312" w:cs="仿宋_GB2312"/>
                <w:color w:val="auto"/>
                <w:sz w:val="21"/>
                <w:szCs w:val="21"/>
              </w:rPr>
            </w:pPr>
          </w:p>
        </w:tc>
      </w:tr>
      <w:tr w14:paraId="2A2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31E7BBBF">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szCs w:val="21"/>
              </w:rPr>
              <w:t>10</w:t>
            </w:r>
          </w:p>
        </w:tc>
        <w:tc>
          <w:tcPr>
            <w:tcW w:w="3837" w:type="dxa"/>
            <w:noWrap w:val="0"/>
            <w:vAlign w:val="center"/>
          </w:tcPr>
          <w:p w14:paraId="3E32DAD0">
            <w:pPr>
              <w:snapToGrid w:val="0"/>
              <w:jc w:val="left"/>
              <w:rPr>
                <w:rFonts w:ascii="仿宋_GB2312" w:hAnsi="仿宋_GB2312" w:eastAsia="仿宋_GB2312" w:cs="仿宋_GB2312"/>
                <w:color w:val="auto"/>
              </w:rPr>
            </w:pPr>
            <w:r>
              <w:rPr>
                <w:rFonts w:hint="eastAsia" w:ascii="仿宋_GB2312" w:hAnsi="仿宋_GB2312" w:eastAsia="仿宋_GB2312" w:cs="仿宋_GB2312"/>
                <w:color w:val="auto"/>
                <w:szCs w:val="21"/>
              </w:rPr>
              <w:t>参加政府采购活动前3年内在经营活动中没有重大违法记录的书面声明</w:t>
            </w:r>
          </w:p>
        </w:tc>
        <w:tc>
          <w:tcPr>
            <w:tcW w:w="1982" w:type="dxa"/>
            <w:noWrap w:val="0"/>
            <w:vAlign w:val="center"/>
          </w:tcPr>
          <w:p w14:paraId="3A1E1C07">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14:paraId="7A4363E9">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2.按规定签章</w:t>
            </w:r>
          </w:p>
        </w:tc>
        <w:tc>
          <w:tcPr>
            <w:tcW w:w="986" w:type="dxa"/>
            <w:noWrap w:val="0"/>
            <w:vAlign w:val="top"/>
          </w:tcPr>
          <w:p w14:paraId="7DFA3D25">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0AC1665F">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14C0C704">
            <w:pPr>
              <w:pStyle w:val="3"/>
              <w:adjustRightInd w:val="0"/>
              <w:snapToGrid w:val="0"/>
              <w:spacing w:before="0" w:after="0" w:line="240" w:lineRule="auto"/>
              <w:rPr>
                <w:rFonts w:ascii="仿宋_GB2312" w:hAnsi="仿宋_GB2312" w:eastAsia="仿宋_GB2312" w:cs="仿宋_GB2312"/>
                <w:color w:val="auto"/>
                <w:sz w:val="21"/>
                <w:szCs w:val="21"/>
              </w:rPr>
            </w:pPr>
          </w:p>
        </w:tc>
      </w:tr>
      <w:tr w14:paraId="4823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4DE5E134">
            <w:pPr>
              <w:snapToGrid w:val="0"/>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val="en-US" w:eastAsia="zh-CN"/>
              </w:rPr>
              <w:t>1</w:t>
            </w:r>
          </w:p>
        </w:tc>
        <w:tc>
          <w:tcPr>
            <w:tcW w:w="3837" w:type="dxa"/>
            <w:noWrap w:val="0"/>
            <w:vAlign w:val="center"/>
          </w:tcPr>
          <w:p w14:paraId="4D44E2D2">
            <w:pPr>
              <w:snapToGrid w:val="0"/>
              <w:jc w:val="left"/>
              <w:rPr>
                <w:rFonts w:ascii="仿宋_GB2312" w:hAnsi="仿宋_GB2312" w:eastAsia="仿宋_GB2312" w:cs="仿宋_GB2312"/>
                <w:color w:val="auto"/>
              </w:rPr>
            </w:pPr>
            <w:r>
              <w:rPr>
                <w:rFonts w:hint="eastAsia" w:ascii="仿宋_GB2312" w:hAnsi="仿宋_GB2312" w:eastAsia="仿宋_GB2312" w:cs="仿宋_GB2312"/>
                <w:color w:val="auto"/>
              </w:rPr>
              <w:t>信用记录（</w:t>
            </w:r>
            <w:r>
              <w:rPr>
                <w:rFonts w:hint="eastAsia" w:ascii="仿宋_GB2312" w:hAnsi="仿宋_GB2312" w:eastAsia="仿宋_GB2312" w:cs="仿宋_GB2312"/>
                <w:color w:val="auto"/>
                <w:szCs w:val="21"/>
                <w:lang w:eastAsia="zh-CN"/>
              </w:rPr>
              <w:t>招标人</w:t>
            </w:r>
            <w:r>
              <w:rPr>
                <w:rFonts w:hint="eastAsia" w:ascii="仿宋_GB2312" w:hAnsi="仿宋_GB2312" w:eastAsia="仿宋_GB2312" w:cs="仿宋_GB2312"/>
                <w:color w:val="auto"/>
                <w:szCs w:val="21"/>
              </w:rPr>
              <w:t>或采购代理机构将按照招标文件规定的审查期间内进行查询</w:t>
            </w:r>
            <w:r>
              <w:rPr>
                <w:rFonts w:hint="eastAsia" w:ascii="仿宋_GB2312" w:hAnsi="仿宋_GB2312" w:eastAsia="仿宋_GB2312" w:cs="仿宋_GB2312"/>
                <w:color w:val="auto"/>
              </w:rPr>
              <w:t>）联合体各方均需查询（如适用）</w:t>
            </w:r>
          </w:p>
        </w:tc>
        <w:tc>
          <w:tcPr>
            <w:tcW w:w="1982" w:type="dxa"/>
            <w:noWrap w:val="0"/>
            <w:vAlign w:val="center"/>
          </w:tcPr>
          <w:p w14:paraId="3E5B94BA">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无投标须知22.2.1所述的不良记录</w:t>
            </w:r>
          </w:p>
        </w:tc>
        <w:tc>
          <w:tcPr>
            <w:tcW w:w="986" w:type="dxa"/>
            <w:noWrap w:val="0"/>
            <w:vAlign w:val="top"/>
          </w:tcPr>
          <w:p w14:paraId="51093D25">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2A066F21">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12449490">
            <w:pPr>
              <w:pStyle w:val="3"/>
              <w:adjustRightInd w:val="0"/>
              <w:snapToGrid w:val="0"/>
              <w:spacing w:before="0" w:after="0" w:line="240" w:lineRule="auto"/>
              <w:rPr>
                <w:rFonts w:ascii="仿宋_GB2312" w:hAnsi="仿宋_GB2312" w:eastAsia="仿宋_GB2312" w:cs="仿宋_GB2312"/>
                <w:color w:val="auto"/>
                <w:sz w:val="21"/>
                <w:szCs w:val="21"/>
              </w:rPr>
            </w:pPr>
          </w:p>
        </w:tc>
      </w:tr>
      <w:tr w14:paraId="5D8A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73691C45">
            <w:pPr>
              <w:snapToGrid w:val="0"/>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2</w:t>
            </w:r>
          </w:p>
        </w:tc>
        <w:tc>
          <w:tcPr>
            <w:tcW w:w="3837" w:type="dxa"/>
            <w:noWrap w:val="0"/>
            <w:vAlign w:val="center"/>
          </w:tcPr>
          <w:p w14:paraId="71F133A7">
            <w:pPr>
              <w:snapToGrid w:val="0"/>
              <w:jc w:val="left"/>
              <w:rPr>
                <w:rFonts w:hint="eastAsia" w:ascii="仿宋_GB2312" w:hAnsi="仿宋_GB2312" w:eastAsia="仿宋_GB2312" w:cs="仿宋_GB2312"/>
                <w:color w:val="auto"/>
              </w:rPr>
            </w:pPr>
            <w:r>
              <w:rPr>
                <w:rFonts w:hint="eastAsia" w:ascii="仿宋" w:hAnsi="仿宋" w:eastAsia="仿宋" w:cs="仿宋"/>
                <w:color w:val="auto"/>
                <w:sz w:val="20"/>
                <w:szCs w:val="20"/>
              </w:rPr>
              <w:t>落实政府采购政策的证明材料（专门面向中小企业采购）注：本项目属于专门面向中小企业采购的项目,供应商应为中小微企业或监狱企业或残疾人福利性单位，否则响应无效。供应商须满足下述①-③任一条款的规定，并</w:t>
            </w:r>
            <w:r>
              <w:rPr>
                <w:rFonts w:hint="eastAsia" w:ascii="仿宋" w:hAnsi="仿宋" w:eastAsia="仿宋" w:cs="仿宋"/>
                <w:color w:val="auto"/>
                <w:sz w:val="20"/>
                <w:szCs w:val="20"/>
                <w:highlight w:val="none"/>
              </w:rPr>
              <w:t>按</w:t>
            </w:r>
            <w:r>
              <w:rPr>
                <w:rFonts w:hint="eastAsia" w:ascii="仿宋" w:hAnsi="仿宋" w:cs="仿宋"/>
                <w:color w:val="auto"/>
                <w:sz w:val="20"/>
                <w:szCs w:val="20"/>
                <w:highlight w:val="none"/>
                <w:lang w:val="en-US" w:eastAsia="zh-CN"/>
              </w:rPr>
              <w:t>招标文件</w:t>
            </w:r>
            <w:r>
              <w:rPr>
                <w:rFonts w:hint="eastAsia" w:ascii="仿宋" w:hAnsi="仿宋" w:eastAsia="仿宋" w:cs="仿宋"/>
                <w:color w:val="auto"/>
                <w:sz w:val="20"/>
                <w:szCs w:val="20"/>
                <w:highlight w:val="none"/>
              </w:rPr>
              <w:t>规</w:t>
            </w:r>
            <w:r>
              <w:rPr>
                <w:rFonts w:hint="eastAsia" w:ascii="仿宋" w:hAnsi="仿宋" w:eastAsia="仿宋" w:cs="仿宋"/>
                <w:color w:val="auto"/>
                <w:sz w:val="20"/>
                <w:szCs w:val="20"/>
              </w:rPr>
              <w:t>定格式提供相应材料：①中小企业声明函；②残疾人福利性单位声明函；③监狱企业证明文件。</w:t>
            </w:r>
          </w:p>
        </w:tc>
        <w:tc>
          <w:tcPr>
            <w:tcW w:w="1982" w:type="dxa"/>
            <w:noWrap w:val="0"/>
            <w:vAlign w:val="center"/>
          </w:tcPr>
          <w:p w14:paraId="024C0566">
            <w:pPr>
              <w:pStyle w:val="3"/>
              <w:adjustRightInd w:val="0"/>
              <w:snapToGrid w:val="0"/>
              <w:spacing w:before="0" w:after="0" w:line="240" w:lineRule="auto"/>
              <w:jc w:val="both"/>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1.按给定格式填写</w:t>
            </w:r>
          </w:p>
          <w:p w14:paraId="6B5D19BE">
            <w:pPr>
              <w:pStyle w:val="3"/>
              <w:adjustRightInd w:val="0"/>
              <w:snapToGrid w:val="0"/>
              <w:spacing w:before="0" w:after="0" w:line="240" w:lineRule="auto"/>
              <w:jc w:val="both"/>
              <w:rPr>
                <w:rFonts w:hint="eastAsia" w:ascii="仿宋_GB2312" w:hAnsi="仿宋_GB2312" w:eastAsia="仿宋_GB2312" w:cs="仿宋_GB2312"/>
                <w:b w:val="0"/>
                <w:bCs/>
                <w:color w:val="auto"/>
                <w:sz w:val="21"/>
                <w:szCs w:val="21"/>
              </w:rPr>
            </w:pPr>
            <w:r>
              <w:rPr>
                <w:rFonts w:hint="eastAsia" w:ascii="仿宋_GB2312" w:hAnsi="仿宋_GB2312" w:eastAsia="仿宋_GB2312" w:cs="仿宋_GB2312"/>
                <w:b w:val="0"/>
                <w:bCs/>
                <w:color w:val="auto"/>
                <w:sz w:val="21"/>
                <w:szCs w:val="21"/>
              </w:rPr>
              <w:t>2.按规定签章</w:t>
            </w:r>
          </w:p>
          <w:p w14:paraId="029EB290">
            <w:pPr>
              <w:pStyle w:val="3"/>
              <w:adjustRightInd w:val="0"/>
              <w:snapToGrid w:val="0"/>
              <w:spacing w:before="0" w:after="0" w:line="240" w:lineRule="auto"/>
              <w:jc w:val="both"/>
              <w:rPr>
                <w:rFonts w:hint="eastAsia" w:ascii="仿宋_GB2312" w:hAnsi="仿宋_GB2312" w:eastAsia="仿宋_GB2312" w:cs="仿宋_GB2312"/>
                <w:b w:val="0"/>
                <w:color w:val="auto"/>
                <w:sz w:val="21"/>
                <w:szCs w:val="21"/>
              </w:rPr>
            </w:pPr>
            <w:r>
              <w:rPr>
                <w:rFonts w:hint="eastAsia" w:ascii="仿宋_GB2312" w:hAnsi="仿宋_GB2312" w:eastAsia="仿宋_GB2312" w:cs="仿宋_GB2312"/>
                <w:b w:val="0"/>
                <w:bCs/>
                <w:color w:val="auto"/>
                <w:sz w:val="21"/>
                <w:szCs w:val="21"/>
                <w:lang w:val="en-US" w:eastAsia="zh-CN"/>
              </w:rPr>
              <w:t>3.</w:t>
            </w:r>
            <w:r>
              <w:rPr>
                <w:rFonts w:hint="eastAsia" w:ascii="仿宋_GB2312" w:hAnsi="仿宋_GB2312" w:eastAsia="仿宋_GB2312" w:cs="仿宋_GB2312"/>
                <w:b w:val="0"/>
                <w:bCs/>
                <w:color w:val="auto"/>
                <w:sz w:val="21"/>
                <w:szCs w:val="21"/>
              </w:rPr>
              <w:t>合法有效</w:t>
            </w:r>
          </w:p>
        </w:tc>
        <w:tc>
          <w:tcPr>
            <w:tcW w:w="986" w:type="dxa"/>
            <w:noWrap w:val="0"/>
            <w:vAlign w:val="top"/>
          </w:tcPr>
          <w:p w14:paraId="65D4D538">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13A176F5">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0192A3AE">
            <w:pPr>
              <w:pStyle w:val="3"/>
              <w:adjustRightInd w:val="0"/>
              <w:snapToGrid w:val="0"/>
              <w:spacing w:before="0" w:after="0" w:line="240" w:lineRule="auto"/>
              <w:rPr>
                <w:rFonts w:ascii="仿宋_GB2312" w:hAnsi="仿宋_GB2312" w:eastAsia="仿宋_GB2312" w:cs="仿宋_GB2312"/>
                <w:color w:val="auto"/>
                <w:sz w:val="21"/>
                <w:szCs w:val="21"/>
              </w:rPr>
            </w:pPr>
          </w:p>
        </w:tc>
      </w:tr>
      <w:tr w14:paraId="19D8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668" w:type="dxa"/>
            <w:noWrap w:val="0"/>
            <w:vAlign w:val="center"/>
          </w:tcPr>
          <w:p w14:paraId="10EA9D5F">
            <w:pPr>
              <w:snapToGrid w:val="0"/>
              <w:jc w:val="center"/>
              <w:rPr>
                <w:rFonts w:ascii="仿宋_GB2312" w:hAnsi="仿宋_GB2312" w:eastAsia="仿宋_GB2312" w:cs="仿宋_GB2312"/>
                <w:color w:val="auto"/>
              </w:rPr>
            </w:pPr>
          </w:p>
        </w:tc>
        <w:tc>
          <w:tcPr>
            <w:tcW w:w="3837" w:type="dxa"/>
            <w:noWrap w:val="0"/>
            <w:vAlign w:val="center"/>
          </w:tcPr>
          <w:p w14:paraId="50446501">
            <w:pPr>
              <w:snapToGrid w:val="0"/>
              <w:jc w:val="center"/>
              <w:rPr>
                <w:rFonts w:ascii="仿宋_GB2312" w:hAnsi="仿宋_GB2312" w:eastAsia="仿宋_GB2312" w:cs="仿宋_GB2312"/>
                <w:color w:val="auto"/>
              </w:rPr>
            </w:pPr>
            <w:r>
              <w:rPr>
                <w:rFonts w:hint="eastAsia" w:ascii="仿宋_GB2312" w:hAnsi="仿宋_GB2312" w:eastAsia="仿宋_GB2312" w:cs="仿宋_GB2312"/>
                <w:color w:val="auto"/>
              </w:rPr>
              <w:t>结论</w:t>
            </w:r>
          </w:p>
        </w:tc>
        <w:tc>
          <w:tcPr>
            <w:tcW w:w="1982" w:type="dxa"/>
            <w:noWrap w:val="0"/>
            <w:vAlign w:val="top"/>
          </w:tcPr>
          <w:p w14:paraId="39B93453">
            <w:pPr>
              <w:pStyle w:val="3"/>
              <w:adjustRightInd w:val="0"/>
              <w:snapToGrid w:val="0"/>
              <w:spacing w:before="0" w:after="0" w:line="240" w:lineRule="auto"/>
              <w:rPr>
                <w:rFonts w:ascii="仿宋_GB2312" w:hAnsi="仿宋_GB2312" w:eastAsia="仿宋_GB2312" w:cs="仿宋_GB2312"/>
                <w:color w:val="auto"/>
                <w:sz w:val="21"/>
                <w:szCs w:val="21"/>
              </w:rPr>
            </w:pPr>
          </w:p>
        </w:tc>
        <w:tc>
          <w:tcPr>
            <w:tcW w:w="986" w:type="dxa"/>
            <w:noWrap w:val="0"/>
            <w:vAlign w:val="top"/>
          </w:tcPr>
          <w:p w14:paraId="6BED2D9B">
            <w:pPr>
              <w:pStyle w:val="3"/>
              <w:adjustRightInd w:val="0"/>
              <w:snapToGrid w:val="0"/>
              <w:spacing w:before="0" w:after="0" w:line="240" w:lineRule="auto"/>
              <w:rPr>
                <w:rFonts w:ascii="仿宋_GB2312" w:hAnsi="仿宋_GB2312" w:eastAsia="仿宋_GB2312" w:cs="仿宋_GB2312"/>
                <w:color w:val="auto"/>
                <w:sz w:val="21"/>
                <w:szCs w:val="21"/>
              </w:rPr>
            </w:pPr>
          </w:p>
        </w:tc>
        <w:tc>
          <w:tcPr>
            <w:tcW w:w="962" w:type="dxa"/>
            <w:noWrap w:val="0"/>
            <w:vAlign w:val="top"/>
          </w:tcPr>
          <w:p w14:paraId="5890506A">
            <w:pPr>
              <w:pStyle w:val="3"/>
              <w:adjustRightInd w:val="0"/>
              <w:snapToGrid w:val="0"/>
              <w:spacing w:before="0" w:after="0" w:line="240" w:lineRule="auto"/>
              <w:rPr>
                <w:rFonts w:ascii="仿宋_GB2312" w:hAnsi="仿宋_GB2312" w:eastAsia="仿宋_GB2312" w:cs="仿宋_GB2312"/>
                <w:color w:val="auto"/>
                <w:sz w:val="21"/>
                <w:szCs w:val="21"/>
              </w:rPr>
            </w:pPr>
          </w:p>
        </w:tc>
        <w:tc>
          <w:tcPr>
            <w:tcW w:w="888" w:type="dxa"/>
            <w:noWrap w:val="0"/>
            <w:vAlign w:val="top"/>
          </w:tcPr>
          <w:p w14:paraId="6C4FA82E">
            <w:pPr>
              <w:pStyle w:val="3"/>
              <w:adjustRightInd w:val="0"/>
              <w:snapToGrid w:val="0"/>
              <w:spacing w:before="0" w:after="0" w:line="240" w:lineRule="auto"/>
              <w:rPr>
                <w:rFonts w:ascii="仿宋_GB2312" w:hAnsi="仿宋_GB2312" w:eastAsia="仿宋_GB2312" w:cs="仿宋_GB2312"/>
                <w:color w:val="auto"/>
                <w:sz w:val="21"/>
                <w:szCs w:val="21"/>
              </w:rPr>
            </w:pPr>
          </w:p>
        </w:tc>
      </w:tr>
    </w:tbl>
    <w:p w14:paraId="706DF8E2">
      <w:pPr>
        <w:snapToGrid w:val="0"/>
        <w:rPr>
          <w:rFonts w:ascii="仿宋_GB2312" w:hAnsi="仿宋_GB2312" w:eastAsia="仿宋_GB2312" w:cs="仿宋_GB2312"/>
          <w:color w:val="auto"/>
        </w:rPr>
      </w:pPr>
      <w:r>
        <w:rPr>
          <w:rFonts w:hint="eastAsia" w:ascii="仿宋_GB2312" w:hAnsi="仿宋_GB2312" w:eastAsia="仿宋_GB2312" w:cs="仿宋_GB2312"/>
          <w:color w:val="auto"/>
        </w:rPr>
        <w:t>填表说明：1、每项内容审查合格，在表中填写“√”；不合格填写“×”</w:t>
      </w:r>
    </w:p>
    <w:p w14:paraId="5E98E500">
      <w:pPr>
        <w:snapToGrid w:val="0"/>
        <w:rPr>
          <w:rFonts w:ascii="仿宋_GB2312" w:hAnsi="仿宋_GB2312" w:eastAsia="仿宋_GB2312" w:cs="仿宋_GB2312"/>
          <w:color w:val="auto"/>
        </w:rPr>
      </w:pPr>
      <w:r>
        <w:rPr>
          <w:rFonts w:hint="eastAsia" w:ascii="仿宋_GB2312" w:hAnsi="仿宋_GB2312" w:eastAsia="仿宋_GB2312" w:cs="仿宋_GB2312"/>
          <w:color w:val="auto"/>
        </w:rPr>
        <w:t xml:space="preserve">          2、审查结论填写“通过”或“不通过”</w:t>
      </w:r>
    </w:p>
    <w:p w14:paraId="66843557">
      <w:pPr>
        <w:rPr>
          <w:rFonts w:ascii="仿宋_GB2312" w:hAnsi="仿宋_GB2312" w:eastAsia="仿宋_GB2312" w:cs="仿宋_GB2312"/>
          <w:color w:val="auto"/>
        </w:rPr>
      </w:pPr>
    </w:p>
    <w:p w14:paraId="0357C4A7">
      <w:pPr>
        <w:pStyle w:val="16"/>
        <w:widowControl w:val="0"/>
        <w:snapToGrid w:val="0"/>
        <w:spacing w:before="0" w:beforeAutospacing="0" w:after="0" w:afterAutospacing="0" w:line="480" w:lineRule="auto"/>
        <w:jc w:val="both"/>
        <w:rPr>
          <w:rFonts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审查人签字：</w:t>
      </w:r>
    </w:p>
    <w:p w14:paraId="2D6CBFA8">
      <w:pPr>
        <w:pStyle w:val="16"/>
        <w:widowControl w:val="0"/>
        <w:snapToGrid w:val="0"/>
        <w:spacing w:before="0" w:beforeAutospacing="0" w:after="0" w:afterAutospacing="0" w:line="480" w:lineRule="auto"/>
        <w:jc w:val="both"/>
        <w:rPr>
          <w:rFonts w:hint="eastAsia" w:ascii="仿宋_GB2312" w:hAnsi="仿宋_GB2312" w:eastAsia="仿宋_GB2312" w:cs="仿宋_GB2312"/>
          <w:bCs/>
          <w:color w:val="auto"/>
          <w:sz w:val="21"/>
          <w:szCs w:val="21"/>
        </w:rPr>
      </w:pPr>
      <w:r>
        <w:rPr>
          <w:rFonts w:hint="eastAsia" w:ascii="仿宋_GB2312" w:hAnsi="仿宋_GB2312" w:eastAsia="仿宋_GB2312" w:cs="仿宋_GB2312"/>
          <w:bCs/>
          <w:color w:val="auto"/>
          <w:sz w:val="21"/>
          <w:szCs w:val="21"/>
        </w:rPr>
        <w:t>日      期：</w:t>
      </w:r>
    </w:p>
    <w:p w14:paraId="4DB87853">
      <w:pPr>
        <w:pStyle w:val="16"/>
        <w:widowControl w:val="0"/>
        <w:snapToGrid w:val="0"/>
        <w:spacing w:before="0" w:beforeAutospacing="0" w:after="0" w:afterAutospacing="0" w:line="480" w:lineRule="auto"/>
        <w:jc w:val="both"/>
        <w:rPr>
          <w:rFonts w:hint="eastAsia" w:ascii="仿宋_GB2312" w:hAnsi="仿宋_GB2312" w:eastAsia="仿宋_GB2312" w:cs="仿宋_GB2312"/>
          <w:bCs/>
          <w:color w:val="auto"/>
          <w:sz w:val="21"/>
          <w:szCs w:val="21"/>
        </w:rPr>
      </w:pPr>
    </w:p>
    <w:p w14:paraId="33DA9F87">
      <w:pPr>
        <w:pStyle w:val="16"/>
        <w:widowControl w:val="0"/>
        <w:snapToGrid w:val="0"/>
        <w:spacing w:before="0" w:beforeAutospacing="0" w:after="0" w:afterAutospacing="0" w:line="480" w:lineRule="auto"/>
        <w:jc w:val="both"/>
        <w:rPr>
          <w:rFonts w:hint="eastAsia" w:ascii="仿宋_GB2312" w:hAnsi="仿宋_GB2312" w:eastAsia="仿宋_GB2312" w:cs="仿宋_GB2312"/>
          <w:bCs/>
          <w:color w:val="auto"/>
          <w:sz w:val="21"/>
          <w:szCs w:val="21"/>
        </w:rPr>
      </w:pPr>
    </w:p>
    <w:p w14:paraId="7B5569AB">
      <w:pPr>
        <w:pStyle w:val="16"/>
        <w:widowControl w:val="0"/>
        <w:snapToGrid w:val="0"/>
        <w:spacing w:before="0" w:beforeAutospacing="0" w:after="0" w:afterAutospacing="0" w:line="480" w:lineRule="auto"/>
        <w:jc w:val="both"/>
        <w:rPr>
          <w:rFonts w:hint="eastAsia" w:ascii="仿宋_GB2312" w:hAnsi="仿宋_GB2312" w:eastAsia="仿宋_GB2312" w:cs="仿宋_GB2312"/>
          <w:bCs/>
          <w:color w:val="auto"/>
          <w:sz w:val="21"/>
          <w:szCs w:val="21"/>
        </w:rPr>
      </w:pPr>
    </w:p>
    <w:p w14:paraId="17A6F066">
      <w:pPr>
        <w:pStyle w:val="3"/>
        <w:adjustRightInd w:val="0"/>
        <w:snapToGrid w:val="0"/>
        <w:spacing w:before="0" w:after="0" w:line="240" w:lineRule="auto"/>
        <w:jc w:val="left"/>
        <w:rPr>
          <w:rFonts w:ascii="仿宋_GB2312" w:hAnsi="仿宋_GB2312" w:eastAsia="仿宋_GB2312" w:cs="仿宋_GB2312"/>
          <w:color w:val="auto"/>
          <w:szCs w:val="28"/>
        </w:rPr>
      </w:pPr>
      <w:bookmarkStart w:id="131" w:name="_Toc11558_WPSOffice_Level2"/>
      <w:bookmarkStart w:id="132" w:name="_Toc17433_WPSOffice_Level2"/>
      <w:r>
        <w:rPr>
          <w:rFonts w:hint="eastAsia" w:ascii="仿宋_GB2312" w:hAnsi="仿宋_GB2312" w:eastAsia="仿宋_GB2312" w:cs="仿宋_GB2312"/>
          <w:color w:val="auto"/>
          <w:szCs w:val="28"/>
        </w:rPr>
        <w:t xml:space="preserve">附件2                  </w:t>
      </w:r>
    </w:p>
    <w:p w14:paraId="12669EB4">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符合性审查表</w:t>
      </w:r>
      <w:bookmarkEnd w:id="131"/>
    </w:p>
    <w:tbl>
      <w:tblPr>
        <w:tblStyle w:val="1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4F10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0"/>
            <w:vAlign w:val="center"/>
          </w:tcPr>
          <w:p w14:paraId="713CCA56">
            <w:pPr>
              <w:ind w:left="-84" w:leftChars="-40" w:right="-75" w:rightChars="-36"/>
              <w:jc w:val="center"/>
              <w:rPr>
                <w:rFonts w:ascii="仿宋_GB2312" w:hAnsi="仿宋_GB2312" w:eastAsia="仿宋_GB2312" w:cs="仿宋_GB2312"/>
                <w:color w:val="auto"/>
              </w:rPr>
            </w:pPr>
            <w:r>
              <w:rPr>
                <w:rFonts w:hint="eastAsia" w:ascii="仿宋_GB2312" w:hAnsi="仿宋_GB2312" w:eastAsia="仿宋_GB2312" w:cs="仿宋_GB2312"/>
                <w:color w:val="auto"/>
              </w:rPr>
              <w:t>序号</w:t>
            </w:r>
          </w:p>
        </w:tc>
        <w:tc>
          <w:tcPr>
            <w:tcW w:w="2606" w:type="dxa"/>
            <w:vMerge w:val="restart"/>
            <w:noWrap w:val="0"/>
            <w:vAlign w:val="center"/>
          </w:tcPr>
          <w:p w14:paraId="7ED4ABE9">
            <w:pPr>
              <w:ind w:left="-84" w:leftChars="-40" w:right="-75" w:rightChars="-36"/>
              <w:jc w:val="center"/>
              <w:rPr>
                <w:rFonts w:ascii="仿宋_GB2312" w:hAnsi="仿宋_GB2312" w:eastAsia="仿宋_GB2312" w:cs="仿宋_GB2312"/>
                <w:color w:val="auto"/>
              </w:rPr>
            </w:pPr>
            <w:r>
              <w:rPr>
                <w:rFonts w:hint="eastAsia" w:ascii="仿宋_GB2312" w:hAnsi="仿宋_GB2312" w:eastAsia="仿宋_GB2312" w:cs="仿宋_GB2312"/>
                <w:color w:val="auto"/>
              </w:rPr>
              <w:t>审查项目</w:t>
            </w:r>
          </w:p>
        </w:tc>
        <w:tc>
          <w:tcPr>
            <w:tcW w:w="3004" w:type="dxa"/>
            <w:vMerge w:val="restart"/>
            <w:noWrap w:val="0"/>
            <w:vAlign w:val="center"/>
          </w:tcPr>
          <w:p w14:paraId="6A64DCDD">
            <w:pPr>
              <w:ind w:left="-84" w:leftChars="-40" w:right="-75" w:rightChars="-36"/>
              <w:jc w:val="center"/>
              <w:rPr>
                <w:rFonts w:ascii="仿宋_GB2312" w:hAnsi="仿宋_GB2312" w:eastAsia="仿宋_GB2312" w:cs="仿宋_GB2312"/>
                <w:color w:val="auto"/>
              </w:rPr>
            </w:pPr>
            <w:r>
              <w:rPr>
                <w:rFonts w:hint="eastAsia" w:ascii="仿宋_GB2312" w:hAnsi="仿宋_GB2312" w:eastAsia="仿宋_GB2312" w:cs="仿宋_GB2312"/>
                <w:color w:val="auto"/>
              </w:rPr>
              <w:t>审查标准</w:t>
            </w:r>
          </w:p>
        </w:tc>
        <w:tc>
          <w:tcPr>
            <w:tcW w:w="2992" w:type="dxa"/>
            <w:gridSpan w:val="3"/>
            <w:noWrap w:val="0"/>
            <w:vAlign w:val="center"/>
          </w:tcPr>
          <w:p w14:paraId="6109C91D">
            <w:pPr>
              <w:ind w:left="-84" w:leftChars="-40" w:right="-75" w:rightChars="-36"/>
              <w:jc w:val="center"/>
              <w:rPr>
                <w:rFonts w:ascii="仿宋_GB2312" w:hAnsi="仿宋_GB2312" w:eastAsia="仿宋_GB2312" w:cs="仿宋_GB2312"/>
                <w:color w:val="auto"/>
              </w:rPr>
            </w:pPr>
            <w:r>
              <w:rPr>
                <w:rFonts w:hint="eastAsia" w:ascii="仿宋_GB2312" w:hAnsi="仿宋_GB2312" w:eastAsia="仿宋_GB2312" w:cs="仿宋_GB2312"/>
                <w:color w:val="auto"/>
              </w:rPr>
              <w:t>投标人名称</w:t>
            </w:r>
          </w:p>
        </w:tc>
      </w:tr>
      <w:tr w14:paraId="77C9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0"/>
            <w:vAlign w:val="center"/>
          </w:tcPr>
          <w:p w14:paraId="7564D4ED">
            <w:pPr>
              <w:pStyle w:val="3"/>
              <w:adjustRightInd w:val="0"/>
              <w:snapToGrid w:val="0"/>
              <w:spacing w:before="0" w:after="0" w:line="240" w:lineRule="auto"/>
              <w:rPr>
                <w:rFonts w:ascii="仿宋_GB2312" w:hAnsi="仿宋_GB2312" w:eastAsia="仿宋_GB2312" w:cs="仿宋_GB2312"/>
                <w:color w:val="auto"/>
              </w:rPr>
            </w:pPr>
          </w:p>
        </w:tc>
        <w:tc>
          <w:tcPr>
            <w:tcW w:w="2606" w:type="dxa"/>
            <w:vMerge w:val="continue"/>
            <w:noWrap w:val="0"/>
            <w:vAlign w:val="center"/>
          </w:tcPr>
          <w:p w14:paraId="397C9749">
            <w:pPr>
              <w:pStyle w:val="3"/>
              <w:adjustRightInd w:val="0"/>
              <w:snapToGrid w:val="0"/>
              <w:spacing w:before="0" w:after="0" w:line="240" w:lineRule="auto"/>
              <w:rPr>
                <w:rFonts w:ascii="仿宋_GB2312" w:hAnsi="仿宋_GB2312" w:eastAsia="仿宋_GB2312" w:cs="仿宋_GB2312"/>
                <w:color w:val="auto"/>
                <w:sz w:val="21"/>
                <w:szCs w:val="21"/>
              </w:rPr>
            </w:pPr>
          </w:p>
        </w:tc>
        <w:tc>
          <w:tcPr>
            <w:tcW w:w="3004" w:type="dxa"/>
            <w:vMerge w:val="continue"/>
            <w:noWrap w:val="0"/>
            <w:vAlign w:val="center"/>
          </w:tcPr>
          <w:p w14:paraId="22CD90F7">
            <w:pPr>
              <w:pStyle w:val="3"/>
              <w:adjustRightInd w:val="0"/>
              <w:snapToGrid w:val="0"/>
              <w:spacing w:before="0" w:after="0" w:line="240" w:lineRule="auto"/>
              <w:rPr>
                <w:rFonts w:ascii="仿宋_GB2312" w:hAnsi="仿宋_GB2312" w:eastAsia="仿宋_GB2312" w:cs="仿宋_GB2312"/>
                <w:color w:val="auto"/>
                <w:sz w:val="21"/>
                <w:szCs w:val="21"/>
              </w:rPr>
            </w:pPr>
          </w:p>
        </w:tc>
        <w:tc>
          <w:tcPr>
            <w:tcW w:w="1095" w:type="dxa"/>
            <w:noWrap w:val="0"/>
            <w:vAlign w:val="center"/>
          </w:tcPr>
          <w:p w14:paraId="4C9EBCA3">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center"/>
          </w:tcPr>
          <w:p w14:paraId="418483C0">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center"/>
          </w:tcPr>
          <w:p w14:paraId="0EB3B49C">
            <w:pPr>
              <w:pStyle w:val="3"/>
              <w:adjustRightInd w:val="0"/>
              <w:snapToGrid w:val="0"/>
              <w:spacing w:before="0" w:after="0" w:line="240" w:lineRule="auto"/>
              <w:rPr>
                <w:rFonts w:ascii="仿宋_GB2312" w:hAnsi="仿宋_GB2312" w:eastAsia="仿宋_GB2312" w:cs="仿宋_GB2312"/>
                <w:color w:val="auto"/>
                <w:sz w:val="21"/>
                <w:szCs w:val="21"/>
              </w:rPr>
            </w:pPr>
          </w:p>
        </w:tc>
      </w:tr>
      <w:tr w14:paraId="60C5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1CF15D47">
            <w:pPr>
              <w:jc w:val="center"/>
              <w:rPr>
                <w:rFonts w:ascii="仿宋_GB2312" w:hAnsi="仿宋_GB2312" w:eastAsia="仿宋_GB2312" w:cs="仿宋_GB2312"/>
                <w:color w:val="auto"/>
              </w:rPr>
            </w:pPr>
            <w:r>
              <w:rPr>
                <w:rFonts w:hint="eastAsia" w:ascii="仿宋_GB2312" w:hAnsi="仿宋_GB2312" w:eastAsia="仿宋_GB2312" w:cs="仿宋_GB2312"/>
                <w:color w:val="auto"/>
                <w:kern w:val="0"/>
                <w:sz w:val="20"/>
                <w:szCs w:val="21"/>
              </w:rPr>
              <w:t>1</w:t>
            </w:r>
          </w:p>
        </w:tc>
        <w:tc>
          <w:tcPr>
            <w:tcW w:w="2606" w:type="dxa"/>
            <w:noWrap w:val="0"/>
            <w:vAlign w:val="center"/>
          </w:tcPr>
          <w:p w14:paraId="50B7FAEA">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投标函</w:t>
            </w:r>
          </w:p>
        </w:tc>
        <w:tc>
          <w:tcPr>
            <w:tcW w:w="3004" w:type="dxa"/>
            <w:noWrap w:val="0"/>
            <w:vAlign w:val="top"/>
          </w:tcPr>
          <w:p w14:paraId="493122D0">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14:paraId="40C83861">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1BB57D81">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1095" w:type="dxa"/>
            <w:noWrap w:val="0"/>
            <w:vAlign w:val="center"/>
          </w:tcPr>
          <w:p w14:paraId="2B39D69E">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center"/>
          </w:tcPr>
          <w:p w14:paraId="43B4271B">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center"/>
          </w:tcPr>
          <w:p w14:paraId="6C004422">
            <w:pPr>
              <w:pStyle w:val="3"/>
              <w:adjustRightInd w:val="0"/>
              <w:snapToGrid w:val="0"/>
              <w:spacing w:before="0" w:after="0" w:line="240" w:lineRule="auto"/>
              <w:rPr>
                <w:rFonts w:ascii="仿宋_GB2312" w:hAnsi="仿宋_GB2312" w:eastAsia="仿宋_GB2312" w:cs="仿宋_GB2312"/>
                <w:color w:val="auto"/>
                <w:sz w:val="21"/>
                <w:szCs w:val="21"/>
              </w:rPr>
            </w:pPr>
          </w:p>
        </w:tc>
      </w:tr>
      <w:tr w14:paraId="615C9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0"/>
            <w:vAlign w:val="center"/>
          </w:tcPr>
          <w:p w14:paraId="4FDC786A">
            <w:pPr>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kern w:val="0"/>
                <w:szCs w:val="21"/>
                <w:lang w:val="en-US" w:eastAsia="zh-CN"/>
              </w:rPr>
              <w:t>2</w:t>
            </w:r>
          </w:p>
        </w:tc>
        <w:tc>
          <w:tcPr>
            <w:tcW w:w="2606" w:type="dxa"/>
            <w:noWrap w:val="0"/>
            <w:vAlign w:val="center"/>
          </w:tcPr>
          <w:p w14:paraId="035065CA">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开标一览表</w:t>
            </w:r>
          </w:p>
        </w:tc>
        <w:tc>
          <w:tcPr>
            <w:tcW w:w="3004" w:type="dxa"/>
            <w:noWrap w:val="0"/>
            <w:vAlign w:val="top"/>
          </w:tcPr>
          <w:p w14:paraId="2032B943">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w:t>
            </w:r>
          </w:p>
          <w:p w14:paraId="738F5F8E">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1BA0CE74">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1095" w:type="dxa"/>
            <w:noWrap w:val="0"/>
            <w:vAlign w:val="top"/>
          </w:tcPr>
          <w:p w14:paraId="18492BC9">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7247DBA1">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2176667A">
            <w:pPr>
              <w:pStyle w:val="3"/>
              <w:adjustRightInd w:val="0"/>
              <w:snapToGrid w:val="0"/>
              <w:spacing w:before="0" w:after="0" w:line="240" w:lineRule="auto"/>
              <w:rPr>
                <w:rFonts w:ascii="仿宋_GB2312" w:hAnsi="仿宋_GB2312" w:eastAsia="仿宋_GB2312" w:cs="仿宋_GB2312"/>
                <w:color w:val="auto"/>
                <w:sz w:val="21"/>
                <w:szCs w:val="21"/>
              </w:rPr>
            </w:pPr>
          </w:p>
        </w:tc>
      </w:tr>
      <w:tr w14:paraId="2721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7E248FA7">
            <w:pPr>
              <w:jc w:val="center"/>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3</w:t>
            </w:r>
          </w:p>
        </w:tc>
        <w:tc>
          <w:tcPr>
            <w:tcW w:w="2606" w:type="dxa"/>
            <w:noWrap w:val="0"/>
            <w:vAlign w:val="center"/>
          </w:tcPr>
          <w:p w14:paraId="4F975016">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分项报价表</w:t>
            </w:r>
          </w:p>
        </w:tc>
        <w:tc>
          <w:tcPr>
            <w:tcW w:w="3004" w:type="dxa"/>
            <w:noWrap w:val="0"/>
            <w:vAlign w:val="top"/>
          </w:tcPr>
          <w:p w14:paraId="278C5F3A">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1.按给定格式填写，信息完整</w:t>
            </w:r>
          </w:p>
          <w:p w14:paraId="1C923C53">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00BD379F">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1095" w:type="dxa"/>
            <w:noWrap w:val="0"/>
            <w:vAlign w:val="top"/>
          </w:tcPr>
          <w:p w14:paraId="2B0F9325">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004C6204">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444FDE2D">
            <w:pPr>
              <w:pStyle w:val="3"/>
              <w:adjustRightInd w:val="0"/>
              <w:snapToGrid w:val="0"/>
              <w:spacing w:before="0" w:after="0" w:line="240" w:lineRule="auto"/>
              <w:rPr>
                <w:rFonts w:ascii="仿宋_GB2312" w:hAnsi="仿宋_GB2312" w:eastAsia="仿宋_GB2312" w:cs="仿宋_GB2312"/>
                <w:color w:val="auto"/>
                <w:sz w:val="21"/>
                <w:szCs w:val="21"/>
              </w:rPr>
            </w:pPr>
          </w:p>
        </w:tc>
      </w:tr>
      <w:tr w14:paraId="47B8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0"/>
            <w:vAlign w:val="center"/>
          </w:tcPr>
          <w:p w14:paraId="58038774">
            <w:pPr>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kern w:val="0"/>
                <w:szCs w:val="21"/>
                <w:lang w:val="en-US" w:eastAsia="zh-CN"/>
              </w:rPr>
              <w:t>4</w:t>
            </w:r>
          </w:p>
        </w:tc>
        <w:tc>
          <w:tcPr>
            <w:tcW w:w="2606" w:type="dxa"/>
            <w:noWrap w:val="0"/>
            <w:vAlign w:val="center"/>
          </w:tcPr>
          <w:p w14:paraId="437E0C74">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技术规格偏离表</w:t>
            </w:r>
          </w:p>
        </w:tc>
        <w:tc>
          <w:tcPr>
            <w:tcW w:w="3004" w:type="dxa"/>
            <w:noWrap w:val="0"/>
            <w:vAlign w:val="top"/>
          </w:tcPr>
          <w:p w14:paraId="7399878A">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1.按给定格式及填表要求填写</w:t>
            </w:r>
          </w:p>
          <w:p w14:paraId="40E4FFE2">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2F998423">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1095" w:type="dxa"/>
            <w:noWrap w:val="0"/>
            <w:vAlign w:val="top"/>
          </w:tcPr>
          <w:p w14:paraId="5D102A67">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50AA7A37">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6B511FAF">
            <w:pPr>
              <w:pStyle w:val="3"/>
              <w:adjustRightInd w:val="0"/>
              <w:snapToGrid w:val="0"/>
              <w:spacing w:before="0" w:after="0" w:line="240" w:lineRule="auto"/>
              <w:rPr>
                <w:rFonts w:ascii="仿宋_GB2312" w:hAnsi="仿宋_GB2312" w:eastAsia="仿宋_GB2312" w:cs="仿宋_GB2312"/>
                <w:color w:val="auto"/>
                <w:sz w:val="21"/>
                <w:szCs w:val="21"/>
              </w:rPr>
            </w:pPr>
          </w:p>
        </w:tc>
      </w:tr>
      <w:tr w14:paraId="31541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0"/>
            <w:vAlign w:val="center"/>
          </w:tcPr>
          <w:p w14:paraId="62AE78A9">
            <w:pPr>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kern w:val="0"/>
                <w:szCs w:val="21"/>
                <w:lang w:val="en-US" w:eastAsia="zh-CN"/>
              </w:rPr>
              <w:t>5</w:t>
            </w:r>
          </w:p>
        </w:tc>
        <w:tc>
          <w:tcPr>
            <w:tcW w:w="2606" w:type="dxa"/>
            <w:noWrap w:val="0"/>
            <w:vAlign w:val="center"/>
          </w:tcPr>
          <w:p w14:paraId="43FD4EB4">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商务条款偏离表</w:t>
            </w:r>
          </w:p>
        </w:tc>
        <w:tc>
          <w:tcPr>
            <w:tcW w:w="3004" w:type="dxa"/>
            <w:noWrap w:val="0"/>
            <w:vAlign w:val="top"/>
          </w:tcPr>
          <w:p w14:paraId="605D70C2">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1.按给定格式及填表要求填写</w:t>
            </w:r>
          </w:p>
          <w:p w14:paraId="742B0E29">
            <w:pPr>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2.响应招标文件实质性要求</w:t>
            </w:r>
          </w:p>
          <w:p w14:paraId="54BA3C38">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3.按规定签章</w:t>
            </w:r>
          </w:p>
        </w:tc>
        <w:tc>
          <w:tcPr>
            <w:tcW w:w="1095" w:type="dxa"/>
            <w:noWrap w:val="0"/>
            <w:vAlign w:val="top"/>
          </w:tcPr>
          <w:p w14:paraId="453E3D02">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40CD4E8E">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6C38D5EB">
            <w:pPr>
              <w:pStyle w:val="3"/>
              <w:adjustRightInd w:val="0"/>
              <w:snapToGrid w:val="0"/>
              <w:spacing w:before="0" w:after="0" w:line="240" w:lineRule="auto"/>
              <w:rPr>
                <w:rFonts w:ascii="仿宋_GB2312" w:hAnsi="仿宋_GB2312" w:eastAsia="仿宋_GB2312" w:cs="仿宋_GB2312"/>
                <w:color w:val="auto"/>
                <w:sz w:val="21"/>
                <w:szCs w:val="21"/>
              </w:rPr>
            </w:pPr>
          </w:p>
        </w:tc>
      </w:tr>
      <w:tr w14:paraId="5E7F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2F2E6762">
            <w:pPr>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kern w:val="0"/>
                <w:szCs w:val="21"/>
                <w:lang w:val="en-US" w:eastAsia="zh-CN"/>
              </w:rPr>
              <w:t>6</w:t>
            </w:r>
          </w:p>
        </w:tc>
        <w:tc>
          <w:tcPr>
            <w:tcW w:w="2606" w:type="dxa"/>
            <w:noWrap w:val="0"/>
            <w:vAlign w:val="center"/>
          </w:tcPr>
          <w:p w14:paraId="75FD0C48">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投标人关联单位说明</w:t>
            </w:r>
          </w:p>
        </w:tc>
        <w:tc>
          <w:tcPr>
            <w:tcW w:w="3004" w:type="dxa"/>
            <w:noWrap w:val="0"/>
            <w:vAlign w:val="center"/>
          </w:tcPr>
          <w:p w14:paraId="60AF9C44">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无投标须知1.5所述情形</w:t>
            </w:r>
          </w:p>
        </w:tc>
        <w:tc>
          <w:tcPr>
            <w:tcW w:w="1095" w:type="dxa"/>
            <w:noWrap w:val="0"/>
            <w:vAlign w:val="top"/>
          </w:tcPr>
          <w:p w14:paraId="41B5279A">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2260AF67">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6CE27974">
            <w:pPr>
              <w:pStyle w:val="3"/>
              <w:adjustRightInd w:val="0"/>
              <w:snapToGrid w:val="0"/>
              <w:spacing w:before="0" w:after="0" w:line="240" w:lineRule="auto"/>
              <w:rPr>
                <w:rFonts w:ascii="仿宋_GB2312" w:hAnsi="仿宋_GB2312" w:eastAsia="仿宋_GB2312" w:cs="仿宋_GB2312"/>
                <w:color w:val="auto"/>
                <w:sz w:val="21"/>
                <w:szCs w:val="21"/>
              </w:rPr>
            </w:pPr>
          </w:p>
        </w:tc>
      </w:tr>
      <w:tr w14:paraId="1E98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0"/>
            <w:vAlign w:val="center"/>
          </w:tcPr>
          <w:p w14:paraId="019D0FA5">
            <w:pPr>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7</w:t>
            </w:r>
          </w:p>
        </w:tc>
        <w:tc>
          <w:tcPr>
            <w:tcW w:w="2606" w:type="dxa"/>
            <w:noWrap w:val="0"/>
            <w:vAlign w:val="center"/>
          </w:tcPr>
          <w:p w14:paraId="324F3292">
            <w:pPr>
              <w:adjustRightInd w:val="0"/>
              <w:snapToGrid w:val="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其他符合性证明材料</w:t>
            </w:r>
          </w:p>
        </w:tc>
        <w:tc>
          <w:tcPr>
            <w:tcW w:w="3004" w:type="dxa"/>
            <w:noWrap w:val="0"/>
            <w:vAlign w:val="center"/>
          </w:tcPr>
          <w:p w14:paraId="1228626E">
            <w:pPr>
              <w:pStyle w:val="3"/>
              <w:adjustRightInd w:val="0"/>
              <w:snapToGrid w:val="0"/>
              <w:spacing w:before="0" w:after="0" w:line="240" w:lineRule="auto"/>
              <w:jc w:val="both"/>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14:paraId="2FFE7E88">
            <w:pPr>
              <w:pStyle w:val="3"/>
              <w:adjustRightInd w:val="0"/>
              <w:snapToGrid w:val="0"/>
              <w:spacing w:before="0" w:after="0" w:line="240" w:lineRule="auto"/>
              <w:jc w:val="both"/>
              <w:rPr>
                <w:rFonts w:hint="eastAsia"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1095" w:type="dxa"/>
            <w:noWrap w:val="0"/>
            <w:vAlign w:val="top"/>
          </w:tcPr>
          <w:p w14:paraId="073B9DFF">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3C3255AD">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27A46A6B">
            <w:pPr>
              <w:pStyle w:val="3"/>
              <w:adjustRightInd w:val="0"/>
              <w:snapToGrid w:val="0"/>
              <w:spacing w:before="0" w:after="0" w:line="240" w:lineRule="auto"/>
              <w:rPr>
                <w:rFonts w:ascii="仿宋_GB2312" w:hAnsi="仿宋_GB2312" w:eastAsia="仿宋_GB2312" w:cs="仿宋_GB2312"/>
                <w:color w:val="auto"/>
                <w:sz w:val="21"/>
                <w:szCs w:val="21"/>
              </w:rPr>
            </w:pPr>
          </w:p>
        </w:tc>
      </w:tr>
      <w:tr w14:paraId="728E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648" w:type="dxa"/>
            <w:noWrap w:val="0"/>
            <w:vAlign w:val="center"/>
          </w:tcPr>
          <w:p w14:paraId="367F1892">
            <w:pPr>
              <w:snapToGrid w:val="0"/>
              <w:jc w:val="center"/>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8</w:t>
            </w:r>
          </w:p>
        </w:tc>
        <w:tc>
          <w:tcPr>
            <w:tcW w:w="2606" w:type="dxa"/>
            <w:noWrap w:val="0"/>
            <w:vAlign w:val="center"/>
          </w:tcPr>
          <w:p w14:paraId="79955459">
            <w:pPr>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投标报价</w:t>
            </w:r>
          </w:p>
        </w:tc>
        <w:tc>
          <w:tcPr>
            <w:tcW w:w="3004" w:type="dxa"/>
            <w:noWrap w:val="0"/>
            <w:vAlign w:val="top"/>
          </w:tcPr>
          <w:p w14:paraId="71BFFED4">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1.响应招标文件实质性要求</w:t>
            </w:r>
          </w:p>
          <w:p w14:paraId="176D1E1E">
            <w:pPr>
              <w:pStyle w:val="3"/>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2.无投标须知26.2所述情形</w:t>
            </w:r>
          </w:p>
        </w:tc>
        <w:tc>
          <w:tcPr>
            <w:tcW w:w="1095" w:type="dxa"/>
            <w:noWrap w:val="0"/>
            <w:vAlign w:val="top"/>
          </w:tcPr>
          <w:p w14:paraId="74695BF6">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500F4B62">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037545A1">
            <w:pPr>
              <w:pStyle w:val="3"/>
              <w:adjustRightInd w:val="0"/>
              <w:snapToGrid w:val="0"/>
              <w:spacing w:before="0" w:after="0" w:line="240" w:lineRule="auto"/>
              <w:rPr>
                <w:rFonts w:ascii="仿宋_GB2312" w:hAnsi="仿宋_GB2312" w:eastAsia="仿宋_GB2312" w:cs="仿宋_GB2312"/>
                <w:color w:val="auto"/>
                <w:sz w:val="21"/>
                <w:szCs w:val="21"/>
              </w:rPr>
            </w:pPr>
          </w:p>
        </w:tc>
      </w:tr>
      <w:tr w14:paraId="7B77F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0"/>
            <w:vAlign w:val="center"/>
          </w:tcPr>
          <w:p w14:paraId="25E8F05F">
            <w:pPr>
              <w:snapToGrid w:val="0"/>
              <w:jc w:val="center"/>
              <w:rPr>
                <w:rFonts w:ascii="仿宋_GB2312" w:hAnsi="仿宋_GB2312" w:eastAsia="仿宋_GB2312" w:cs="仿宋_GB2312"/>
                <w:color w:val="auto"/>
              </w:rPr>
            </w:pPr>
          </w:p>
        </w:tc>
        <w:tc>
          <w:tcPr>
            <w:tcW w:w="2606" w:type="dxa"/>
            <w:noWrap w:val="0"/>
            <w:vAlign w:val="center"/>
          </w:tcPr>
          <w:p w14:paraId="327875D6">
            <w:pPr>
              <w:snapToGrid w:val="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结论</w:t>
            </w:r>
          </w:p>
        </w:tc>
        <w:tc>
          <w:tcPr>
            <w:tcW w:w="3004" w:type="dxa"/>
            <w:noWrap w:val="0"/>
            <w:vAlign w:val="top"/>
          </w:tcPr>
          <w:p w14:paraId="23547E3B">
            <w:pPr>
              <w:pStyle w:val="3"/>
              <w:adjustRightInd w:val="0"/>
              <w:snapToGrid w:val="0"/>
              <w:spacing w:before="0" w:after="0" w:line="240" w:lineRule="auto"/>
              <w:rPr>
                <w:rFonts w:ascii="仿宋_GB2312" w:hAnsi="仿宋_GB2312" w:eastAsia="仿宋_GB2312" w:cs="仿宋_GB2312"/>
                <w:color w:val="auto"/>
                <w:sz w:val="21"/>
                <w:szCs w:val="21"/>
              </w:rPr>
            </w:pPr>
          </w:p>
        </w:tc>
        <w:tc>
          <w:tcPr>
            <w:tcW w:w="1095" w:type="dxa"/>
            <w:noWrap w:val="0"/>
            <w:vAlign w:val="top"/>
          </w:tcPr>
          <w:p w14:paraId="58C862EA">
            <w:pPr>
              <w:pStyle w:val="3"/>
              <w:adjustRightInd w:val="0"/>
              <w:snapToGrid w:val="0"/>
              <w:spacing w:before="0" w:after="0" w:line="240" w:lineRule="auto"/>
              <w:rPr>
                <w:rFonts w:ascii="仿宋_GB2312" w:hAnsi="仿宋_GB2312" w:eastAsia="仿宋_GB2312" w:cs="仿宋_GB2312"/>
                <w:color w:val="auto"/>
                <w:sz w:val="21"/>
                <w:szCs w:val="21"/>
              </w:rPr>
            </w:pPr>
          </w:p>
        </w:tc>
        <w:tc>
          <w:tcPr>
            <w:tcW w:w="985" w:type="dxa"/>
            <w:noWrap w:val="0"/>
            <w:vAlign w:val="top"/>
          </w:tcPr>
          <w:p w14:paraId="239AF178">
            <w:pPr>
              <w:pStyle w:val="3"/>
              <w:adjustRightInd w:val="0"/>
              <w:snapToGrid w:val="0"/>
              <w:spacing w:before="0" w:after="0" w:line="240" w:lineRule="auto"/>
              <w:rPr>
                <w:rFonts w:ascii="仿宋_GB2312" w:hAnsi="仿宋_GB2312" w:eastAsia="仿宋_GB2312" w:cs="仿宋_GB2312"/>
                <w:color w:val="auto"/>
                <w:sz w:val="21"/>
                <w:szCs w:val="21"/>
              </w:rPr>
            </w:pPr>
          </w:p>
        </w:tc>
        <w:tc>
          <w:tcPr>
            <w:tcW w:w="912" w:type="dxa"/>
            <w:noWrap w:val="0"/>
            <w:vAlign w:val="top"/>
          </w:tcPr>
          <w:p w14:paraId="42296BBB">
            <w:pPr>
              <w:pStyle w:val="3"/>
              <w:adjustRightInd w:val="0"/>
              <w:snapToGrid w:val="0"/>
              <w:spacing w:before="0" w:after="0" w:line="240" w:lineRule="auto"/>
              <w:rPr>
                <w:rFonts w:ascii="仿宋_GB2312" w:hAnsi="仿宋_GB2312" w:eastAsia="仿宋_GB2312" w:cs="仿宋_GB2312"/>
                <w:color w:val="auto"/>
                <w:sz w:val="21"/>
                <w:szCs w:val="21"/>
              </w:rPr>
            </w:pPr>
          </w:p>
        </w:tc>
      </w:tr>
    </w:tbl>
    <w:p w14:paraId="411B85B2">
      <w:pPr>
        <w:ind w:right="-630" w:rightChars="-300"/>
        <w:rPr>
          <w:rFonts w:hint="eastAsia" w:ascii="仿宋_GB2312" w:hAnsi="仿宋_GB2312" w:eastAsia="仿宋_GB2312" w:cs="仿宋_GB2312"/>
          <w:color w:val="auto"/>
        </w:rPr>
      </w:pPr>
    </w:p>
    <w:p w14:paraId="1089AAE5">
      <w:pPr>
        <w:ind w:right="-630" w:rightChars="-300"/>
        <w:rPr>
          <w:rFonts w:hint="eastAsia" w:ascii="仿宋_GB2312" w:hAnsi="仿宋_GB2312" w:eastAsia="仿宋_GB2312" w:cs="仿宋_GB2312"/>
          <w:color w:val="auto"/>
        </w:rPr>
      </w:pPr>
      <w:r>
        <w:rPr>
          <w:rFonts w:hint="eastAsia" w:ascii="仿宋_GB2312" w:hAnsi="仿宋_GB2312" w:eastAsia="仿宋_GB2312" w:cs="仿宋_GB2312"/>
          <w:color w:val="auto"/>
        </w:rPr>
        <w:t>注：1、进口产品的制造厂家的授权书（可视具体情况调整至符合性证明材料及符合性审查表中）</w:t>
      </w:r>
    </w:p>
    <w:p w14:paraId="7593C31B">
      <w:pPr>
        <w:ind w:firstLine="420" w:firstLineChars="200"/>
        <w:rPr>
          <w:rFonts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eastAsia="zh-CN"/>
        </w:rPr>
        <w:t>创新产品和服务目录</w:t>
      </w:r>
      <w:r>
        <w:rPr>
          <w:rFonts w:hint="eastAsia" w:ascii="仿宋_GB2312" w:hAnsi="仿宋_GB2312" w:eastAsia="仿宋_GB2312" w:cs="仿宋_GB2312"/>
          <w:color w:val="auto"/>
        </w:rPr>
        <w:t>》内产品、服务证明材料（可视具体情况调整至符合性证明材料及符合性审查表中）</w:t>
      </w:r>
    </w:p>
    <w:p w14:paraId="37E3030F">
      <w:pPr>
        <w:rPr>
          <w:rFonts w:ascii="仿宋_GB2312" w:hAnsi="仿宋_GB2312" w:eastAsia="仿宋_GB2312" w:cs="仿宋_GB2312"/>
          <w:color w:val="auto"/>
        </w:rPr>
      </w:pPr>
      <w:r>
        <w:rPr>
          <w:rFonts w:hint="eastAsia" w:ascii="仿宋_GB2312" w:hAnsi="仿宋_GB2312" w:eastAsia="仿宋_GB2312" w:cs="仿宋_GB2312"/>
          <w:color w:val="auto"/>
        </w:rPr>
        <w:t>填表说明：1、每项内容审查合格，在表中填写“√”；不合格填写“×”</w:t>
      </w:r>
    </w:p>
    <w:p w14:paraId="361A9666">
      <w:pPr>
        <w:rPr>
          <w:rFonts w:ascii="仿宋_GB2312" w:hAnsi="仿宋_GB2312" w:eastAsia="仿宋_GB2312" w:cs="仿宋_GB2312"/>
          <w:color w:val="auto"/>
        </w:rPr>
      </w:pPr>
      <w:r>
        <w:rPr>
          <w:rFonts w:hint="eastAsia" w:ascii="仿宋_GB2312" w:hAnsi="仿宋_GB2312" w:eastAsia="仿宋_GB2312" w:cs="仿宋_GB2312"/>
          <w:color w:val="auto"/>
        </w:rPr>
        <w:t xml:space="preserve">          2、审查结论填写“通过”或“不通过”</w:t>
      </w:r>
    </w:p>
    <w:p w14:paraId="3D8F0CD8">
      <w:pPr>
        <w:rPr>
          <w:rFonts w:hint="eastAsia" w:ascii="仿宋_GB2312" w:hAnsi="仿宋_GB2312" w:eastAsia="仿宋_GB2312" w:cs="仿宋_GB2312"/>
          <w:color w:val="auto"/>
        </w:rPr>
      </w:pPr>
    </w:p>
    <w:p w14:paraId="6A7EE99C">
      <w:pPr>
        <w:rPr>
          <w:rFonts w:ascii="仿宋_GB2312" w:hAnsi="仿宋_GB2312" w:eastAsia="仿宋_GB2312" w:cs="仿宋_GB2312"/>
          <w:color w:val="auto"/>
        </w:rPr>
      </w:pPr>
    </w:p>
    <w:p w14:paraId="0351AD45">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 xml:space="preserve">审查人签字： </w:t>
      </w:r>
    </w:p>
    <w:p w14:paraId="6B33FD6D">
      <w:pPr>
        <w:pStyle w:val="16"/>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b/>
          <w:color w:val="auto"/>
          <w:sz w:val="21"/>
          <w:szCs w:val="21"/>
        </w:rPr>
      </w:pPr>
      <w:r>
        <w:rPr>
          <w:rFonts w:hint="eastAsia" w:ascii="仿宋_GB2312" w:hAnsi="仿宋_GB2312" w:eastAsia="仿宋_GB2312" w:cs="仿宋_GB2312"/>
          <w:bCs/>
          <w:color w:val="auto"/>
          <w:sz w:val="21"/>
          <w:szCs w:val="21"/>
        </w:rPr>
        <w:t>日      期：</w:t>
      </w:r>
      <w:r>
        <w:rPr>
          <w:rFonts w:hint="eastAsia" w:ascii="仿宋_GB2312" w:hAnsi="仿宋_GB2312" w:eastAsia="仿宋_GB2312" w:cs="仿宋_GB2312"/>
          <w:b/>
          <w:color w:val="auto"/>
          <w:sz w:val="21"/>
          <w:szCs w:val="21"/>
        </w:rPr>
        <w:t xml:space="preserve"> </w:t>
      </w:r>
    </w:p>
    <w:p w14:paraId="5A281893">
      <w:pPr>
        <w:bidi w:val="0"/>
        <w:rPr>
          <w:rFonts w:hint="eastAsia" w:ascii="仿宋_GB2312" w:hAnsi="仿宋_GB2312" w:eastAsia="仿宋_GB2312" w:cs="仿宋_GB2312"/>
          <w:color w:val="auto"/>
          <w:szCs w:val="28"/>
        </w:rPr>
      </w:pPr>
      <w:r>
        <w:rPr>
          <w:rFonts w:hint="eastAsia"/>
          <w:color w:val="auto"/>
        </w:rPr>
        <w:br w:type="page"/>
      </w:r>
    </w:p>
    <w:p w14:paraId="150CD357">
      <w:pPr>
        <w:pStyle w:val="3"/>
        <w:adjustRightInd w:val="0"/>
        <w:snapToGrid w:val="0"/>
        <w:spacing w:before="0" w:after="0" w:line="240" w:lineRule="auto"/>
        <w:jc w:val="left"/>
        <w:rPr>
          <w:rFonts w:ascii="仿宋_GB2312" w:hAnsi="仿宋_GB2312" w:eastAsia="仿宋_GB2312" w:cs="仿宋_GB2312"/>
          <w:color w:val="auto"/>
          <w:sz w:val="32"/>
          <w:szCs w:val="32"/>
        </w:rPr>
      </w:pPr>
      <w:r>
        <w:rPr>
          <w:rFonts w:hint="eastAsia" w:ascii="仿宋_GB2312" w:hAnsi="仿宋_GB2312" w:eastAsia="仿宋_GB2312" w:cs="仿宋_GB2312"/>
          <w:color w:val="auto"/>
          <w:szCs w:val="28"/>
        </w:rPr>
        <w:t xml:space="preserve">附件3                   </w:t>
      </w:r>
      <w:r>
        <w:rPr>
          <w:rFonts w:hint="eastAsia" w:ascii="仿宋_GB2312" w:hAnsi="仿宋_GB2312" w:eastAsia="仿宋_GB2312" w:cs="仿宋_GB2312"/>
          <w:color w:val="auto"/>
          <w:sz w:val="32"/>
          <w:szCs w:val="32"/>
        </w:rPr>
        <w:t xml:space="preserve"> </w:t>
      </w:r>
    </w:p>
    <w:p w14:paraId="6C0261E0">
      <w:pPr>
        <w:jc w:val="center"/>
        <w:rPr>
          <w:rFonts w:ascii="仿宋_GB2312" w:hAnsi="仿宋_GB2312" w:eastAsia="仿宋_GB2312" w:cs="仿宋_GB2312"/>
          <w:b/>
          <w:color w:val="auto"/>
          <w:sz w:val="32"/>
          <w:szCs w:val="32"/>
        </w:rPr>
      </w:pPr>
      <w:r>
        <w:rPr>
          <w:rFonts w:hint="eastAsia" w:ascii="仿宋_GB2312" w:hAnsi="仿宋_GB2312" w:eastAsia="仿宋_GB2312" w:cs="仿宋_GB2312"/>
          <w:b/>
          <w:color w:val="auto"/>
          <w:sz w:val="32"/>
          <w:szCs w:val="32"/>
        </w:rPr>
        <w:t>评分细则</w:t>
      </w:r>
    </w:p>
    <w:p w14:paraId="2D2AFFD3">
      <w:pPr>
        <w:jc w:val="center"/>
        <w:rPr>
          <w:rFonts w:ascii="仿宋_GB2312" w:hAnsi="仿宋_GB2312" w:eastAsia="仿宋_GB2312" w:cs="仿宋_GB2312"/>
          <w:b/>
          <w:color w:val="auto"/>
          <w:sz w:val="28"/>
          <w:szCs w:val="28"/>
        </w:rPr>
      </w:pPr>
      <w:bookmarkStart w:id="133" w:name="_Toc28142_WPSOffice_Level2"/>
      <w:r>
        <w:rPr>
          <w:rFonts w:hint="eastAsia" w:ascii="仿宋_GB2312" w:hAnsi="仿宋_GB2312" w:eastAsia="仿宋_GB2312" w:cs="仿宋_GB2312"/>
          <w:b/>
          <w:color w:val="auto"/>
          <w:sz w:val="28"/>
          <w:szCs w:val="28"/>
        </w:rPr>
        <w:t>（综合评分法适用）</w:t>
      </w:r>
      <w:bookmarkEnd w:id="133"/>
    </w:p>
    <w:p w14:paraId="50AA948E">
      <w:pPr>
        <w:jc w:val="lef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Cs w:val="21"/>
        </w:rPr>
        <w:t>（一）基本评分标准</w:t>
      </w:r>
    </w:p>
    <w:tbl>
      <w:tblPr>
        <w:tblStyle w:val="18"/>
        <w:tblpPr w:leftFromText="180" w:rightFromText="180" w:vertAnchor="text" w:horzAnchor="margin" w:tblpY="10"/>
        <w:tblW w:w="90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1"/>
        <w:gridCol w:w="1559"/>
        <w:gridCol w:w="5245"/>
        <w:gridCol w:w="992"/>
      </w:tblGrid>
      <w:tr w14:paraId="6088F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0"/>
            <w:vAlign w:val="center"/>
          </w:tcPr>
          <w:p w14:paraId="5860BFE0">
            <w:pPr>
              <w:pStyle w:val="42"/>
              <w:keepNext w:val="0"/>
              <w:keepLines w:val="0"/>
              <w:pageBreakBefore w:val="0"/>
              <w:kinsoku/>
              <w:wordWrap/>
              <w:overflowPunct/>
              <w:topLinePunct w:val="0"/>
              <w:bidi w:val="0"/>
              <w:snapToGrid w:val="0"/>
              <w:spacing w:before="0" w:after="0" w:line="240" w:lineRule="auto"/>
              <w:ind w:firstLine="0" w:firstLineChars="0"/>
              <w:jc w:val="center"/>
              <w:rPr>
                <w:rStyle w:val="43"/>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包号</w:t>
            </w:r>
          </w:p>
        </w:tc>
        <w:tc>
          <w:tcPr>
            <w:tcW w:w="7796" w:type="dxa"/>
            <w:gridSpan w:val="3"/>
            <w:tcBorders>
              <w:top w:val="single" w:color="000000" w:sz="4" w:space="0"/>
              <w:left w:val="single" w:color="000000" w:sz="4" w:space="0"/>
              <w:bottom w:val="single" w:color="000000" w:sz="4" w:space="0"/>
              <w:right w:val="single" w:color="000000" w:sz="4" w:space="0"/>
            </w:tcBorders>
            <w:noWrap w:val="0"/>
            <w:vAlign w:val="center"/>
          </w:tcPr>
          <w:p w14:paraId="4F68915A">
            <w:pPr>
              <w:pStyle w:val="42"/>
              <w:keepNext w:val="0"/>
              <w:keepLines w:val="0"/>
              <w:pageBreakBefore w:val="0"/>
              <w:kinsoku/>
              <w:wordWrap/>
              <w:overflowPunct/>
              <w:topLinePunct w:val="0"/>
              <w:bidi w:val="0"/>
              <w:snapToGrid w:val="0"/>
              <w:spacing w:before="0" w:after="0" w:line="240" w:lineRule="auto"/>
              <w:ind w:firstLine="0" w:firstLineChars="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0</w:t>
            </w:r>
            <w:r>
              <w:rPr>
                <w:rFonts w:hint="eastAsia" w:ascii="仿宋" w:hAnsi="仿宋" w:eastAsia="仿宋" w:cs="仿宋"/>
                <w:b/>
                <w:bCs/>
                <w:color w:val="auto"/>
                <w:sz w:val="21"/>
                <w:szCs w:val="21"/>
                <w:highlight w:val="none"/>
                <w:lang w:val="en-US" w:eastAsia="zh-CN"/>
              </w:rPr>
              <w:t>0</w:t>
            </w:r>
            <w:r>
              <w:rPr>
                <w:rFonts w:hint="eastAsia" w:ascii="仿宋" w:hAnsi="仿宋" w:eastAsia="仿宋" w:cs="仿宋"/>
                <w:b/>
                <w:bCs/>
                <w:color w:val="auto"/>
                <w:sz w:val="21"/>
                <w:szCs w:val="21"/>
                <w:highlight w:val="none"/>
              </w:rPr>
              <w:t>1</w:t>
            </w:r>
          </w:p>
        </w:tc>
      </w:tr>
      <w:tr w14:paraId="76F64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0"/>
            <w:vAlign w:val="center"/>
          </w:tcPr>
          <w:p w14:paraId="7E161C2A">
            <w:pPr>
              <w:spacing w:line="240" w:lineRule="auto"/>
              <w:ind w:firstLine="420" w:firstLineChars="20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2B4E122">
            <w:pPr>
              <w:spacing w:line="240" w:lineRule="auto"/>
              <w:ind w:firstLine="420" w:firstLineChars="200"/>
              <w:jc w:val="both"/>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分项名称</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21E64D55">
            <w:pPr>
              <w:spacing w:line="240" w:lineRule="auto"/>
              <w:ind w:firstLine="420" w:firstLineChars="20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评分标准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9925B49">
            <w:pPr>
              <w:spacing w:line="240" w:lineRule="auto"/>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满分</w:t>
            </w:r>
          </w:p>
        </w:tc>
      </w:tr>
      <w:tr w14:paraId="538A3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3" w:hRule="atLeast"/>
        </w:trPr>
        <w:tc>
          <w:tcPr>
            <w:tcW w:w="1281" w:type="dxa"/>
            <w:tcBorders>
              <w:top w:val="single" w:color="000000" w:sz="4" w:space="0"/>
              <w:left w:val="single" w:color="000000" w:sz="4" w:space="0"/>
              <w:bottom w:val="single" w:color="000000" w:sz="4" w:space="0"/>
              <w:right w:val="single" w:color="000000" w:sz="4" w:space="0"/>
            </w:tcBorders>
            <w:noWrap w:val="0"/>
            <w:vAlign w:val="center"/>
          </w:tcPr>
          <w:p w14:paraId="08346C0B">
            <w:pPr>
              <w:spacing w:line="240" w:lineRule="auto"/>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价格部分</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CF2BD16">
            <w:pPr>
              <w:jc w:val="center"/>
              <w:textAlignment w:val="baseline"/>
              <w:rPr>
                <w:rFonts w:hint="eastAsia" w:ascii="仿宋_GB2312" w:hAnsi="宋体" w:eastAsia="仿宋_GB2312" w:cs="Times New Roman"/>
                <w:color w:val="000000"/>
                <w:highlight w:val="none"/>
              </w:rPr>
            </w:pPr>
            <w:r>
              <w:rPr>
                <w:rFonts w:hint="eastAsia" w:ascii="仿宋_GB2312" w:hAnsi="宋体" w:eastAsia="仿宋_GB2312" w:cs="Times New Roman"/>
                <w:color w:val="000000"/>
                <w:highlight w:val="none"/>
              </w:rPr>
              <w:t>报价</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1F01DDEC">
            <w:pPr>
              <w:textAlignment w:val="baseline"/>
              <w:rPr>
                <w:rFonts w:hint="eastAsia" w:ascii="仿宋_GB2312" w:hAnsi="宋体" w:eastAsia="仿宋_GB2312" w:cs="Times New Roman"/>
                <w:color w:val="000000"/>
                <w:highlight w:val="none"/>
              </w:rPr>
            </w:pPr>
            <w:r>
              <w:rPr>
                <w:rFonts w:hint="eastAsia" w:ascii="仿宋_GB2312" w:hAnsi="宋体" w:eastAsia="仿宋_GB2312" w:cs="Times New Roman"/>
                <w:color w:val="000000"/>
                <w:highlight w:val="none"/>
              </w:rPr>
              <w:t>以经评委会一致认定满足招标文件要求且投标价格最低的有效投标报价为评标基准价，其价格得分计30。其他投标人的价格得分统一按公式计算：报价得分＝（评标基准价÷投标报价）×30（得分按四舍五入的方式保留小数点后二位）</w:t>
            </w:r>
          </w:p>
          <w:p w14:paraId="2C468617">
            <w:pPr>
              <w:textAlignment w:val="baseline"/>
              <w:rPr>
                <w:rFonts w:hint="eastAsia" w:ascii="仿宋_GB2312" w:hAnsi="宋体" w:eastAsia="仿宋_GB2312" w:cs="Times New Roman"/>
                <w:color w:val="000000"/>
                <w:highlight w:val="none"/>
              </w:rPr>
            </w:pPr>
            <w:r>
              <w:rPr>
                <w:rFonts w:hint="eastAsia" w:ascii="仿宋_GB2312" w:hAnsi="宋体" w:eastAsia="仿宋_GB2312" w:cs="Times New Roman"/>
                <w:color w:val="000000"/>
                <w:highlight w:val="none"/>
                <w:lang w:val="en-US" w:eastAsia="zh-CN"/>
              </w:rPr>
              <w:t>注：</w:t>
            </w:r>
            <w:r>
              <w:rPr>
                <w:rFonts w:hint="eastAsia" w:ascii="仿宋_GB2312" w:hAnsi="宋体" w:eastAsia="仿宋_GB2312" w:cs="Times New Roman"/>
                <w:color w:val="000000"/>
                <w:highlight w:val="none"/>
              </w:rPr>
              <w:t>投标价格超预算投标无效，评标委员会认为投标人的报价明显低于其他通过符合性审查投标人的报价，可能影响产品质量或者不能诚信履约的，应当要求其在评标现场合理的时间（投标人从接到通知后到提供书面说明的具体时间由评标委员会确定）内提供书面说明，必要时提交相关证明材料；投标人不能证明其报价合理性的，评标委员会应当将其作为无效投标处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AB8D4C9">
            <w:pPr>
              <w:jc w:val="center"/>
              <w:textAlignment w:val="baseline"/>
              <w:rPr>
                <w:rFonts w:hint="eastAsia" w:ascii="仿宋_GB2312" w:hAnsi="宋体" w:eastAsia="仿宋_GB2312" w:cs="Times New Roman"/>
                <w:color w:val="000000"/>
                <w:highlight w:val="none"/>
              </w:rPr>
            </w:pPr>
            <w:r>
              <w:rPr>
                <w:rFonts w:hint="eastAsia" w:ascii="仿宋_GB2312" w:hAnsi="宋体" w:eastAsia="仿宋_GB2312" w:cs="Times New Roman"/>
                <w:color w:val="000000"/>
                <w:highlight w:val="none"/>
              </w:rPr>
              <w:t>30</w:t>
            </w:r>
          </w:p>
        </w:tc>
      </w:tr>
      <w:tr w14:paraId="575B3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1" w:hRule="atLeast"/>
        </w:trPr>
        <w:tc>
          <w:tcPr>
            <w:tcW w:w="1281" w:type="dxa"/>
            <w:vMerge w:val="restart"/>
            <w:tcBorders>
              <w:top w:val="single" w:color="000000" w:sz="4" w:space="0"/>
              <w:left w:val="single" w:color="000000" w:sz="4" w:space="0"/>
              <w:right w:val="single" w:color="000000" w:sz="4" w:space="0"/>
            </w:tcBorders>
            <w:noWrap w:val="0"/>
            <w:vAlign w:val="center"/>
          </w:tcPr>
          <w:p w14:paraId="07F061B8">
            <w:pPr>
              <w:spacing w:line="240" w:lineRule="auto"/>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技术部分</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B1299CB">
            <w:pPr>
              <w:jc w:val="center"/>
              <w:textAlignment w:val="center"/>
              <w:rPr>
                <w:rFonts w:hint="default" w:ascii="仿宋_GB2312" w:hAnsi="仿宋_GB2312" w:eastAsia="仿宋_GB2312" w:cs="仿宋_GB2312"/>
                <w:color w:val="auto"/>
                <w:highlight w:val="none"/>
                <w:lang w:val="en-US" w:eastAsia="zh-CN"/>
              </w:rPr>
            </w:pPr>
            <w:r>
              <w:rPr>
                <w:rFonts w:hint="eastAsia" w:ascii="仿宋" w:hAnsi="仿宋" w:cs="仿宋"/>
                <w:color w:val="000000"/>
                <w:sz w:val="20"/>
                <w:szCs w:val="20"/>
                <w:highlight w:val="none"/>
              </w:rPr>
              <w:t>技术点对点响应</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60F5B3E6">
            <w:pPr>
              <w:textAlignment w:val="baseline"/>
              <w:rPr>
                <w:rFonts w:ascii="仿宋_GB2312" w:hAnsi="宋体" w:eastAsia="仿宋_GB2312"/>
                <w:color w:val="000000"/>
                <w:highlight w:val="none"/>
              </w:rPr>
            </w:pPr>
            <w:r>
              <w:rPr>
                <w:rFonts w:hint="eastAsia" w:ascii="仿宋_GB2312" w:hAnsi="宋体" w:eastAsia="仿宋_GB2312"/>
                <w:color w:val="000000"/>
                <w:highlight w:val="none"/>
              </w:rPr>
              <w:t>投标产品技术指标、功能及配置优于或完全满足招标第三章货物需求得3</w:t>
            </w:r>
            <w:r>
              <w:rPr>
                <w:rFonts w:hint="eastAsia" w:ascii="仿宋_GB2312" w:hAnsi="宋体" w:eastAsia="仿宋_GB2312"/>
                <w:color w:val="000000"/>
                <w:highlight w:val="none"/>
                <w:lang w:val="en-US" w:eastAsia="zh-CN"/>
              </w:rPr>
              <w:t>0</w:t>
            </w:r>
            <w:r>
              <w:rPr>
                <w:rFonts w:hint="eastAsia" w:ascii="仿宋_GB2312" w:hAnsi="宋体" w:eastAsia="仿宋_GB2312"/>
                <w:color w:val="000000"/>
                <w:highlight w:val="none"/>
              </w:rPr>
              <w:t>分</w:t>
            </w:r>
          </w:p>
          <w:p w14:paraId="62B771BC">
            <w:pPr>
              <w:textAlignment w:val="baseline"/>
              <w:rPr>
                <w:rFonts w:ascii="仿宋" w:hAnsi="仿宋" w:cs="仿宋"/>
                <w:color w:val="000000"/>
                <w:szCs w:val="21"/>
                <w:highlight w:val="none"/>
              </w:rPr>
            </w:pPr>
            <w:r>
              <w:rPr>
                <w:rFonts w:hint="eastAsia" w:ascii="仿宋_GB2312" w:hAnsi="宋体" w:eastAsia="仿宋_GB2312"/>
                <w:color w:val="000000"/>
                <w:highlight w:val="none"/>
              </w:rPr>
              <w:t>1、</w:t>
            </w:r>
            <w:r>
              <w:rPr>
                <w:rFonts w:hint="eastAsia" w:ascii="仿宋" w:hAnsi="仿宋" w:cs="仿宋"/>
                <w:color w:val="000000"/>
                <w:szCs w:val="21"/>
                <w:highlight w:val="none"/>
              </w:rPr>
              <w:t>技术规格偏离表中★标注项不允许负偏离，如果负偏离，则投标文件按无效处理。</w:t>
            </w:r>
          </w:p>
          <w:p w14:paraId="57A6D8FD">
            <w:pPr>
              <w:textAlignment w:val="baseline"/>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2、本项目一般指标性参数用“▲”标注项共计10项，全部满足或优于参数要求的得20分，每负偏离1项扣2分；</w:t>
            </w:r>
          </w:p>
          <w:p w14:paraId="267D3131">
            <w:pPr>
              <w:textAlignment w:val="baseline"/>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000000"/>
                <w:szCs w:val="21"/>
                <w:lang w:val="en-US" w:eastAsia="zh-CN"/>
              </w:rPr>
              <w:t>3、其他一般指标性参数项共计20项，全部满足或优于参数要求的要求的得10分，每负偏离1项</w:t>
            </w:r>
            <w:r>
              <w:rPr>
                <w:rFonts w:hint="eastAsia" w:ascii="仿宋_GB2312" w:hAnsi="仿宋_GB2312" w:eastAsia="仿宋_GB2312" w:cs="仿宋_GB2312"/>
                <w:color w:val="auto"/>
                <w:szCs w:val="21"/>
                <w:lang w:val="en-US" w:eastAsia="zh-CN"/>
              </w:rPr>
              <w:t>扣0.5分。</w:t>
            </w:r>
          </w:p>
          <w:p w14:paraId="6A7B7E65">
            <w:pPr>
              <w:textAlignment w:val="baseline"/>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lang w:val="en-US" w:eastAsia="zh-CN"/>
              </w:rPr>
              <w:t>说明：评委根据投标人所提供的证明文件对技术指标进行评标，而不仅以投标人自身应答及响应作为评标依据，投标人的技术指标仅作出应答而未提供有效证明文件的视为无效应答，按负偏离处理。第三章货物需求中有特别要求的按相应要求提供证明文件，未做要求的,证明文件可以以检测报告、产品技术说明书、网站宣传页、产品彩页、技术白皮书等作为评标依据。</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B2696BF">
            <w:pPr>
              <w:pStyle w:val="42"/>
              <w:spacing w:before="0" w:after="0"/>
              <w:jc w:val="center"/>
              <w:rPr>
                <w:rFonts w:hint="default" w:ascii="仿宋_GB2312" w:hAnsi="仿宋_GB2312" w:eastAsia="仿宋_GB2312" w:cs="仿宋_GB2312"/>
                <w:color w:val="auto"/>
                <w:highlight w:val="none"/>
                <w:lang w:val="en-US" w:eastAsia="zh-CN"/>
              </w:rPr>
            </w:pPr>
            <w:r>
              <w:rPr>
                <w:rFonts w:hint="eastAsia" w:ascii="仿宋" w:hAnsi="仿宋" w:eastAsia="仿宋" w:cs="仿宋"/>
                <w:color w:val="000000"/>
                <w:kern w:val="2"/>
                <w:sz w:val="21"/>
                <w:highlight w:val="none"/>
              </w:rPr>
              <w:t>30</w:t>
            </w:r>
          </w:p>
        </w:tc>
      </w:tr>
      <w:tr w14:paraId="46C00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1281" w:type="dxa"/>
            <w:vMerge w:val="continue"/>
            <w:tcBorders>
              <w:left w:val="single" w:color="000000" w:sz="4" w:space="0"/>
              <w:right w:val="single" w:color="000000" w:sz="4" w:space="0"/>
            </w:tcBorders>
            <w:noWrap w:val="0"/>
            <w:vAlign w:val="center"/>
          </w:tcPr>
          <w:p w14:paraId="33E991F6">
            <w:pPr>
              <w:spacing w:line="240" w:lineRule="auto"/>
              <w:jc w:val="center"/>
              <w:rPr>
                <w:rFonts w:hint="eastAsia" w:ascii="仿宋_GB2312" w:hAnsi="仿宋_GB2312" w:eastAsia="仿宋_GB2312" w:cs="仿宋_GB2312"/>
                <w:color w:val="auto"/>
                <w:highlight w:val="none"/>
                <w:lang w:val="en-US" w:eastAsia="zh-CN"/>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9443C8F">
            <w:pPr>
              <w:spacing w:line="240" w:lineRule="auto"/>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样品评测</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205B0753">
            <w:pPr>
              <w:spacing w:line="240" w:lineRule="auto"/>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1.根据招标文件要求，采用供应商提供投标产品样品视频对所投产品的</w:t>
            </w:r>
            <w:r>
              <w:rPr>
                <w:rFonts w:hint="eastAsia" w:ascii="仿宋_GB2312" w:hAnsi="仿宋_GB2312" w:eastAsia="仿宋_GB2312" w:cs="仿宋_GB2312"/>
                <w:kern w:val="2"/>
                <w:sz w:val="21"/>
                <w:highlight w:val="none"/>
              </w:rPr>
              <w:t>（1）外观、材质、材料、尺寸、产品制作工艺；(2)操作便携性、易维护性、使用舒适性；（3）安全性、合理性、稳定性；（4）产品设计、做工、整体性能、使用效果；（5）产品质量、主要部件加工工艺、部件连接结构、连接方式进行综合评审，满分</w:t>
            </w:r>
            <w:r>
              <w:rPr>
                <w:rFonts w:hint="eastAsia" w:ascii="仿宋_GB2312" w:hAnsi="仿宋_GB2312" w:eastAsia="仿宋_GB2312" w:cs="仿宋_GB2312"/>
                <w:kern w:val="2"/>
                <w:sz w:val="21"/>
                <w:highlight w:val="none"/>
                <w:lang w:val="en-US" w:eastAsia="zh-CN"/>
              </w:rPr>
              <w:t>10</w:t>
            </w:r>
            <w:r>
              <w:rPr>
                <w:rFonts w:hint="eastAsia" w:ascii="仿宋_GB2312" w:hAnsi="仿宋_GB2312" w:eastAsia="仿宋_GB2312" w:cs="仿宋_GB2312"/>
                <w:kern w:val="2"/>
                <w:sz w:val="21"/>
                <w:highlight w:val="none"/>
              </w:rPr>
              <w:t>分，每有1处不完善扣</w:t>
            </w:r>
            <w:r>
              <w:rPr>
                <w:rFonts w:hint="eastAsia" w:ascii="仿宋_GB2312" w:hAnsi="仿宋_GB2312" w:eastAsia="仿宋_GB2312" w:cs="仿宋_GB2312"/>
                <w:kern w:val="2"/>
                <w:sz w:val="21"/>
                <w:highlight w:val="none"/>
                <w:lang w:val="en-US" w:eastAsia="zh-CN"/>
              </w:rPr>
              <w:t>2</w:t>
            </w:r>
            <w:r>
              <w:rPr>
                <w:rFonts w:hint="eastAsia" w:ascii="仿宋_GB2312" w:hAnsi="仿宋_GB2312" w:eastAsia="仿宋_GB2312" w:cs="仿宋_GB2312"/>
                <w:kern w:val="2"/>
                <w:sz w:val="21"/>
                <w:highlight w:val="none"/>
              </w:rPr>
              <w:t>分。提供相关内容不全、不实的、与投标产品相矛盾的、或未能满足项目实际需求的此项得0分。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25AE7F6">
            <w:pPr>
              <w:spacing w:line="240" w:lineRule="auto"/>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10</w:t>
            </w:r>
          </w:p>
        </w:tc>
      </w:tr>
      <w:tr w14:paraId="3A8E2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restart"/>
            <w:tcBorders>
              <w:top w:val="single" w:color="000000" w:sz="4" w:space="0"/>
              <w:left w:val="single" w:color="000000" w:sz="4" w:space="0"/>
              <w:right w:val="single" w:color="000000" w:sz="4" w:space="0"/>
            </w:tcBorders>
            <w:noWrap w:val="0"/>
            <w:vAlign w:val="center"/>
          </w:tcPr>
          <w:p w14:paraId="04959553">
            <w:pPr>
              <w:pStyle w:val="42"/>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ind w:firstLine="0" w:firstLineChars="0"/>
              <w:jc w:val="center"/>
              <w:textAlignment w:val="baseline"/>
              <w:rPr>
                <w:rStyle w:val="43"/>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商务部分</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50CEB39">
            <w:pPr>
              <w:jc w:val="center"/>
              <w:rPr>
                <w:rFonts w:hint="eastAsia"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业绩情况</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040878D7">
            <w:pPr>
              <w:jc w:val="left"/>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000000"/>
                <w:highlight w:val="none"/>
              </w:rPr>
              <w:t>供应商提供所投类似项目销售业绩（2021年至今，以签订合同时间为准），每有1个业绩得1分，最多得3分。供应商须提供每份业绩的销售合同、对应的发票及验收证明的复印件并加盖供应商公章，未提供不得分。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CA775D6">
            <w:pPr>
              <w:jc w:val="center"/>
              <w:rPr>
                <w:rFonts w:hint="default" w:ascii="仿宋_GB2312" w:hAnsi="仿宋_GB2312" w:eastAsia="仿宋_GB2312" w:cs="仿宋_GB2312"/>
                <w:color w:val="auto"/>
                <w:highlight w:val="none"/>
                <w:lang w:val="en-US" w:eastAsia="zh-CN"/>
              </w:rPr>
            </w:pPr>
            <w:r>
              <w:rPr>
                <w:rStyle w:val="43"/>
                <w:rFonts w:hint="eastAsia" w:ascii="仿宋" w:hAnsi="仿宋" w:cs="仿宋"/>
                <w:color w:val="000000"/>
                <w:szCs w:val="21"/>
                <w:highlight w:val="none"/>
              </w:rPr>
              <w:t>3</w:t>
            </w:r>
          </w:p>
        </w:tc>
      </w:tr>
      <w:tr w14:paraId="1DC62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left w:val="single" w:color="000000" w:sz="4" w:space="0"/>
              <w:right w:val="single" w:color="000000" w:sz="4" w:space="0"/>
            </w:tcBorders>
            <w:noWrap w:val="0"/>
            <w:vAlign w:val="center"/>
          </w:tcPr>
          <w:p w14:paraId="566F1D72">
            <w:pPr>
              <w:pStyle w:val="42"/>
              <w:keepNext w:val="0"/>
              <w:keepLines w:val="0"/>
              <w:pageBreakBefore w:val="0"/>
              <w:kinsoku/>
              <w:wordWrap/>
              <w:overflowPunct/>
              <w:topLinePunct w:val="0"/>
              <w:bidi w:val="0"/>
              <w:snapToGrid w:val="0"/>
              <w:spacing w:before="0" w:after="312" w:line="240" w:lineRule="auto"/>
              <w:ind w:firstLine="0" w:firstLineChars="0"/>
              <w:jc w:val="center"/>
              <w:rPr>
                <w:rStyle w:val="43"/>
                <w:rFonts w:hint="eastAsia" w:ascii="仿宋" w:hAnsi="仿宋" w:eastAsia="仿宋" w:cs="仿宋"/>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4F978E8">
            <w:pPr>
              <w:jc w:val="center"/>
              <w:rPr>
                <w:rFonts w:hint="eastAsia"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供货方案</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23EB02C2">
            <w:pPr>
              <w:rPr>
                <w:rFonts w:ascii="仿宋" w:hAnsi="仿宋" w:cs="仿宋"/>
                <w:color w:val="000000"/>
                <w:sz w:val="20"/>
                <w:szCs w:val="20"/>
                <w:highlight w:val="none"/>
              </w:rPr>
            </w:pPr>
            <w:r>
              <w:rPr>
                <w:rFonts w:hint="eastAsia" w:ascii="仿宋" w:hAnsi="仿宋" w:cs="仿宋"/>
                <w:color w:val="000000"/>
                <w:sz w:val="20"/>
                <w:szCs w:val="20"/>
                <w:highlight w:val="none"/>
              </w:rPr>
              <w:t>一、供货方案内容包含但不限于</w:t>
            </w:r>
            <w:r>
              <w:rPr>
                <w:rFonts w:hint="eastAsia" w:ascii="仿宋" w:hAnsi="仿宋" w:cs="仿宋"/>
                <w:color w:val="000000"/>
                <w:kern w:val="0"/>
                <w:szCs w:val="21"/>
                <w:highlight w:val="none"/>
              </w:rPr>
              <w:t>安装调试时间安排、人员配备等计划</w:t>
            </w:r>
            <w:r>
              <w:rPr>
                <w:rFonts w:hint="eastAsia" w:ascii="仿宋" w:hAnsi="仿宋" w:cs="仿宋"/>
                <w:color w:val="000000"/>
                <w:sz w:val="20"/>
                <w:szCs w:val="20"/>
                <w:highlight w:val="none"/>
              </w:rPr>
              <w:t>、项目实施进度计划</w:t>
            </w:r>
            <w:r>
              <w:rPr>
                <w:rFonts w:hint="eastAsia" w:ascii="仿宋" w:hAnsi="仿宋" w:cs="仿宋"/>
                <w:color w:val="000000"/>
                <w:kern w:val="0"/>
                <w:szCs w:val="21"/>
                <w:highlight w:val="none"/>
              </w:rPr>
              <w:t>、</w:t>
            </w:r>
            <w:r>
              <w:rPr>
                <w:rFonts w:hint="eastAsia" w:ascii="仿宋" w:hAnsi="仿宋" w:cs="仿宋"/>
                <w:color w:val="000000"/>
                <w:sz w:val="20"/>
                <w:szCs w:val="20"/>
                <w:highlight w:val="none"/>
              </w:rPr>
              <w:t>供货期保障措施等内容。</w:t>
            </w:r>
          </w:p>
          <w:p w14:paraId="10D3D598">
            <w:pPr>
              <w:rPr>
                <w:rFonts w:ascii="仿宋" w:hAnsi="仿宋" w:cs="仿宋"/>
                <w:color w:val="000000"/>
                <w:sz w:val="20"/>
                <w:szCs w:val="20"/>
                <w:highlight w:val="none"/>
              </w:rPr>
            </w:pPr>
            <w:r>
              <w:rPr>
                <w:rFonts w:hint="eastAsia" w:ascii="仿宋" w:hAnsi="仿宋" w:cs="仿宋"/>
                <w:color w:val="000000"/>
                <w:sz w:val="20"/>
                <w:szCs w:val="20"/>
                <w:highlight w:val="none"/>
              </w:rPr>
              <w:t>（1）供货方案全面完整包含上述方案全部内容，针对本项目增加采购单位未提供需求而供应商认为需说明及补充的其他供货方案内容且合理，全面响应项目实际需求；调试（安装）时间安排等内容科学合理，人员配备充足且职责明确、项目实施进度计划、供货期保障措施贴合实际并且具有很高的可操作性得5分。</w:t>
            </w:r>
          </w:p>
          <w:p w14:paraId="4156F2B9">
            <w:pPr>
              <w:rPr>
                <w:rFonts w:ascii="仿宋" w:hAnsi="仿宋" w:cs="仿宋"/>
                <w:color w:val="000000"/>
                <w:sz w:val="20"/>
                <w:szCs w:val="20"/>
                <w:highlight w:val="none"/>
              </w:rPr>
            </w:pPr>
            <w:r>
              <w:rPr>
                <w:rFonts w:hint="eastAsia" w:ascii="仿宋" w:hAnsi="仿宋" w:cs="仿宋"/>
                <w:color w:val="000000"/>
                <w:sz w:val="20"/>
                <w:szCs w:val="20"/>
                <w:highlight w:val="none"/>
              </w:rPr>
              <w:t>（2）供货方案较为完整包含上述方案全部内容，响应项目实际需求；调试（安装）等内容较为合理；项目实施进度计划、供货期保障措施具有可操作性得3分。</w:t>
            </w:r>
          </w:p>
          <w:p w14:paraId="5D79515B">
            <w:pPr>
              <w:rPr>
                <w:rFonts w:ascii="仿宋" w:hAnsi="仿宋" w:cs="仿宋"/>
                <w:color w:val="auto"/>
                <w:sz w:val="20"/>
                <w:szCs w:val="20"/>
                <w:highlight w:val="none"/>
              </w:rPr>
            </w:pPr>
            <w:r>
              <w:rPr>
                <w:rFonts w:hint="eastAsia" w:ascii="仿宋" w:hAnsi="仿宋" w:cs="仿宋"/>
                <w:color w:val="000000"/>
                <w:sz w:val="20"/>
                <w:szCs w:val="20"/>
                <w:highlight w:val="none"/>
              </w:rPr>
              <w:t>（3）供货方案不完整，基本响应项目实际需求；人员配备基本齐全且职责明确、相关方案内容缺</w:t>
            </w:r>
            <w:r>
              <w:rPr>
                <w:rFonts w:hint="eastAsia" w:ascii="仿宋" w:hAnsi="仿宋" w:cs="仿宋"/>
                <w:color w:val="auto"/>
                <w:sz w:val="20"/>
                <w:szCs w:val="20"/>
                <w:highlight w:val="none"/>
              </w:rPr>
              <w:t>乏合理性，实际操作存在一定难度得1分。</w:t>
            </w:r>
          </w:p>
          <w:p w14:paraId="2081B07E">
            <w:pPr>
              <w:rPr>
                <w:rFonts w:ascii="仿宋" w:hAnsi="仿宋" w:cs="仿宋"/>
                <w:color w:val="auto"/>
                <w:sz w:val="20"/>
                <w:szCs w:val="20"/>
                <w:highlight w:val="none"/>
              </w:rPr>
            </w:pPr>
            <w:r>
              <w:rPr>
                <w:rFonts w:hint="eastAsia" w:ascii="仿宋" w:hAnsi="仿宋" w:cs="仿宋"/>
                <w:color w:val="auto"/>
                <w:sz w:val="20"/>
                <w:szCs w:val="20"/>
                <w:highlight w:val="none"/>
              </w:rPr>
              <w:t>（4）未提供供货方案或提供方案相关内容不实的、与实际情况不符、或未能满足项目实际需求的0分。</w:t>
            </w:r>
          </w:p>
          <w:p w14:paraId="40E6A94F">
            <w:pP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lang w:val="en-US" w:eastAsia="zh-CN"/>
              </w:rPr>
              <w:t>二、供应商在交货期 90天的基础上，每提前15天交货得1分，最高得3分，提供承诺函并加盖供应商公章，未提供不得分。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DB3CA3C">
            <w:pPr>
              <w:jc w:val="center"/>
              <w:rPr>
                <w:rFonts w:hint="default"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8</w:t>
            </w:r>
          </w:p>
        </w:tc>
      </w:tr>
      <w:tr w14:paraId="1B619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left w:val="single" w:color="000000" w:sz="4" w:space="0"/>
              <w:right w:val="single" w:color="000000" w:sz="4" w:space="0"/>
            </w:tcBorders>
            <w:noWrap w:val="0"/>
            <w:vAlign w:val="center"/>
          </w:tcPr>
          <w:p w14:paraId="28165290">
            <w:pPr>
              <w:pStyle w:val="42"/>
              <w:keepNext w:val="0"/>
              <w:keepLines w:val="0"/>
              <w:pageBreakBefore w:val="0"/>
              <w:kinsoku/>
              <w:wordWrap/>
              <w:overflowPunct/>
              <w:topLinePunct w:val="0"/>
              <w:bidi w:val="0"/>
              <w:snapToGrid w:val="0"/>
              <w:spacing w:before="0" w:after="312" w:line="240" w:lineRule="auto"/>
              <w:ind w:firstLine="0" w:firstLineChars="0"/>
              <w:jc w:val="center"/>
              <w:rPr>
                <w:rStyle w:val="43"/>
                <w:rFonts w:hint="eastAsia" w:ascii="仿宋" w:hAnsi="仿宋" w:eastAsia="仿宋" w:cs="仿宋"/>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BC4144">
            <w:pPr>
              <w:jc w:val="center"/>
              <w:rPr>
                <w:rFonts w:hint="eastAsia"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产品质量控制保障措施</w:t>
            </w: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5D8B8CBC">
            <w:pPr>
              <w:rPr>
                <w:rFonts w:ascii="仿宋" w:hAnsi="仿宋" w:cs="仿宋"/>
                <w:color w:val="000000"/>
                <w:szCs w:val="21"/>
                <w:highlight w:val="none"/>
              </w:rPr>
            </w:pPr>
            <w:r>
              <w:rPr>
                <w:rFonts w:hint="eastAsia" w:ascii="仿宋" w:hAnsi="仿宋" w:cs="仿宋"/>
                <w:color w:val="000000"/>
                <w:szCs w:val="21"/>
                <w:highlight w:val="none"/>
              </w:rPr>
              <w:t>产品质量控制保障措施内容包含但不限于产品质量检查、检测设备配备、检查流程、质量控制管理制度等内容。</w:t>
            </w:r>
          </w:p>
          <w:p w14:paraId="660D6303">
            <w:pPr>
              <w:rPr>
                <w:rFonts w:ascii="仿宋" w:hAnsi="仿宋" w:cs="仿宋"/>
                <w:color w:val="000000"/>
                <w:szCs w:val="21"/>
                <w:highlight w:val="none"/>
              </w:rPr>
            </w:pPr>
            <w:r>
              <w:rPr>
                <w:rFonts w:hint="eastAsia" w:ascii="仿宋" w:hAnsi="仿宋" w:cs="仿宋"/>
                <w:color w:val="000000"/>
                <w:szCs w:val="21"/>
                <w:highlight w:val="none"/>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测设备配备齐全且先进，检查流程具有很高的可操作性；质量控制管理制度规范严谨且全面得5分。</w:t>
            </w:r>
          </w:p>
          <w:p w14:paraId="5086A3D2">
            <w:pPr>
              <w:rPr>
                <w:rFonts w:ascii="仿宋" w:hAnsi="仿宋" w:cs="仿宋"/>
                <w:color w:val="000000"/>
                <w:szCs w:val="21"/>
                <w:highlight w:val="none"/>
              </w:rPr>
            </w:pPr>
            <w:r>
              <w:rPr>
                <w:rFonts w:hint="eastAsia" w:ascii="仿宋" w:hAnsi="仿宋" w:cs="仿宋"/>
                <w:color w:val="000000"/>
                <w:szCs w:val="21"/>
                <w:highlight w:val="none"/>
              </w:rPr>
              <w:t>（2）产品质量控制保障措施较为完整包含上述方案全部内容，响应项目实际需求，产品质量检查等内容较为合理，检测设备较为齐全、检查流程具有可操作性；质量控制管理制较为规范且基本全面得3分。</w:t>
            </w:r>
          </w:p>
          <w:p w14:paraId="4266C231">
            <w:pPr>
              <w:rPr>
                <w:rFonts w:ascii="仿宋" w:hAnsi="仿宋" w:cs="仿宋"/>
                <w:color w:val="000000"/>
                <w:szCs w:val="21"/>
                <w:highlight w:val="none"/>
              </w:rPr>
            </w:pPr>
            <w:r>
              <w:rPr>
                <w:rFonts w:hint="eastAsia" w:ascii="仿宋" w:hAnsi="仿宋" w:cs="仿宋"/>
                <w:color w:val="000000"/>
                <w:szCs w:val="21"/>
                <w:highlight w:val="none"/>
              </w:rPr>
              <w:t>（3）产品质量控制保障措施不完整，基本响应项目实际需求；相关方案内容缺乏合理性，实际操作存在一定难度得1分。</w:t>
            </w:r>
          </w:p>
          <w:p w14:paraId="71A9F306">
            <w:pPr>
              <w:rPr>
                <w:rFonts w:hint="eastAsia"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（4）未提供产品质量控制保障措施或提供措施相关内容不实的、与实际情况不符、或未能满足项目实际需求的0分。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FFD382E">
            <w:pPr>
              <w:jc w:val="center"/>
              <w:rPr>
                <w:rFonts w:hint="eastAsia" w:ascii="仿宋_GB2312" w:hAnsi="仿宋_GB2312" w:eastAsia="仿宋_GB2312" w:cs="仿宋_GB2312"/>
                <w:color w:val="auto"/>
                <w:highlight w:val="none"/>
                <w:lang w:val="en-US" w:eastAsia="zh-CN"/>
              </w:rPr>
            </w:pPr>
            <w:r>
              <w:rPr>
                <w:rFonts w:hint="eastAsia" w:ascii="仿宋" w:hAnsi="仿宋" w:cs="仿宋"/>
                <w:color w:val="000000"/>
                <w:szCs w:val="21"/>
                <w:highlight w:val="none"/>
              </w:rPr>
              <w:t>5</w:t>
            </w:r>
          </w:p>
        </w:tc>
      </w:tr>
      <w:tr w14:paraId="3B689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left w:val="single" w:color="000000" w:sz="4" w:space="0"/>
              <w:right w:val="single" w:color="000000" w:sz="4" w:space="0"/>
            </w:tcBorders>
            <w:noWrap w:val="0"/>
            <w:vAlign w:val="center"/>
          </w:tcPr>
          <w:p w14:paraId="26C28649">
            <w:pPr>
              <w:pStyle w:val="42"/>
              <w:keepNext w:val="0"/>
              <w:keepLines w:val="0"/>
              <w:pageBreakBefore w:val="0"/>
              <w:kinsoku/>
              <w:wordWrap/>
              <w:overflowPunct/>
              <w:topLinePunct w:val="0"/>
              <w:bidi w:val="0"/>
              <w:snapToGrid w:val="0"/>
              <w:spacing w:before="0" w:after="312" w:line="240" w:lineRule="auto"/>
              <w:ind w:firstLine="0" w:firstLineChars="0"/>
              <w:jc w:val="center"/>
              <w:rPr>
                <w:rStyle w:val="43"/>
                <w:rFonts w:hint="eastAsia" w:ascii="仿宋" w:hAnsi="仿宋" w:eastAsia="仿宋" w:cs="仿宋"/>
                <w:color w:val="auto"/>
                <w:sz w:val="21"/>
                <w:szCs w:val="21"/>
                <w:highlight w:val="none"/>
              </w:rPr>
            </w:pPr>
          </w:p>
        </w:tc>
        <w:tc>
          <w:tcPr>
            <w:tcW w:w="1559" w:type="dxa"/>
            <w:tcBorders>
              <w:top w:val="single" w:color="auto" w:sz="4" w:space="0"/>
              <w:left w:val="single" w:color="000000" w:sz="4" w:space="0"/>
              <w:bottom w:val="single" w:color="000000" w:sz="4" w:space="0"/>
              <w:right w:val="single" w:color="000000" w:sz="4" w:space="0"/>
            </w:tcBorders>
            <w:noWrap w:val="0"/>
            <w:vAlign w:val="center"/>
          </w:tcPr>
          <w:p w14:paraId="72E2A902">
            <w:pPr>
              <w:jc w:val="center"/>
              <w:rPr>
                <w:rFonts w:hint="eastAsia" w:ascii="仿宋_GB2312" w:hAnsi="仿宋_GB2312" w:eastAsia="仿宋_GB2312" w:cs="仿宋_GB2312"/>
                <w:color w:val="auto"/>
                <w:highlight w:val="none"/>
                <w:lang w:val="en-US" w:eastAsia="zh-CN"/>
              </w:rPr>
            </w:pPr>
            <w:r>
              <w:rPr>
                <w:rFonts w:hint="eastAsia" w:ascii="仿宋" w:hAnsi="仿宋" w:cs="仿宋"/>
                <w:color w:val="000000"/>
                <w:kern w:val="0"/>
                <w:szCs w:val="21"/>
                <w:highlight w:val="none"/>
              </w:rPr>
              <w:t>培训方案</w:t>
            </w:r>
          </w:p>
        </w:tc>
        <w:tc>
          <w:tcPr>
            <w:tcW w:w="5245" w:type="dxa"/>
            <w:tcBorders>
              <w:top w:val="single" w:color="auto" w:sz="4" w:space="0"/>
              <w:left w:val="single" w:color="000000" w:sz="4" w:space="0"/>
              <w:bottom w:val="single" w:color="000000" w:sz="4" w:space="0"/>
              <w:right w:val="single" w:color="000000" w:sz="4" w:space="0"/>
            </w:tcBorders>
            <w:noWrap w:val="0"/>
            <w:vAlign w:val="center"/>
          </w:tcPr>
          <w:p w14:paraId="4F6F69AC">
            <w:pPr>
              <w:rPr>
                <w:rFonts w:hint="eastAsia" w:ascii="仿宋" w:hAnsi="仿宋" w:cs="仿宋"/>
                <w:color w:val="000000"/>
                <w:sz w:val="20"/>
                <w:szCs w:val="20"/>
                <w:highlight w:val="none"/>
              </w:rPr>
            </w:pPr>
            <w:r>
              <w:rPr>
                <w:rFonts w:hint="eastAsia" w:ascii="仿宋" w:hAnsi="仿宋" w:cs="仿宋"/>
                <w:color w:val="000000"/>
                <w:sz w:val="20"/>
                <w:szCs w:val="20"/>
                <w:highlight w:val="none"/>
                <w:lang w:val="en-US" w:eastAsia="zh-CN"/>
              </w:rPr>
              <w:t>一、</w:t>
            </w:r>
            <w:r>
              <w:rPr>
                <w:rFonts w:hint="eastAsia" w:ascii="仿宋" w:hAnsi="仿宋" w:cs="仿宋"/>
                <w:color w:val="000000"/>
                <w:sz w:val="20"/>
                <w:szCs w:val="20"/>
                <w:highlight w:val="none"/>
              </w:rPr>
              <w:t>培训方案包含但不仅限于对使用方就有关设备安装（维护、操作使用）的培训、培训设备、产品技术培训安排等内容。</w:t>
            </w:r>
          </w:p>
          <w:p w14:paraId="300DE5D0">
            <w:pPr>
              <w:rPr>
                <w:rFonts w:hint="eastAsia" w:ascii="仿宋" w:hAnsi="仿宋" w:cs="仿宋"/>
                <w:color w:val="000000"/>
                <w:sz w:val="20"/>
                <w:szCs w:val="20"/>
                <w:highlight w:val="none"/>
              </w:rPr>
            </w:pPr>
            <w:r>
              <w:rPr>
                <w:rFonts w:hint="eastAsia" w:ascii="仿宋" w:hAnsi="仿宋" w:cs="仿宋"/>
                <w:color w:val="000000"/>
                <w:sz w:val="20"/>
                <w:szCs w:val="20"/>
                <w:highlight w:val="none"/>
                <w:lang w:val="en-US" w:eastAsia="zh-CN"/>
              </w:rPr>
              <w:t>（1）</w:t>
            </w:r>
            <w:r>
              <w:rPr>
                <w:rFonts w:hint="eastAsia" w:ascii="仿宋" w:hAnsi="仿宋" w:cs="仿宋"/>
                <w:color w:val="000000"/>
                <w:sz w:val="20"/>
                <w:szCs w:val="20"/>
                <w:highlight w:val="none"/>
              </w:rPr>
              <w:t>培训方案全面完整包含上述方案全部内容，针对本项目增加采购单位未提供需求而供应商认为需说明及补充的其他培训方案内容且合理，全面响应项目实际需求；培训方案系统、完整，培训设备充足，产品技术培训人员能力强、培训周期长、培训内容全面、培训计划科学合理且具有很高的操作性得</w:t>
            </w:r>
            <w:r>
              <w:rPr>
                <w:rFonts w:hint="eastAsia" w:ascii="仿宋" w:hAnsi="仿宋" w:cs="仿宋"/>
                <w:color w:val="000000"/>
                <w:sz w:val="20"/>
                <w:szCs w:val="20"/>
                <w:highlight w:val="none"/>
                <w:lang w:val="en-US" w:eastAsia="zh-CN"/>
              </w:rPr>
              <w:t>5</w:t>
            </w:r>
            <w:r>
              <w:rPr>
                <w:rFonts w:hint="eastAsia" w:ascii="仿宋" w:hAnsi="仿宋" w:cs="仿宋"/>
                <w:color w:val="000000"/>
                <w:sz w:val="20"/>
                <w:szCs w:val="20"/>
                <w:highlight w:val="none"/>
              </w:rPr>
              <w:t>分。</w:t>
            </w:r>
          </w:p>
          <w:p w14:paraId="04534A8E">
            <w:pPr>
              <w:rPr>
                <w:rFonts w:hint="eastAsia" w:ascii="仿宋" w:hAnsi="仿宋" w:cs="仿宋"/>
                <w:color w:val="000000"/>
                <w:sz w:val="20"/>
                <w:szCs w:val="20"/>
                <w:highlight w:val="none"/>
              </w:rPr>
            </w:pP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lang w:val="en-US" w:eastAsia="zh-CN"/>
              </w:rPr>
              <w:t>2</w:t>
            </w: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rPr>
              <w:t>培训方案全面完整包含上述方案全部内容，响应项目实际需求；培训方案较完善，培训设备较充足，产品技术培训人员能力基本满足项目需求、培训周期基本满足项目需求、培训内容较为全面、培训计划合理且具有可操作性得</w:t>
            </w:r>
            <w:r>
              <w:rPr>
                <w:rFonts w:hint="eastAsia" w:ascii="仿宋" w:hAnsi="仿宋" w:cs="仿宋"/>
                <w:color w:val="000000"/>
                <w:sz w:val="20"/>
                <w:szCs w:val="20"/>
                <w:highlight w:val="none"/>
                <w:lang w:val="en-US" w:eastAsia="zh-CN"/>
              </w:rPr>
              <w:t>3</w:t>
            </w:r>
            <w:r>
              <w:rPr>
                <w:rFonts w:hint="eastAsia" w:ascii="仿宋" w:hAnsi="仿宋" w:cs="仿宋"/>
                <w:color w:val="000000"/>
                <w:sz w:val="20"/>
                <w:szCs w:val="20"/>
                <w:highlight w:val="none"/>
              </w:rPr>
              <w:t>分。</w:t>
            </w:r>
          </w:p>
          <w:p w14:paraId="75F295CD">
            <w:pPr>
              <w:rPr>
                <w:rFonts w:hint="eastAsia" w:ascii="仿宋" w:hAnsi="仿宋" w:cs="仿宋"/>
                <w:color w:val="000000"/>
                <w:sz w:val="20"/>
                <w:szCs w:val="20"/>
                <w:highlight w:val="none"/>
              </w:rPr>
            </w:pP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lang w:val="en-US" w:eastAsia="zh-CN"/>
              </w:rPr>
              <w:t>3</w:t>
            </w: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rPr>
              <w:t>培训方案方案不完整，基本响应项目实际需求；培训方案不完善，产品技术培训实际操作存在一定难度得1分；</w:t>
            </w:r>
          </w:p>
          <w:p w14:paraId="778BD90B">
            <w:pPr>
              <w:rPr>
                <w:rFonts w:hint="eastAsia" w:ascii="仿宋" w:hAnsi="仿宋" w:cs="仿宋"/>
                <w:color w:val="000000"/>
                <w:sz w:val="20"/>
                <w:szCs w:val="20"/>
                <w:highlight w:val="none"/>
              </w:rPr>
            </w:pP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lang w:val="en-US" w:eastAsia="zh-CN"/>
              </w:rPr>
              <w:t>4</w:t>
            </w:r>
            <w:r>
              <w:rPr>
                <w:rFonts w:hint="eastAsia" w:ascii="仿宋" w:hAnsi="仿宋" w:cs="仿宋"/>
                <w:color w:val="000000"/>
                <w:sz w:val="20"/>
                <w:szCs w:val="20"/>
                <w:highlight w:val="none"/>
                <w:lang w:eastAsia="zh-CN"/>
              </w:rPr>
              <w:t>）</w:t>
            </w:r>
            <w:r>
              <w:rPr>
                <w:rFonts w:hint="eastAsia" w:ascii="仿宋" w:hAnsi="仿宋" w:cs="仿宋"/>
                <w:color w:val="000000"/>
                <w:sz w:val="20"/>
                <w:szCs w:val="20"/>
                <w:highlight w:val="none"/>
              </w:rPr>
              <w:t>未提供培训方案或提供方案相关内容不实的、与实际情况不符、或未能满足项目实际需求的0分。</w:t>
            </w:r>
          </w:p>
          <w:p w14:paraId="17DC0901">
            <w:pPr>
              <w:rPr>
                <w:rFonts w:hint="eastAsia" w:ascii="仿宋_GB2312" w:hAnsi="仿宋_GB2312" w:eastAsia="仿宋_GB2312" w:cs="仿宋_GB2312"/>
                <w:color w:val="auto"/>
                <w:highlight w:val="none"/>
                <w:lang w:val="en-US" w:eastAsia="zh-CN"/>
              </w:rPr>
            </w:pPr>
            <w:r>
              <w:rPr>
                <w:rFonts w:hint="eastAsia" w:ascii="仿宋" w:hAnsi="仿宋" w:cs="仿宋"/>
                <w:color w:val="000000"/>
                <w:sz w:val="20"/>
                <w:szCs w:val="20"/>
                <w:highlight w:val="none"/>
              </w:rPr>
              <w:t>二、培训方案外能额外提供12小时线上指导培训的得0.5分；培训方案外能额外提供24小时线上指导培训的得1分，需提供承诺函，满分得1分。未提供不得分。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69FDD73">
            <w:pPr>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000000"/>
                <w:highlight w:val="none"/>
              </w:rPr>
              <w:t>6</w:t>
            </w:r>
          </w:p>
        </w:tc>
      </w:tr>
      <w:tr w14:paraId="4F162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vMerge w:val="continue"/>
            <w:tcBorders>
              <w:left w:val="single" w:color="000000" w:sz="4" w:space="0"/>
              <w:right w:val="single" w:color="000000" w:sz="4" w:space="0"/>
            </w:tcBorders>
            <w:noWrap w:val="0"/>
            <w:vAlign w:val="center"/>
          </w:tcPr>
          <w:p w14:paraId="078FCDDD">
            <w:pPr>
              <w:pStyle w:val="42"/>
              <w:keepNext w:val="0"/>
              <w:keepLines w:val="0"/>
              <w:pageBreakBefore w:val="0"/>
              <w:kinsoku/>
              <w:wordWrap/>
              <w:overflowPunct/>
              <w:topLinePunct w:val="0"/>
              <w:bidi w:val="0"/>
              <w:snapToGrid w:val="0"/>
              <w:spacing w:before="0" w:after="312" w:line="240" w:lineRule="auto"/>
              <w:ind w:firstLine="0" w:firstLineChars="0"/>
              <w:jc w:val="center"/>
              <w:rPr>
                <w:rStyle w:val="43"/>
                <w:rFonts w:hint="eastAsia" w:ascii="仿宋" w:hAnsi="仿宋" w:eastAsia="仿宋" w:cs="仿宋"/>
                <w:color w:val="auto"/>
                <w:sz w:val="21"/>
                <w:szCs w:val="21"/>
                <w:highlight w:val="none"/>
              </w:rPr>
            </w:pPr>
          </w:p>
        </w:tc>
        <w:tc>
          <w:tcPr>
            <w:tcW w:w="1559" w:type="dxa"/>
            <w:tcBorders>
              <w:top w:val="single" w:color="auto" w:sz="4" w:space="0"/>
              <w:left w:val="single" w:color="000000" w:sz="4" w:space="0"/>
              <w:bottom w:val="single" w:color="000000" w:sz="4" w:space="0"/>
              <w:right w:val="single" w:color="000000" w:sz="4" w:space="0"/>
            </w:tcBorders>
            <w:noWrap w:val="0"/>
            <w:vAlign w:val="center"/>
          </w:tcPr>
          <w:p w14:paraId="49278387">
            <w:pPr>
              <w:jc w:val="center"/>
              <w:rPr>
                <w:rFonts w:hint="eastAsia" w:ascii="仿宋" w:hAnsi="仿宋" w:cs="仿宋"/>
                <w:color w:val="000000"/>
                <w:kern w:val="0"/>
                <w:szCs w:val="21"/>
                <w:highlight w:val="none"/>
              </w:rPr>
            </w:pPr>
            <w:r>
              <w:rPr>
                <w:rFonts w:hint="eastAsia" w:ascii="仿宋" w:hAnsi="仿宋" w:cs="仿宋"/>
                <w:color w:val="000000"/>
                <w:szCs w:val="21"/>
                <w:highlight w:val="none"/>
              </w:rPr>
              <w:t>售后服务方案</w:t>
            </w:r>
          </w:p>
        </w:tc>
        <w:tc>
          <w:tcPr>
            <w:tcW w:w="5245" w:type="dxa"/>
            <w:tcBorders>
              <w:top w:val="single" w:color="auto" w:sz="4" w:space="0"/>
              <w:left w:val="single" w:color="000000" w:sz="4" w:space="0"/>
              <w:bottom w:val="single" w:color="000000" w:sz="4" w:space="0"/>
              <w:right w:val="single" w:color="000000" w:sz="4" w:space="0"/>
            </w:tcBorders>
            <w:noWrap w:val="0"/>
            <w:vAlign w:val="center"/>
          </w:tcPr>
          <w:p w14:paraId="202D8E11">
            <w:pPr>
              <w:rPr>
                <w:rFonts w:ascii="仿宋" w:hAnsi="仿宋" w:cs="仿宋"/>
                <w:color w:val="000000"/>
                <w:sz w:val="20"/>
                <w:szCs w:val="20"/>
                <w:highlight w:val="none"/>
              </w:rPr>
            </w:pPr>
            <w:r>
              <w:rPr>
                <w:rFonts w:hint="eastAsia" w:ascii="仿宋" w:hAnsi="仿宋" w:cs="仿宋"/>
                <w:color w:val="000000"/>
                <w:sz w:val="20"/>
                <w:szCs w:val="20"/>
                <w:highlight w:val="none"/>
              </w:rPr>
              <w:t>一、售后服务方案内容包含但不限于服务人员配备、人员岗位职责、服务响应时间、售后服务人员的管理制度、常用备品备件的准备、巡检巡修的方式、频率、巡检保养情况档案记录整理等内容。</w:t>
            </w:r>
          </w:p>
          <w:p w14:paraId="41D5F19A">
            <w:pPr>
              <w:rPr>
                <w:rFonts w:ascii="仿宋" w:hAnsi="仿宋" w:cs="仿宋"/>
                <w:color w:val="000000"/>
                <w:sz w:val="20"/>
                <w:szCs w:val="20"/>
                <w:highlight w:val="none"/>
              </w:rPr>
            </w:pPr>
            <w:r>
              <w:rPr>
                <w:rFonts w:hint="eastAsia" w:ascii="仿宋" w:hAnsi="仿宋" w:cs="仿宋"/>
                <w:color w:val="000000"/>
                <w:sz w:val="20"/>
                <w:szCs w:val="20"/>
                <w:highlight w:val="none"/>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得4分。</w:t>
            </w:r>
          </w:p>
          <w:p w14:paraId="76069DE2">
            <w:pPr>
              <w:rPr>
                <w:rFonts w:ascii="仿宋" w:hAnsi="仿宋" w:cs="仿宋"/>
                <w:color w:val="000000"/>
                <w:sz w:val="20"/>
                <w:szCs w:val="20"/>
                <w:highlight w:val="none"/>
              </w:rPr>
            </w:pPr>
            <w:r>
              <w:rPr>
                <w:rFonts w:hint="eastAsia" w:ascii="仿宋" w:hAnsi="仿宋" w:cs="仿宋"/>
                <w:color w:val="000000"/>
                <w:sz w:val="20"/>
                <w:szCs w:val="20"/>
                <w:highlight w:val="none"/>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得2分。</w:t>
            </w:r>
          </w:p>
          <w:p w14:paraId="7534976C">
            <w:pPr>
              <w:rPr>
                <w:rFonts w:ascii="仿宋" w:hAnsi="仿宋" w:cs="仿宋"/>
                <w:color w:val="000000"/>
                <w:sz w:val="20"/>
                <w:szCs w:val="20"/>
                <w:highlight w:val="none"/>
              </w:rPr>
            </w:pPr>
            <w:r>
              <w:rPr>
                <w:rFonts w:hint="eastAsia" w:ascii="仿宋" w:hAnsi="仿宋" w:cs="仿宋"/>
                <w:color w:val="000000"/>
                <w:sz w:val="20"/>
                <w:szCs w:val="20"/>
                <w:highlight w:val="none"/>
              </w:rPr>
              <w:t>（3）售后服务方案不完整，相关方案内容缺乏合理性，服务人员配备不齐全或或未能满足项目实际需求的0分。</w:t>
            </w:r>
          </w:p>
          <w:p w14:paraId="39DBED56">
            <w:pPr>
              <w:rPr>
                <w:rFonts w:ascii="仿宋" w:hAnsi="仿宋" w:cs="仿宋"/>
                <w:color w:val="000000"/>
                <w:sz w:val="20"/>
                <w:szCs w:val="20"/>
                <w:highlight w:val="none"/>
              </w:rPr>
            </w:pPr>
            <w:r>
              <w:rPr>
                <w:rFonts w:hint="eastAsia" w:ascii="仿宋" w:hAnsi="仿宋" w:cs="仿宋"/>
                <w:color w:val="000000"/>
                <w:sz w:val="20"/>
                <w:szCs w:val="20"/>
                <w:highlight w:val="none"/>
              </w:rPr>
              <w:t>二、供应商在</w:t>
            </w:r>
            <w:r>
              <w:rPr>
                <w:rFonts w:hint="eastAsia" w:ascii="仿宋_GB2312" w:hAnsi="仿宋_GB2312" w:eastAsia="仿宋_GB2312" w:cs="仿宋_GB2312"/>
                <w:color w:val="auto"/>
                <w:szCs w:val="21"/>
                <w:highlight w:val="none"/>
              </w:rPr>
              <w:t>质量保证期</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年</w:t>
            </w:r>
            <w:r>
              <w:rPr>
                <w:rFonts w:hint="eastAsia" w:ascii="仿宋" w:hAnsi="仿宋" w:cs="仿宋"/>
                <w:color w:val="000000"/>
                <w:sz w:val="20"/>
                <w:szCs w:val="20"/>
                <w:highlight w:val="none"/>
              </w:rPr>
              <w:t>的基础上，每增加1年质量保证期得1分，最高得3分，提供承诺函并加盖公章</w:t>
            </w:r>
            <w:r>
              <w:rPr>
                <w:rFonts w:hint="eastAsia" w:ascii="仿宋" w:hAnsi="仿宋" w:cs="仿宋"/>
                <w:color w:val="000000"/>
                <w:sz w:val="20"/>
                <w:szCs w:val="20"/>
                <w:highlight w:val="none"/>
                <w:lang w:eastAsia="zh-CN"/>
              </w:rPr>
              <w:t>，</w:t>
            </w:r>
            <w:r>
              <w:rPr>
                <w:rFonts w:hint="eastAsia" w:ascii="仿宋" w:hAnsi="仿宋" w:cs="仿宋"/>
                <w:color w:val="000000"/>
                <w:szCs w:val="21"/>
                <w:highlight w:val="none"/>
              </w:rPr>
              <w:t>未提供不得分。</w:t>
            </w:r>
          </w:p>
          <w:p w14:paraId="1CF36855">
            <w:pPr>
              <w:jc w:val="left"/>
              <w:rPr>
                <w:rFonts w:hint="eastAsia" w:ascii="仿宋" w:hAnsi="仿宋" w:cs="仿宋"/>
                <w:color w:val="000000"/>
                <w:sz w:val="20"/>
                <w:szCs w:val="20"/>
                <w:highlight w:val="none"/>
              </w:rPr>
            </w:pPr>
            <w:r>
              <w:rPr>
                <w:rFonts w:hint="eastAsia" w:ascii="仿宋" w:hAnsi="仿宋" w:cs="仿宋"/>
                <w:color w:val="000000"/>
                <w:sz w:val="20"/>
                <w:szCs w:val="20"/>
                <w:highlight w:val="none"/>
              </w:rPr>
              <w:t>三、质保期外，如设备损坏需要更换配件，只收取配件成本费用、免工程师维修费和差旅等人工费的得1分；除收取配件成本费用外，另需收取工程师维修费和差旅等人工费的得0.5分。需提供承诺函，满分得1分。未提供不得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6C76FF">
            <w:pPr>
              <w:jc w:val="center"/>
              <w:rPr>
                <w:rFonts w:hint="eastAsia" w:ascii="仿宋_GB2312" w:hAnsi="仿宋_GB2312" w:eastAsia="仿宋_GB2312" w:cs="仿宋_GB2312"/>
                <w:color w:val="000000"/>
                <w:highlight w:val="none"/>
              </w:rPr>
            </w:pPr>
            <w:r>
              <w:rPr>
                <w:rFonts w:hint="eastAsia" w:ascii="仿宋" w:hAnsi="仿宋" w:cs="仿宋"/>
                <w:color w:val="000000"/>
                <w:szCs w:val="21"/>
                <w:highlight w:val="none"/>
              </w:rPr>
              <w:t>8</w:t>
            </w:r>
          </w:p>
        </w:tc>
      </w:tr>
      <w:tr w14:paraId="10B2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281" w:type="dxa"/>
            <w:tcBorders>
              <w:top w:val="single" w:color="000000" w:sz="4" w:space="0"/>
              <w:left w:val="single" w:color="000000" w:sz="4" w:space="0"/>
              <w:bottom w:val="single" w:color="000000" w:sz="4" w:space="0"/>
              <w:right w:val="single" w:color="000000" w:sz="4" w:space="0"/>
            </w:tcBorders>
            <w:noWrap w:val="0"/>
            <w:vAlign w:val="center"/>
          </w:tcPr>
          <w:p w14:paraId="32005720">
            <w:pPr>
              <w:spacing w:line="240" w:lineRule="auto"/>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合  计</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AA044C2">
            <w:pPr>
              <w:spacing w:line="240" w:lineRule="auto"/>
              <w:jc w:val="center"/>
              <w:rPr>
                <w:rFonts w:hint="eastAsia" w:ascii="仿宋_GB2312" w:hAnsi="仿宋_GB2312" w:eastAsia="仿宋_GB2312" w:cs="仿宋_GB2312"/>
                <w:color w:val="auto"/>
                <w:highlight w:val="none"/>
                <w:lang w:val="en-US" w:eastAsia="zh-CN"/>
              </w:rPr>
            </w:pPr>
          </w:p>
        </w:tc>
        <w:tc>
          <w:tcPr>
            <w:tcW w:w="5245" w:type="dxa"/>
            <w:tcBorders>
              <w:top w:val="single" w:color="000000" w:sz="4" w:space="0"/>
              <w:left w:val="single" w:color="000000" w:sz="4" w:space="0"/>
              <w:bottom w:val="single" w:color="000000" w:sz="4" w:space="0"/>
              <w:right w:val="single" w:color="000000" w:sz="4" w:space="0"/>
            </w:tcBorders>
            <w:noWrap w:val="0"/>
            <w:vAlign w:val="center"/>
          </w:tcPr>
          <w:p w14:paraId="253341CC">
            <w:pPr>
              <w:spacing w:line="240" w:lineRule="auto"/>
              <w:jc w:val="center"/>
              <w:rPr>
                <w:rFonts w:hint="eastAsia" w:ascii="仿宋_GB2312" w:hAnsi="仿宋_GB2312" w:eastAsia="仿宋_GB2312" w:cs="仿宋_GB2312"/>
                <w:color w:val="auto"/>
                <w:highlight w:val="none"/>
                <w:lang w:val="en-US" w:eastAsia="zh-CN"/>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F780A7">
            <w:pPr>
              <w:spacing w:line="240" w:lineRule="auto"/>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fldChar w:fldCharType="begin"/>
            </w:r>
            <w:r>
              <w:rPr>
                <w:rFonts w:hint="eastAsia" w:ascii="仿宋_GB2312" w:hAnsi="仿宋_GB2312" w:eastAsia="仿宋_GB2312" w:cs="仿宋_GB2312"/>
                <w:color w:val="auto"/>
                <w:highlight w:val="none"/>
                <w:lang w:val="en-US" w:eastAsia="zh-CN"/>
              </w:rPr>
              <w:instrText xml:space="preserve"> =SUM(ABOVE) </w:instrText>
            </w:r>
            <w:r>
              <w:rPr>
                <w:rFonts w:hint="eastAsia" w:ascii="仿宋_GB2312" w:hAnsi="仿宋_GB2312" w:eastAsia="仿宋_GB2312" w:cs="仿宋_GB2312"/>
                <w:color w:val="auto"/>
                <w:highlight w:val="none"/>
                <w:lang w:val="en-US" w:eastAsia="zh-CN"/>
              </w:rPr>
              <w:fldChar w:fldCharType="end"/>
            </w:r>
            <w:r>
              <w:rPr>
                <w:rFonts w:hint="eastAsia" w:ascii="仿宋_GB2312" w:hAnsi="仿宋_GB2312" w:eastAsia="仿宋_GB2312" w:cs="仿宋_GB2312"/>
                <w:color w:val="auto"/>
                <w:highlight w:val="none"/>
                <w:lang w:val="en-US" w:eastAsia="zh-CN"/>
              </w:rPr>
              <w:fldChar w:fldCharType="begin"/>
            </w:r>
            <w:r>
              <w:rPr>
                <w:rFonts w:hint="eastAsia" w:ascii="仿宋_GB2312" w:hAnsi="仿宋_GB2312" w:eastAsia="仿宋_GB2312" w:cs="仿宋_GB2312"/>
                <w:color w:val="auto"/>
                <w:highlight w:val="none"/>
                <w:lang w:val="en-US" w:eastAsia="zh-CN"/>
              </w:rPr>
              <w:instrText xml:space="preserve"> =SUM(ABOVE) </w:instrText>
            </w:r>
            <w:r>
              <w:rPr>
                <w:rFonts w:hint="eastAsia" w:ascii="仿宋_GB2312" w:hAnsi="仿宋_GB2312" w:eastAsia="仿宋_GB2312" w:cs="仿宋_GB2312"/>
                <w:color w:val="auto"/>
                <w:highlight w:val="none"/>
                <w:lang w:val="en-US" w:eastAsia="zh-CN"/>
              </w:rPr>
              <w:fldChar w:fldCharType="separate"/>
            </w:r>
            <w:r>
              <w:rPr>
                <w:rFonts w:hint="eastAsia" w:ascii="仿宋_GB2312" w:hAnsi="仿宋_GB2312" w:eastAsia="仿宋_GB2312" w:cs="仿宋_GB2312"/>
                <w:color w:val="auto"/>
                <w:highlight w:val="none"/>
                <w:lang w:val="en-US" w:eastAsia="zh-CN"/>
              </w:rPr>
              <w:t>100</w:t>
            </w:r>
            <w:r>
              <w:rPr>
                <w:rFonts w:hint="eastAsia" w:ascii="仿宋_GB2312" w:hAnsi="仿宋_GB2312" w:eastAsia="仿宋_GB2312" w:cs="仿宋_GB2312"/>
                <w:color w:val="auto"/>
                <w:highlight w:val="none"/>
                <w:lang w:val="en-US" w:eastAsia="zh-CN"/>
              </w:rPr>
              <w:fldChar w:fldCharType="end"/>
            </w:r>
          </w:p>
        </w:tc>
      </w:tr>
    </w:tbl>
    <w:p w14:paraId="09C5B4F0">
      <w:pPr>
        <w:rPr>
          <w:rFonts w:hint="eastAsia" w:ascii="仿宋" w:hAnsi="仿宋" w:cs="仿宋"/>
          <w:color w:val="000000"/>
        </w:rPr>
      </w:pPr>
    </w:p>
    <w:p w14:paraId="71942FE6">
      <w:pPr>
        <w:rPr>
          <w:rFonts w:hint="eastAsia" w:ascii="仿宋" w:hAnsi="仿宋" w:cs="仿宋"/>
          <w:color w:val="000000"/>
        </w:rPr>
      </w:pPr>
    </w:p>
    <w:p w14:paraId="19A8BA12">
      <w:pPr>
        <w:rPr>
          <w:rFonts w:ascii="仿宋" w:hAnsi="仿宋" w:cs="仿宋"/>
          <w:color w:val="000000"/>
        </w:rPr>
      </w:pPr>
      <w:r>
        <w:rPr>
          <w:rFonts w:hint="eastAsia" w:ascii="仿宋" w:hAnsi="仿宋" w:cs="仿宋"/>
          <w:color w:val="000000"/>
        </w:rPr>
        <w:t>（二）加分项评分标准</w:t>
      </w:r>
    </w:p>
    <w:p w14:paraId="20500875">
      <w:pPr>
        <w:rPr>
          <w:rFonts w:ascii="仿宋" w:hAnsi="仿宋" w:cs="仿宋"/>
          <w:color w:val="00000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3"/>
        <w:gridCol w:w="7373"/>
      </w:tblGrid>
      <w:tr w14:paraId="0F9C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3" w:type="dxa"/>
            <w:noWrap/>
            <w:vAlign w:val="top"/>
          </w:tcPr>
          <w:p w14:paraId="3AB69598">
            <w:pPr>
              <w:rPr>
                <w:rFonts w:ascii="仿宋" w:hAnsi="仿宋" w:cs="仿宋"/>
                <w:color w:val="000000"/>
              </w:rPr>
            </w:pPr>
            <w:r>
              <w:rPr>
                <w:rFonts w:hint="eastAsia" w:ascii="仿宋" w:hAnsi="仿宋" w:cs="仿宋"/>
                <w:color w:val="000000"/>
              </w:rPr>
              <w:t>加分因素</w:t>
            </w:r>
          </w:p>
        </w:tc>
        <w:tc>
          <w:tcPr>
            <w:tcW w:w="7373" w:type="dxa"/>
            <w:noWrap/>
            <w:vAlign w:val="top"/>
          </w:tcPr>
          <w:p w14:paraId="76FE6C24">
            <w:pPr>
              <w:rPr>
                <w:rFonts w:ascii="仿宋" w:hAnsi="仿宋" w:cs="仿宋"/>
                <w:color w:val="000000"/>
              </w:rPr>
            </w:pPr>
            <w:r>
              <w:rPr>
                <w:rFonts w:hint="eastAsia" w:ascii="仿宋" w:hAnsi="仿宋" w:cs="仿宋"/>
                <w:color w:val="000000"/>
              </w:rPr>
              <w:t>加分说明</w:t>
            </w:r>
          </w:p>
        </w:tc>
      </w:tr>
      <w:tr w14:paraId="5E30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3" w:type="dxa"/>
            <w:noWrap/>
            <w:vAlign w:val="top"/>
          </w:tcPr>
          <w:p w14:paraId="56DC767E">
            <w:pPr>
              <w:rPr>
                <w:rFonts w:ascii="仿宋" w:hAnsi="仿宋" w:cs="仿宋"/>
                <w:color w:val="000000"/>
              </w:rPr>
            </w:pPr>
            <w:r>
              <w:rPr>
                <w:rFonts w:hint="eastAsia" w:ascii="仿宋" w:hAnsi="仿宋" w:cs="仿宋"/>
                <w:color w:val="000000"/>
              </w:rPr>
              <w:t>节能产品</w:t>
            </w:r>
          </w:p>
        </w:tc>
        <w:tc>
          <w:tcPr>
            <w:tcW w:w="7373" w:type="dxa"/>
            <w:noWrap/>
            <w:vAlign w:val="top"/>
          </w:tcPr>
          <w:p w14:paraId="372C895E">
            <w:pPr>
              <w:rPr>
                <w:rFonts w:ascii="仿宋" w:hAnsi="仿宋" w:cs="仿宋"/>
                <w:color w:val="000000"/>
              </w:rPr>
            </w:pPr>
            <w:r>
              <w:rPr>
                <w:rFonts w:hint="eastAsia" w:ascii="仿宋" w:hAnsi="仿宋" w:cs="仿宋"/>
                <w:color w:val="000000"/>
              </w:rPr>
              <w:t>对于清单中的投标产品价格给予价格部分总分值 3%的加分，计算公式如下：</w:t>
            </w:r>
          </w:p>
          <w:p w14:paraId="4E9D6BF5">
            <w:pPr>
              <w:rPr>
                <w:rFonts w:ascii="仿宋" w:hAnsi="仿宋" w:cs="仿宋"/>
                <w:color w:val="000000"/>
              </w:rPr>
            </w:pPr>
            <w:r>
              <w:rPr>
                <w:rFonts w:hint="eastAsia" w:ascii="仿宋" w:hAnsi="仿宋" w:cs="仿宋"/>
                <w:color w:val="000000"/>
              </w:rPr>
              <w:t>节能产品加分＝（节能产品投标报价之和/投标总价）×价格部分总分值 ×3%。</w:t>
            </w:r>
          </w:p>
        </w:tc>
      </w:tr>
      <w:tr w14:paraId="374E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3" w:type="dxa"/>
            <w:noWrap/>
            <w:vAlign w:val="top"/>
          </w:tcPr>
          <w:p w14:paraId="58C52F91">
            <w:pPr>
              <w:rPr>
                <w:rFonts w:ascii="仿宋" w:hAnsi="仿宋" w:cs="仿宋"/>
                <w:color w:val="000000"/>
              </w:rPr>
            </w:pPr>
            <w:r>
              <w:rPr>
                <w:rFonts w:hint="eastAsia" w:ascii="仿宋" w:hAnsi="仿宋" w:cs="仿宋"/>
                <w:color w:val="000000"/>
              </w:rPr>
              <w:t>环保产品</w:t>
            </w:r>
          </w:p>
        </w:tc>
        <w:tc>
          <w:tcPr>
            <w:tcW w:w="7373" w:type="dxa"/>
            <w:noWrap/>
            <w:vAlign w:val="top"/>
          </w:tcPr>
          <w:p w14:paraId="568AFA3C">
            <w:pPr>
              <w:rPr>
                <w:rFonts w:ascii="仿宋" w:hAnsi="仿宋" w:cs="仿宋"/>
                <w:color w:val="000000"/>
              </w:rPr>
            </w:pPr>
            <w:r>
              <w:rPr>
                <w:rFonts w:hint="eastAsia" w:ascii="仿宋" w:hAnsi="仿宋" w:cs="仿宋"/>
                <w:color w:val="000000"/>
              </w:rPr>
              <w:t>对于清单中的投标产品价格给予价格部分总分值 3%的加分，计算公式如下：</w:t>
            </w:r>
          </w:p>
          <w:p w14:paraId="01D14CB0">
            <w:pPr>
              <w:rPr>
                <w:rFonts w:ascii="仿宋" w:hAnsi="仿宋" w:cs="仿宋"/>
                <w:color w:val="000000"/>
              </w:rPr>
            </w:pPr>
            <w:r>
              <w:rPr>
                <w:rFonts w:hint="eastAsia" w:ascii="仿宋" w:hAnsi="仿宋" w:cs="仿宋"/>
                <w:color w:val="000000"/>
              </w:rPr>
              <w:t>环保产品加分＝（环保产品投标报价之和/投标总价）×价格部分总分值 ×3%。</w:t>
            </w:r>
          </w:p>
        </w:tc>
      </w:tr>
    </w:tbl>
    <w:p w14:paraId="1784B4AC">
      <w:pPr>
        <w:widowControl/>
        <w:shd w:val="clear" w:color="auto" w:fill="FFFFFF"/>
        <w:spacing w:line="240" w:lineRule="exact"/>
        <w:jc w:val="left"/>
        <w:rPr>
          <w:rFonts w:ascii="仿宋_GB2312" w:hAnsi="仿宋_GB2312" w:eastAsia="仿宋_GB2312" w:cs="仿宋_GB2312"/>
          <w:color w:val="auto"/>
          <w:kern w:val="0"/>
          <w:szCs w:val="21"/>
        </w:rPr>
      </w:pPr>
    </w:p>
    <w:p w14:paraId="4FAE83C0">
      <w:pPr>
        <w:pStyle w:val="2"/>
        <w:adjustRightInd w:val="0"/>
        <w:snapToGrid w:val="0"/>
        <w:spacing w:before="312" w:beforeLines="100" w:after="312" w:afterLines="100"/>
        <w:rPr>
          <w:rFonts w:hint="default" w:ascii="仿宋" w:hAnsi="仿宋" w:eastAsia="仿宋" w:cs="仿宋"/>
          <w:color w:val="000000"/>
          <w:highlight w:val="none"/>
          <w:lang w:val="en-US" w:eastAsia="zh-CN"/>
        </w:rPr>
      </w:pPr>
      <w:r>
        <w:rPr>
          <w:rFonts w:hint="eastAsia"/>
          <w:color w:val="auto"/>
        </w:rPr>
        <w:br w:type="page"/>
      </w:r>
      <w:bookmarkEnd w:id="132"/>
      <w:bookmarkStart w:id="134" w:name="_Toc23308"/>
      <w:r>
        <w:rPr>
          <w:rFonts w:hint="eastAsia" w:ascii="仿宋" w:hAnsi="仿宋" w:cs="仿宋"/>
          <w:color w:val="000000"/>
          <w:highlight w:val="none"/>
          <w:lang w:val="en-US" w:eastAsia="zh-CN"/>
        </w:rPr>
        <w:t xml:space="preserve">第五章 </w:t>
      </w:r>
      <w:r>
        <w:rPr>
          <w:rFonts w:hint="eastAsia" w:ascii="仿宋_GB2312" w:hAnsi="仿宋_GB2312" w:eastAsia="仿宋_GB2312" w:cs="仿宋_GB2312"/>
        </w:rPr>
        <w:t>政府采购合同条款及格式</w:t>
      </w:r>
      <w:bookmarkEnd w:id="134"/>
    </w:p>
    <w:p w14:paraId="19AA11CF">
      <w:pPr>
        <w:adjustRightInd w:val="0"/>
        <w:snapToGrid w:val="0"/>
        <w:spacing w:line="360" w:lineRule="auto"/>
        <w:ind w:firstLine="411" w:firstLineChars="196"/>
        <w:rPr>
          <w:rFonts w:hint="eastAsia" w:ascii="仿宋_GB2312" w:hAnsi="宋体" w:eastAsia="仿宋_GB2312" w:cs="Times New Roman"/>
          <w:b/>
          <w:bCs/>
          <w:szCs w:val="21"/>
        </w:rPr>
      </w:pPr>
      <w:bookmarkStart w:id="135" w:name="_Toc23704_WPSOffice_Level1"/>
      <w:r>
        <w:rPr>
          <w:rFonts w:hint="eastAsia" w:ascii="仿宋_GB2312" w:hAnsi="宋体" w:eastAsia="仿宋_GB2312" w:cs="Times New Roman"/>
          <w:b/>
          <w:bCs/>
          <w:szCs w:val="21"/>
        </w:rPr>
        <w:t>合同条款</w:t>
      </w:r>
      <w:bookmarkEnd w:id="135"/>
    </w:p>
    <w:p w14:paraId="696D0EE5">
      <w:pPr>
        <w:spacing w:before="312" w:beforeLines="100" w:after="312" w:afterLines="100" w:line="480" w:lineRule="exact"/>
        <w:jc w:val="center"/>
        <w:outlineLvl w:val="9"/>
        <w:rPr>
          <w:rFonts w:ascii="仿宋_GB2312" w:hAnsi="仿宋_GB2312" w:eastAsia="仿宋_GB2312" w:cs="仿宋_GB2312"/>
          <w:b/>
          <w:sz w:val="44"/>
          <w:szCs w:val="44"/>
        </w:rPr>
      </w:pPr>
      <w:bookmarkStart w:id="136" w:name="_Toc30224_WPSOffice_Level1"/>
      <w:r>
        <w:rPr>
          <w:rFonts w:hint="eastAsia" w:ascii="仿宋_GB2312" w:hAnsi="仿宋_GB2312" w:eastAsia="仿宋_GB2312" w:cs="仿宋_GB2312"/>
          <w:b/>
          <w:sz w:val="44"/>
          <w:szCs w:val="44"/>
        </w:rPr>
        <w:t>政府采购合同条款</w:t>
      </w:r>
      <w:bookmarkEnd w:id="136"/>
    </w:p>
    <w:p w14:paraId="778651B9">
      <w:pPr>
        <w:wordWrap w:val="0"/>
        <w:adjustRightInd w:val="0"/>
        <w:snapToGrid w:val="0"/>
        <w:spacing w:line="360" w:lineRule="auto"/>
        <w:jc w:val="right"/>
        <w:rPr>
          <w:rFonts w:ascii="仿宋_GB2312" w:hAnsi="仿宋_GB2312" w:eastAsia="仿宋_GB2312" w:cs="仿宋_GB2312"/>
          <w:szCs w:val="21"/>
        </w:rPr>
      </w:pPr>
    </w:p>
    <w:p w14:paraId="1BF4030A">
      <w:pPr>
        <w:adjustRightInd w:val="0"/>
        <w:snapToGrid w:val="0"/>
        <w:spacing w:line="360" w:lineRule="auto"/>
        <w:ind w:firstLine="411" w:firstLineChars="196"/>
        <w:rPr>
          <w:rFonts w:ascii="仿宋_GB2312" w:hAnsi="宋体" w:eastAsia="仿宋_GB2312"/>
          <w:b/>
          <w:bCs/>
          <w:szCs w:val="21"/>
        </w:rPr>
      </w:pPr>
      <w:bookmarkStart w:id="137" w:name="_Toc25596_WPSOffice_Level1"/>
      <w:bookmarkStart w:id="138" w:name="_Toc10117_WPSOffice_Level1"/>
      <w:bookmarkStart w:id="139" w:name="_Toc398_WPSOffice_Level1"/>
      <w:r>
        <w:rPr>
          <w:rFonts w:hint="eastAsia" w:ascii="仿宋_GB2312" w:hAnsi="宋体" w:eastAsia="仿宋_GB2312"/>
          <w:b/>
          <w:bCs/>
          <w:szCs w:val="21"/>
        </w:rPr>
        <w:t>1.术语定义</w:t>
      </w:r>
      <w:bookmarkEnd w:id="137"/>
      <w:bookmarkEnd w:id="138"/>
      <w:bookmarkEnd w:id="139"/>
    </w:p>
    <w:p w14:paraId="01F3667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790578F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1.1“政府采购合同”指供需双方依照政府采购程序、按照招标文件、投标文件确定的事项所达成的协议，包括附件、附录和上述文件所提到的构成政府采购合同的所有文件。</w:t>
      </w:r>
    </w:p>
    <w:p w14:paraId="28413A3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1.2“政府采购合同价”指根据合同约定供方在正确地完全履行政府采购合同义务后，需方应支付给供方的价格。</w:t>
      </w:r>
    </w:p>
    <w:p w14:paraId="6CA8805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259E6BD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7DAF303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1.5“需方”指项目基本内容及要求中所述取得货物和服务的采购人。</w:t>
      </w:r>
    </w:p>
    <w:p w14:paraId="438B78E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1.6“供方”指项目基本内容及要求中所述提供产品和服务的中标人。</w:t>
      </w:r>
    </w:p>
    <w:p w14:paraId="66E041A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1.7“检验”指需方或者需方的最终用户收货后，按照本政府采购合同约定的标准对政府采购合同货物进行的检测与查验。</w:t>
      </w:r>
    </w:p>
    <w:p w14:paraId="12721F8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1.8“验收书”指需方对供方履行政府采购合同情况及结果进行现场检验和评估意见的文件。</w:t>
      </w:r>
    </w:p>
    <w:p w14:paraId="0CFA60E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1.9“技术资料”指安装、调试、使用、维修政府采购合同货物所应具备的产品使用说明书和、或使用指南、操作手册、维修指南、服务手册、电路图、产品演示等文件及音像资料。</w:t>
      </w:r>
    </w:p>
    <w:p w14:paraId="13E0892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1.10“保修期”指自验收书签署之日起，</w:t>
      </w:r>
      <w:r>
        <w:rPr>
          <w:rFonts w:hint="eastAsia" w:ascii="仿宋_GB2312" w:hAnsi="宋体" w:eastAsia="仿宋_GB2312"/>
          <w:color w:val="000000"/>
          <w:szCs w:val="21"/>
        </w:rPr>
        <w:t>供方以自担费用方式</w:t>
      </w:r>
      <w:r>
        <w:rPr>
          <w:rFonts w:hint="eastAsia" w:ascii="仿宋_GB2312" w:hAnsi="宋体" w:eastAsia="仿宋_GB2312"/>
          <w:szCs w:val="21"/>
        </w:rPr>
        <w:t>保证政府采购合同货物正常运行的时期。</w:t>
      </w:r>
    </w:p>
    <w:p w14:paraId="45523EA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1.11“第三人”是指本政府采购合同双方以外的任何中国境内外的自然人、法人或其它经济组织。</w:t>
      </w:r>
    </w:p>
    <w:p w14:paraId="37ED2B9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1.12“法律、法规”是指由中国各级政府及有关部门制定的法律、行政法规、地方性法规、规章及其它规范性文件的有关规定。</w:t>
      </w:r>
    </w:p>
    <w:p w14:paraId="75FDF97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1.13“招标文件”指采购人或者采购代理机构发布的招标文件。</w:t>
      </w:r>
    </w:p>
    <w:p w14:paraId="3D0AB56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1.14“投标文件”指供方按照采购代理机构招标文件的要求编制和递交，并最终被评标委员会接受的投标文件。</w:t>
      </w:r>
    </w:p>
    <w:p w14:paraId="271AB2DE">
      <w:bookmarkStart w:id="140" w:name="_Toc22454_WPSOffice_Level1"/>
      <w:bookmarkStart w:id="141" w:name="_Toc750_WPSOffice_Level1"/>
      <w:bookmarkStart w:id="142" w:name="_Toc29737_WPSOffice_Level1"/>
      <w:r>
        <w:rPr>
          <w:rFonts w:hint="eastAsia"/>
        </w:rPr>
        <w:t>2.技术指标</w:t>
      </w:r>
      <w:bookmarkEnd w:id="140"/>
      <w:bookmarkEnd w:id="141"/>
      <w:bookmarkEnd w:id="142"/>
    </w:p>
    <w:p w14:paraId="3B94B66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2.1交付产品的技术指标应与招标文件规定的技术指标要求及投标文件中的“技术规格偏离表及商务条款偏离表”的承诺内容相一致。</w:t>
      </w:r>
    </w:p>
    <w:p w14:paraId="287DCE3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2.2 除技术指标另有规定外，计量单位应该使用公制。</w:t>
      </w:r>
    </w:p>
    <w:p w14:paraId="4B57FCA5">
      <w:pPr>
        <w:adjustRightInd w:val="0"/>
        <w:snapToGrid w:val="0"/>
        <w:spacing w:line="360" w:lineRule="auto"/>
        <w:ind w:firstLine="411" w:firstLineChars="196"/>
        <w:rPr>
          <w:rFonts w:ascii="仿宋_GB2312" w:hAnsi="宋体" w:eastAsia="仿宋_GB2312"/>
          <w:b/>
          <w:szCs w:val="21"/>
        </w:rPr>
      </w:pPr>
      <w:bookmarkStart w:id="143" w:name="_Toc1538_WPSOffice_Level1"/>
      <w:bookmarkStart w:id="144" w:name="_Toc19640_WPSOffice_Level1"/>
      <w:bookmarkStart w:id="145" w:name="_Toc17648_WPSOffice_Level1"/>
      <w:r>
        <w:rPr>
          <w:rFonts w:hint="eastAsia" w:ascii="仿宋_GB2312" w:hAnsi="宋体" w:eastAsia="仿宋_GB2312"/>
          <w:b/>
          <w:szCs w:val="21"/>
        </w:rPr>
        <w:t>3.交货</w:t>
      </w:r>
      <w:bookmarkEnd w:id="143"/>
      <w:bookmarkEnd w:id="144"/>
      <w:bookmarkEnd w:id="145"/>
    </w:p>
    <w:p w14:paraId="44A0EA1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3.1供方按照合同约定的时间、地点一次性交齐本政府采购合同约定的全部货物</w:t>
      </w:r>
    </w:p>
    <w:p w14:paraId="6F91866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3.2供方交货的同时应提交下列文件：销售发票，制造厂商出具的质量检验证书、产品合格证以及招标文件、投标文件确定供方应随货物同时提供的其他资料。</w:t>
      </w:r>
    </w:p>
    <w:p w14:paraId="2BED21B7">
      <w:pPr>
        <w:adjustRightInd w:val="0"/>
        <w:snapToGrid w:val="0"/>
        <w:spacing w:line="360" w:lineRule="auto"/>
        <w:ind w:firstLine="411" w:firstLineChars="196"/>
        <w:rPr>
          <w:rFonts w:ascii="仿宋_GB2312" w:hAnsi="宋体" w:eastAsia="仿宋_GB2312"/>
          <w:b/>
          <w:szCs w:val="21"/>
        </w:rPr>
      </w:pPr>
      <w:bookmarkStart w:id="146" w:name="_Toc15048_WPSOffice_Level1"/>
      <w:bookmarkStart w:id="147" w:name="_Toc11745_WPSOffice_Level1"/>
      <w:bookmarkStart w:id="148" w:name="_Toc1266_WPSOffice_Level1"/>
      <w:r>
        <w:rPr>
          <w:rFonts w:hint="eastAsia" w:ascii="仿宋_GB2312" w:hAnsi="宋体" w:eastAsia="仿宋_GB2312"/>
          <w:b/>
          <w:szCs w:val="21"/>
        </w:rPr>
        <w:t>4.合同金额</w:t>
      </w:r>
      <w:bookmarkEnd w:id="146"/>
      <w:bookmarkEnd w:id="147"/>
      <w:bookmarkEnd w:id="148"/>
    </w:p>
    <w:p w14:paraId="79BE07BC">
      <w:pPr>
        <w:adjustRightInd w:val="0"/>
        <w:snapToGrid w:val="0"/>
        <w:spacing w:line="360" w:lineRule="auto"/>
        <w:ind w:firstLine="411" w:firstLineChars="196"/>
        <w:rPr>
          <w:rFonts w:ascii="仿宋_GB2312" w:hAnsi="宋体" w:eastAsia="仿宋_GB2312"/>
          <w:b/>
          <w:szCs w:val="21"/>
        </w:rPr>
      </w:pPr>
      <w:r>
        <w:rPr>
          <w:rFonts w:hint="eastAsia" w:ascii="仿宋_GB2312" w:hAnsi="宋体" w:eastAsia="仿宋_GB2312"/>
          <w:szCs w:val="21"/>
        </w:rPr>
        <w:t>根据政府采购合同文件要求，确定政府采购合同的总金额。</w:t>
      </w:r>
    </w:p>
    <w:p w14:paraId="30D0E364">
      <w:pPr>
        <w:adjustRightInd w:val="0"/>
        <w:snapToGrid w:val="0"/>
        <w:spacing w:line="360" w:lineRule="auto"/>
        <w:ind w:firstLine="411" w:firstLineChars="196"/>
        <w:rPr>
          <w:rFonts w:ascii="仿宋_GB2312" w:hAnsi="宋体" w:eastAsia="仿宋_GB2312"/>
          <w:b/>
          <w:szCs w:val="21"/>
        </w:rPr>
      </w:pPr>
      <w:bookmarkStart w:id="149" w:name="_Toc22359_WPSOffice_Level1"/>
      <w:bookmarkStart w:id="150" w:name="_Toc11969_WPSOffice_Level1"/>
      <w:bookmarkStart w:id="151" w:name="_Toc941_WPSOffice_Level1"/>
      <w:r>
        <w:rPr>
          <w:rFonts w:hint="eastAsia" w:ascii="仿宋_GB2312" w:hAnsi="宋体" w:eastAsia="仿宋_GB2312"/>
          <w:b/>
          <w:szCs w:val="21"/>
        </w:rPr>
        <w:t>5.付款</w:t>
      </w:r>
      <w:bookmarkEnd w:id="149"/>
      <w:bookmarkEnd w:id="150"/>
      <w:bookmarkEnd w:id="151"/>
    </w:p>
    <w:p w14:paraId="49B441B3">
      <w:pPr>
        <w:adjustRightInd w:val="0"/>
        <w:snapToGrid w:val="0"/>
        <w:spacing w:line="360" w:lineRule="auto"/>
        <w:ind w:firstLine="411" w:firstLineChars="196"/>
        <w:rPr>
          <w:rFonts w:ascii="仿宋_GB2312" w:hAnsi="宋体" w:eastAsia="仿宋_GB2312"/>
          <w:szCs w:val="21"/>
          <w:u w:val="single"/>
        </w:rPr>
      </w:pPr>
      <w:bookmarkStart w:id="152" w:name="_Toc22351_WPSOffice_Level2"/>
      <w:r>
        <w:rPr>
          <w:rFonts w:hint="eastAsia" w:ascii="仿宋_GB2312" w:hAnsi="宋体" w:eastAsia="仿宋_GB2312"/>
          <w:szCs w:val="21"/>
        </w:rPr>
        <w:t>5.1付款方式、条件：需方按照合同约定的方式和条件付款。</w:t>
      </w:r>
      <w:bookmarkEnd w:id="152"/>
    </w:p>
    <w:p w14:paraId="51BD5EB2">
      <w:pPr>
        <w:adjustRightInd w:val="0"/>
        <w:snapToGrid w:val="0"/>
        <w:spacing w:line="360" w:lineRule="auto"/>
        <w:ind w:firstLine="411" w:firstLineChars="196"/>
        <w:rPr>
          <w:rFonts w:ascii="仿宋_GB2312" w:hAnsi="宋体" w:eastAsia="仿宋_GB2312"/>
          <w:b/>
          <w:szCs w:val="21"/>
        </w:rPr>
      </w:pPr>
      <w:bookmarkStart w:id="153" w:name="_Toc10526_WPSOffice_Level1"/>
      <w:bookmarkStart w:id="154" w:name="_Toc27769_WPSOffice_Level1"/>
      <w:bookmarkStart w:id="155" w:name="_Toc30478_WPSOffice_Level1"/>
      <w:r>
        <w:rPr>
          <w:rFonts w:hint="eastAsia" w:ascii="仿宋_GB2312" w:hAnsi="宋体" w:eastAsia="仿宋_GB2312"/>
          <w:b/>
          <w:szCs w:val="21"/>
        </w:rPr>
        <w:t>6.验收</w:t>
      </w:r>
      <w:bookmarkEnd w:id="153"/>
      <w:bookmarkEnd w:id="154"/>
      <w:bookmarkEnd w:id="155"/>
    </w:p>
    <w:p w14:paraId="648BDA9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6.1供方提交的货物由需方或者需方的最终用户负责验收。</w:t>
      </w:r>
    </w:p>
    <w:p w14:paraId="0691B2C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6.2需方或者需方的最终用户应当按照采购合同规定的技术、服务等要求组织对供应商履约的验收，并出具验收书。验收书应当包括每一项技术、服务等要求的履约情况。</w:t>
      </w:r>
    </w:p>
    <w:p w14:paraId="42EF680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6.3大型或者复杂的项目，应当邀请国家认可的质量检测机构参加验收。</w:t>
      </w:r>
    </w:p>
    <w:p w14:paraId="70990AB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6.4政府向社会公众提供的公共服务项目，验收时应当邀请服务对象参与并出具意见，验收结果应当向社会公告。</w:t>
      </w:r>
    </w:p>
    <w:p w14:paraId="511862C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2BE3D60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6.6货物保修期自验收书签署之日起计算。</w:t>
      </w:r>
    </w:p>
    <w:p w14:paraId="0E87D398">
      <w:pPr>
        <w:adjustRightInd w:val="0"/>
        <w:snapToGrid w:val="0"/>
        <w:spacing w:line="360" w:lineRule="auto"/>
        <w:ind w:firstLine="411" w:firstLineChars="196"/>
        <w:rPr>
          <w:rFonts w:ascii="仿宋_GB2312" w:hAnsi="宋体" w:eastAsia="仿宋_GB2312"/>
          <w:b/>
          <w:szCs w:val="21"/>
        </w:rPr>
      </w:pPr>
      <w:bookmarkStart w:id="156" w:name="_Toc21868_WPSOffice_Level1"/>
      <w:bookmarkStart w:id="157" w:name="_Toc23127_WPSOffice_Level1"/>
      <w:bookmarkStart w:id="158" w:name="_Toc31292_WPSOffice_Level1"/>
      <w:r>
        <w:rPr>
          <w:rFonts w:hint="eastAsia" w:ascii="仿宋_GB2312" w:hAnsi="宋体" w:eastAsia="仿宋_GB2312"/>
          <w:b/>
          <w:szCs w:val="21"/>
        </w:rPr>
        <w:t>7.知识产权及有关规定</w:t>
      </w:r>
      <w:bookmarkEnd w:id="156"/>
      <w:bookmarkEnd w:id="157"/>
      <w:bookmarkEnd w:id="158"/>
    </w:p>
    <w:p w14:paraId="3CB9619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23C1792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7.2一方对另一方提供的技术资料、样件、图纸及其他与质量、技术、经营相关信息（包括但不限于价格、数量）有保密义务。双方应确保其人员及相关协作方承担保密义务。</w:t>
      </w:r>
    </w:p>
    <w:p w14:paraId="64A3DBC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5F7611D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7.4本合同中涉及保密和知识产权任何条款，在合同期限内及合同终止后持续有效。</w:t>
      </w:r>
    </w:p>
    <w:p w14:paraId="029E1840">
      <w:pPr>
        <w:adjustRightInd w:val="0"/>
        <w:snapToGrid w:val="0"/>
        <w:spacing w:line="360" w:lineRule="auto"/>
        <w:ind w:firstLine="411" w:firstLineChars="196"/>
        <w:rPr>
          <w:rFonts w:ascii="仿宋_GB2312" w:hAnsi="宋体" w:eastAsia="仿宋_GB2312"/>
          <w:b/>
          <w:szCs w:val="21"/>
        </w:rPr>
      </w:pPr>
      <w:bookmarkStart w:id="159" w:name="_Toc24765_WPSOffice_Level1"/>
      <w:bookmarkStart w:id="160" w:name="_Toc21090_WPSOffice_Level1"/>
      <w:bookmarkStart w:id="161" w:name="_Toc26796_WPSOffice_Level1"/>
      <w:r>
        <w:rPr>
          <w:rFonts w:hint="eastAsia" w:ascii="仿宋_GB2312" w:hAnsi="宋体" w:eastAsia="仿宋_GB2312"/>
          <w:b/>
          <w:szCs w:val="21"/>
        </w:rPr>
        <w:t>8.包装要求</w:t>
      </w:r>
      <w:bookmarkEnd w:id="159"/>
      <w:bookmarkEnd w:id="160"/>
      <w:bookmarkEnd w:id="161"/>
    </w:p>
    <w:p w14:paraId="6DDCEBC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71C267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8.2每一个包装箱内应附一份详细的装箱单和质量合格证书。</w:t>
      </w:r>
    </w:p>
    <w:p w14:paraId="28281B5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8.3包装费由供方承担，包装物不回收。</w:t>
      </w:r>
    </w:p>
    <w:p w14:paraId="27FE8DD5">
      <w:pPr>
        <w:adjustRightInd w:val="0"/>
        <w:snapToGrid w:val="0"/>
        <w:spacing w:line="360" w:lineRule="auto"/>
        <w:ind w:firstLine="411" w:firstLineChars="196"/>
        <w:rPr>
          <w:rFonts w:ascii="仿宋_GB2312" w:hAnsi="宋体" w:eastAsia="仿宋_GB2312"/>
          <w:b/>
          <w:szCs w:val="21"/>
        </w:rPr>
      </w:pPr>
      <w:bookmarkStart w:id="162" w:name="_Toc26447_WPSOffice_Level1"/>
      <w:bookmarkStart w:id="163" w:name="_Toc1308_WPSOffice_Level1"/>
      <w:bookmarkStart w:id="164" w:name="_Toc2304_WPSOffice_Level1"/>
      <w:r>
        <w:rPr>
          <w:rFonts w:hint="eastAsia" w:ascii="仿宋_GB2312" w:hAnsi="宋体" w:eastAsia="仿宋_GB2312"/>
          <w:b/>
          <w:szCs w:val="21"/>
        </w:rPr>
        <w:t>9.伴随服务</w:t>
      </w:r>
      <w:bookmarkEnd w:id="162"/>
      <w:bookmarkEnd w:id="163"/>
      <w:bookmarkEnd w:id="164"/>
    </w:p>
    <w:p w14:paraId="26F783A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9.1供方应提供所交付货物的全套技术文件资料，包括产品目录、图纸、操作手册、使用说明、维护手册和服务指南等。</w:t>
      </w:r>
    </w:p>
    <w:p w14:paraId="5A33ED4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9.2供方还应提供下列服务：</w:t>
      </w:r>
    </w:p>
    <w:p w14:paraId="43E2FE4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9.2.1货物的现场安装、启动和试运行；</w:t>
      </w:r>
    </w:p>
    <w:p w14:paraId="1A5B9CC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9.2.2提供货物组装和维修所需的工具；</w:t>
      </w:r>
    </w:p>
    <w:p w14:paraId="1CC0AD9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6F28571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9.2.4在制造厂家或在项目现场就货物的安装、启动、运行、维护等对需方人员进行培训，直至需方人员掌握全部上述技能为止。</w:t>
      </w:r>
    </w:p>
    <w:p w14:paraId="28B54DF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9.3伴随服务的费用应含在合同价中，不单独进行支付。</w:t>
      </w:r>
    </w:p>
    <w:p w14:paraId="0CAA110B">
      <w:pPr>
        <w:adjustRightInd w:val="0"/>
        <w:snapToGrid w:val="0"/>
        <w:spacing w:line="360" w:lineRule="auto"/>
        <w:ind w:firstLine="411" w:firstLineChars="196"/>
        <w:rPr>
          <w:rFonts w:ascii="仿宋_GB2312" w:hAnsi="宋体" w:eastAsia="仿宋_GB2312"/>
          <w:b/>
          <w:szCs w:val="21"/>
        </w:rPr>
      </w:pPr>
      <w:bookmarkStart w:id="165" w:name="_Toc7636_WPSOffice_Level1"/>
      <w:bookmarkStart w:id="166" w:name="_Toc8205_WPSOffice_Level1"/>
      <w:bookmarkStart w:id="167" w:name="_Toc14320_WPSOffice_Level1"/>
      <w:r>
        <w:rPr>
          <w:rFonts w:hint="eastAsia" w:ascii="仿宋_GB2312" w:hAnsi="宋体" w:eastAsia="仿宋_GB2312"/>
          <w:b/>
          <w:szCs w:val="21"/>
        </w:rPr>
        <w:t>10.质量保证期</w:t>
      </w:r>
      <w:bookmarkEnd w:id="165"/>
      <w:bookmarkEnd w:id="166"/>
      <w:bookmarkEnd w:id="167"/>
    </w:p>
    <w:p w14:paraId="35DA3E2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10.1以招标文件中的规定为准，如果投标文件中的承诺优于招标文件规定，则以投标文件为准。</w:t>
      </w:r>
    </w:p>
    <w:p w14:paraId="494A35D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10.2如果招标文件没有特别要求，以供方在投标文件中提交的制造厂商的有关文件为准。如果上述文件规定有不一致之处，以对需方有利的为准。</w:t>
      </w:r>
    </w:p>
    <w:p w14:paraId="059FC698">
      <w:pPr>
        <w:adjustRightInd w:val="0"/>
        <w:snapToGrid w:val="0"/>
        <w:spacing w:line="360" w:lineRule="auto"/>
        <w:ind w:firstLine="411" w:firstLineChars="196"/>
        <w:rPr>
          <w:rFonts w:ascii="仿宋_GB2312" w:hAnsi="宋体" w:eastAsia="仿宋_GB2312"/>
          <w:b/>
          <w:szCs w:val="21"/>
        </w:rPr>
      </w:pPr>
      <w:bookmarkStart w:id="168" w:name="_Toc13950_WPSOffice_Level1"/>
      <w:bookmarkStart w:id="169" w:name="_Toc16220_WPSOffice_Level1"/>
      <w:bookmarkStart w:id="170" w:name="_Toc18427_WPSOffice_Level1"/>
      <w:r>
        <w:rPr>
          <w:rFonts w:hint="eastAsia" w:ascii="仿宋_GB2312" w:hAnsi="宋体" w:eastAsia="仿宋_GB2312"/>
          <w:b/>
          <w:szCs w:val="21"/>
        </w:rPr>
        <w:t>11.质量保证</w:t>
      </w:r>
      <w:bookmarkEnd w:id="168"/>
      <w:bookmarkEnd w:id="169"/>
      <w:bookmarkEnd w:id="170"/>
    </w:p>
    <w:p w14:paraId="39D55C2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5D65434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32D530D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128EDEE1">
      <w:pPr>
        <w:adjustRightInd w:val="0"/>
        <w:snapToGrid w:val="0"/>
        <w:spacing w:line="360" w:lineRule="auto"/>
        <w:ind w:firstLine="411" w:firstLineChars="196"/>
        <w:rPr>
          <w:rFonts w:ascii="仿宋_GB2312" w:hAnsi="宋体" w:eastAsia="仿宋_GB2312"/>
          <w:b/>
          <w:szCs w:val="21"/>
        </w:rPr>
      </w:pPr>
      <w:bookmarkStart w:id="171" w:name="_Toc24667_WPSOffice_Level1"/>
      <w:bookmarkStart w:id="172" w:name="_Toc29469_WPSOffice_Level1"/>
      <w:bookmarkStart w:id="173" w:name="_Toc9090_WPSOffice_Level1"/>
      <w:r>
        <w:rPr>
          <w:rFonts w:hint="eastAsia" w:ascii="仿宋_GB2312" w:hAnsi="宋体" w:eastAsia="仿宋_GB2312"/>
          <w:b/>
          <w:szCs w:val="21"/>
        </w:rPr>
        <w:t>12.技术服务和保修责任</w:t>
      </w:r>
      <w:bookmarkEnd w:id="171"/>
      <w:bookmarkEnd w:id="172"/>
      <w:bookmarkEnd w:id="173"/>
    </w:p>
    <w:p w14:paraId="6FD24F2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12.1供方对政府采购合同货物的保修期，以招标文件中的规定为准，如果投标文件中的承诺优于招标文件规定，则以投标文件为准。</w:t>
      </w:r>
    </w:p>
    <w:p w14:paraId="6AA1F02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12.2供方应按如下内容提供售后服务：</w:t>
      </w:r>
    </w:p>
    <w:p w14:paraId="6A29310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161508E">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12.2.2初验后，设备再次经过试运行期，所有性能指标达到技术规范书的要求时，可按合同招标文件、投标文件内容进行下一步验收工作，进行终验。全部达到要求时，有关方按</w:t>
      </w:r>
      <w:r>
        <w:rPr>
          <w:rFonts w:hint="eastAsia" w:ascii="仿宋_GB2312" w:hAnsi="宋体" w:eastAsia="仿宋_GB2312"/>
          <w:color w:val="FF0000"/>
          <w:szCs w:val="21"/>
          <w:highlight w:val="none"/>
          <w:lang w:val="en-US" w:eastAsia="zh-CN"/>
        </w:rPr>
        <w:t>国家</w:t>
      </w:r>
      <w:r>
        <w:rPr>
          <w:rFonts w:hint="eastAsia" w:ascii="仿宋_GB2312" w:hAnsi="宋体" w:eastAsia="仿宋_GB2312"/>
          <w:szCs w:val="21"/>
          <w:highlight w:val="none"/>
        </w:rPr>
        <w:t>关于履约验收规定签署最终验收文件。</w:t>
      </w:r>
    </w:p>
    <w:p w14:paraId="00992A0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12B62BB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12.2.4保修期内，供方提供电话、电子邮件、Web、现场服务等方式的技术支持，对用户的现场服务要求，供方必须按投标文件做出的承诺进行响应。</w:t>
      </w:r>
    </w:p>
    <w:p w14:paraId="7DF630C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12.2.5保修期内，供方应对出现故障无法修复的产品或无法正常运行的系统，提供替代产品以保证系统的正常工作。</w:t>
      </w:r>
    </w:p>
    <w:p w14:paraId="08A62C0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12.2.6保修期内，供方应投标时的承诺提供相关服务。</w:t>
      </w:r>
    </w:p>
    <w:p w14:paraId="3930400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64EE851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4B092AF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64A93EE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0B8EA726">
      <w:pPr>
        <w:adjustRightInd w:val="0"/>
        <w:snapToGrid w:val="0"/>
        <w:spacing w:line="360" w:lineRule="auto"/>
        <w:ind w:firstLine="411" w:firstLineChars="196"/>
        <w:rPr>
          <w:rFonts w:ascii="仿宋_GB2312" w:hAnsi="宋体" w:eastAsia="仿宋_GB2312"/>
          <w:b/>
          <w:szCs w:val="21"/>
        </w:rPr>
      </w:pPr>
      <w:bookmarkStart w:id="174" w:name="_Toc8548_WPSOffice_Level1"/>
      <w:bookmarkStart w:id="175" w:name="_Toc16924_WPSOffice_Level1"/>
      <w:bookmarkStart w:id="176" w:name="_Toc11781_WPSOffice_Level1"/>
      <w:r>
        <w:rPr>
          <w:rFonts w:hint="eastAsia" w:ascii="仿宋_GB2312" w:hAnsi="宋体" w:eastAsia="仿宋_GB2312"/>
          <w:b/>
          <w:szCs w:val="21"/>
        </w:rPr>
        <w:t>13.违约责任</w:t>
      </w:r>
      <w:bookmarkEnd w:id="174"/>
      <w:bookmarkEnd w:id="175"/>
      <w:bookmarkEnd w:id="176"/>
    </w:p>
    <w:p w14:paraId="707849F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5FDDEBE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13.1.1在需方同意延长的期限内交付全部货物、提供服务并承担由此给需方造成的一切损失；</w:t>
      </w:r>
    </w:p>
    <w:p w14:paraId="6757275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1A477F4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13.1.3根据货物低劣程度、损坏程度以及使需方所遭受的损失，经双方商定降低货物的价格或赔偿需方所遭受的损失；</w:t>
      </w:r>
    </w:p>
    <w:p w14:paraId="4A1697B6">
      <w:pPr>
        <w:adjustRightInd w:val="0"/>
        <w:snapToGrid w:val="0"/>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57E8FF3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13.1.5需方有权部分或全部解除政府采购合同并要求供方赔偿由此造成的损失。此时需方可采取必要的补救措施，相关费用由供方承担。</w:t>
      </w:r>
    </w:p>
    <w:p w14:paraId="42F3CD3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6A897A8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13.3延期交货的违约责任</w:t>
      </w:r>
    </w:p>
    <w:p w14:paraId="70FE378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0CE4415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72DD0D5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13.4以上各项交付的违约金并不影响违约方履行政府采购合同的各项义务。</w:t>
      </w:r>
    </w:p>
    <w:p w14:paraId="000E5FC3">
      <w:pPr>
        <w:adjustRightInd w:val="0"/>
        <w:snapToGrid w:val="0"/>
        <w:spacing w:line="360" w:lineRule="auto"/>
        <w:ind w:firstLine="411" w:firstLineChars="196"/>
        <w:rPr>
          <w:rFonts w:ascii="仿宋_GB2312" w:hAnsi="宋体" w:eastAsia="仿宋_GB2312"/>
          <w:b/>
          <w:szCs w:val="21"/>
        </w:rPr>
      </w:pPr>
      <w:bookmarkStart w:id="177" w:name="_Toc28610_WPSOffice_Level1"/>
      <w:bookmarkStart w:id="178" w:name="_Toc32310_WPSOffice_Level1"/>
      <w:bookmarkStart w:id="179" w:name="_Toc21833_WPSOffice_Level1"/>
      <w:r>
        <w:rPr>
          <w:rFonts w:hint="eastAsia" w:ascii="仿宋_GB2312" w:hAnsi="宋体" w:eastAsia="仿宋_GB2312"/>
          <w:b/>
          <w:szCs w:val="21"/>
        </w:rPr>
        <w:t>14.不可抗力</w:t>
      </w:r>
      <w:bookmarkEnd w:id="177"/>
      <w:bookmarkEnd w:id="178"/>
      <w:bookmarkEnd w:id="179"/>
    </w:p>
    <w:p w14:paraId="3F7AA75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7322893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14.2本条所述的“不可抗力”系指那些双方无法控制，不可预见的事件，但不包括双方的违约或疏忽。这些事件包括但不限于：战争、严重火灾、洪水、台风、地震。</w:t>
      </w:r>
    </w:p>
    <w:p w14:paraId="66C668C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7141FCAB">
      <w:pPr>
        <w:adjustRightInd w:val="0"/>
        <w:snapToGrid w:val="0"/>
        <w:spacing w:line="360" w:lineRule="auto"/>
        <w:ind w:firstLine="411" w:firstLineChars="196"/>
        <w:rPr>
          <w:rFonts w:ascii="仿宋_GB2312" w:hAnsi="宋体" w:eastAsia="仿宋_GB2312"/>
          <w:b/>
          <w:szCs w:val="21"/>
        </w:rPr>
      </w:pPr>
      <w:bookmarkStart w:id="180" w:name="_Toc3262_WPSOffice_Level1"/>
      <w:bookmarkStart w:id="181" w:name="_Toc13390_WPSOffice_Level1"/>
      <w:bookmarkStart w:id="182" w:name="_Toc12037_WPSOffice_Level1"/>
      <w:r>
        <w:rPr>
          <w:rFonts w:hint="eastAsia" w:ascii="仿宋_GB2312" w:hAnsi="宋体" w:eastAsia="仿宋_GB2312"/>
          <w:b/>
          <w:szCs w:val="21"/>
        </w:rPr>
        <w:t>15.争端的解决</w:t>
      </w:r>
      <w:bookmarkEnd w:id="180"/>
      <w:bookmarkEnd w:id="181"/>
      <w:bookmarkEnd w:id="182"/>
    </w:p>
    <w:p w14:paraId="3E364C6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15.1政府采购合同的履行、违约责任和解决争议的方法等适用《中华人民共和国民法典》。</w:t>
      </w:r>
    </w:p>
    <w:p w14:paraId="3C86AD3B">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.2</w:t>
      </w:r>
      <w:r>
        <w:rPr>
          <w:rFonts w:hint="eastAsia" w:ascii="仿宋_GB2312" w:hAnsi="宋体" w:eastAsia="仿宋_GB2312"/>
          <w:szCs w:val="21"/>
        </w:rPr>
        <w:t>需方和供方应通过友好协商，解决在执行本政府采购合同过程中所发生的或与本政府采购合同有关的一切争端。</w:t>
      </w:r>
    </w:p>
    <w:p w14:paraId="3021F196">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.3</w:t>
      </w:r>
      <w:r>
        <w:rPr>
          <w:rFonts w:hint="eastAsia" w:ascii="仿宋_GB2312" w:hAnsi="宋体" w:eastAsia="仿宋_GB2312"/>
          <w:szCs w:val="21"/>
        </w:rPr>
        <w:t>如果协商不成，双方中的任何一方可向需方所在地的人民法院提起诉讼。</w:t>
      </w:r>
    </w:p>
    <w:p w14:paraId="2D39B51F">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.4</w:t>
      </w:r>
      <w:r>
        <w:rPr>
          <w:rFonts w:hint="eastAsia" w:ascii="仿宋_GB2312" w:hAnsi="宋体" w:eastAsia="仿宋_GB2312"/>
          <w:szCs w:val="21"/>
        </w:rPr>
        <w:t>因政府采购合同部分履行引发诉讼的，在诉讼期间，除正在进行诉讼的部分外，本政府采购合同的其它部分应继续执行。</w:t>
      </w:r>
    </w:p>
    <w:p w14:paraId="7C16E863">
      <w:pPr>
        <w:adjustRightInd w:val="0"/>
        <w:snapToGrid w:val="0"/>
        <w:spacing w:line="360" w:lineRule="auto"/>
        <w:ind w:firstLine="411" w:firstLineChars="196"/>
        <w:rPr>
          <w:rFonts w:ascii="仿宋_GB2312" w:hAnsi="宋体" w:eastAsia="仿宋_GB2312"/>
          <w:b/>
          <w:szCs w:val="21"/>
        </w:rPr>
      </w:pPr>
      <w:bookmarkStart w:id="183" w:name="_Toc27539_WPSOffice_Level1"/>
      <w:bookmarkStart w:id="184" w:name="_Toc7773_WPSOffice_Level1"/>
      <w:bookmarkStart w:id="185" w:name="_Toc1917_WPSOffice_Level1"/>
      <w:r>
        <w:rPr>
          <w:rFonts w:hint="eastAsia" w:ascii="仿宋_GB2312" w:hAnsi="宋体" w:eastAsia="仿宋_GB2312"/>
          <w:b/>
          <w:szCs w:val="21"/>
        </w:rPr>
        <w:t>16.违约终止政府采购合同</w:t>
      </w:r>
      <w:bookmarkEnd w:id="183"/>
      <w:bookmarkEnd w:id="184"/>
      <w:bookmarkEnd w:id="185"/>
    </w:p>
    <w:p w14:paraId="1555E12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16.1在需方因供方违约而按政府采购合同约定采取的任何补救措施均无效的情况下，需方可在下列情况下向供方发出书面通知，提出终止部分或全部政府采购合同。</w:t>
      </w:r>
    </w:p>
    <w:p w14:paraId="5A1CC38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16.1.1如果供方未能在政府采购合同规定的限期或需方同意延长的限期内提供部分或全部货物和服务；</w:t>
      </w:r>
    </w:p>
    <w:p w14:paraId="206BAE9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16.1.2未经需方事先书面同意，供方部分转让和分包或全部转让和分包其应履行的政府采购合同义务。</w:t>
      </w:r>
    </w:p>
    <w:p w14:paraId="341064AF">
      <w:pPr>
        <w:adjustRightInd w:val="0"/>
        <w:snapToGrid w:val="0"/>
        <w:spacing w:line="360" w:lineRule="auto"/>
        <w:ind w:firstLine="411" w:firstLineChars="196"/>
        <w:rPr>
          <w:rFonts w:ascii="仿宋_GB2312" w:hAnsi="宋体" w:eastAsia="仿宋_GB2312"/>
          <w:b/>
          <w:szCs w:val="21"/>
        </w:rPr>
      </w:pPr>
      <w:bookmarkStart w:id="186" w:name="_Toc4220_WPSOffice_Level1"/>
      <w:bookmarkStart w:id="187" w:name="_Toc27976_WPSOffice_Level1"/>
      <w:bookmarkStart w:id="188" w:name="_Toc11967_WPSOffice_Level1"/>
      <w:r>
        <w:rPr>
          <w:rFonts w:hint="eastAsia" w:ascii="仿宋_GB2312" w:hAnsi="宋体" w:eastAsia="仿宋_GB2312"/>
          <w:b/>
          <w:szCs w:val="21"/>
        </w:rPr>
        <w:t>17.政府采购合同转让和分包</w:t>
      </w:r>
      <w:bookmarkEnd w:id="186"/>
      <w:bookmarkEnd w:id="187"/>
      <w:bookmarkEnd w:id="188"/>
    </w:p>
    <w:p w14:paraId="3FC1D1D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除招标文件规定,并经需方事先书面同意外，供方不得部分转让和分包或全部转让和分包其应履行的政府采购合同义务。</w:t>
      </w:r>
    </w:p>
    <w:p w14:paraId="24997E9D">
      <w:pPr>
        <w:adjustRightInd w:val="0"/>
        <w:snapToGrid w:val="0"/>
        <w:spacing w:line="360" w:lineRule="auto"/>
        <w:ind w:firstLine="411" w:firstLineChars="196"/>
        <w:rPr>
          <w:rFonts w:ascii="仿宋_GB2312" w:hAnsi="宋体" w:eastAsia="仿宋_GB2312"/>
          <w:b/>
          <w:szCs w:val="21"/>
        </w:rPr>
      </w:pPr>
      <w:bookmarkStart w:id="189" w:name="_Toc16873_WPSOffice_Level1"/>
      <w:bookmarkStart w:id="190" w:name="_Toc30020_WPSOffice_Level1"/>
      <w:bookmarkStart w:id="191" w:name="_Toc737_WPSOffice_Level1"/>
      <w:r>
        <w:rPr>
          <w:rFonts w:hint="eastAsia" w:ascii="仿宋_GB2312" w:hAnsi="宋体" w:eastAsia="仿宋_GB2312"/>
          <w:b/>
          <w:szCs w:val="21"/>
        </w:rPr>
        <w:t>18.适用法律：</w:t>
      </w:r>
      <w:bookmarkEnd w:id="189"/>
      <w:bookmarkEnd w:id="190"/>
      <w:bookmarkEnd w:id="191"/>
    </w:p>
    <w:p w14:paraId="616C86F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本政府采购合同按照中华人民共和国的现行法律进行解释。</w:t>
      </w:r>
    </w:p>
    <w:p w14:paraId="1BB4A023">
      <w:pPr>
        <w:adjustRightInd w:val="0"/>
        <w:snapToGrid w:val="0"/>
        <w:spacing w:line="360" w:lineRule="auto"/>
        <w:ind w:firstLine="411" w:firstLineChars="196"/>
        <w:rPr>
          <w:rFonts w:ascii="仿宋_GB2312" w:hAnsi="宋体" w:eastAsia="仿宋_GB2312"/>
          <w:b/>
          <w:szCs w:val="21"/>
        </w:rPr>
      </w:pPr>
      <w:bookmarkStart w:id="192" w:name="_Toc20985_WPSOffice_Level1"/>
      <w:bookmarkStart w:id="193" w:name="_Toc29009_WPSOffice_Level1"/>
      <w:bookmarkStart w:id="194" w:name="_Toc23749_WPSOffice_Level1"/>
      <w:r>
        <w:rPr>
          <w:rFonts w:hint="eastAsia" w:ascii="仿宋_GB2312" w:hAnsi="宋体" w:eastAsia="仿宋_GB2312"/>
          <w:b/>
          <w:szCs w:val="21"/>
        </w:rPr>
        <w:t>19.政府采购合同生效</w:t>
      </w:r>
      <w:bookmarkEnd w:id="192"/>
      <w:bookmarkEnd w:id="193"/>
      <w:bookmarkEnd w:id="194"/>
    </w:p>
    <w:p w14:paraId="151AECA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19.1本政府采购合同在供需双方法定代表人或其授权代理人签字和加盖公章后生效。</w:t>
      </w:r>
    </w:p>
    <w:p w14:paraId="47A5803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19.2本政府采购合同一式五份，需方执二份，供方、采购代理机构、财政部门各执一份。</w:t>
      </w:r>
    </w:p>
    <w:p w14:paraId="128AC88A">
      <w:pPr>
        <w:adjustRightInd w:val="0"/>
        <w:snapToGrid w:val="0"/>
        <w:spacing w:line="360" w:lineRule="auto"/>
        <w:ind w:firstLine="411" w:firstLineChars="196"/>
        <w:rPr>
          <w:rFonts w:ascii="仿宋_GB2312" w:hAnsi="宋体" w:eastAsia="仿宋_GB2312"/>
          <w:b/>
          <w:szCs w:val="21"/>
        </w:rPr>
      </w:pPr>
      <w:bookmarkStart w:id="195" w:name="_Toc405_WPSOffice_Level1"/>
      <w:bookmarkStart w:id="196" w:name="_Toc20274_WPSOffice_Level1"/>
      <w:bookmarkStart w:id="197" w:name="_Toc12339_WPSOffice_Level1"/>
      <w:r>
        <w:rPr>
          <w:rFonts w:hint="eastAsia" w:ascii="仿宋_GB2312" w:hAnsi="宋体" w:eastAsia="仿宋_GB2312"/>
          <w:b/>
          <w:szCs w:val="21"/>
        </w:rPr>
        <w:t>20.政府采购合同附件</w:t>
      </w:r>
      <w:bookmarkEnd w:id="195"/>
      <w:bookmarkEnd w:id="196"/>
      <w:bookmarkEnd w:id="197"/>
    </w:p>
    <w:p w14:paraId="154E323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下列文件构成本政府采购合同不可分割的组成部分，与本政府采购合同具有同等法律效力：</w:t>
      </w:r>
    </w:p>
    <w:p w14:paraId="2E00AC0C">
      <w:pPr>
        <w:adjustRightInd w:val="0"/>
        <w:snapToGrid w:val="0"/>
        <w:spacing w:line="360" w:lineRule="auto"/>
        <w:ind w:firstLine="411" w:firstLineChars="196"/>
        <w:rPr>
          <w:rFonts w:ascii="仿宋_GB2312" w:hAnsi="宋体" w:eastAsia="仿宋_GB2312"/>
          <w:szCs w:val="21"/>
        </w:rPr>
      </w:pPr>
      <w:bookmarkStart w:id="198" w:name="_Toc3518_WPSOffice_Level2"/>
      <w:r>
        <w:rPr>
          <w:rFonts w:hint="eastAsia" w:ascii="仿宋_GB2312" w:hAnsi="宋体" w:eastAsia="仿宋_GB2312"/>
          <w:szCs w:val="21"/>
        </w:rPr>
        <w:t>20.1招标文件；</w:t>
      </w:r>
      <w:bookmarkEnd w:id="198"/>
    </w:p>
    <w:p w14:paraId="1392BA8C">
      <w:pPr>
        <w:adjustRightInd w:val="0"/>
        <w:snapToGrid w:val="0"/>
        <w:spacing w:line="360" w:lineRule="auto"/>
        <w:ind w:firstLine="411" w:firstLineChars="196"/>
        <w:rPr>
          <w:rFonts w:ascii="仿宋_GB2312" w:hAnsi="宋体" w:eastAsia="仿宋_GB2312"/>
          <w:szCs w:val="21"/>
        </w:rPr>
      </w:pPr>
      <w:bookmarkStart w:id="199" w:name="_Toc7342_WPSOffice_Level2"/>
      <w:r>
        <w:rPr>
          <w:rFonts w:hint="eastAsia" w:ascii="仿宋_GB2312" w:hAnsi="宋体" w:eastAsia="仿宋_GB2312"/>
          <w:szCs w:val="21"/>
        </w:rPr>
        <w:t>20.2招标文件的更正公告、变更公告；</w:t>
      </w:r>
      <w:bookmarkEnd w:id="199"/>
    </w:p>
    <w:p w14:paraId="2C3D890A">
      <w:pPr>
        <w:adjustRightInd w:val="0"/>
        <w:snapToGrid w:val="0"/>
        <w:spacing w:line="360" w:lineRule="auto"/>
        <w:ind w:firstLine="411" w:firstLineChars="196"/>
        <w:rPr>
          <w:rFonts w:ascii="仿宋_GB2312" w:hAnsi="宋体" w:eastAsia="仿宋_GB2312"/>
          <w:szCs w:val="21"/>
        </w:rPr>
      </w:pPr>
      <w:bookmarkStart w:id="200" w:name="_Toc576_WPSOffice_Level2"/>
      <w:r>
        <w:rPr>
          <w:rFonts w:hint="eastAsia" w:ascii="仿宋_GB2312" w:hAnsi="宋体" w:eastAsia="仿宋_GB2312"/>
          <w:szCs w:val="21"/>
        </w:rPr>
        <w:t>20.3中标人提交的投标文件；</w:t>
      </w:r>
      <w:bookmarkEnd w:id="200"/>
    </w:p>
    <w:p w14:paraId="2B33EB89">
      <w:pPr>
        <w:adjustRightInd w:val="0"/>
        <w:snapToGrid w:val="0"/>
        <w:spacing w:line="360" w:lineRule="auto"/>
        <w:ind w:firstLine="411" w:firstLineChars="196"/>
        <w:rPr>
          <w:rFonts w:ascii="仿宋_GB2312" w:hAnsi="宋体" w:eastAsia="仿宋_GB2312"/>
          <w:szCs w:val="21"/>
        </w:rPr>
      </w:pPr>
      <w:bookmarkStart w:id="201" w:name="_Toc25464_WPSOffice_Level2"/>
      <w:r>
        <w:rPr>
          <w:rFonts w:hint="eastAsia" w:ascii="仿宋_GB2312" w:hAnsi="宋体" w:eastAsia="仿宋_GB2312"/>
          <w:szCs w:val="21"/>
        </w:rPr>
        <w:t>20.4政府采购合同条款；</w:t>
      </w:r>
      <w:bookmarkEnd w:id="201"/>
    </w:p>
    <w:p w14:paraId="2A85FE46">
      <w:pPr>
        <w:adjustRightInd w:val="0"/>
        <w:snapToGrid w:val="0"/>
        <w:spacing w:line="360" w:lineRule="auto"/>
        <w:ind w:firstLine="411" w:firstLineChars="196"/>
        <w:rPr>
          <w:rFonts w:ascii="仿宋_GB2312" w:hAnsi="宋体" w:eastAsia="仿宋_GB2312"/>
          <w:szCs w:val="21"/>
        </w:rPr>
      </w:pPr>
      <w:bookmarkStart w:id="202" w:name="_Toc25590_WPSOffice_Level2"/>
      <w:r>
        <w:rPr>
          <w:rFonts w:hint="eastAsia" w:ascii="仿宋_GB2312" w:hAnsi="宋体" w:eastAsia="仿宋_GB2312"/>
          <w:szCs w:val="21"/>
        </w:rPr>
        <w:t>20.5中标通知书；</w:t>
      </w:r>
      <w:bookmarkEnd w:id="202"/>
    </w:p>
    <w:p w14:paraId="57065620">
      <w:pPr>
        <w:adjustRightInd w:val="0"/>
        <w:snapToGrid w:val="0"/>
        <w:spacing w:line="360" w:lineRule="auto"/>
        <w:ind w:firstLine="411" w:firstLineChars="196"/>
        <w:rPr>
          <w:rFonts w:ascii="仿宋_GB2312" w:hAnsi="宋体" w:eastAsia="仿宋_GB2312"/>
          <w:szCs w:val="21"/>
        </w:rPr>
      </w:pPr>
      <w:bookmarkStart w:id="203" w:name="_Toc10297_WPSOffice_Level2"/>
      <w:r>
        <w:rPr>
          <w:rFonts w:hint="eastAsia" w:ascii="仿宋_GB2312" w:hAnsi="宋体" w:eastAsia="仿宋_GB2312"/>
          <w:szCs w:val="21"/>
        </w:rPr>
        <w:t>20.6政府采购合同的其它附件。</w:t>
      </w:r>
      <w:bookmarkEnd w:id="203"/>
    </w:p>
    <w:p w14:paraId="375CB718">
      <w:pPr>
        <w:ind w:firstLine="470" w:firstLineChars="196"/>
        <w:rPr>
          <w:rFonts w:ascii="仿宋_GB2312" w:hAnsi="宋体" w:eastAsia="仿宋_GB2312"/>
          <w:sz w:val="24"/>
        </w:rPr>
      </w:pPr>
    </w:p>
    <w:p w14:paraId="49DE8B93">
      <w:pPr>
        <w:ind w:firstLine="470" w:firstLineChars="196"/>
        <w:rPr>
          <w:rFonts w:ascii="仿宋_GB2312" w:hAnsi="宋体" w:eastAsia="仿宋_GB2312"/>
          <w:sz w:val="24"/>
        </w:rPr>
      </w:pPr>
    </w:p>
    <w:p w14:paraId="7D461398">
      <w:pPr>
        <w:rPr>
          <w:rFonts w:hint="eastAsia" w:ascii="仿宋" w:hAnsi="仿宋" w:eastAsia="仿宋" w:cs="仿宋"/>
          <w:sz w:val="24"/>
        </w:rPr>
      </w:pPr>
      <w:r>
        <w:rPr>
          <w:rFonts w:ascii="仿宋_GB2312" w:hAnsi="宋体" w:eastAsia="仿宋_GB2312"/>
          <w:sz w:val="24"/>
        </w:rPr>
        <w:br w:type="page"/>
      </w:r>
    </w:p>
    <w:p w14:paraId="3A36807E">
      <w:pPr>
        <w:adjustRightInd w:val="0"/>
        <w:snapToGrid w:val="0"/>
        <w:spacing w:line="360" w:lineRule="auto"/>
        <w:jc w:val="left"/>
        <w:rPr>
          <w:rFonts w:hint="eastAsia" w:ascii="仿宋" w:hAnsi="仿宋" w:eastAsia="仿宋" w:cs="仿宋"/>
          <w:b/>
          <w:szCs w:val="21"/>
        </w:rPr>
      </w:pPr>
      <w:bookmarkStart w:id="204" w:name="_Toc7342_WPSOffice_Level1"/>
      <w:bookmarkStart w:id="205" w:name="_Toc372_WPSOffice_Level1"/>
      <w:bookmarkStart w:id="206" w:name="_Toc3044_WPSOffice_Level1"/>
      <w:r>
        <w:rPr>
          <w:rFonts w:hint="eastAsia" w:ascii="仿宋" w:hAnsi="仿宋" w:eastAsia="仿宋" w:cs="仿宋"/>
          <w:b/>
          <w:szCs w:val="21"/>
        </w:rPr>
        <w:t>合同格式</w:t>
      </w:r>
      <w:bookmarkEnd w:id="204"/>
      <w:bookmarkEnd w:id="205"/>
      <w:bookmarkEnd w:id="206"/>
    </w:p>
    <w:p w14:paraId="4A4F6963">
      <w:pPr>
        <w:adjustRightInd w:val="0"/>
        <w:snapToGrid w:val="0"/>
        <w:spacing w:line="360" w:lineRule="auto"/>
        <w:jc w:val="center"/>
        <w:rPr>
          <w:rFonts w:ascii="仿宋_GB2312" w:hAnsi="宋体" w:eastAsia="仿宋_GB2312"/>
          <w:b/>
          <w:bCs/>
          <w:sz w:val="44"/>
          <w:szCs w:val="44"/>
        </w:rPr>
      </w:pPr>
      <w:bookmarkStart w:id="207" w:name="_Toc11644_WPSOffice_Level1"/>
      <w:bookmarkStart w:id="208" w:name="_Toc7832_WPSOffice_Level1"/>
      <w:r>
        <w:rPr>
          <w:rFonts w:hint="eastAsia" w:ascii="仿宋_GB2312" w:hAnsi="宋体" w:eastAsia="仿宋_GB2312"/>
          <w:b/>
          <w:bCs/>
          <w:sz w:val="44"/>
          <w:szCs w:val="44"/>
        </w:rPr>
        <w:t>政府采购合同格式</w:t>
      </w:r>
      <w:bookmarkEnd w:id="207"/>
      <w:bookmarkEnd w:id="208"/>
    </w:p>
    <w:p w14:paraId="611C8A03">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14:paraId="226D1F0F">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14:paraId="57645DCB">
      <w:pPr>
        <w:adjustRightInd w:val="0"/>
        <w:snapToGrid w:val="0"/>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7306F6BF">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09" w:name="_Toc13230_WPSOffice_Level2"/>
      <w:r>
        <w:rPr>
          <w:rFonts w:hint="eastAsia" w:ascii="黑体" w:hAnsi="宋体" w:eastAsia="黑体"/>
          <w:b/>
          <w:szCs w:val="21"/>
        </w:rPr>
        <w:t>一、政府采购合同文件</w:t>
      </w:r>
      <w:bookmarkEnd w:id="209"/>
    </w:p>
    <w:p w14:paraId="31D80040">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0CB5F6D1">
      <w:pPr>
        <w:adjustRightInd w:val="0"/>
        <w:snapToGrid w:val="0"/>
        <w:spacing w:line="360" w:lineRule="auto"/>
        <w:ind w:firstLine="420" w:firstLineChars="200"/>
        <w:jc w:val="left"/>
        <w:rPr>
          <w:rFonts w:ascii="仿宋_GB2312" w:hAnsi="宋体" w:eastAsia="仿宋_GB2312"/>
          <w:szCs w:val="21"/>
        </w:rPr>
      </w:pPr>
      <w:r>
        <w:rPr>
          <w:rFonts w:hint="eastAsia" w:ascii="黑体" w:hAnsi="宋体" w:eastAsia="黑体"/>
          <w:szCs w:val="21"/>
        </w:rPr>
        <w:t>1.</w:t>
      </w:r>
      <w:r>
        <w:rPr>
          <w:rFonts w:hint="eastAsia" w:ascii="仿宋_GB2312" w:hAnsi="宋体" w:eastAsia="仿宋_GB2312"/>
          <w:szCs w:val="21"/>
        </w:rPr>
        <w:t>招标文件（招标文件编号）；</w:t>
      </w:r>
    </w:p>
    <w:p w14:paraId="3F66EA75">
      <w:pPr>
        <w:adjustRightInd w:val="0"/>
        <w:snapToGrid w:val="0"/>
        <w:spacing w:line="360" w:lineRule="auto"/>
        <w:ind w:firstLine="420" w:firstLineChars="200"/>
        <w:jc w:val="left"/>
        <w:rPr>
          <w:rFonts w:ascii="仿宋_GB2312" w:hAnsi="宋体" w:eastAsia="仿宋_GB2312" w:cs="Arial"/>
          <w:szCs w:val="21"/>
        </w:rPr>
      </w:pPr>
      <w:r>
        <w:rPr>
          <w:rFonts w:hint="eastAsia" w:ascii="黑体" w:hAnsi="宋体" w:eastAsia="黑体"/>
          <w:szCs w:val="21"/>
        </w:rPr>
        <w:t>2.</w:t>
      </w:r>
      <w:r>
        <w:rPr>
          <w:rFonts w:hint="eastAsia" w:ascii="仿宋_GB2312" w:hAnsi="宋体" w:eastAsia="仿宋_GB2312" w:cs="Arial"/>
          <w:szCs w:val="21"/>
        </w:rPr>
        <w:t>招标文件的更正公告、变更公告；</w:t>
      </w:r>
    </w:p>
    <w:p w14:paraId="7896FE31">
      <w:pPr>
        <w:adjustRightInd w:val="0"/>
        <w:snapToGrid w:val="0"/>
        <w:spacing w:line="360" w:lineRule="auto"/>
        <w:ind w:firstLine="420" w:firstLineChars="200"/>
        <w:jc w:val="left"/>
        <w:rPr>
          <w:rFonts w:ascii="仿宋_GB2312" w:hAnsi="宋体" w:eastAsia="仿宋_GB2312"/>
          <w:szCs w:val="21"/>
        </w:rPr>
      </w:pPr>
      <w:r>
        <w:rPr>
          <w:rFonts w:hint="eastAsia" w:ascii="黑体" w:hAnsi="宋体" w:eastAsia="黑体"/>
          <w:szCs w:val="21"/>
        </w:rPr>
        <w:t>3.</w:t>
      </w:r>
      <w:r>
        <w:rPr>
          <w:rFonts w:hint="eastAsia" w:ascii="仿宋_GB2312" w:hAnsi="宋体" w:eastAsia="仿宋_GB2312"/>
          <w:szCs w:val="21"/>
        </w:rPr>
        <w:t>中标人提交的投标文件；</w:t>
      </w:r>
    </w:p>
    <w:p w14:paraId="30008897">
      <w:pPr>
        <w:adjustRightInd w:val="0"/>
        <w:snapToGrid w:val="0"/>
        <w:spacing w:line="360" w:lineRule="auto"/>
        <w:ind w:firstLine="420" w:firstLineChars="200"/>
        <w:jc w:val="left"/>
        <w:rPr>
          <w:rFonts w:ascii="仿宋_GB2312" w:hAnsi="宋体" w:eastAsia="仿宋_GB2312"/>
          <w:szCs w:val="21"/>
        </w:rPr>
      </w:pPr>
      <w:r>
        <w:rPr>
          <w:rFonts w:hint="eastAsia" w:ascii="黑体" w:hAnsi="宋体" w:eastAsia="黑体"/>
          <w:szCs w:val="21"/>
        </w:rPr>
        <w:t>4.</w:t>
      </w:r>
      <w:r>
        <w:rPr>
          <w:rFonts w:hint="eastAsia" w:ascii="仿宋_GB2312" w:hAnsi="宋体" w:eastAsia="仿宋_GB2312"/>
          <w:szCs w:val="21"/>
        </w:rPr>
        <w:t>政府采购合同条款；</w:t>
      </w:r>
    </w:p>
    <w:p w14:paraId="2506BF95">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5</w:t>
      </w:r>
      <w:r>
        <w:rPr>
          <w:rFonts w:hint="eastAsia" w:ascii="黑体" w:hAnsi="宋体" w:eastAsia="黑体"/>
          <w:szCs w:val="21"/>
        </w:rPr>
        <w:t>.</w:t>
      </w:r>
      <w:r>
        <w:rPr>
          <w:rFonts w:hint="eastAsia" w:ascii="仿宋_GB2312" w:hAnsi="宋体" w:eastAsia="仿宋_GB2312"/>
          <w:szCs w:val="21"/>
        </w:rPr>
        <w:t>中标通知书；</w:t>
      </w:r>
    </w:p>
    <w:p w14:paraId="4012B575">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6</w:t>
      </w:r>
      <w:r>
        <w:rPr>
          <w:rFonts w:hint="eastAsia" w:ascii="黑体" w:hAnsi="宋体" w:eastAsia="黑体"/>
          <w:szCs w:val="21"/>
        </w:rPr>
        <w:t>.</w:t>
      </w:r>
      <w:r>
        <w:rPr>
          <w:rFonts w:hint="eastAsia" w:ascii="仿宋_GB2312" w:hAnsi="宋体" w:eastAsia="仿宋_GB2312" w:cs="Arial"/>
          <w:szCs w:val="21"/>
        </w:rPr>
        <w:t>政府采购合同的其它附件。</w:t>
      </w:r>
    </w:p>
    <w:p w14:paraId="4AD94792">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0" w:name="_Toc19527_WPSOffice_Level2"/>
      <w:r>
        <w:rPr>
          <w:rFonts w:hint="eastAsia" w:ascii="黑体" w:hAnsi="宋体" w:eastAsia="黑体"/>
          <w:b/>
          <w:szCs w:val="21"/>
        </w:rPr>
        <w:t>二、政府采购合同范围和条件</w:t>
      </w:r>
      <w:bookmarkEnd w:id="210"/>
    </w:p>
    <w:p w14:paraId="1A8065F4">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581DD2AF">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1" w:name="_Toc18050_WPSOffice_Level2"/>
      <w:r>
        <w:rPr>
          <w:rFonts w:hint="eastAsia" w:ascii="黑体" w:hAnsi="宋体" w:eastAsia="黑体"/>
          <w:b/>
          <w:szCs w:val="21"/>
        </w:rPr>
        <w:t>三、政府采购合同标的</w:t>
      </w:r>
      <w:bookmarkEnd w:id="211"/>
    </w:p>
    <w:p w14:paraId="2305D95C">
      <w:pPr>
        <w:adjustRightInd w:val="0"/>
        <w:snapToGrid w:val="0"/>
        <w:spacing w:line="360" w:lineRule="auto"/>
        <w:jc w:val="left"/>
        <w:rPr>
          <w:rFonts w:hint="eastAsia"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本政府采购合同的标的为招标文件中所列货物及相关服务。</w:t>
      </w:r>
    </w:p>
    <w:p w14:paraId="4C652512">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2" w:name="_Toc27886_WPSOffice_Level2"/>
      <w:r>
        <w:rPr>
          <w:rFonts w:hint="eastAsia" w:ascii="黑体" w:hAnsi="宋体" w:eastAsia="黑体"/>
          <w:b/>
          <w:szCs w:val="21"/>
        </w:rPr>
        <w:t>四、政府采购合同金额</w:t>
      </w:r>
      <w:bookmarkEnd w:id="212"/>
    </w:p>
    <w:p w14:paraId="21DB2C27">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0697F666">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注：存在分项产品的必须清晰列明分项产品明细，包括名称、数量、分项报价等，并作为合同组成部分。</w:t>
      </w:r>
    </w:p>
    <w:p w14:paraId="267A1C35">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3" w:name="_Toc22211_WPSOffice_Level2"/>
      <w:r>
        <w:rPr>
          <w:rFonts w:hint="eastAsia" w:ascii="黑体" w:hAnsi="宋体" w:eastAsia="黑体"/>
          <w:b/>
          <w:szCs w:val="21"/>
        </w:rPr>
        <w:t>五、付款方式及条件</w:t>
      </w:r>
      <w:bookmarkEnd w:id="213"/>
    </w:p>
    <w:p w14:paraId="63F54753">
      <w:pPr>
        <w:adjustRightInd w:val="0"/>
        <w:snapToGrid w:val="0"/>
        <w:spacing w:line="360" w:lineRule="auto"/>
        <w:jc w:val="left"/>
        <w:rPr>
          <w:rFonts w:hint="eastAsia" w:ascii="黑体" w:hAnsi="宋体" w:eastAsia="黑体"/>
          <w:b/>
          <w:szCs w:val="21"/>
        </w:rPr>
      </w:pPr>
    </w:p>
    <w:p w14:paraId="28BEAC19">
      <w:pPr>
        <w:adjustRightInd w:val="0"/>
        <w:snapToGrid w:val="0"/>
        <w:spacing w:line="360" w:lineRule="auto"/>
        <w:jc w:val="left"/>
        <w:rPr>
          <w:rFonts w:ascii="仿宋_GB2312" w:hAnsi="宋体" w:eastAsia="仿宋_GB2312"/>
          <w:szCs w:val="21"/>
        </w:rPr>
      </w:pPr>
      <w:r>
        <w:rPr>
          <w:rFonts w:hint="eastAsia" w:ascii="黑体" w:hAnsi="宋体" w:eastAsia="黑体"/>
          <w:b/>
          <w:szCs w:val="21"/>
        </w:rPr>
        <w:t>　　</w:t>
      </w:r>
      <w:bookmarkStart w:id="214" w:name="_Toc27813_WPSOffice_Level2"/>
      <w:r>
        <w:rPr>
          <w:rFonts w:hint="eastAsia" w:ascii="黑体" w:hAnsi="宋体" w:eastAsia="黑体"/>
          <w:b/>
          <w:szCs w:val="21"/>
        </w:rPr>
        <w:t>六、交货时间和交货地点</w:t>
      </w:r>
      <w:bookmarkEnd w:id="214"/>
    </w:p>
    <w:p w14:paraId="2E6FD313">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1.交货时间：</w:t>
      </w:r>
    </w:p>
    <w:p w14:paraId="29B20017">
      <w:pPr>
        <w:adjustRightInd w:val="0"/>
        <w:snapToGrid w:val="0"/>
        <w:spacing w:line="360" w:lineRule="auto"/>
        <w:ind w:firstLine="420"/>
        <w:jc w:val="left"/>
        <w:rPr>
          <w:rFonts w:hint="eastAsia" w:ascii="仿宋_GB2312" w:hAnsi="宋体" w:eastAsia="仿宋_GB2312"/>
          <w:szCs w:val="21"/>
        </w:rPr>
      </w:pPr>
      <w:r>
        <w:rPr>
          <w:rFonts w:hint="eastAsia" w:ascii="仿宋_GB2312" w:hAnsi="宋体" w:eastAsia="仿宋_GB2312"/>
          <w:szCs w:val="21"/>
        </w:rPr>
        <w:t>2.交货地点：</w:t>
      </w:r>
    </w:p>
    <w:p w14:paraId="06E1976D">
      <w:pPr>
        <w:adjustRightInd w:val="0"/>
        <w:snapToGrid w:val="0"/>
        <w:spacing w:line="360" w:lineRule="auto"/>
        <w:ind w:firstLine="420"/>
        <w:jc w:val="left"/>
        <w:rPr>
          <w:rFonts w:hint="eastAsia" w:ascii="仿宋_GB2312" w:hAnsi="宋体" w:eastAsia="仿宋_GB2312"/>
          <w:color w:val="000000"/>
          <w:szCs w:val="21"/>
          <w:highlight w:val="none"/>
        </w:rPr>
      </w:pPr>
      <w:r>
        <w:rPr>
          <w:rFonts w:hint="eastAsia" w:ascii="仿宋_GB2312" w:hAnsi="宋体" w:eastAsia="仿宋_GB2312"/>
          <w:color w:val="000000"/>
          <w:szCs w:val="21"/>
          <w:highlight w:val="none"/>
        </w:rPr>
        <w:t>供方按照本合同约定的时间、地点一次性交齐本政府采购合同约定的全部货物</w:t>
      </w:r>
    </w:p>
    <w:p w14:paraId="244247AD">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5" w:name="_Toc12497_WPSOffice_Level2"/>
      <w:r>
        <w:rPr>
          <w:rFonts w:hint="eastAsia" w:ascii="黑体" w:hAnsi="宋体" w:eastAsia="黑体"/>
          <w:b/>
          <w:szCs w:val="21"/>
        </w:rPr>
        <w:t>七、验收要求</w:t>
      </w:r>
      <w:bookmarkEnd w:id="215"/>
    </w:p>
    <w:p w14:paraId="0AC5C2F7">
      <w:pPr>
        <w:adjustRightInd w:val="0"/>
        <w:snapToGrid w:val="0"/>
        <w:spacing w:line="360" w:lineRule="auto"/>
        <w:ind w:firstLine="420" w:firstLineChars="200"/>
        <w:jc w:val="left"/>
        <w:rPr>
          <w:rFonts w:ascii="仿宋_GB2312" w:hAnsi="宋体" w:eastAsia="仿宋_GB2312"/>
          <w:szCs w:val="21"/>
          <w:u w:val="single"/>
        </w:rPr>
      </w:pPr>
      <w:r>
        <w:rPr>
          <w:rFonts w:hint="eastAsia" w:ascii="仿宋_GB2312" w:hAnsi="宋体" w:eastAsia="仿宋_GB2312"/>
          <w:szCs w:val="21"/>
        </w:rPr>
        <w:t>供方完全履行合同义务后，需方或需方的最终用户按照上述政府采购合同文件列明的标准进行验收，验收不合格的，供方需按照第八条第2款的约定承担相应违约责任。</w:t>
      </w:r>
    </w:p>
    <w:p w14:paraId="33526279">
      <w:pPr>
        <w:adjustRightInd w:val="0"/>
        <w:snapToGrid w:val="0"/>
        <w:spacing w:line="360" w:lineRule="auto"/>
        <w:jc w:val="left"/>
        <w:rPr>
          <w:rFonts w:ascii="黑体" w:hAnsi="宋体" w:eastAsia="黑体"/>
          <w:b/>
          <w:szCs w:val="21"/>
        </w:rPr>
      </w:pPr>
      <w:bookmarkStart w:id="216" w:name="_Toc4868_WPSOffice_Level2"/>
      <w:r>
        <w:rPr>
          <w:rFonts w:hint="eastAsia" w:ascii="黑体" w:hAnsi="宋体" w:eastAsia="黑体"/>
          <w:b/>
          <w:szCs w:val="21"/>
        </w:rPr>
        <w:t>八、违约责任</w:t>
      </w:r>
      <w:bookmarkEnd w:id="216"/>
    </w:p>
    <w:p w14:paraId="4EF852CD">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1.供方逾期供货的，每逾期一天向需方支付逾期供货金额</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0.05</w:t>
      </w:r>
      <w:r>
        <w:rPr>
          <w:rFonts w:hint="eastAsia" w:ascii="仿宋_GB2312" w:hAnsi="宋体" w:eastAsia="仿宋_GB2312"/>
          <w:szCs w:val="21"/>
        </w:rPr>
        <w:t xml:space="preserve"> %的违约金，逾期</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10</w:t>
      </w:r>
      <w:r>
        <w:rPr>
          <w:rFonts w:hint="eastAsia" w:ascii="仿宋_GB2312" w:hAnsi="宋体" w:eastAsia="仿宋_GB2312"/>
          <w:szCs w:val="21"/>
        </w:rPr>
        <w:t>日的，需方有权单方面解除</w:t>
      </w:r>
      <w:r>
        <w:rPr>
          <w:rFonts w:hint="eastAsia" w:ascii="仿宋_GB2312" w:hAnsi="仿宋_GB2312" w:eastAsia="仿宋_GB2312" w:cs="仿宋_GB2312"/>
          <w:color w:val="000000"/>
          <w:szCs w:val="21"/>
          <w:lang w:val="en-US" w:eastAsia="zh-CN"/>
        </w:rPr>
        <w:t>本协议</w:t>
      </w:r>
      <w:r>
        <w:rPr>
          <w:rFonts w:hint="eastAsia" w:ascii="仿宋_GB2312" w:hAnsi="仿宋_GB2312" w:eastAsia="仿宋_GB2312" w:cs="仿宋_GB2312"/>
          <w:color w:val="0000FF"/>
          <w:szCs w:val="21"/>
          <w:lang w:val="en-US" w:eastAsia="zh-CN"/>
        </w:rPr>
        <w:t>。</w:t>
      </w:r>
    </w:p>
    <w:p w14:paraId="6AE7F859">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2.供方交付的货物不符合约定的，供方需无条件更换符合约定的货物，并按照最终提供合格货物的日期遵照前款承担违约责任，更换一次货物后仍不符合约定的，需方有权单方面解除本协议。</w:t>
      </w:r>
    </w:p>
    <w:p w14:paraId="22557D46">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w:t>
      </w:r>
      <w:r>
        <w:rPr>
          <w:rFonts w:hint="eastAsia" w:ascii="仿宋_GB2312" w:hAnsi="宋体" w:eastAsia="仿宋_GB2312"/>
          <w:szCs w:val="21"/>
          <w:u w:val="single"/>
        </w:rPr>
        <w:t xml:space="preserve">  </w:t>
      </w:r>
      <w:r>
        <w:rPr>
          <w:rFonts w:hint="eastAsia" w:ascii="仿宋_GB2312" w:hAnsi="宋体" w:eastAsia="仿宋_GB2312"/>
          <w:szCs w:val="21"/>
        </w:rPr>
        <w:t xml:space="preserve"> %的违约金，逾期</w:t>
      </w:r>
      <w:r>
        <w:rPr>
          <w:rFonts w:hint="eastAsia" w:ascii="仿宋_GB2312" w:hAnsi="宋体" w:eastAsia="仿宋_GB2312"/>
          <w:szCs w:val="21"/>
          <w:u w:val="single"/>
        </w:rPr>
        <w:t xml:space="preserve">  </w:t>
      </w:r>
      <w:r>
        <w:rPr>
          <w:rFonts w:hint="eastAsia" w:ascii="仿宋_GB2312" w:hAnsi="宋体" w:eastAsia="仿宋_GB2312"/>
          <w:szCs w:val="21"/>
        </w:rPr>
        <w:t>日的，供方有权单方面解除本协议。</w:t>
      </w:r>
    </w:p>
    <w:p w14:paraId="2BB542D6">
      <w:pPr>
        <w:adjustRightInd w:val="0"/>
        <w:snapToGrid w:val="0"/>
        <w:spacing w:line="360" w:lineRule="auto"/>
        <w:jc w:val="left"/>
        <w:rPr>
          <w:rFonts w:ascii="黑体" w:hAnsi="宋体" w:eastAsia="黑体"/>
          <w:b/>
          <w:szCs w:val="21"/>
        </w:rPr>
      </w:pPr>
      <w:bookmarkStart w:id="217" w:name="_Toc24496_WPSOffice_Level2"/>
      <w:r>
        <w:rPr>
          <w:rFonts w:hint="eastAsia" w:ascii="黑体" w:hAnsi="宋体" w:eastAsia="黑体"/>
          <w:b/>
          <w:szCs w:val="21"/>
        </w:rPr>
        <w:t>九、争议解决</w:t>
      </w:r>
      <w:bookmarkEnd w:id="217"/>
    </w:p>
    <w:p w14:paraId="041FF0FB">
      <w:pPr>
        <w:adjustRightInd w:val="0"/>
        <w:snapToGrid w:val="0"/>
        <w:spacing w:line="360" w:lineRule="auto"/>
        <w:jc w:val="left"/>
        <w:rPr>
          <w:rFonts w:ascii="黑体" w:hAnsi="宋体" w:eastAsia="黑体"/>
          <w:b/>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03707A72">
      <w:pPr>
        <w:adjustRightInd w:val="0"/>
        <w:snapToGrid w:val="0"/>
        <w:spacing w:line="360" w:lineRule="auto"/>
        <w:jc w:val="left"/>
        <w:rPr>
          <w:rFonts w:ascii="黑体" w:hAnsi="宋体" w:eastAsia="黑体"/>
          <w:b/>
          <w:szCs w:val="21"/>
        </w:rPr>
      </w:pPr>
      <w:bookmarkStart w:id="218" w:name="_Toc24974_WPSOffice_Level2"/>
      <w:r>
        <w:rPr>
          <w:rFonts w:hint="eastAsia" w:ascii="黑体" w:hAnsi="宋体" w:eastAsia="黑体"/>
          <w:b/>
          <w:szCs w:val="21"/>
        </w:rPr>
        <w:t>十、合同生效</w:t>
      </w:r>
      <w:bookmarkEnd w:id="218"/>
    </w:p>
    <w:p w14:paraId="04D127C4">
      <w:pPr>
        <w:adjustRightInd w:val="0"/>
        <w:snapToGrid w:val="0"/>
        <w:spacing w:line="360" w:lineRule="auto"/>
        <w:jc w:val="left"/>
        <w:rPr>
          <w:rFonts w:hint="eastAsia" w:ascii="仿宋_GB2312" w:hAnsi="宋体" w:eastAsia="仿宋_GB2312"/>
          <w:szCs w:val="21"/>
        </w:rPr>
      </w:pPr>
      <w:r>
        <w:rPr>
          <w:rFonts w:hint="eastAsia" w:ascii="仿宋_GB2312" w:hAnsi="宋体" w:eastAsia="仿宋_GB2312"/>
          <w:szCs w:val="21"/>
        </w:rPr>
        <w:t xml:space="preserve">    本合同正本一式四份，甲方三份，乙方一份，每份合同具有同等法律效力，经双方法定代表人或授权委托人签字并加盖公章或合同章后生效。</w:t>
      </w:r>
    </w:p>
    <w:p w14:paraId="1CB50895">
      <w:pPr>
        <w:adjustRightInd w:val="0"/>
        <w:snapToGrid w:val="0"/>
        <w:spacing w:line="360" w:lineRule="auto"/>
        <w:jc w:val="left"/>
        <w:rPr>
          <w:rFonts w:hint="eastAsia" w:ascii="仿宋_GB2312" w:hAnsi="宋体" w:eastAsia="仿宋_GB2312"/>
          <w:szCs w:val="21"/>
        </w:rPr>
      </w:pPr>
      <w:r>
        <w:rPr>
          <w:rFonts w:hint="eastAsia" w:ascii="仿宋_GB2312" w:hAnsi="宋体" w:eastAsia="仿宋_GB2312"/>
          <w:szCs w:val="21"/>
        </w:rPr>
        <w:t>本合同未尽事宜，由双方协商解决，协商补充协议同样作为合同附件，与合同具有同等效力。</w:t>
      </w:r>
    </w:p>
    <w:p w14:paraId="5DC71222">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本政府采购合同经双方授权代表签字盖章后生效。</w:t>
      </w:r>
    </w:p>
    <w:p w14:paraId="514FD48E">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14:paraId="13F2817A">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4D69D737">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 xml:space="preserve">地址：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地址：</w:t>
      </w:r>
    </w:p>
    <w:p w14:paraId="191EAC63">
      <w:pPr>
        <w:adjustRightInd w:val="0"/>
        <w:snapToGrid w:val="0"/>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 xml:space="preserve">联系人：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联系人：</w:t>
      </w:r>
    </w:p>
    <w:p w14:paraId="314B2889">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 xml:space="preserve">电话：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电话：</w:t>
      </w:r>
    </w:p>
    <w:p w14:paraId="0063B150">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 xml:space="preserve">传真：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传真：</w:t>
      </w:r>
    </w:p>
    <w:p w14:paraId="4B597BB5">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 xml:space="preserve">邮编：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邮编：</w:t>
      </w:r>
    </w:p>
    <w:p w14:paraId="0373EAAA">
      <w:pPr>
        <w:wordWrap/>
        <w:adjustRightInd w:val="0"/>
        <w:snapToGrid w:val="0"/>
        <w:spacing w:line="360" w:lineRule="auto"/>
        <w:ind w:firstLine="420" w:firstLineChars="200"/>
        <w:jc w:val="left"/>
        <w:rPr>
          <w:rFonts w:hint="eastAsia" w:ascii="仿宋" w:hAnsi="仿宋" w:eastAsia="仿宋" w:cs="仿宋"/>
          <w:color w:val="000000"/>
          <w:szCs w:val="21"/>
          <w:highlight w:val="non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w:t>
      </w:r>
      <w:r>
        <w:rPr>
          <w:rFonts w:hint="eastAsia" w:ascii="仿宋_GB2312" w:hAnsi="Lucida Sans Unicode" w:eastAsia="仿宋_GB2312" w:cs="Lucida Sans Unicode"/>
          <w:szCs w:val="21"/>
          <w:lang w:val="en-US" w:eastAsia="zh-CN"/>
        </w:rPr>
        <w:t xml:space="preserve">    </w:t>
      </w: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p>
    <w:p w14:paraId="796D3B93">
      <w:pPr>
        <w:wordWrap w:val="0"/>
        <w:adjustRightInd w:val="0"/>
        <w:snapToGrid w:val="0"/>
        <w:spacing w:line="360" w:lineRule="auto"/>
        <w:jc w:val="both"/>
        <w:rPr>
          <w:rFonts w:ascii="仿宋_GB2312" w:hAnsi="仿宋_GB2312" w:eastAsia="仿宋_GB2312" w:cs="仿宋_GB2312"/>
          <w:color w:val="auto"/>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96A3D">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078E1">
    <w:pPr>
      <w:pStyle w:val="12"/>
      <w:jc w:val="center"/>
    </w:pPr>
    <w:r>
      <w:fldChar w:fldCharType="begin"/>
    </w:r>
    <w:r>
      <w:instrText xml:space="preserve">PAGE   \* MERGEFORMAT</w:instrText>
    </w:r>
    <w:r>
      <w:fldChar w:fldCharType="separate"/>
    </w:r>
    <w:r>
      <w:rPr>
        <w:lang w:val="zh-CN"/>
      </w:rPr>
      <w:t>2</w:t>
    </w:r>
    <w:r>
      <w:fldChar w:fldCharType="end"/>
    </w:r>
  </w:p>
  <w:p w14:paraId="71CFC20F">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3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B4156D0"/>
    <w:multiLevelType w:val="singleLevel"/>
    <w:tmpl w:val="7B4156D0"/>
    <w:lvl w:ilvl="0" w:tentative="0">
      <w:start w:val="1"/>
      <w:numFmt w:val="decimal"/>
      <w:suff w:val="nothing"/>
      <w:lvlText w:val="（%1）"/>
      <w:lvlJc w:val="left"/>
    </w:lvl>
  </w:abstractNum>
  <w:num w:numId="1">
    <w:abstractNumId w:val="5"/>
  </w:num>
  <w:num w:numId="2">
    <w:abstractNumId w:val="0"/>
  </w:num>
  <w:num w:numId="3">
    <w:abstractNumId w:val="2"/>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zMzlkOTZkZTAyNTE3YmQxMzljYzA0YzgxZWEzZGMifQ=="/>
    <w:docVar w:name="KSO_WPS_MARK_KEY" w:val="7a17506a-fcf9-457c-899e-e0a3844db90a"/>
  </w:docVars>
  <w:rsids>
    <w:rsidRoot w:val="7EA50A80"/>
    <w:rsid w:val="00001D20"/>
    <w:rsid w:val="0000641B"/>
    <w:rsid w:val="00007440"/>
    <w:rsid w:val="00017AF4"/>
    <w:rsid w:val="00024251"/>
    <w:rsid w:val="000341B1"/>
    <w:rsid w:val="00051172"/>
    <w:rsid w:val="00056F1E"/>
    <w:rsid w:val="000577D5"/>
    <w:rsid w:val="00062FCE"/>
    <w:rsid w:val="000730A7"/>
    <w:rsid w:val="000803A3"/>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3E3D"/>
    <w:rsid w:val="00154309"/>
    <w:rsid w:val="00163B9A"/>
    <w:rsid w:val="00170000"/>
    <w:rsid w:val="001711BB"/>
    <w:rsid w:val="00171212"/>
    <w:rsid w:val="001A10E9"/>
    <w:rsid w:val="001B28CD"/>
    <w:rsid w:val="001C6199"/>
    <w:rsid w:val="001D6499"/>
    <w:rsid w:val="001E32C3"/>
    <w:rsid w:val="001E69F3"/>
    <w:rsid w:val="001F2B1F"/>
    <w:rsid w:val="00201D14"/>
    <w:rsid w:val="002220C1"/>
    <w:rsid w:val="00223C9B"/>
    <w:rsid w:val="00237843"/>
    <w:rsid w:val="00250B65"/>
    <w:rsid w:val="00254A05"/>
    <w:rsid w:val="00275045"/>
    <w:rsid w:val="00276E33"/>
    <w:rsid w:val="00285E04"/>
    <w:rsid w:val="00297998"/>
    <w:rsid w:val="002A262E"/>
    <w:rsid w:val="002B2B54"/>
    <w:rsid w:val="002C79A6"/>
    <w:rsid w:val="002D095A"/>
    <w:rsid w:val="003000ED"/>
    <w:rsid w:val="00302A71"/>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221A"/>
    <w:rsid w:val="00425155"/>
    <w:rsid w:val="00426C65"/>
    <w:rsid w:val="00440750"/>
    <w:rsid w:val="00442823"/>
    <w:rsid w:val="0045483E"/>
    <w:rsid w:val="00460499"/>
    <w:rsid w:val="00465DC4"/>
    <w:rsid w:val="0048013C"/>
    <w:rsid w:val="00481BAD"/>
    <w:rsid w:val="004838DC"/>
    <w:rsid w:val="00496012"/>
    <w:rsid w:val="0049745C"/>
    <w:rsid w:val="004A1A92"/>
    <w:rsid w:val="004A1D8B"/>
    <w:rsid w:val="004C5563"/>
    <w:rsid w:val="004E3769"/>
    <w:rsid w:val="004E4BAC"/>
    <w:rsid w:val="005018C5"/>
    <w:rsid w:val="00502E90"/>
    <w:rsid w:val="00513444"/>
    <w:rsid w:val="005227FD"/>
    <w:rsid w:val="005448AD"/>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C2CCC"/>
    <w:rsid w:val="007D0A2A"/>
    <w:rsid w:val="007F14E4"/>
    <w:rsid w:val="007F1855"/>
    <w:rsid w:val="007F18A5"/>
    <w:rsid w:val="007F315A"/>
    <w:rsid w:val="007F5AA0"/>
    <w:rsid w:val="007F5AC9"/>
    <w:rsid w:val="007F774A"/>
    <w:rsid w:val="00803A51"/>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8744A"/>
    <w:rsid w:val="00987F43"/>
    <w:rsid w:val="00994CC8"/>
    <w:rsid w:val="009A3A1B"/>
    <w:rsid w:val="009A5F69"/>
    <w:rsid w:val="009A70BD"/>
    <w:rsid w:val="009E428A"/>
    <w:rsid w:val="009F4690"/>
    <w:rsid w:val="00A05D3C"/>
    <w:rsid w:val="00A155F7"/>
    <w:rsid w:val="00A20495"/>
    <w:rsid w:val="00A237C2"/>
    <w:rsid w:val="00A2757B"/>
    <w:rsid w:val="00A27ED3"/>
    <w:rsid w:val="00A30936"/>
    <w:rsid w:val="00A413A6"/>
    <w:rsid w:val="00A429CD"/>
    <w:rsid w:val="00A6193E"/>
    <w:rsid w:val="00A82127"/>
    <w:rsid w:val="00AA4459"/>
    <w:rsid w:val="00AB297E"/>
    <w:rsid w:val="00AC4735"/>
    <w:rsid w:val="00AC4F4E"/>
    <w:rsid w:val="00AD58F8"/>
    <w:rsid w:val="00AE6103"/>
    <w:rsid w:val="00AF702F"/>
    <w:rsid w:val="00B34597"/>
    <w:rsid w:val="00B34B5B"/>
    <w:rsid w:val="00B35BD1"/>
    <w:rsid w:val="00B45EAC"/>
    <w:rsid w:val="00B47161"/>
    <w:rsid w:val="00B47A77"/>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65295"/>
    <w:rsid w:val="00C66946"/>
    <w:rsid w:val="00C9111A"/>
    <w:rsid w:val="00C9148F"/>
    <w:rsid w:val="00CA7336"/>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81F13"/>
    <w:rsid w:val="00D8435D"/>
    <w:rsid w:val="00D87717"/>
    <w:rsid w:val="00D95734"/>
    <w:rsid w:val="00DA4744"/>
    <w:rsid w:val="00DB10A5"/>
    <w:rsid w:val="00DB41F3"/>
    <w:rsid w:val="00DD084B"/>
    <w:rsid w:val="00DE76CC"/>
    <w:rsid w:val="00E01590"/>
    <w:rsid w:val="00E0524F"/>
    <w:rsid w:val="00E13885"/>
    <w:rsid w:val="00E4425F"/>
    <w:rsid w:val="00E83E68"/>
    <w:rsid w:val="00E96DA4"/>
    <w:rsid w:val="00EA6FE2"/>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057174"/>
    <w:rsid w:val="010809B3"/>
    <w:rsid w:val="01275D20"/>
    <w:rsid w:val="012B574F"/>
    <w:rsid w:val="01333E44"/>
    <w:rsid w:val="01520290"/>
    <w:rsid w:val="017734C4"/>
    <w:rsid w:val="01864D83"/>
    <w:rsid w:val="019A5532"/>
    <w:rsid w:val="01A22C15"/>
    <w:rsid w:val="01F376F8"/>
    <w:rsid w:val="0252508F"/>
    <w:rsid w:val="029E7AD0"/>
    <w:rsid w:val="02A16E70"/>
    <w:rsid w:val="02B12406"/>
    <w:rsid w:val="02BC7B5E"/>
    <w:rsid w:val="02F545EC"/>
    <w:rsid w:val="02FA30D3"/>
    <w:rsid w:val="03090322"/>
    <w:rsid w:val="032759B1"/>
    <w:rsid w:val="036F159C"/>
    <w:rsid w:val="03A07AD7"/>
    <w:rsid w:val="03AF0191"/>
    <w:rsid w:val="03EC73DD"/>
    <w:rsid w:val="049D565A"/>
    <w:rsid w:val="04AC72EC"/>
    <w:rsid w:val="04EB5DCD"/>
    <w:rsid w:val="05190704"/>
    <w:rsid w:val="052C1B8C"/>
    <w:rsid w:val="057B7AFF"/>
    <w:rsid w:val="0580226C"/>
    <w:rsid w:val="059B2E14"/>
    <w:rsid w:val="05AA531D"/>
    <w:rsid w:val="05CD3179"/>
    <w:rsid w:val="05D067D9"/>
    <w:rsid w:val="05F6064E"/>
    <w:rsid w:val="05FE190F"/>
    <w:rsid w:val="06306B73"/>
    <w:rsid w:val="06750C66"/>
    <w:rsid w:val="06DB7470"/>
    <w:rsid w:val="06DE46EF"/>
    <w:rsid w:val="06EF58D3"/>
    <w:rsid w:val="07026F93"/>
    <w:rsid w:val="07116147"/>
    <w:rsid w:val="075E76FE"/>
    <w:rsid w:val="079B0BC0"/>
    <w:rsid w:val="07B307F1"/>
    <w:rsid w:val="07B34DB3"/>
    <w:rsid w:val="08147C9D"/>
    <w:rsid w:val="0855720F"/>
    <w:rsid w:val="085B4F44"/>
    <w:rsid w:val="086134E3"/>
    <w:rsid w:val="088D5F5C"/>
    <w:rsid w:val="08A26242"/>
    <w:rsid w:val="0941245A"/>
    <w:rsid w:val="094C565A"/>
    <w:rsid w:val="095B3BBA"/>
    <w:rsid w:val="096D5AA7"/>
    <w:rsid w:val="0997077C"/>
    <w:rsid w:val="09A84B40"/>
    <w:rsid w:val="09BC7504"/>
    <w:rsid w:val="09D122E9"/>
    <w:rsid w:val="09F47BE8"/>
    <w:rsid w:val="09FD11BF"/>
    <w:rsid w:val="0A13499B"/>
    <w:rsid w:val="0A260FC3"/>
    <w:rsid w:val="0A2B6A3F"/>
    <w:rsid w:val="0A643AC5"/>
    <w:rsid w:val="0AB2481A"/>
    <w:rsid w:val="0AB823C4"/>
    <w:rsid w:val="0ACA4546"/>
    <w:rsid w:val="0B02690A"/>
    <w:rsid w:val="0B14682F"/>
    <w:rsid w:val="0B825441"/>
    <w:rsid w:val="0BA525D8"/>
    <w:rsid w:val="0BD50CE3"/>
    <w:rsid w:val="0BF55B92"/>
    <w:rsid w:val="0C167B4A"/>
    <w:rsid w:val="0C2F6006"/>
    <w:rsid w:val="0C426CB3"/>
    <w:rsid w:val="0C5056AF"/>
    <w:rsid w:val="0C5B37C6"/>
    <w:rsid w:val="0C602928"/>
    <w:rsid w:val="0C8352C9"/>
    <w:rsid w:val="0C88726E"/>
    <w:rsid w:val="0CCB7B51"/>
    <w:rsid w:val="0CE866DD"/>
    <w:rsid w:val="0D416E49"/>
    <w:rsid w:val="0D5B2BA8"/>
    <w:rsid w:val="0D8F1B47"/>
    <w:rsid w:val="0DA0360B"/>
    <w:rsid w:val="0DA47700"/>
    <w:rsid w:val="0DB55C17"/>
    <w:rsid w:val="0DC134A7"/>
    <w:rsid w:val="0DF02531"/>
    <w:rsid w:val="0E4D03C4"/>
    <w:rsid w:val="0E512BF8"/>
    <w:rsid w:val="0EF37672"/>
    <w:rsid w:val="0EF46240"/>
    <w:rsid w:val="0F1964F3"/>
    <w:rsid w:val="0F1D151B"/>
    <w:rsid w:val="0F324622"/>
    <w:rsid w:val="0F465E03"/>
    <w:rsid w:val="0F5002B6"/>
    <w:rsid w:val="0F5C1D51"/>
    <w:rsid w:val="0F620FFF"/>
    <w:rsid w:val="0F681E22"/>
    <w:rsid w:val="0F6C20F8"/>
    <w:rsid w:val="0F7A5A01"/>
    <w:rsid w:val="0F9262E5"/>
    <w:rsid w:val="0FEB4EEA"/>
    <w:rsid w:val="0FEE60A0"/>
    <w:rsid w:val="1000028B"/>
    <w:rsid w:val="100B5B75"/>
    <w:rsid w:val="10390CED"/>
    <w:rsid w:val="10797991"/>
    <w:rsid w:val="108D7FEC"/>
    <w:rsid w:val="10C34A85"/>
    <w:rsid w:val="10EB0A61"/>
    <w:rsid w:val="10F96CD3"/>
    <w:rsid w:val="110662B7"/>
    <w:rsid w:val="110D477C"/>
    <w:rsid w:val="111125C9"/>
    <w:rsid w:val="11230728"/>
    <w:rsid w:val="11363454"/>
    <w:rsid w:val="114317C8"/>
    <w:rsid w:val="11504EEC"/>
    <w:rsid w:val="117E3EBF"/>
    <w:rsid w:val="11921F79"/>
    <w:rsid w:val="11A63895"/>
    <w:rsid w:val="11AA0E33"/>
    <w:rsid w:val="11D465DE"/>
    <w:rsid w:val="11DB026D"/>
    <w:rsid w:val="11F35E10"/>
    <w:rsid w:val="121E003E"/>
    <w:rsid w:val="123238F4"/>
    <w:rsid w:val="124E6914"/>
    <w:rsid w:val="128276A4"/>
    <w:rsid w:val="12871737"/>
    <w:rsid w:val="12B45137"/>
    <w:rsid w:val="12D84CD4"/>
    <w:rsid w:val="12DE15D3"/>
    <w:rsid w:val="12F51579"/>
    <w:rsid w:val="12FD7CCA"/>
    <w:rsid w:val="13042B7A"/>
    <w:rsid w:val="13167841"/>
    <w:rsid w:val="131909C4"/>
    <w:rsid w:val="131F2662"/>
    <w:rsid w:val="13631A27"/>
    <w:rsid w:val="137139DD"/>
    <w:rsid w:val="13883420"/>
    <w:rsid w:val="13B47F15"/>
    <w:rsid w:val="13C139AF"/>
    <w:rsid w:val="13E01C4A"/>
    <w:rsid w:val="14011AE1"/>
    <w:rsid w:val="14333776"/>
    <w:rsid w:val="143C4803"/>
    <w:rsid w:val="144E16AB"/>
    <w:rsid w:val="144F6715"/>
    <w:rsid w:val="14771C64"/>
    <w:rsid w:val="147A16BB"/>
    <w:rsid w:val="149C206F"/>
    <w:rsid w:val="14AA5797"/>
    <w:rsid w:val="151C1E49"/>
    <w:rsid w:val="154D743D"/>
    <w:rsid w:val="15667555"/>
    <w:rsid w:val="158D492B"/>
    <w:rsid w:val="15A97268"/>
    <w:rsid w:val="15B97CB2"/>
    <w:rsid w:val="15CF1DD7"/>
    <w:rsid w:val="15E224A7"/>
    <w:rsid w:val="160C07B5"/>
    <w:rsid w:val="16150220"/>
    <w:rsid w:val="16397A1B"/>
    <w:rsid w:val="164342FA"/>
    <w:rsid w:val="165351E7"/>
    <w:rsid w:val="165770B0"/>
    <w:rsid w:val="16A22BEB"/>
    <w:rsid w:val="16CB645F"/>
    <w:rsid w:val="16E11B7C"/>
    <w:rsid w:val="16F32EC3"/>
    <w:rsid w:val="171820A2"/>
    <w:rsid w:val="171877C6"/>
    <w:rsid w:val="175043DA"/>
    <w:rsid w:val="17571001"/>
    <w:rsid w:val="17647109"/>
    <w:rsid w:val="176B0771"/>
    <w:rsid w:val="17707BBF"/>
    <w:rsid w:val="177572AC"/>
    <w:rsid w:val="17776970"/>
    <w:rsid w:val="1779281B"/>
    <w:rsid w:val="179E6119"/>
    <w:rsid w:val="17BA1FA3"/>
    <w:rsid w:val="17C50FB3"/>
    <w:rsid w:val="17CB05D4"/>
    <w:rsid w:val="17CF624F"/>
    <w:rsid w:val="181270D8"/>
    <w:rsid w:val="183A7AB3"/>
    <w:rsid w:val="18402742"/>
    <w:rsid w:val="185C4B83"/>
    <w:rsid w:val="18C80336"/>
    <w:rsid w:val="190C0B53"/>
    <w:rsid w:val="19233F3A"/>
    <w:rsid w:val="195425EF"/>
    <w:rsid w:val="19962C12"/>
    <w:rsid w:val="19AE3FA6"/>
    <w:rsid w:val="19BF6BA6"/>
    <w:rsid w:val="19FF7FDF"/>
    <w:rsid w:val="1AC3684A"/>
    <w:rsid w:val="1ACA77FB"/>
    <w:rsid w:val="1ACC5BF8"/>
    <w:rsid w:val="1AD774CB"/>
    <w:rsid w:val="1AE92FD5"/>
    <w:rsid w:val="1B1E67F8"/>
    <w:rsid w:val="1B200CF6"/>
    <w:rsid w:val="1B2A7529"/>
    <w:rsid w:val="1B390BDC"/>
    <w:rsid w:val="1B4E55E8"/>
    <w:rsid w:val="1B8E7170"/>
    <w:rsid w:val="1BB157C1"/>
    <w:rsid w:val="1BBD111D"/>
    <w:rsid w:val="1BE0443F"/>
    <w:rsid w:val="1BE84C9C"/>
    <w:rsid w:val="1C471722"/>
    <w:rsid w:val="1C5C588F"/>
    <w:rsid w:val="1C983F97"/>
    <w:rsid w:val="1CB1569A"/>
    <w:rsid w:val="1CB313F6"/>
    <w:rsid w:val="1CEF0D6A"/>
    <w:rsid w:val="1CFB6B14"/>
    <w:rsid w:val="1D3C45B0"/>
    <w:rsid w:val="1D4028B0"/>
    <w:rsid w:val="1D613CFF"/>
    <w:rsid w:val="1DFE0D7B"/>
    <w:rsid w:val="1E00462C"/>
    <w:rsid w:val="1E0E2E2B"/>
    <w:rsid w:val="1E1C5E73"/>
    <w:rsid w:val="1E3D5BFF"/>
    <w:rsid w:val="1E3F5B0A"/>
    <w:rsid w:val="1E402DD2"/>
    <w:rsid w:val="1E462655"/>
    <w:rsid w:val="1E5B585E"/>
    <w:rsid w:val="1E703E54"/>
    <w:rsid w:val="1E7A394D"/>
    <w:rsid w:val="1EA0459D"/>
    <w:rsid w:val="1EB21D4C"/>
    <w:rsid w:val="1ECC5D06"/>
    <w:rsid w:val="1ED42809"/>
    <w:rsid w:val="1EE327B7"/>
    <w:rsid w:val="1EEF0477"/>
    <w:rsid w:val="1EF26162"/>
    <w:rsid w:val="1F1757C0"/>
    <w:rsid w:val="1F6457D9"/>
    <w:rsid w:val="1F64740B"/>
    <w:rsid w:val="1F6A2CF4"/>
    <w:rsid w:val="1F8E4E99"/>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70459"/>
    <w:rsid w:val="2102069D"/>
    <w:rsid w:val="2106288F"/>
    <w:rsid w:val="21082292"/>
    <w:rsid w:val="21C9221A"/>
    <w:rsid w:val="21E8092D"/>
    <w:rsid w:val="22160B82"/>
    <w:rsid w:val="228952D6"/>
    <w:rsid w:val="2297314D"/>
    <w:rsid w:val="229F23A9"/>
    <w:rsid w:val="22A279E3"/>
    <w:rsid w:val="22BA2B41"/>
    <w:rsid w:val="22D26F9A"/>
    <w:rsid w:val="22DB76BB"/>
    <w:rsid w:val="233C7E85"/>
    <w:rsid w:val="235D4796"/>
    <w:rsid w:val="239A58F9"/>
    <w:rsid w:val="23AF69F1"/>
    <w:rsid w:val="23B12896"/>
    <w:rsid w:val="23CB0902"/>
    <w:rsid w:val="23DC56BB"/>
    <w:rsid w:val="23E11A3F"/>
    <w:rsid w:val="23F316BB"/>
    <w:rsid w:val="244450C4"/>
    <w:rsid w:val="24763848"/>
    <w:rsid w:val="247C12B5"/>
    <w:rsid w:val="24827E18"/>
    <w:rsid w:val="24963225"/>
    <w:rsid w:val="24C31569"/>
    <w:rsid w:val="24C9231F"/>
    <w:rsid w:val="24D52D8A"/>
    <w:rsid w:val="25377C12"/>
    <w:rsid w:val="25752CBA"/>
    <w:rsid w:val="25902E9C"/>
    <w:rsid w:val="25B0273C"/>
    <w:rsid w:val="25D45C3E"/>
    <w:rsid w:val="25DD61F7"/>
    <w:rsid w:val="25E81861"/>
    <w:rsid w:val="26034EF6"/>
    <w:rsid w:val="260E6047"/>
    <w:rsid w:val="263D5C2C"/>
    <w:rsid w:val="2682292E"/>
    <w:rsid w:val="26AF716B"/>
    <w:rsid w:val="26B57F3A"/>
    <w:rsid w:val="26EF7805"/>
    <w:rsid w:val="27126E5B"/>
    <w:rsid w:val="27437FDF"/>
    <w:rsid w:val="275B4E31"/>
    <w:rsid w:val="276E7580"/>
    <w:rsid w:val="27811502"/>
    <w:rsid w:val="279E1806"/>
    <w:rsid w:val="279F27E3"/>
    <w:rsid w:val="27C40F6B"/>
    <w:rsid w:val="28073099"/>
    <w:rsid w:val="281E11E4"/>
    <w:rsid w:val="282C2994"/>
    <w:rsid w:val="284F39D7"/>
    <w:rsid w:val="28907C53"/>
    <w:rsid w:val="28B92147"/>
    <w:rsid w:val="28E318D4"/>
    <w:rsid w:val="2932382E"/>
    <w:rsid w:val="293624BD"/>
    <w:rsid w:val="294D49C5"/>
    <w:rsid w:val="296231D6"/>
    <w:rsid w:val="29B616C2"/>
    <w:rsid w:val="29BA0A21"/>
    <w:rsid w:val="29BB2399"/>
    <w:rsid w:val="2A19597B"/>
    <w:rsid w:val="2A23324E"/>
    <w:rsid w:val="2A594ECE"/>
    <w:rsid w:val="2A6C2D68"/>
    <w:rsid w:val="2A6F0AFC"/>
    <w:rsid w:val="2A7439F6"/>
    <w:rsid w:val="2ACE0C31"/>
    <w:rsid w:val="2AFD4EC5"/>
    <w:rsid w:val="2AFF1738"/>
    <w:rsid w:val="2B046437"/>
    <w:rsid w:val="2B1B420B"/>
    <w:rsid w:val="2B376F2C"/>
    <w:rsid w:val="2B417276"/>
    <w:rsid w:val="2B5A5895"/>
    <w:rsid w:val="2B954A46"/>
    <w:rsid w:val="2C765025"/>
    <w:rsid w:val="2C852F06"/>
    <w:rsid w:val="2C981CCD"/>
    <w:rsid w:val="2C9F53AF"/>
    <w:rsid w:val="2CBA641B"/>
    <w:rsid w:val="2CCE1BAC"/>
    <w:rsid w:val="2D040C32"/>
    <w:rsid w:val="2D0757A6"/>
    <w:rsid w:val="2D5E0650"/>
    <w:rsid w:val="2D982E0B"/>
    <w:rsid w:val="2DB53B3B"/>
    <w:rsid w:val="2DCB5CD4"/>
    <w:rsid w:val="2DCC44FF"/>
    <w:rsid w:val="2E072654"/>
    <w:rsid w:val="2E3D32FC"/>
    <w:rsid w:val="2E5E1319"/>
    <w:rsid w:val="2E6F38EF"/>
    <w:rsid w:val="2E8D662B"/>
    <w:rsid w:val="2EC24EAE"/>
    <w:rsid w:val="2F47109C"/>
    <w:rsid w:val="2F4B2213"/>
    <w:rsid w:val="2F6B3313"/>
    <w:rsid w:val="2F757F47"/>
    <w:rsid w:val="2F8868AA"/>
    <w:rsid w:val="2F8B4DEA"/>
    <w:rsid w:val="2F9075F6"/>
    <w:rsid w:val="2F965A58"/>
    <w:rsid w:val="2F9A594D"/>
    <w:rsid w:val="2FA10FE4"/>
    <w:rsid w:val="2FF3519E"/>
    <w:rsid w:val="30303517"/>
    <w:rsid w:val="307B4A76"/>
    <w:rsid w:val="30844D85"/>
    <w:rsid w:val="308E13FA"/>
    <w:rsid w:val="311E4999"/>
    <w:rsid w:val="312573D2"/>
    <w:rsid w:val="31300A9C"/>
    <w:rsid w:val="313279B0"/>
    <w:rsid w:val="31785EB2"/>
    <w:rsid w:val="317F3D7D"/>
    <w:rsid w:val="31897B27"/>
    <w:rsid w:val="319327E5"/>
    <w:rsid w:val="31960D20"/>
    <w:rsid w:val="31A435DE"/>
    <w:rsid w:val="31A74825"/>
    <w:rsid w:val="31CD0C24"/>
    <w:rsid w:val="31F0559B"/>
    <w:rsid w:val="31FF60CF"/>
    <w:rsid w:val="322963D4"/>
    <w:rsid w:val="322C0750"/>
    <w:rsid w:val="32490EF5"/>
    <w:rsid w:val="324E528F"/>
    <w:rsid w:val="32642296"/>
    <w:rsid w:val="326B085A"/>
    <w:rsid w:val="32A01606"/>
    <w:rsid w:val="32C94A9C"/>
    <w:rsid w:val="32D040EC"/>
    <w:rsid w:val="32D93D68"/>
    <w:rsid w:val="32E120A3"/>
    <w:rsid w:val="33092D4F"/>
    <w:rsid w:val="332D454F"/>
    <w:rsid w:val="33426DD3"/>
    <w:rsid w:val="334E1463"/>
    <w:rsid w:val="337C79F0"/>
    <w:rsid w:val="339165C1"/>
    <w:rsid w:val="33C85644"/>
    <w:rsid w:val="341074C9"/>
    <w:rsid w:val="342804A8"/>
    <w:rsid w:val="348E3F5F"/>
    <w:rsid w:val="34A07D70"/>
    <w:rsid w:val="34AE125F"/>
    <w:rsid w:val="34D84426"/>
    <w:rsid w:val="34D85063"/>
    <w:rsid w:val="35170C48"/>
    <w:rsid w:val="352548D7"/>
    <w:rsid w:val="352A70A8"/>
    <w:rsid w:val="353C1806"/>
    <w:rsid w:val="359B5E22"/>
    <w:rsid w:val="359C1AAB"/>
    <w:rsid w:val="35A63D95"/>
    <w:rsid w:val="35AB3B2B"/>
    <w:rsid w:val="35B11597"/>
    <w:rsid w:val="35B27244"/>
    <w:rsid w:val="360B3E62"/>
    <w:rsid w:val="364970DE"/>
    <w:rsid w:val="364E1FAC"/>
    <w:rsid w:val="36503AF9"/>
    <w:rsid w:val="366C02C0"/>
    <w:rsid w:val="367F29FE"/>
    <w:rsid w:val="36B658AA"/>
    <w:rsid w:val="36C24DA9"/>
    <w:rsid w:val="36C26B8E"/>
    <w:rsid w:val="36E41E01"/>
    <w:rsid w:val="36FA7861"/>
    <w:rsid w:val="3716362D"/>
    <w:rsid w:val="3734496F"/>
    <w:rsid w:val="3744619F"/>
    <w:rsid w:val="374E03A8"/>
    <w:rsid w:val="375F48B5"/>
    <w:rsid w:val="376C4B50"/>
    <w:rsid w:val="37797AAB"/>
    <w:rsid w:val="37965565"/>
    <w:rsid w:val="38683E4F"/>
    <w:rsid w:val="38710E3F"/>
    <w:rsid w:val="388F2342"/>
    <w:rsid w:val="389649C5"/>
    <w:rsid w:val="395F496C"/>
    <w:rsid w:val="3971655D"/>
    <w:rsid w:val="39BA1ADC"/>
    <w:rsid w:val="39F40A57"/>
    <w:rsid w:val="3A735F50"/>
    <w:rsid w:val="3A8D08BE"/>
    <w:rsid w:val="3AE356EC"/>
    <w:rsid w:val="3AE83416"/>
    <w:rsid w:val="3AE84F21"/>
    <w:rsid w:val="3B0F43E9"/>
    <w:rsid w:val="3B1E1277"/>
    <w:rsid w:val="3B241639"/>
    <w:rsid w:val="3B2958E9"/>
    <w:rsid w:val="3B340B10"/>
    <w:rsid w:val="3B4342F2"/>
    <w:rsid w:val="3B705907"/>
    <w:rsid w:val="3BAC54A0"/>
    <w:rsid w:val="3BB450D2"/>
    <w:rsid w:val="3BB51625"/>
    <w:rsid w:val="3BB83A55"/>
    <w:rsid w:val="3BC540CC"/>
    <w:rsid w:val="3BFB441D"/>
    <w:rsid w:val="3C016259"/>
    <w:rsid w:val="3C05702B"/>
    <w:rsid w:val="3C70334F"/>
    <w:rsid w:val="3C797D13"/>
    <w:rsid w:val="3C806348"/>
    <w:rsid w:val="3CC41920"/>
    <w:rsid w:val="3CD2615F"/>
    <w:rsid w:val="3D11205B"/>
    <w:rsid w:val="3D1F449C"/>
    <w:rsid w:val="3D3D55B3"/>
    <w:rsid w:val="3D50398D"/>
    <w:rsid w:val="3D5619DA"/>
    <w:rsid w:val="3D5B6EE5"/>
    <w:rsid w:val="3D604ED5"/>
    <w:rsid w:val="3DA2751D"/>
    <w:rsid w:val="3DE25DB3"/>
    <w:rsid w:val="3DE6670E"/>
    <w:rsid w:val="3DEB384D"/>
    <w:rsid w:val="3E0A64CE"/>
    <w:rsid w:val="3E1B54E8"/>
    <w:rsid w:val="3E7A463F"/>
    <w:rsid w:val="3E925B12"/>
    <w:rsid w:val="3EFB0FE0"/>
    <w:rsid w:val="3F0128C7"/>
    <w:rsid w:val="3F12480E"/>
    <w:rsid w:val="3F50722A"/>
    <w:rsid w:val="3F645D9C"/>
    <w:rsid w:val="3F8E1AF4"/>
    <w:rsid w:val="3FA35235"/>
    <w:rsid w:val="3FA54560"/>
    <w:rsid w:val="3FB10B8E"/>
    <w:rsid w:val="3FCB2B69"/>
    <w:rsid w:val="3FFD4490"/>
    <w:rsid w:val="40444F65"/>
    <w:rsid w:val="405A34BE"/>
    <w:rsid w:val="40650AB8"/>
    <w:rsid w:val="406D2075"/>
    <w:rsid w:val="40A73A11"/>
    <w:rsid w:val="40D50F73"/>
    <w:rsid w:val="40E765BD"/>
    <w:rsid w:val="41071953"/>
    <w:rsid w:val="410D6E30"/>
    <w:rsid w:val="413A6745"/>
    <w:rsid w:val="41412351"/>
    <w:rsid w:val="414E6719"/>
    <w:rsid w:val="416D4D8C"/>
    <w:rsid w:val="417A46D4"/>
    <w:rsid w:val="41904DF6"/>
    <w:rsid w:val="419345E1"/>
    <w:rsid w:val="41940CDA"/>
    <w:rsid w:val="41A302FD"/>
    <w:rsid w:val="41AA2509"/>
    <w:rsid w:val="41B16EBC"/>
    <w:rsid w:val="41CF0BCF"/>
    <w:rsid w:val="41D427C4"/>
    <w:rsid w:val="41E04248"/>
    <w:rsid w:val="41E85AE5"/>
    <w:rsid w:val="42042CCA"/>
    <w:rsid w:val="424449B0"/>
    <w:rsid w:val="42812A86"/>
    <w:rsid w:val="42B56350"/>
    <w:rsid w:val="43104C13"/>
    <w:rsid w:val="432C5504"/>
    <w:rsid w:val="43365770"/>
    <w:rsid w:val="43482809"/>
    <w:rsid w:val="43482915"/>
    <w:rsid w:val="43727FC7"/>
    <w:rsid w:val="43794BD1"/>
    <w:rsid w:val="439006C3"/>
    <w:rsid w:val="43934B60"/>
    <w:rsid w:val="44C409AF"/>
    <w:rsid w:val="44CB6471"/>
    <w:rsid w:val="44D70159"/>
    <w:rsid w:val="44E241B1"/>
    <w:rsid w:val="4504471C"/>
    <w:rsid w:val="45263750"/>
    <w:rsid w:val="4567448A"/>
    <w:rsid w:val="45791C6C"/>
    <w:rsid w:val="45974ABD"/>
    <w:rsid w:val="45D05F89"/>
    <w:rsid w:val="460008CE"/>
    <w:rsid w:val="460F7253"/>
    <w:rsid w:val="46107943"/>
    <w:rsid w:val="46212412"/>
    <w:rsid w:val="462430DE"/>
    <w:rsid w:val="46577A76"/>
    <w:rsid w:val="465D7A38"/>
    <w:rsid w:val="46A301C2"/>
    <w:rsid w:val="46A54CB5"/>
    <w:rsid w:val="46A83331"/>
    <w:rsid w:val="46B215A3"/>
    <w:rsid w:val="46C36755"/>
    <w:rsid w:val="46D027AA"/>
    <w:rsid w:val="47092F16"/>
    <w:rsid w:val="47396823"/>
    <w:rsid w:val="476D5EBB"/>
    <w:rsid w:val="47711558"/>
    <w:rsid w:val="47723768"/>
    <w:rsid w:val="47D9353C"/>
    <w:rsid w:val="47E54F55"/>
    <w:rsid w:val="47FA3E97"/>
    <w:rsid w:val="47FE50D5"/>
    <w:rsid w:val="483337FA"/>
    <w:rsid w:val="48961FF5"/>
    <w:rsid w:val="48A25DD0"/>
    <w:rsid w:val="48BD3036"/>
    <w:rsid w:val="48DD2962"/>
    <w:rsid w:val="48EE04C6"/>
    <w:rsid w:val="48EF5006"/>
    <w:rsid w:val="49490BB1"/>
    <w:rsid w:val="494B36B3"/>
    <w:rsid w:val="495C2431"/>
    <w:rsid w:val="49692915"/>
    <w:rsid w:val="499769D5"/>
    <w:rsid w:val="49CA4723"/>
    <w:rsid w:val="4A3847B0"/>
    <w:rsid w:val="4A3F772C"/>
    <w:rsid w:val="4A492B02"/>
    <w:rsid w:val="4A584C12"/>
    <w:rsid w:val="4A6603DD"/>
    <w:rsid w:val="4A6E7668"/>
    <w:rsid w:val="4AB64AFD"/>
    <w:rsid w:val="4ABC719B"/>
    <w:rsid w:val="4B040E73"/>
    <w:rsid w:val="4B054806"/>
    <w:rsid w:val="4B323DAD"/>
    <w:rsid w:val="4B6C0448"/>
    <w:rsid w:val="4B911AF6"/>
    <w:rsid w:val="4B992729"/>
    <w:rsid w:val="4BB66672"/>
    <w:rsid w:val="4BF14E5C"/>
    <w:rsid w:val="4BF6455A"/>
    <w:rsid w:val="4C2C72E7"/>
    <w:rsid w:val="4C6A36A5"/>
    <w:rsid w:val="4CB2203E"/>
    <w:rsid w:val="4D221A5E"/>
    <w:rsid w:val="4D2F1ADF"/>
    <w:rsid w:val="4D397E04"/>
    <w:rsid w:val="4D5B3007"/>
    <w:rsid w:val="4D6604E2"/>
    <w:rsid w:val="4D83282D"/>
    <w:rsid w:val="4D850510"/>
    <w:rsid w:val="4DA8648A"/>
    <w:rsid w:val="4DB91463"/>
    <w:rsid w:val="4DD26CD8"/>
    <w:rsid w:val="4DE16570"/>
    <w:rsid w:val="4E36503C"/>
    <w:rsid w:val="4E663FE6"/>
    <w:rsid w:val="4E7D306C"/>
    <w:rsid w:val="4EBC4081"/>
    <w:rsid w:val="4ED02D42"/>
    <w:rsid w:val="4ED65279"/>
    <w:rsid w:val="4EE36998"/>
    <w:rsid w:val="4F377CE8"/>
    <w:rsid w:val="4F383C09"/>
    <w:rsid w:val="4F42117D"/>
    <w:rsid w:val="4F48599F"/>
    <w:rsid w:val="4F4F2BC1"/>
    <w:rsid w:val="4F604C84"/>
    <w:rsid w:val="4F7A0880"/>
    <w:rsid w:val="4F96706C"/>
    <w:rsid w:val="4F9C0A07"/>
    <w:rsid w:val="4FA060F5"/>
    <w:rsid w:val="4FC915F8"/>
    <w:rsid w:val="50421741"/>
    <w:rsid w:val="504E4277"/>
    <w:rsid w:val="506F3038"/>
    <w:rsid w:val="50952DF2"/>
    <w:rsid w:val="50A20022"/>
    <w:rsid w:val="50EA74A0"/>
    <w:rsid w:val="50F07683"/>
    <w:rsid w:val="51002747"/>
    <w:rsid w:val="512B3E20"/>
    <w:rsid w:val="51316332"/>
    <w:rsid w:val="51647149"/>
    <w:rsid w:val="516C70A1"/>
    <w:rsid w:val="52372CD0"/>
    <w:rsid w:val="523875ED"/>
    <w:rsid w:val="526826F8"/>
    <w:rsid w:val="530138B3"/>
    <w:rsid w:val="5302247A"/>
    <w:rsid w:val="53315390"/>
    <w:rsid w:val="533A5121"/>
    <w:rsid w:val="53425BB0"/>
    <w:rsid w:val="534B0C47"/>
    <w:rsid w:val="5360776D"/>
    <w:rsid w:val="53620B4A"/>
    <w:rsid w:val="537261AA"/>
    <w:rsid w:val="539643AE"/>
    <w:rsid w:val="53E411F3"/>
    <w:rsid w:val="541643C9"/>
    <w:rsid w:val="544D59FD"/>
    <w:rsid w:val="545F7ABE"/>
    <w:rsid w:val="546A6B00"/>
    <w:rsid w:val="54B10B69"/>
    <w:rsid w:val="54D357A1"/>
    <w:rsid w:val="54FE79E1"/>
    <w:rsid w:val="550479F9"/>
    <w:rsid w:val="55351D87"/>
    <w:rsid w:val="554054D5"/>
    <w:rsid w:val="5565242B"/>
    <w:rsid w:val="558B0EF2"/>
    <w:rsid w:val="56195DC5"/>
    <w:rsid w:val="56205935"/>
    <w:rsid w:val="5671771B"/>
    <w:rsid w:val="569F5204"/>
    <w:rsid w:val="56A40F80"/>
    <w:rsid w:val="56E30A23"/>
    <w:rsid w:val="56E42053"/>
    <w:rsid w:val="56F805D3"/>
    <w:rsid w:val="56F9482C"/>
    <w:rsid w:val="570A5579"/>
    <w:rsid w:val="572F2122"/>
    <w:rsid w:val="5732282D"/>
    <w:rsid w:val="57513E3C"/>
    <w:rsid w:val="575E71D1"/>
    <w:rsid w:val="57656AAF"/>
    <w:rsid w:val="57780285"/>
    <w:rsid w:val="57895841"/>
    <w:rsid w:val="57CB7122"/>
    <w:rsid w:val="580206F4"/>
    <w:rsid w:val="580F49BF"/>
    <w:rsid w:val="581F69C6"/>
    <w:rsid w:val="5842386F"/>
    <w:rsid w:val="58BB51AE"/>
    <w:rsid w:val="58C67724"/>
    <w:rsid w:val="58F74373"/>
    <w:rsid w:val="590E3AAE"/>
    <w:rsid w:val="591075D9"/>
    <w:rsid w:val="592B2BC8"/>
    <w:rsid w:val="5932697F"/>
    <w:rsid w:val="5945570A"/>
    <w:rsid w:val="59647B91"/>
    <w:rsid w:val="59747B68"/>
    <w:rsid w:val="597746E4"/>
    <w:rsid w:val="59843CBF"/>
    <w:rsid w:val="598A1022"/>
    <w:rsid w:val="59B44E5D"/>
    <w:rsid w:val="59B93578"/>
    <w:rsid w:val="59C60319"/>
    <w:rsid w:val="5A0A7C1A"/>
    <w:rsid w:val="5A4A27BF"/>
    <w:rsid w:val="5A4A7AA9"/>
    <w:rsid w:val="5A503204"/>
    <w:rsid w:val="5A636A25"/>
    <w:rsid w:val="5A795462"/>
    <w:rsid w:val="5B314B9C"/>
    <w:rsid w:val="5B4F5494"/>
    <w:rsid w:val="5B5267B9"/>
    <w:rsid w:val="5B5F034D"/>
    <w:rsid w:val="5B64318C"/>
    <w:rsid w:val="5B657399"/>
    <w:rsid w:val="5B7A2A80"/>
    <w:rsid w:val="5B9E5C51"/>
    <w:rsid w:val="5BA67D81"/>
    <w:rsid w:val="5BAC3E82"/>
    <w:rsid w:val="5BC05588"/>
    <w:rsid w:val="5BC22E0D"/>
    <w:rsid w:val="5BD42E24"/>
    <w:rsid w:val="5BDD7C46"/>
    <w:rsid w:val="5BE21F66"/>
    <w:rsid w:val="5BFB37A6"/>
    <w:rsid w:val="5C240C7B"/>
    <w:rsid w:val="5C8D51F6"/>
    <w:rsid w:val="5CA223D5"/>
    <w:rsid w:val="5CA52AF5"/>
    <w:rsid w:val="5CB963A2"/>
    <w:rsid w:val="5CC41C0D"/>
    <w:rsid w:val="5CCE1A7B"/>
    <w:rsid w:val="5CE42D12"/>
    <w:rsid w:val="5CEB3BAF"/>
    <w:rsid w:val="5D2006AE"/>
    <w:rsid w:val="5D5D7AEC"/>
    <w:rsid w:val="5DA6050C"/>
    <w:rsid w:val="5DB07B64"/>
    <w:rsid w:val="5DC65EA4"/>
    <w:rsid w:val="5DDE2965"/>
    <w:rsid w:val="5DE55D4F"/>
    <w:rsid w:val="5DF24F34"/>
    <w:rsid w:val="5E0B635A"/>
    <w:rsid w:val="5E1F1A63"/>
    <w:rsid w:val="5E294CEB"/>
    <w:rsid w:val="5E4D0988"/>
    <w:rsid w:val="5EA11D24"/>
    <w:rsid w:val="5ED02091"/>
    <w:rsid w:val="5ED02A30"/>
    <w:rsid w:val="5EF54261"/>
    <w:rsid w:val="5EF66F80"/>
    <w:rsid w:val="5EFD3DCB"/>
    <w:rsid w:val="5F323D85"/>
    <w:rsid w:val="5F5919A6"/>
    <w:rsid w:val="5F82440E"/>
    <w:rsid w:val="5F895057"/>
    <w:rsid w:val="5F940A3E"/>
    <w:rsid w:val="5FBE15B0"/>
    <w:rsid w:val="5FE408D5"/>
    <w:rsid w:val="60210B27"/>
    <w:rsid w:val="603C0211"/>
    <w:rsid w:val="605C661D"/>
    <w:rsid w:val="606644B6"/>
    <w:rsid w:val="60864E22"/>
    <w:rsid w:val="60992FAF"/>
    <w:rsid w:val="610B3038"/>
    <w:rsid w:val="6157463B"/>
    <w:rsid w:val="617E4947"/>
    <w:rsid w:val="618C3680"/>
    <w:rsid w:val="619157A0"/>
    <w:rsid w:val="61AA3B7A"/>
    <w:rsid w:val="61AD7FAC"/>
    <w:rsid w:val="61B9082C"/>
    <w:rsid w:val="620039AE"/>
    <w:rsid w:val="62012E19"/>
    <w:rsid w:val="620C4DF8"/>
    <w:rsid w:val="621E53A5"/>
    <w:rsid w:val="623D5DE4"/>
    <w:rsid w:val="62552691"/>
    <w:rsid w:val="62980983"/>
    <w:rsid w:val="62FE72D8"/>
    <w:rsid w:val="632259C4"/>
    <w:rsid w:val="63263D0D"/>
    <w:rsid w:val="634D2D5C"/>
    <w:rsid w:val="63632B45"/>
    <w:rsid w:val="6373260F"/>
    <w:rsid w:val="63856413"/>
    <w:rsid w:val="63AD54D7"/>
    <w:rsid w:val="63D201A3"/>
    <w:rsid w:val="63DF6D3D"/>
    <w:rsid w:val="64003D27"/>
    <w:rsid w:val="644763D7"/>
    <w:rsid w:val="64505A3F"/>
    <w:rsid w:val="646E04C5"/>
    <w:rsid w:val="649548FB"/>
    <w:rsid w:val="64AD388C"/>
    <w:rsid w:val="64AE7C89"/>
    <w:rsid w:val="64B60830"/>
    <w:rsid w:val="64D81CF5"/>
    <w:rsid w:val="65124346"/>
    <w:rsid w:val="65307D31"/>
    <w:rsid w:val="65420BAE"/>
    <w:rsid w:val="65520C3E"/>
    <w:rsid w:val="65863C10"/>
    <w:rsid w:val="65A45561"/>
    <w:rsid w:val="65D43F86"/>
    <w:rsid w:val="65DC2D1D"/>
    <w:rsid w:val="66324275"/>
    <w:rsid w:val="66582833"/>
    <w:rsid w:val="66723DB8"/>
    <w:rsid w:val="667557A4"/>
    <w:rsid w:val="668535C1"/>
    <w:rsid w:val="669F5C50"/>
    <w:rsid w:val="66C66E69"/>
    <w:rsid w:val="66CA0DC7"/>
    <w:rsid w:val="66E9246C"/>
    <w:rsid w:val="67153A4B"/>
    <w:rsid w:val="673D3AD3"/>
    <w:rsid w:val="676E3F85"/>
    <w:rsid w:val="67AA791C"/>
    <w:rsid w:val="67DC40C9"/>
    <w:rsid w:val="681253D0"/>
    <w:rsid w:val="68464F3B"/>
    <w:rsid w:val="684A64D9"/>
    <w:rsid w:val="685A6D95"/>
    <w:rsid w:val="689B44E8"/>
    <w:rsid w:val="68A32F09"/>
    <w:rsid w:val="68B94F59"/>
    <w:rsid w:val="68C0194D"/>
    <w:rsid w:val="68C65D6E"/>
    <w:rsid w:val="68DA5ADD"/>
    <w:rsid w:val="68DC1A4F"/>
    <w:rsid w:val="68F2680E"/>
    <w:rsid w:val="69107A14"/>
    <w:rsid w:val="691B4597"/>
    <w:rsid w:val="6924250F"/>
    <w:rsid w:val="69271690"/>
    <w:rsid w:val="694C0E55"/>
    <w:rsid w:val="6959691A"/>
    <w:rsid w:val="696033A5"/>
    <w:rsid w:val="696533DD"/>
    <w:rsid w:val="696973C3"/>
    <w:rsid w:val="696F027E"/>
    <w:rsid w:val="69877444"/>
    <w:rsid w:val="698E4AF7"/>
    <w:rsid w:val="699879BB"/>
    <w:rsid w:val="69A16F46"/>
    <w:rsid w:val="69C55233"/>
    <w:rsid w:val="69EB0D20"/>
    <w:rsid w:val="6A1E36DE"/>
    <w:rsid w:val="6A624D6D"/>
    <w:rsid w:val="6A8C667E"/>
    <w:rsid w:val="6A932B4B"/>
    <w:rsid w:val="6AE866A8"/>
    <w:rsid w:val="6AF619D0"/>
    <w:rsid w:val="6B0146A4"/>
    <w:rsid w:val="6B051D29"/>
    <w:rsid w:val="6B087F5F"/>
    <w:rsid w:val="6B676306"/>
    <w:rsid w:val="6B6D718E"/>
    <w:rsid w:val="6B711B7A"/>
    <w:rsid w:val="6B8579B3"/>
    <w:rsid w:val="6BC8556D"/>
    <w:rsid w:val="6BD43669"/>
    <w:rsid w:val="6BDC793B"/>
    <w:rsid w:val="6BE8725E"/>
    <w:rsid w:val="6C152647"/>
    <w:rsid w:val="6C156D2D"/>
    <w:rsid w:val="6C187585"/>
    <w:rsid w:val="6C255D33"/>
    <w:rsid w:val="6C2F6077"/>
    <w:rsid w:val="6C3345BF"/>
    <w:rsid w:val="6C6608D6"/>
    <w:rsid w:val="6C781526"/>
    <w:rsid w:val="6C7D5484"/>
    <w:rsid w:val="6C9852E5"/>
    <w:rsid w:val="6C992705"/>
    <w:rsid w:val="6CD858AC"/>
    <w:rsid w:val="6CFA7D7F"/>
    <w:rsid w:val="6D66521C"/>
    <w:rsid w:val="6D6F33E7"/>
    <w:rsid w:val="6D8D7A35"/>
    <w:rsid w:val="6DBD1347"/>
    <w:rsid w:val="6E2A7591"/>
    <w:rsid w:val="6E4F523E"/>
    <w:rsid w:val="6E5729A2"/>
    <w:rsid w:val="6E583A1F"/>
    <w:rsid w:val="6EAA495D"/>
    <w:rsid w:val="6EAB742B"/>
    <w:rsid w:val="6EAE1C55"/>
    <w:rsid w:val="6EB0558D"/>
    <w:rsid w:val="6EC6113E"/>
    <w:rsid w:val="6EC97476"/>
    <w:rsid w:val="6EFF1080"/>
    <w:rsid w:val="6F170E2C"/>
    <w:rsid w:val="6F1C670B"/>
    <w:rsid w:val="6F213326"/>
    <w:rsid w:val="6F3A22A7"/>
    <w:rsid w:val="6F45287E"/>
    <w:rsid w:val="6F68200A"/>
    <w:rsid w:val="6FBC20B9"/>
    <w:rsid w:val="6FFA1CBF"/>
    <w:rsid w:val="70531535"/>
    <w:rsid w:val="708B1991"/>
    <w:rsid w:val="70BF0D6E"/>
    <w:rsid w:val="70D418C9"/>
    <w:rsid w:val="70E01DD1"/>
    <w:rsid w:val="71146B51"/>
    <w:rsid w:val="71147230"/>
    <w:rsid w:val="71161C74"/>
    <w:rsid w:val="71597165"/>
    <w:rsid w:val="717256AD"/>
    <w:rsid w:val="718544F1"/>
    <w:rsid w:val="71976406"/>
    <w:rsid w:val="71D57236"/>
    <w:rsid w:val="71DE2066"/>
    <w:rsid w:val="71E95523"/>
    <w:rsid w:val="720A152D"/>
    <w:rsid w:val="721F1D01"/>
    <w:rsid w:val="7222649A"/>
    <w:rsid w:val="72D11304"/>
    <w:rsid w:val="730C4186"/>
    <w:rsid w:val="7341102A"/>
    <w:rsid w:val="736B0572"/>
    <w:rsid w:val="737974C3"/>
    <w:rsid w:val="738642C8"/>
    <w:rsid w:val="73A17E6A"/>
    <w:rsid w:val="73B348C3"/>
    <w:rsid w:val="73E16D57"/>
    <w:rsid w:val="73EE0AE6"/>
    <w:rsid w:val="7453624B"/>
    <w:rsid w:val="746049BA"/>
    <w:rsid w:val="74707244"/>
    <w:rsid w:val="74874E5A"/>
    <w:rsid w:val="7487760A"/>
    <w:rsid w:val="74A227F4"/>
    <w:rsid w:val="74A2568B"/>
    <w:rsid w:val="74BA5E3A"/>
    <w:rsid w:val="74C47F76"/>
    <w:rsid w:val="74FD32BB"/>
    <w:rsid w:val="74FF7549"/>
    <w:rsid w:val="753D4FBB"/>
    <w:rsid w:val="754E3DD7"/>
    <w:rsid w:val="7573132B"/>
    <w:rsid w:val="757934F0"/>
    <w:rsid w:val="75C80FD3"/>
    <w:rsid w:val="75DC3A8B"/>
    <w:rsid w:val="76021882"/>
    <w:rsid w:val="76041B7C"/>
    <w:rsid w:val="76160679"/>
    <w:rsid w:val="761715C6"/>
    <w:rsid w:val="766574D1"/>
    <w:rsid w:val="767C3DB4"/>
    <w:rsid w:val="768F2CE9"/>
    <w:rsid w:val="76DE1045"/>
    <w:rsid w:val="76DF7807"/>
    <w:rsid w:val="76FD55A3"/>
    <w:rsid w:val="771463D1"/>
    <w:rsid w:val="774A39DA"/>
    <w:rsid w:val="776C147A"/>
    <w:rsid w:val="77777CEB"/>
    <w:rsid w:val="779B02BA"/>
    <w:rsid w:val="77CA4292"/>
    <w:rsid w:val="77D64484"/>
    <w:rsid w:val="77E141C3"/>
    <w:rsid w:val="77E922B4"/>
    <w:rsid w:val="78081990"/>
    <w:rsid w:val="781A58E7"/>
    <w:rsid w:val="7833145C"/>
    <w:rsid w:val="786258A4"/>
    <w:rsid w:val="78731EB7"/>
    <w:rsid w:val="787A60AB"/>
    <w:rsid w:val="78A05DDD"/>
    <w:rsid w:val="78CE1FD7"/>
    <w:rsid w:val="78D0463B"/>
    <w:rsid w:val="7906595E"/>
    <w:rsid w:val="7917686A"/>
    <w:rsid w:val="792901CF"/>
    <w:rsid w:val="794B7201"/>
    <w:rsid w:val="795B0ABE"/>
    <w:rsid w:val="798B1783"/>
    <w:rsid w:val="79B2108A"/>
    <w:rsid w:val="79E61F64"/>
    <w:rsid w:val="7A2E59B6"/>
    <w:rsid w:val="7A417E6A"/>
    <w:rsid w:val="7A7B2AB1"/>
    <w:rsid w:val="7A92024C"/>
    <w:rsid w:val="7A98347A"/>
    <w:rsid w:val="7A995229"/>
    <w:rsid w:val="7AA222D1"/>
    <w:rsid w:val="7B0B5BD1"/>
    <w:rsid w:val="7B930658"/>
    <w:rsid w:val="7BA53398"/>
    <w:rsid w:val="7BC71689"/>
    <w:rsid w:val="7BE20360"/>
    <w:rsid w:val="7C032C83"/>
    <w:rsid w:val="7C1A1A2B"/>
    <w:rsid w:val="7C435CA9"/>
    <w:rsid w:val="7C78688F"/>
    <w:rsid w:val="7C867510"/>
    <w:rsid w:val="7CE26437"/>
    <w:rsid w:val="7CF01DBB"/>
    <w:rsid w:val="7CF510C4"/>
    <w:rsid w:val="7D21376C"/>
    <w:rsid w:val="7D2C183E"/>
    <w:rsid w:val="7D622331"/>
    <w:rsid w:val="7D8B198E"/>
    <w:rsid w:val="7D934831"/>
    <w:rsid w:val="7DD75B87"/>
    <w:rsid w:val="7DFC7E2B"/>
    <w:rsid w:val="7E111ED9"/>
    <w:rsid w:val="7E122B46"/>
    <w:rsid w:val="7E12712E"/>
    <w:rsid w:val="7E262275"/>
    <w:rsid w:val="7E2676D0"/>
    <w:rsid w:val="7E4F73AA"/>
    <w:rsid w:val="7E64638C"/>
    <w:rsid w:val="7E654A6D"/>
    <w:rsid w:val="7E74200D"/>
    <w:rsid w:val="7E7B6F9A"/>
    <w:rsid w:val="7EA22277"/>
    <w:rsid w:val="7EA50A80"/>
    <w:rsid w:val="7EC63541"/>
    <w:rsid w:val="7EED4B13"/>
    <w:rsid w:val="7F2146FA"/>
    <w:rsid w:val="7F5D4FF9"/>
    <w:rsid w:val="7F663D7A"/>
    <w:rsid w:val="7F6E6559"/>
    <w:rsid w:val="7F8B1A78"/>
    <w:rsid w:val="7FA418D8"/>
    <w:rsid w:val="7FA92784"/>
    <w:rsid w:val="7FDD57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4"/>
    <w:qFormat/>
    <w:uiPriority w:val="0"/>
    <w:pPr>
      <w:keepNext/>
      <w:keepLines/>
      <w:spacing w:before="120" w:after="120"/>
      <w:jc w:val="center"/>
      <w:outlineLvl w:val="0"/>
    </w:pPr>
    <w:rPr>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0">
    <w:name w:val="Default Paragraph Font"/>
    <w:unhideWhenUsed/>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300" w:lineRule="auto"/>
      <w:ind w:firstLine="482" w:firstLineChars="200"/>
    </w:pPr>
    <w:rPr>
      <w:rFonts w:ascii="宋体" w:hAnsi="Times New Roman"/>
      <w:snapToGrid w:val="0"/>
      <w:kern w:val="0"/>
      <w:sz w:val="24"/>
      <w:szCs w:val="20"/>
    </w:rPr>
  </w:style>
  <w:style w:type="paragraph" w:styleId="6">
    <w:name w:val="Document Map"/>
    <w:basedOn w:val="1"/>
    <w:link w:val="25"/>
    <w:qFormat/>
    <w:uiPriority w:val="0"/>
    <w:rPr>
      <w:rFonts w:ascii="宋体" w:eastAsia="宋体"/>
      <w:sz w:val="18"/>
      <w:szCs w:val="18"/>
    </w:rPr>
  </w:style>
  <w:style w:type="paragraph" w:styleId="7">
    <w:name w:val="annotation text"/>
    <w:basedOn w:val="1"/>
    <w:link w:val="26"/>
    <w:unhideWhenUsed/>
    <w:qFormat/>
    <w:uiPriority w:val="99"/>
    <w:pPr>
      <w:jc w:val="left"/>
    </w:pPr>
  </w:style>
  <w:style w:type="paragraph" w:styleId="8">
    <w:name w:val="Body Text"/>
    <w:basedOn w:val="1"/>
    <w:next w:val="9"/>
    <w:qFormat/>
    <w:uiPriority w:val="1"/>
    <w:rPr>
      <w:rFonts w:ascii="新宋体" w:hAnsi="新宋体" w:eastAsia="新宋体" w:cs="新宋体"/>
      <w:szCs w:val="21"/>
      <w:lang w:val="zh-CN" w:bidi="zh-CN"/>
    </w:rPr>
  </w:style>
  <w:style w:type="paragraph" w:styleId="9">
    <w:name w:val="Date"/>
    <w:basedOn w:val="1"/>
    <w:next w:val="1"/>
    <w:qFormat/>
    <w:uiPriority w:val="0"/>
    <w:pPr>
      <w:ind w:left="100" w:leftChars="2500"/>
    </w:pPr>
    <w:rPr>
      <w:rFonts w:ascii="Calibri" w:hAnsi="Calibri"/>
    </w:rPr>
  </w:style>
  <w:style w:type="paragraph" w:styleId="10">
    <w:name w:val="Plain Text"/>
    <w:basedOn w:val="1"/>
    <w:qFormat/>
    <w:uiPriority w:val="99"/>
    <w:rPr>
      <w:rFonts w:ascii="宋体" w:hAnsi="Courier New" w:cs="Courier New"/>
      <w:szCs w:val="21"/>
    </w:rPr>
  </w:style>
  <w:style w:type="paragraph" w:styleId="11">
    <w:name w:val="Balloon Text"/>
    <w:basedOn w:val="1"/>
    <w:link w:val="27"/>
    <w:qFormat/>
    <w:uiPriority w:val="0"/>
    <w:rPr>
      <w:sz w:val="18"/>
      <w:szCs w:val="18"/>
    </w:rPr>
  </w:style>
  <w:style w:type="paragraph" w:styleId="12">
    <w:name w:val="footer"/>
    <w:basedOn w:val="1"/>
    <w:link w:val="28"/>
    <w:qFormat/>
    <w:uiPriority w:val="99"/>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style>
  <w:style w:type="paragraph" w:styleId="15">
    <w:name w:val="toc 2"/>
    <w:basedOn w:val="1"/>
    <w:next w:val="1"/>
    <w:unhideWhenUsed/>
    <w:qFormat/>
    <w:uiPriority w:val="39"/>
    <w:pPr>
      <w:ind w:left="426" w:leftChars="200"/>
      <w:jc w:val="center"/>
    </w:pPr>
  </w:style>
  <w:style w:type="paragraph" w:styleId="1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7"/>
    <w:next w:val="7"/>
    <w:link w:val="29"/>
    <w:qFormat/>
    <w:uiPriority w:val="0"/>
    <w:rPr>
      <w:b/>
      <w:bCs/>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0"/>
    <w:rPr>
      <w:b/>
    </w:rPr>
  </w:style>
  <w:style w:type="character" w:styleId="22">
    <w:name w:val="Hyperlink"/>
    <w:qFormat/>
    <w:uiPriority w:val="0"/>
    <w:rPr>
      <w:color w:val="0000FF"/>
      <w:u w:val="single"/>
    </w:rPr>
  </w:style>
  <w:style w:type="character" w:styleId="23">
    <w:name w:val="annotation reference"/>
    <w:unhideWhenUsed/>
    <w:qFormat/>
    <w:uiPriority w:val="99"/>
    <w:rPr>
      <w:sz w:val="21"/>
      <w:szCs w:val="21"/>
    </w:rPr>
  </w:style>
  <w:style w:type="character" w:customStyle="1" w:styleId="24">
    <w:name w:val="标题 1 字符"/>
    <w:link w:val="2"/>
    <w:qFormat/>
    <w:uiPriority w:val="0"/>
    <w:rPr>
      <w:rFonts w:ascii="Calibri" w:hAnsi="Calibri" w:eastAsia="仿宋" w:cs="Times New Roman"/>
      <w:b/>
      <w:kern w:val="44"/>
      <w:sz w:val="44"/>
      <w:szCs w:val="24"/>
    </w:rPr>
  </w:style>
  <w:style w:type="character" w:customStyle="1" w:styleId="25">
    <w:name w:val="文档结构图 字符"/>
    <w:link w:val="6"/>
    <w:qFormat/>
    <w:uiPriority w:val="0"/>
    <w:rPr>
      <w:rFonts w:ascii="宋体" w:hAnsi="Calibri" w:cs="Times New Roman"/>
      <w:kern w:val="2"/>
      <w:sz w:val="18"/>
      <w:szCs w:val="18"/>
    </w:rPr>
  </w:style>
  <w:style w:type="character" w:customStyle="1" w:styleId="26">
    <w:name w:val="批注文字 字符"/>
    <w:link w:val="7"/>
    <w:qFormat/>
    <w:uiPriority w:val="99"/>
    <w:rPr>
      <w:rFonts w:ascii="Calibri" w:hAnsi="Calibri" w:eastAsia="仿宋" w:cs="Times New Roman"/>
      <w:kern w:val="2"/>
      <w:sz w:val="21"/>
      <w:szCs w:val="24"/>
    </w:rPr>
  </w:style>
  <w:style w:type="character" w:customStyle="1" w:styleId="27">
    <w:name w:val="批注框文本 字符"/>
    <w:link w:val="11"/>
    <w:qFormat/>
    <w:uiPriority w:val="0"/>
    <w:rPr>
      <w:rFonts w:ascii="Calibri" w:hAnsi="Calibri" w:eastAsia="仿宋" w:cs="Times New Roman"/>
      <w:kern w:val="2"/>
      <w:sz w:val="18"/>
      <w:szCs w:val="18"/>
    </w:rPr>
  </w:style>
  <w:style w:type="character" w:customStyle="1" w:styleId="28">
    <w:name w:val="页脚 字符"/>
    <w:link w:val="12"/>
    <w:qFormat/>
    <w:uiPriority w:val="99"/>
    <w:rPr>
      <w:rFonts w:eastAsia="仿宋"/>
      <w:kern w:val="2"/>
      <w:sz w:val="18"/>
      <w:szCs w:val="24"/>
    </w:rPr>
  </w:style>
  <w:style w:type="character" w:customStyle="1" w:styleId="29">
    <w:name w:val="批注主题 字符"/>
    <w:link w:val="17"/>
    <w:qFormat/>
    <w:uiPriority w:val="0"/>
    <w:rPr>
      <w:rFonts w:ascii="Calibri" w:hAnsi="Calibri" w:eastAsia="仿宋" w:cs="Times New Roman"/>
      <w:b/>
      <w:bCs/>
      <w:kern w:val="2"/>
      <w:sz w:val="21"/>
      <w:szCs w:val="24"/>
    </w:rPr>
  </w:style>
  <w:style w:type="paragraph" w:customStyle="1" w:styleId="30">
    <w:name w:val="首行缩进"/>
    <w:basedOn w:val="1"/>
    <w:qFormat/>
    <w:uiPriority w:val="0"/>
    <w:pPr>
      <w:spacing w:line="360" w:lineRule="auto"/>
      <w:ind w:firstLine="480" w:firstLineChars="200"/>
    </w:pPr>
    <w:rPr>
      <w:rFonts w:ascii="宋体" w:hAnsi="宋体" w:cs="宋体"/>
      <w:kern w:val="0"/>
      <w:sz w:val="24"/>
    </w:rPr>
  </w:style>
  <w:style w:type="paragraph" w:customStyle="1" w:styleId="31">
    <w:name w:val="_Style 2"/>
    <w:next w:val="1"/>
    <w:qFormat/>
    <w:uiPriority w:val="99"/>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32">
    <w:name w:val="List Paragraph"/>
    <w:basedOn w:val="1"/>
    <w:qFormat/>
    <w:uiPriority w:val="34"/>
    <w:pPr>
      <w:ind w:firstLine="420" w:firstLineChars="200"/>
    </w:pPr>
  </w:style>
  <w:style w:type="paragraph" w:customStyle="1" w:styleId="33">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34">
    <w:name w:val="样式H"/>
    <w:basedOn w:val="2"/>
    <w:next w:val="1"/>
    <w:qFormat/>
    <w:uiPriority w:val="0"/>
    <w:pPr>
      <w:spacing w:before="100" w:line="500" w:lineRule="exact"/>
    </w:pPr>
  </w:style>
  <w:style w:type="paragraph" w:customStyle="1" w:styleId="3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样式N"/>
    <w:basedOn w:val="34"/>
    <w:qFormat/>
    <w:uiPriority w:val="0"/>
    <w:rPr>
      <w:sz w:val="30"/>
    </w:rPr>
  </w:style>
  <w:style w:type="paragraph" w:customStyle="1" w:styleId="3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9">
    <w:name w:val="列出段落11"/>
    <w:basedOn w:val="1"/>
    <w:qFormat/>
    <w:uiPriority w:val="34"/>
    <w:pPr>
      <w:ind w:firstLine="420" w:firstLineChars="200"/>
    </w:pPr>
    <w:rPr>
      <w:rFonts w:ascii="Calibri" w:hAnsi="Calibri" w:eastAsia="宋体" w:cs="Times New Roman"/>
      <w:szCs w:val="22"/>
      <w:lang w:val="zh-CN"/>
    </w:rPr>
  </w:style>
  <w:style w:type="paragraph" w:customStyle="1" w:styleId="4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1">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2">
    <w:name w:val="HtmlNormal"/>
    <w:basedOn w:val="1"/>
    <w:qFormat/>
    <w:uiPriority w:val="0"/>
    <w:pPr>
      <w:widowControl/>
      <w:spacing w:before="100" w:beforeAutospacing="1" w:after="100" w:afterAutospacing="1"/>
      <w:jc w:val="left"/>
      <w:textAlignment w:val="baseline"/>
    </w:pPr>
    <w:rPr>
      <w:rFonts w:ascii="宋体" w:hAnsi="宋体" w:eastAsia="宋体" w:cs="Times New Roman"/>
      <w:kern w:val="0"/>
      <w:sz w:val="24"/>
    </w:rPr>
  </w:style>
  <w:style w:type="character" w:customStyle="1" w:styleId="43">
    <w:name w:val="NormalCharacter"/>
    <w:qFormat/>
    <w:uiPriority w:val="0"/>
  </w:style>
  <w:style w:type="character" w:customStyle="1" w:styleId="44">
    <w:name w:val="15"/>
    <w:basedOn w:val="2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8.&#28781;&#28779;&#26426;&#22120;&#20154;\&#65288;&#30707;&#27833;&#20108;&#27425;&#65289;&#36797;&#23425;&#30465;&#28040;&#38450;&#25937;&#25588;&#24635;&#38431;&#20025;&#19996;&#24066;&#28040;&#38450;&#25937;&#25588;&#25903;&#38431;&#33258;&#28982;&#28798;&#23475;&#24212;&#24613;&#33021;&#21147;&#25552;&#21319;&#24037;&#31243;&#35013;&#22791;&#24314;&#35774;&#39033;&#30446;-&#30707;&#27833;&#21270;&#24037;&#35013;&#22791;&#39033;&#30446;&#65288;&#20108;&#27425;&#65289;(1).do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（石油二次）辽宁省消防救援总队丹东市消防救援支队自然灾害应急能力提升工程装备建设项目-石油化工装备项目（二次）(1).doc</Template>
  <Pages>65</Pages>
  <Words>36789</Words>
  <Characters>38588</Characters>
  <Lines>267</Lines>
  <Paragraphs>75</Paragraphs>
  <TotalTime>10</TotalTime>
  <ScaleCrop>false</ScaleCrop>
  <LinksUpToDate>false</LinksUpToDate>
  <CharactersWithSpaces>40780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2024-07-31T00:47:00Z</dcterms:created>
  <dc:creator>Administrator</dc:creator>
  <cp:lastModifiedBy>Administrator</cp:lastModifiedBy>
  <cp:lastPrinted>2024-08-20T08:45:19Z</cp:lastPrinted>
  <dcterms:modified xsi:type="dcterms:W3CDTF">2024-08-20T08:45:22Z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B4F46539E543476A94495B2438255F09_11</vt:lpwstr>
  </property>
</Properties>
</file>