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4B5EED">
      <w:pPr>
        <w:jc w:val="center"/>
        <w:rPr>
          <w:rFonts w:hint="eastAsia"/>
          <w:b/>
          <w:bCs/>
          <w:sz w:val="28"/>
          <w:szCs w:val="36"/>
        </w:rPr>
      </w:pPr>
      <w:bookmarkStart w:id="0" w:name="第一部分-项目背景"/>
      <w:r>
        <w:rPr>
          <w:rFonts w:hint="eastAsia"/>
          <w:b/>
          <w:bCs/>
          <w:sz w:val="28"/>
          <w:szCs w:val="36"/>
        </w:rPr>
        <w:t>第一部分 项目背景</w:t>
      </w:r>
    </w:p>
    <w:p w14:paraId="5A20D8CC">
      <w:pPr>
        <w:spacing w:line="360" w:lineRule="auto"/>
        <w:rPr>
          <w:rFonts w:hint="eastAsia" w:ascii="宋体" w:hAnsi="宋体" w:cs="宋体"/>
          <w:b/>
          <w:bCs/>
          <w:szCs w:val="21"/>
        </w:rPr>
      </w:pPr>
      <w:bookmarkStart w:id="1" w:name="一项目概况"/>
      <w:r>
        <w:rPr>
          <w:rFonts w:hint="eastAsia" w:ascii="宋体" w:hAnsi="宋体" w:cs="宋体"/>
          <w:b/>
          <w:bCs/>
          <w:szCs w:val="21"/>
        </w:rPr>
        <w:t>一、项目概况</w:t>
      </w:r>
    </w:p>
    <w:p w14:paraId="43307D0D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项目名称：</w:t>
      </w:r>
      <w:r>
        <w:rPr>
          <w:rFonts w:hint="eastAsia" w:ascii="宋体" w:hAnsi="宋体" w:cs="宋体"/>
          <w:szCs w:val="21"/>
          <w:lang w:val="en-US" w:eastAsia="zh-CN"/>
        </w:rPr>
        <w:t>哈尔滨工业大学（威海）</w:t>
      </w:r>
      <w:r>
        <w:rPr>
          <w:rFonts w:hint="eastAsia" w:ascii="宋体" w:hAnsi="宋体" w:cs="宋体"/>
          <w:spacing w:val="8"/>
          <w:szCs w:val="21"/>
        </w:rPr>
        <w:t>费托合成还原反应器温度智能控制装置及系统采购</w:t>
      </w:r>
    </w:p>
    <w:p w14:paraId="22A7B14D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项目编号：HITWH2026031</w:t>
      </w:r>
    </w:p>
    <w:p w14:paraId="4D81097E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拟采购费托合成还原反应器温度智能控制装置及系统，实现升温速率稳定和过程自动控制。其中：控制系统所需服务器4套；费托合成还原反应器温度智能控制系统4套。服务器主要电气元件应符合国家相关标准。具体详见招标人需求。预算金额为320万元。</w:t>
      </w:r>
    </w:p>
    <w:bookmarkEnd w:id="1"/>
    <w:p w14:paraId="3BC05AD2">
      <w:pPr>
        <w:spacing w:line="360" w:lineRule="auto"/>
        <w:rPr>
          <w:rFonts w:hint="eastAsia" w:ascii="宋体" w:hAnsi="宋体" w:cs="宋体"/>
          <w:b/>
          <w:bCs/>
          <w:szCs w:val="21"/>
        </w:rPr>
      </w:pPr>
      <w:bookmarkStart w:id="2" w:name="二采购目标"/>
      <w:r>
        <w:rPr>
          <w:rFonts w:hint="eastAsia" w:ascii="宋体" w:hAnsi="宋体" w:cs="宋体"/>
          <w:b/>
          <w:bCs/>
          <w:szCs w:val="21"/>
        </w:rPr>
        <w:t>二、采购目标</w:t>
      </w:r>
    </w:p>
    <w:p w14:paraId="5B584C98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采购标的需实现的功能或者目标：采购费托合成还原反应器温度智能控制装置及系统，实现升温速率稳定和过程自动控制。</w:t>
      </w:r>
    </w:p>
    <w:p w14:paraId="1F7B4E5D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为落实政府采购政策需满足的要求：严格执行国家相关政策。</w:t>
      </w:r>
    </w:p>
    <w:bookmarkEnd w:id="2"/>
    <w:p w14:paraId="256BD72B">
      <w:pPr>
        <w:spacing w:line="360" w:lineRule="auto"/>
        <w:rPr>
          <w:rFonts w:hint="eastAsia" w:ascii="宋体" w:hAnsi="宋体" w:cs="宋体"/>
          <w:b/>
          <w:bCs/>
          <w:szCs w:val="21"/>
        </w:rPr>
      </w:pPr>
      <w:bookmarkStart w:id="3" w:name="三采购预算"/>
      <w:r>
        <w:rPr>
          <w:rFonts w:hint="eastAsia" w:ascii="宋体" w:hAnsi="宋体" w:cs="宋体"/>
          <w:b/>
          <w:bCs/>
          <w:szCs w:val="21"/>
        </w:rPr>
        <w:t>三、采购预算</w:t>
      </w:r>
    </w:p>
    <w:p w14:paraId="2095F94F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320万元。</w:t>
      </w:r>
    </w:p>
    <w:bookmarkEnd w:id="3"/>
    <w:p w14:paraId="1C34E96A">
      <w:pPr>
        <w:spacing w:line="360" w:lineRule="auto"/>
        <w:rPr>
          <w:rFonts w:hint="eastAsia" w:ascii="宋体" w:hAnsi="宋体" w:cs="宋体"/>
          <w:b/>
          <w:bCs/>
          <w:szCs w:val="21"/>
        </w:rPr>
      </w:pPr>
      <w:bookmarkStart w:id="4" w:name="四付款方式"/>
      <w:r>
        <w:rPr>
          <w:rFonts w:hint="eastAsia" w:ascii="宋体" w:hAnsi="宋体" w:cs="宋体"/>
          <w:b/>
          <w:bCs/>
          <w:szCs w:val="21"/>
        </w:rPr>
        <w:t>四、付款方式</w:t>
      </w:r>
    </w:p>
    <w:p w14:paraId="6927F9A9">
      <w:pPr>
        <w:spacing w:line="360" w:lineRule="auto"/>
        <w:ind w:firstLine="420" w:firstLineChars="200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设备到货安装调试完毕并验收合格后，支付合同金额的90%；剩余10%的合同价款，于设备正常运行12个月后无息支付。合同价款中含税。</w:t>
      </w:r>
    </w:p>
    <w:bookmarkEnd w:id="4"/>
    <w:p w14:paraId="41247037">
      <w:pPr>
        <w:spacing w:line="360" w:lineRule="auto"/>
        <w:rPr>
          <w:rFonts w:hint="eastAsia" w:ascii="宋体" w:hAnsi="宋体" w:cs="宋体"/>
          <w:b/>
          <w:bCs/>
          <w:szCs w:val="21"/>
        </w:rPr>
      </w:pPr>
      <w:bookmarkStart w:id="5" w:name="五采购人拟采用的采购方式"/>
      <w:r>
        <w:rPr>
          <w:rFonts w:hint="eastAsia" w:ascii="宋体" w:hAnsi="宋体" w:cs="宋体"/>
          <w:b/>
          <w:bCs/>
          <w:szCs w:val="21"/>
        </w:rPr>
        <w:t>五、招标人拟采用的采购方式</w:t>
      </w:r>
    </w:p>
    <w:p w14:paraId="6F50FD05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公开招标</w:t>
      </w:r>
    </w:p>
    <w:bookmarkEnd w:id="5"/>
    <w:p w14:paraId="72ABD71E">
      <w:pPr>
        <w:spacing w:line="360" w:lineRule="auto"/>
        <w:rPr>
          <w:rFonts w:hint="eastAsia" w:ascii="宋体" w:hAnsi="宋体" w:cs="宋体"/>
          <w:b/>
          <w:bCs/>
          <w:szCs w:val="21"/>
        </w:rPr>
      </w:pPr>
      <w:bookmarkStart w:id="6" w:name="六采购意向是否公开"/>
      <w:r>
        <w:rPr>
          <w:rFonts w:hint="eastAsia" w:ascii="宋体" w:hAnsi="宋体" w:cs="宋体"/>
          <w:b/>
          <w:bCs/>
          <w:szCs w:val="21"/>
        </w:rPr>
        <w:t>六、采购意向是否公开</w:t>
      </w:r>
    </w:p>
    <w:p w14:paraId="3926C4FF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是</w:t>
      </w:r>
    </w:p>
    <w:bookmarkEnd w:id="6"/>
    <w:p w14:paraId="75BF7BD7">
      <w:pPr>
        <w:spacing w:line="360" w:lineRule="auto"/>
        <w:rPr>
          <w:rFonts w:hint="eastAsia" w:ascii="宋体" w:hAnsi="宋体" w:cs="宋体"/>
          <w:b/>
          <w:bCs/>
          <w:szCs w:val="21"/>
        </w:rPr>
      </w:pPr>
      <w:bookmarkStart w:id="7" w:name="七是否收取各类涉企保证金"/>
      <w:r>
        <w:rPr>
          <w:rFonts w:hint="eastAsia" w:ascii="宋体" w:hAnsi="宋体" w:cs="宋体"/>
          <w:b/>
          <w:bCs/>
          <w:szCs w:val="21"/>
        </w:rPr>
        <w:t>七、是否收取各类涉企保证金</w:t>
      </w:r>
    </w:p>
    <w:p w14:paraId="69851139">
      <w:pPr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lang w:val="en-US" w:eastAsia="zh-CN"/>
        </w:rPr>
      </w:pPr>
      <w:r>
        <w:rPr>
          <w:rFonts w:hint="eastAsia" w:ascii="宋体" w:hAnsi="宋体" w:cs="宋体"/>
          <w:szCs w:val="21"/>
        </w:rPr>
        <w:t>是</w:t>
      </w:r>
    </w:p>
    <w:bookmarkEnd w:id="7"/>
    <w:p w14:paraId="1E19937C">
      <w:pPr>
        <w:spacing w:line="360" w:lineRule="auto"/>
        <w:rPr>
          <w:rFonts w:hint="eastAsia" w:ascii="宋体" w:hAnsi="宋体" w:cs="宋体"/>
          <w:b/>
          <w:bCs/>
          <w:szCs w:val="21"/>
        </w:rPr>
      </w:pPr>
      <w:bookmarkStart w:id="8" w:name="八是否专门为中小企业采购"/>
      <w:r>
        <w:rPr>
          <w:rFonts w:hint="eastAsia" w:ascii="宋体" w:hAnsi="宋体" w:cs="宋体"/>
          <w:b/>
          <w:bCs/>
          <w:szCs w:val="21"/>
        </w:rPr>
        <w:t>八、是否专门为中小企业采购</w:t>
      </w:r>
    </w:p>
    <w:p w14:paraId="1FCEA69E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否</w:t>
      </w:r>
    </w:p>
    <w:bookmarkEnd w:id="8"/>
    <w:p w14:paraId="7713A46D">
      <w:pPr>
        <w:spacing w:line="360" w:lineRule="auto"/>
        <w:rPr>
          <w:rFonts w:hint="eastAsia" w:ascii="宋体" w:hAnsi="宋体" w:cs="宋体"/>
          <w:b/>
          <w:bCs/>
          <w:szCs w:val="21"/>
        </w:rPr>
      </w:pPr>
      <w:bookmarkStart w:id="9" w:name="九对中小企业在资金支付期限预付款比例等方面的优惠措施"/>
      <w:r>
        <w:rPr>
          <w:rFonts w:hint="eastAsia" w:ascii="宋体" w:hAnsi="宋体" w:cs="宋体"/>
          <w:b/>
          <w:bCs/>
          <w:szCs w:val="21"/>
        </w:rPr>
        <w:t>九、对中小企业在资金支付期限、预付款比例等方面的优惠措施</w:t>
      </w:r>
    </w:p>
    <w:p w14:paraId="0EB23DEF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无</w:t>
      </w:r>
    </w:p>
    <w:bookmarkEnd w:id="9"/>
    <w:p w14:paraId="3881FAFE">
      <w:pPr>
        <w:spacing w:line="360" w:lineRule="auto"/>
        <w:rPr>
          <w:rFonts w:hint="eastAsia" w:ascii="宋体" w:hAnsi="宋体" w:cs="宋体"/>
          <w:b/>
          <w:bCs/>
          <w:szCs w:val="21"/>
        </w:rPr>
      </w:pPr>
      <w:bookmarkStart w:id="10" w:name="十采购标的对应的中小企业划分标准所属行业"/>
      <w:r>
        <w:rPr>
          <w:rFonts w:hint="eastAsia" w:ascii="宋体" w:hAnsi="宋体" w:cs="宋体"/>
          <w:b/>
          <w:bCs/>
          <w:szCs w:val="21"/>
        </w:rPr>
        <w:t>十、采购标的对应的中小企业划分标准所属行业</w:t>
      </w:r>
    </w:p>
    <w:bookmarkEnd w:id="10"/>
    <w:p w14:paraId="6049B51B">
      <w:pPr>
        <w:spacing w:line="360" w:lineRule="auto"/>
        <w:rPr>
          <w:rFonts w:hint="eastAsia" w:ascii="宋体" w:hAnsi="宋体" w:cs="宋体"/>
          <w:szCs w:val="21"/>
          <w:highlight w:val="none"/>
        </w:rPr>
      </w:pPr>
      <w:bookmarkStart w:id="11" w:name="十一联系方式"/>
      <w:r>
        <w:rPr>
          <w:rFonts w:hint="eastAsia" w:ascii="宋体" w:hAnsi="宋体" w:cs="宋体"/>
          <w:szCs w:val="21"/>
          <w:highlight w:val="none"/>
        </w:rPr>
        <w:t>软件和信息技术服务业</w:t>
      </w:r>
    </w:p>
    <w:p w14:paraId="24AE1889">
      <w:pPr>
        <w:spacing w:line="360" w:lineRule="auto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十一、联系方式</w:t>
      </w:r>
    </w:p>
    <w:p w14:paraId="18B8035C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招标人：哈尔滨工业大学（威海）</w:t>
      </w:r>
    </w:p>
    <w:p w14:paraId="05B6B2C7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招标人地址：威海市文化西路2号</w:t>
      </w:r>
    </w:p>
    <w:p w14:paraId="3E9FADBE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联系人：王老师</w:t>
      </w:r>
    </w:p>
    <w:p w14:paraId="1636944B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联系电话：13626301010</w:t>
      </w:r>
    </w:p>
    <w:bookmarkEnd w:id="0"/>
    <w:bookmarkEnd w:id="11"/>
    <w:p w14:paraId="0EA19DF5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</w:p>
    <w:p w14:paraId="00512FCA">
      <w:pPr>
        <w:jc w:val="center"/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第二部分 招标人需求</w:t>
      </w:r>
    </w:p>
    <w:p w14:paraId="0E4C2A2E">
      <w:pPr>
        <w:pStyle w:val="4"/>
        <w:ind w:firstLineChars="0"/>
        <w:rPr>
          <w:rFonts w:ascii="宋体" w:hAnsi="宋体" w:cs="宋体"/>
          <w:b/>
          <w:bCs w:val="0"/>
          <w:sz w:val="21"/>
          <w:szCs w:val="21"/>
          <w:lang w:val="en-US"/>
        </w:rPr>
      </w:pPr>
      <w:r>
        <w:rPr>
          <w:rFonts w:hint="eastAsia" w:ascii="宋体" w:hAnsi="宋体" w:cs="宋体"/>
          <w:b/>
          <w:bCs w:val="0"/>
          <w:sz w:val="21"/>
          <w:szCs w:val="21"/>
          <w:lang w:val="en-US"/>
        </w:rPr>
        <w:t>一、采购内容</w:t>
      </w:r>
    </w:p>
    <w:p w14:paraId="542D2FED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采购费托合成还原反应器温度智能控制装置及系统，实现升温速率稳定和过程自动控制。</w:t>
      </w:r>
    </w:p>
    <w:p w14:paraId="56806241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1.控制系统所需服务器4套。</w:t>
      </w:r>
    </w:p>
    <w:p w14:paraId="35F2D69A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2.费托合成还原反应器温度智能控制系统4套。</w:t>
      </w:r>
    </w:p>
    <w:p w14:paraId="5B0FCFE3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服务器主要电气元件符合国家相关标准。</w:t>
      </w:r>
    </w:p>
    <w:p w14:paraId="48C06F39">
      <w:pPr>
        <w:spacing w:line="360" w:lineRule="auto"/>
        <w:ind w:firstLine="422" w:firstLineChars="200"/>
        <w:rPr>
          <w:rFonts w:hint="eastAsia" w:ascii="宋体" w:hAnsi="宋体" w:cs="宋体"/>
          <w:b/>
          <w:bCs/>
          <w:szCs w:val="21"/>
        </w:rPr>
      </w:pPr>
      <w:bookmarkStart w:id="12" w:name="第一部分-低压动力电缆-zayjv22-0.61.0kv-1"/>
      <w:r>
        <w:rPr>
          <w:rFonts w:hint="eastAsia" w:ascii="宋体" w:hAnsi="宋体" w:cs="宋体"/>
          <w:b/>
          <w:bCs/>
          <w:szCs w:val="21"/>
        </w:rPr>
        <w:t>二、主要指标参数</w:t>
      </w:r>
    </w:p>
    <w:p w14:paraId="7D4E600C">
      <w:pPr>
        <w:spacing w:line="360" w:lineRule="auto"/>
        <w:ind w:firstLine="422" w:firstLineChars="200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1.服务器以及配套设备：</w:t>
      </w:r>
    </w:p>
    <w:bookmarkEnd w:id="12"/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1213"/>
        <w:gridCol w:w="5846"/>
        <w:gridCol w:w="900"/>
      </w:tblGrid>
      <w:tr w14:paraId="77CA1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shd w:val="clear" w:color="auto" w:fill="D9D9D9"/>
            <w:noWrap w:val="0"/>
            <w:vAlign w:val="center"/>
          </w:tcPr>
          <w:p w14:paraId="1DA42F08">
            <w:pPr>
              <w:jc w:val="center"/>
            </w:pPr>
            <w:bookmarkStart w:id="13" w:name="第六部分-通用强制技术指标-1"/>
            <w:r>
              <w:rPr>
                <w:rFonts w:ascii="宋体" w:hAnsi="宋体"/>
                <w:b/>
              </w:rPr>
              <w:t>序号</w:t>
            </w:r>
          </w:p>
        </w:tc>
        <w:tc>
          <w:tcPr>
            <w:tcW w:w="1298" w:type="dxa"/>
            <w:shd w:val="clear" w:color="auto" w:fill="D9D9D9"/>
            <w:noWrap w:val="0"/>
            <w:vAlign w:val="center"/>
          </w:tcPr>
          <w:p w14:paraId="4D771B92">
            <w:pPr>
              <w:jc w:val="center"/>
            </w:pPr>
            <w:r>
              <w:rPr>
                <w:rFonts w:ascii="宋体" w:hAnsi="宋体"/>
                <w:b/>
              </w:rPr>
              <w:t>指标项</w:t>
            </w:r>
          </w:p>
        </w:tc>
        <w:tc>
          <w:tcPr>
            <w:tcW w:w="6274" w:type="dxa"/>
            <w:shd w:val="clear" w:color="auto" w:fill="D9D9D9"/>
            <w:noWrap w:val="0"/>
            <w:vAlign w:val="center"/>
          </w:tcPr>
          <w:p w14:paraId="64A346C2">
            <w:pPr>
              <w:jc w:val="center"/>
              <w:rPr>
                <w:rFonts w:hint="eastAsia"/>
              </w:rPr>
            </w:pPr>
            <w:r>
              <w:rPr>
                <w:rFonts w:ascii="宋体" w:hAnsi="宋体"/>
                <w:b/>
              </w:rPr>
              <w:t>技术要求</w:t>
            </w:r>
            <w:r>
              <w:rPr>
                <w:rFonts w:hint="eastAsia" w:ascii="宋体" w:hAnsi="宋体"/>
                <w:b/>
              </w:rPr>
              <w:t>（参数）</w:t>
            </w:r>
          </w:p>
        </w:tc>
        <w:tc>
          <w:tcPr>
            <w:tcW w:w="951" w:type="dxa"/>
            <w:shd w:val="clear" w:color="auto" w:fill="D9D9D9"/>
            <w:noWrap w:val="0"/>
            <w:vAlign w:val="center"/>
          </w:tcPr>
          <w:p w14:paraId="1414D600">
            <w:pPr>
              <w:jc w:val="center"/>
            </w:pPr>
            <w:r>
              <w:rPr>
                <w:rFonts w:ascii="宋体" w:hAnsi="宋体"/>
                <w:b/>
              </w:rPr>
              <w:t>是否星号条款</w:t>
            </w:r>
          </w:p>
        </w:tc>
      </w:tr>
      <w:tr w14:paraId="0B79C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noWrap w:val="0"/>
            <w:vAlign w:val="center"/>
          </w:tcPr>
          <w:p w14:paraId="57E0708A">
            <w:r>
              <w:rPr>
                <w:rFonts w:ascii="宋体" w:hAnsi="宋体"/>
              </w:rPr>
              <w:t>1.1</w:t>
            </w:r>
          </w:p>
        </w:tc>
        <w:tc>
          <w:tcPr>
            <w:tcW w:w="1298" w:type="dxa"/>
            <w:noWrap w:val="0"/>
            <w:vAlign w:val="center"/>
          </w:tcPr>
          <w:p w14:paraId="7E0EDFDB">
            <w:r>
              <w:rPr>
                <w:rFonts w:ascii="宋体" w:hAnsi="宋体"/>
              </w:rPr>
              <w:t>服务器</w:t>
            </w:r>
          </w:p>
        </w:tc>
        <w:tc>
          <w:tcPr>
            <w:tcW w:w="6274" w:type="dxa"/>
            <w:noWrap w:val="0"/>
            <w:vAlign w:val="center"/>
          </w:tcPr>
          <w:p w14:paraId="3ACC8388">
            <w:pPr>
              <w:rPr>
                <w:highlight w:val="none"/>
              </w:rPr>
            </w:pPr>
            <w:r>
              <w:rPr>
                <w:rFonts w:hint="eastAsia" w:ascii="宋体" w:hAnsi="宋体"/>
                <w:highlight w:val="none"/>
              </w:rPr>
              <w:t>内存32GB DDR4;两颗 16核 2.4GHz CPU;配置3块1.2T SAS 1T热插拔硬盘;配置2G缓存RAID阵列卡,支持0,1,5,6,10,50,60配置掉电保护功能;网络接口≥6个GE电口,配置2个冗余热插拔电源,满配冗余风扇,支持单风扇失效。支持主流操作系统</w:t>
            </w:r>
          </w:p>
        </w:tc>
        <w:tc>
          <w:tcPr>
            <w:tcW w:w="951" w:type="dxa"/>
            <w:noWrap w:val="0"/>
            <w:vAlign w:val="center"/>
          </w:tcPr>
          <w:p w14:paraId="12DE1C4B">
            <w:pPr>
              <w:jc w:val="center"/>
            </w:pPr>
            <w:r>
              <w:rPr>
                <w:rFonts w:ascii="宋体" w:hAnsi="宋体"/>
              </w:rPr>
              <w:t>★</w:t>
            </w:r>
          </w:p>
        </w:tc>
      </w:tr>
      <w:tr w14:paraId="3A307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noWrap w:val="0"/>
            <w:vAlign w:val="center"/>
          </w:tcPr>
          <w:p w14:paraId="1CACA6AD">
            <w:r>
              <w:rPr>
                <w:rFonts w:ascii="宋体" w:hAnsi="宋体"/>
              </w:rPr>
              <w:t>1.2</w:t>
            </w:r>
          </w:p>
        </w:tc>
        <w:tc>
          <w:tcPr>
            <w:tcW w:w="1298" w:type="dxa"/>
            <w:noWrap w:val="0"/>
            <w:vAlign w:val="center"/>
          </w:tcPr>
          <w:p w14:paraId="528EC62B">
            <w:r>
              <w:rPr>
                <w:rFonts w:ascii="宋体" w:hAnsi="宋体"/>
              </w:rPr>
              <w:t>显示器</w:t>
            </w:r>
          </w:p>
        </w:tc>
        <w:tc>
          <w:tcPr>
            <w:tcW w:w="6274" w:type="dxa"/>
            <w:noWrap w:val="0"/>
            <w:vAlign w:val="center"/>
          </w:tcPr>
          <w:p w14:paraId="56571DAD">
            <w:pPr>
              <w:rPr>
                <w:rFonts w:hint="eastAsia"/>
                <w:highlight w:val="none"/>
              </w:rPr>
            </w:pPr>
            <w:r>
              <w:rPr>
                <w:rFonts w:ascii="宋体" w:hAnsi="宋体"/>
                <w:highlight w:val="none"/>
              </w:rPr>
              <w:t>23.8英寸，IPS屏</w:t>
            </w:r>
            <w:r>
              <w:rPr>
                <w:rFonts w:hint="eastAsia" w:ascii="宋体" w:hAnsi="宋体"/>
                <w:highlight w:val="none"/>
              </w:rPr>
              <w:t>；分辨率</w:t>
            </w:r>
            <w:r>
              <w:rPr>
                <w:rFonts w:ascii="宋体" w:hAnsi="宋体"/>
                <w:highlight w:val="none"/>
              </w:rPr>
              <w:t>1920*1080</w:t>
            </w:r>
            <w:r>
              <w:rPr>
                <w:rFonts w:hint="eastAsia" w:ascii="宋体" w:hAnsi="宋体"/>
                <w:highlight w:val="none"/>
              </w:rPr>
              <w:t>；屏幕刷新率60Hz</w:t>
            </w:r>
          </w:p>
        </w:tc>
        <w:tc>
          <w:tcPr>
            <w:tcW w:w="951" w:type="dxa"/>
            <w:noWrap w:val="0"/>
            <w:vAlign w:val="center"/>
          </w:tcPr>
          <w:p w14:paraId="1A38961C">
            <w:pPr>
              <w:jc w:val="center"/>
            </w:pPr>
            <w:r>
              <w:rPr>
                <w:rFonts w:ascii="宋体" w:hAnsi="宋体"/>
              </w:rPr>
              <w:t>★</w:t>
            </w:r>
          </w:p>
        </w:tc>
      </w:tr>
      <w:tr w14:paraId="3A765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noWrap w:val="0"/>
            <w:vAlign w:val="center"/>
          </w:tcPr>
          <w:p w14:paraId="08C68915">
            <w:r>
              <w:rPr>
                <w:rFonts w:ascii="宋体" w:hAnsi="宋体"/>
              </w:rPr>
              <w:t>1.3</w:t>
            </w:r>
          </w:p>
        </w:tc>
        <w:tc>
          <w:tcPr>
            <w:tcW w:w="1298" w:type="dxa"/>
            <w:noWrap w:val="0"/>
            <w:vAlign w:val="center"/>
          </w:tcPr>
          <w:p w14:paraId="5EC39D90">
            <w:r>
              <w:rPr>
                <w:rFonts w:ascii="宋体" w:hAnsi="宋体"/>
              </w:rPr>
              <w:t>工业交换机</w:t>
            </w:r>
          </w:p>
        </w:tc>
        <w:tc>
          <w:tcPr>
            <w:tcW w:w="6274" w:type="dxa"/>
            <w:noWrap w:val="0"/>
            <w:vAlign w:val="center"/>
          </w:tcPr>
          <w:p w14:paraId="168756B0">
            <w:r>
              <w:rPr>
                <w:rFonts w:ascii="宋体" w:hAnsi="宋体"/>
              </w:rPr>
              <w:t>24个10/</w:t>
            </w:r>
            <w:r>
              <w:rPr>
                <w:rFonts w:hint="eastAsia" w:ascii="宋体" w:hAnsi="宋体" w:eastAsia="宋体" w:cs="Times New Roman"/>
              </w:rPr>
              <w:t>100/100Base-T以太网端口，</w:t>
            </w:r>
            <w:r>
              <w:rPr>
                <w:rFonts w:ascii="宋体" w:hAnsi="宋体"/>
              </w:rPr>
              <w:t>4个复用的千兆，含一个电源；</w:t>
            </w:r>
          </w:p>
        </w:tc>
        <w:tc>
          <w:tcPr>
            <w:tcW w:w="951" w:type="dxa"/>
            <w:noWrap w:val="0"/>
            <w:vAlign w:val="center"/>
          </w:tcPr>
          <w:p w14:paraId="6C5D9D99">
            <w:pPr>
              <w:jc w:val="center"/>
            </w:pPr>
            <w:r>
              <w:rPr>
                <w:rFonts w:ascii="宋体" w:hAnsi="宋体"/>
              </w:rPr>
              <w:t>★</w:t>
            </w:r>
          </w:p>
        </w:tc>
      </w:tr>
      <w:tr w14:paraId="094A9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noWrap w:val="0"/>
            <w:vAlign w:val="center"/>
          </w:tcPr>
          <w:p w14:paraId="6662103B">
            <w:r>
              <w:rPr>
                <w:rFonts w:ascii="宋体" w:hAnsi="宋体"/>
              </w:rPr>
              <w:t>1.4</w:t>
            </w:r>
          </w:p>
        </w:tc>
        <w:tc>
          <w:tcPr>
            <w:tcW w:w="1298" w:type="dxa"/>
            <w:noWrap w:val="0"/>
            <w:vAlign w:val="center"/>
          </w:tcPr>
          <w:p w14:paraId="2420CF90">
            <w:r>
              <w:rPr>
                <w:rFonts w:ascii="宋体" w:hAnsi="宋体"/>
              </w:rPr>
              <w:t>工业防火墙</w:t>
            </w:r>
          </w:p>
        </w:tc>
        <w:tc>
          <w:tcPr>
            <w:tcW w:w="6274" w:type="dxa"/>
            <w:noWrap w:val="0"/>
            <w:vAlign w:val="center"/>
          </w:tcPr>
          <w:p w14:paraId="63109968">
            <w:pPr>
              <w:rPr>
                <w:rFonts w:hint="eastAsia" w:ascii="宋体" w:hAnsi="宋体"/>
                <w:highlight w:val="none"/>
              </w:rPr>
            </w:pPr>
            <w:r>
              <w:rPr>
                <w:rFonts w:ascii="宋体" w:hAnsi="宋体"/>
                <w:highlight w:val="none"/>
              </w:rPr>
              <w:t>吞吐量≥</w:t>
            </w:r>
            <w:r>
              <w:rPr>
                <w:rFonts w:hint="eastAsia" w:ascii="宋体" w:hAnsi="宋体"/>
                <w:highlight w:val="none"/>
              </w:rPr>
              <w:t>700Mb，最大并</w:t>
            </w:r>
            <w:r>
              <w:rPr>
                <w:rFonts w:ascii="宋体" w:hAnsi="宋体"/>
                <w:highlight w:val="none"/>
              </w:rPr>
              <w:t>发连接数≥120万，每秒新建连接数≥25000</w:t>
            </w:r>
            <w:r>
              <w:rPr>
                <w:rFonts w:hint="eastAsia" w:ascii="宋体" w:hAnsi="宋体"/>
                <w:highlight w:val="none"/>
              </w:rPr>
              <w:t>；品牌型号：深信服</w:t>
            </w:r>
          </w:p>
          <w:p w14:paraId="2B531B0F">
            <w:pPr>
              <w:rPr>
                <w:rFonts w:hint="eastAsia" w:ascii="宋体" w:hAnsi="宋体"/>
                <w:highlight w:val="none"/>
              </w:rPr>
            </w:pPr>
            <w:r>
              <w:rPr>
                <w:rFonts w:hint="eastAsia" w:ascii="宋体" w:hAnsi="宋体"/>
                <w:highlight w:val="none"/>
              </w:rPr>
              <w:t>性能要求：吞吐量≥700Mb，最大并发连接数≥120万，每秒新建连接数≥25000；包过滤：能够基于时间、用户/用户组、应用层协议、地理位置、IP地址、端口、内容安全统一界面进行安全策略配置；</w:t>
            </w:r>
          </w:p>
          <w:p w14:paraId="77FA1C7B">
            <w:pPr>
              <w:rPr>
                <w:rFonts w:hint="eastAsia" w:ascii="宋体" w:hAnsi="宋体"/>
                <w:highlight w:val="none"/>
              </w:rPr>
            </w:pPr>
            <w:r>
              <w:rPr>
                <w:rFonts w:hint="eastAsia" w:ascii="宋体" w:hAnsi="宋体"/>
                <w:highlight w:val="none"/>
              </w:rPr>
              <w:t>路由功能：支持静态路由、策略路由、RIP、OSPF、BGP、ISIS等路由协议；IPV6：支持IPv6协议栈、IPV6穿越技术、IPV6路由协议；</w:t>
            </w:r>
          </w:p>
          <w:p w14:paraId="0D2B4FC8">
            <w:pPr>
              <w:rPr>
                <w:rFonts w:hint="eastAsia" w:ascii="宋体" w:hAnsi="宋体"/>
                <w:highlight w:val="none"/>
              </w:rPr>
            </w:pPr>
            <w:r>
              <w:rPr>
                <w:rFonts w:hint="eastAsia" w:ascii="宋体" w:hAnsi="宋体"/>
                <w:highlight w:val="none"/>
              </w:rPr>
              <w:t>协议识别：可识别应用层协议数量≥5000种</w:t>
            </w:r>
          </w:p>
          <w:p w14:paraId="3EC1700F">
            <w:pPr>
              <w:rPr>
                <w:rFonts w:hint="eastAsia" w:ascii="宋体" w:hAnsi="宋体"/>
                <w:highlight w:val="none"/>
              </w:rPr>
            </w:pPr>
            <w:r>
              <w:rPr>
                <w:rFonts w:hint="eastAsia" w:ascii="宋体" w:hAnsi="宋体"/>
                <w:highlight w:val="none"/>
              </w:rPr>
              <w:t>数据安全支持数据防泄露，对传输的文件和内容进行识别过滤</w:t>
            </w:r>
          </w:p>
          <w:p w14:paraId="67D2A7EE">
            <w:pPr>
              <w:rPr>
                <w:rFonts w:hint="eastAsia" w:ascii="宋体" w:hAnsi="宋体"/>
                <w:highlight w:val="none"/>
              </w:rPr>
            </w:pPr>
            <w:r>
              <w:rPr>
                <w:rFonts w:hint="eastAsia" w:ascii="宋体" w:hAnsi="宋体"/>
                <w:highlight w:val="none"/>
              </w:rPr>
              <w:t>DDoS防护：支持HTTP、HTTPS、DNS、SIP等应用层Flood攻击，支持流量自学习功能，可设置自学习时间，并自动生成DDoS防范策略</w:t>
            </w:r>
          </w:p>
          <w:p w14:paraId="7CC76A00">
            <w:pPr>
              <w:rPr>
                <w:rFonts w:hint="eastAsia" w:ascii="宋体" w:hAnsi="宋体"/>
                <w:highlight w:val="none"/>
              </w:rPr>
            </w:pPr>
            <w:r>
              <w:rPr>
                <w:rFonts w:hint="eastAsia" w:ascii="宋体" w:hAnsi="宋体"/>
                <w:highlight w:val="none"/>
              </w:rPr>
              <w:t>NAT：支持全面NAT功能，对多种应用层协议支持ALG功能，包括ILS、DNS、PPTP、SIP、FTP、ICQ、RTSP等</w:t>
            </w:r>
          </w:p>
          <w:p w14:paraId="57B4F433">
            <w:pPr>
              <w:rPr>
                <w:rFonts w:hint="eastAsia" w:ascii="宋体" w:hAnsi="宋体"/>
                <w:highlight w:val="none"/>
              </w:rPr>
            </w:pPr>
            <w:r>
              <w:rPr>
                <w:rFonts w:hint="eastAsia" w:ascii="宋体" w:hAnsi="宋体"/>
                <w:highlight w:val="none"/>
              </w:rPr>
              <w:t>入侵防御：基于特征检测，支持超过3000种特征的攻击检测和防御</w:t>
            </w:r>
          </w:p>
          <w:p w14:paraId="58344CC4">
            <w:pPr>
              <w:rPr>
                <w:rFonts w:hint="eastAsia" w:ascii="宋体" w:hAnsi="宋体"/>
                <w:highlight w:val="none"/>
              </w:rPr>
            </w:pPr>
            <w:r>
              <w:rPr>
                <w:rFonts w:hint="eastAsia" w:ascii="宋体" w:hAnsi="宋体"/>
                <w:highlight w:val="none"/>
              </w:rPr>
              <w:t>病毒防护：可以支持HTTP、FTP、SMTP、POP3、IMAP等协议的病毒防护</w:t>
            </w:r>
          </w:p>
          <w:p w14:paraId="7600F263">
            <w:pPr>
              <w:rPr>
                <w:rFonts w:hint="eastAsia"/>
                <w:highlight w:val="none"/>
              </w:rPr>
            </w:pPr>
            <w:r>
              <w:rPr>
                <w:rFonts w:hint="eastAsia" w:ascii="宋体" w:hAnsi="宋体"/>
                <w:highlight w:val="none"/>
              </w:rPr>
              <w:t>可靠性：支持BFD链路检测，支持BFD与VRRP联动实现双机快速切换，支持BFD与OSPF联动实现双机快速切换。</w:t>
            </w:r>
          </w:p>
        </w:tc>
        <w:tc>
          <w:tcPr>
            <w:tcW w:w="951" w:type="dxa"/>
            <w:noWrap w:val="0"/>
            <w:vAlign w:val="center"/>
          </w:tcPr>
          <w:p w14:paraId="213A4AE5">
            <w:pPr>
              <w:jc w:val="center"/>
            </w:pPr>
            <w:r>
              <w:rPr>
                <w:rFonts w:ascii="宋体" w:hAnsi="宋体"/>
              </w:rPr>
              <w:t>★</w:t>
            </w:r>
          </w:p>
        </w:tc>
      </w:tr>
    </w:tbl>
    <w:p w14:paraId="677E0D9B">
      <w:pPr>
        <w:spacing w:line="360" w:lineRule="auto"/>
        <w:ind w:firstLine="482" w:firstLineChars="200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2.费</w:t>
      </w:r>
      <w:r>
        <w:rPr>
          <w:rFonts w:hint="eastAsia" w:ascii="宋体" w:hAnsi="宋体" w:eastAsia="宋体" w:cs="宋体"/>
          <w:b/>
          <w:bCs/>
          <w:sz w:val="24"/>
        </w:rPr>
        <w:t>托合成还</w:t>
      </w:r>
      <w:r>
        <w:rPr>
          <w:rFonts w:hint="eastAsia" w:ascii="宋体" w:hAnsi="宋体" w:cs="宋体"/>
          <w:b/>
          <w:bCs/>
          <w:sz w:val="24"/>
        </w:rPr>
        <w:t>原反应器温度智能控制系统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3"/>
        <w:gridCol w:w="1619"/>
        <w:gridCol w:w="5468"/>
        <w:gridCol w:w="882"/>
      </w:tblGrid>
      <w:tr w14:paraId="5CF276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555" w:type="dxa"/>
            <w:shd w:val="clear" w:color="auto" w:fill="D9D9D9"/>
            <w:noWrap w:val="0"/>
            <w:vAlign w:val="center"/>
          </w:tcPr>
          <w:p w14:paraId="55509AF8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序号</w:t>
            </w:r>
          </w:p>
        </w:tc>
        <w:tc>
          <w:tcPr>
            <w:tcW w:w="1742" w:type="dxa"/>
            <w:shd w:val="clear" w:color="auto" w:fill="D9D9D9"/>
            <w:noWrap w:val="0"/>
            <w:vAlign w:val="center"/>
          </w:tcPr>
          <w:p w14:paraId="0795EB1B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功能/指标</w:t>
            </w:r>
          </w:p>
        </w:tc>
        <w:tc>
          <w:tcPr>
            <w:tcW w:w="5944" w:type="dxa"/>
            <w:shd w:val="clear" w:color="auto" w:fill="D9D9D9"/>
            <w:noWrap w:val="0"/>
            <w:vAlign w:val="center"/>
          </w:tcPr>
          <w:p w14:paraId="737D345D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技术要求（参数）</w:t>
            </w:r>
          </w:p>
        </w:tc>
        <w:tc>
          <w:tcPr>
            <w:tcW w:w="929" w:type="dxa"/>
            <w:shd w:val="clear" w:color="auto" w:fill="D9D9D9"/>
            <w:noWrap w:val="0"/>
            <w:vAlign w:val="center"/>
          </w:tcPr>
          <w:p w14:paraId="15446989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是否星号条款</w:t>
            </w:r>
          </w:p>
        </w:tc>
      </w:tr>
      <w:tr w14:paraId="710D6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  <w:jc w:val="center"/>
        </w:trPr>
        <w:tc>
          <w:tcPr>
            <w:tcW w:w="555" w:type="dxa"/>
            <w:noWrap w:val="0"/>
            <w:vAlign w:val="center"/>
          </w:tcPr>
          <w:p w14:paraId="46262BB0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2.1</w:t>
            </w:r>
          </w:p>
        </w:tc>
        <w:tc>
          <w:tcPr>
            <w:tcW w:w="1742" w:type="dxa"/>
            <w:noWrap w:val="0"/>
            <w:vAlign w:val="center"/>
          </w:tcPr>
          <w:p w14:paraId="2AC1BA3F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升温速率控制</w:t>
            </w:r>
          </w:p>
        </w:tc>
        <w:tc>
          <w:tcPr>
            <w:tcW w:w="5944" w:type="dxa"/>
            <w:noWrap w:val="0"/>
            <w:vAlign w:val="center"/>
          </w:tcPr>
          <w:p w14:paraId="5B387CE8">
            <w:pPr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实现费托合成还原反应器温度变化速率控制至少10℃/h（算法要求：</w:t>
            </w:r>
            <w:r>
              <w:rPr>
                <w:rFonts w:ascii="宋体" w:hAnsi="宋体" w:cs="宋体"/>
                <w:highlight w:val="none"/>
              </w:rPr>
              <w:t>自适应模型预测控制</w:t>
            </w:r>
            <w:r>
              <w:rPr>
                <w:rFonts w:hint="eastAsia" w:ascii="宋体" w:hAnsi="宋体" w:cs="宋体"/>
                <w:highlight w:val="none"/>
              </w:rPr>
              <w:t>算法），及恒温阶段温度、压力、压差的智能控制</w:t>
            </w:r>
          </w:p>
        </w:tc>
        <w:tc>
          <w:tcPr>
            <w:tcW w:w="929" w:type="dxa"/>
            <w:noWrap w:val="0"/>
            <w:vAlign w:val="center"/>
          </w:tcPr>
          <w:p w14:paraId="2F5F93FB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★</w:t>
            </w:r>
          </w:p>
        </w:tc>
      </w:tr>
      <w:tr w14:paraId="35AA7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555" w:type="dxa"/>
            <w:noWrap w:val="0"/>
            <w:vAlign w:val="center"/>
          </w:tcPr>
          <w:p w14:paraId="24A3D328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2.2</w:t>
            </w:r>
          </w:p>
        </w:tc>
        <w:tc>
          <w:tcPr>
            <w:tcW w:w="1742" w:type="dxa"/>
            <w:noWrap w:val="0"/>
            <w:vAlign w:val="center"/>
          </w:tcPr>
          <w:p w14:paraId="150C2EF1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关键指标波动降低</w:t>
            </w:r>
          </w:p>
        </w:tc>
        <w:tc>
          <w:tcPr>
            <w:tcW w:w="5944" w:type="dxa"/>
            <w:noWrap w:val="0"/>
            <w:vAlign w:val="center"/>
          </w:tcPr>
          <w:p w14:paraId="6716BD01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生产过程中关键生产指标（以2.1提及生产指标为主）波动较投运前至少降低50%</w:t>
            </w:r>
          </w:p>
        </w:tc>
        <w:tc>
          <w:tcPr>
            <w:tcW w:w="929" w:type="dxa"/>
            <w:noWrap w:val="0"/>
            <w:vAlign w:val="center"/>
          </w:tcPr>
          <w:p w14:paraId="4A560152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★</w:t>
            </w:r>
          </w:p>
        </w:tc>
      </w:tr>
      <w:tr w14:paraId="11627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555" w:type="dxa"/>
            <w:noWrap w:val="0"/>
            <w:vAlign w:val="center"/>
          </w:tcPr>
          <w:p w14:paraId="7300FFEC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2.3</w:t>
            </w:r>
          </w:p>
        </w:tc>
        <w:tc>
          <w:tcPr>
            <w:tcW w:w="1742" w:type="dxa"/>
            <w:noWrap w:val="0"/>
            <w:vAlign w:val="center"/>
          </w:tcPr>
          <w:p w14:paraId="0F53C163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控制回路投运率</w:t>
            </w:r>
          </w:p>
        </w:tc>
        <w:tc>
          <w:tcPr>
            <w:tcW w:w="5944" w:type="dxa"/>
            <w:noWrap w:val="0"/>
            <w:vAlign w:val="center"/>
          </w:tcPr>
          <w:p w14:paraId="32B002BE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确保控制器控制回路投运率≥95%</w:t>
            </w:r>
          </w:p>
        </w:tc>
        <w:tc>
          <w:tcPr>
            <w:tcW w:w="929" w:type="dxa"/>
            <w:noWrap w:val="0"/>
            <w:vAlign w:val="center"/>
          </w:tcPr>
          <w:p w14:paraId="2D7AE009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★</w:t>
            </w:r>
          </w:p>
        </w:tc>
      </w:tr>
      <w:tr w14:paraId="77C63C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" w:hRule="atLeast"/>
          <w:jc w:val="center"/>
        </w:trPr>
        <w:tc>
          <w:tcPr>
            <w:tcW w:w="555" w:type="dxa"/>
            <w:noWrap w:val="0"/>
            <w:vAlign w:val="center"/>
          </w:tcPr>
          <w:p w14:paraId="4969783A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2.4</w:t>
            </w:r>
          </w:p>
        </w:tc>
        <w:tc>
          <w:tcPr>
            <w:tcW w:w="1742" w:type="dxa"/>
            <w:noWrap w:val="0"/>
            <w:vAlign w:val="center"/>
          </w:tcPr>
          <w:p w14:paraId="16EE372E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节能与增产</w:t>
            </w:r>
          </w:p>
        </w:tc>
        <w:tc>
          <w:tcPr>
            <w:tcW w:w="5944" w:type="dxa"/>
            <w:noWrap w:val="0"/>
            <w:vAlign w:val="center"/>
          </w:tcPr>
          <w:p w14:paraId="55D82144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设备电耗降低至少20%，产品年产率提高0.3%</w:t>
            </w:r>
          </w:p>
        </w:tc>
        <w:tc>
          <w:tcPr>
            <w:tcW w:w="929" w:type="dxa"/>
            <w:noWrap w:val="0"/>
            <w:vAlign w:val="center"/>
          </w:tcPr>
          <w:p w14:paraId="28F5BE51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★</w:t>
            </w:r>
          </w:p>
        </w:tc>
      </w:tr>
      <w:tr w14:paraId="05354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555" w:type="dxa"/>
            <w:noWrap w:val="0"/>
            <w:vAlign w:val="center"/>
          </w:tcPr>
          <w:p w14:paraId="42A04D77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2.5</w:t>
            </w:r>
          </w:p>
        </w:tc>
        <w:tc>
          <w:tcPr>
            <w:tcW w:w="1742" w:type="dxa"/>
            <w:noWrap w:val="0"/>
            <w:vAlign w:val="center"/>
          </w:tcPr>
          <w:p w14:paraId="10B52402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监控软件功能</w:t>
            </w:r>
          </w:p>
        </w:tc>
        <w:tc>
          <w:tcPr>
            <w:tcW w:w="5944" w:type="dxa"/>
            <w:noWrap w:val="0"/>
            <w:vAlign w:val="center"/>
          </w:tcPr>
          <w:p w14:paraId="424CBA1B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提供图形化人机界面，支持实时/历史数据趋势、多级报警管理、操作日志记录；数据刷新周期≤1秒，历史数据存储时间≥3年</w:t>
            </w:r>
          </w:p>
        </w:tc>
        <w:tc>
          <w:tcPr>
            <w:tcW w:w="929" w:type="dxa"/>
            <w:noWrap w:val="0"/>
            <w:vAlign w:val="center"/>
          </w:tcPr>
          <w:p w14:paraId="325E3B35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★</w:t>
            </w:r>
          </w:p>
        </w:tc>
      </w:tr>
      <w:tr w14:paraId="15544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  <w:jc w:val="center"/>
        </w:trPr>
        <w:tc>
          <w:tcPr>
            <w:tcW w:w="555" w:type="dxa"/>
            <w:noWrap w:val="0"/>
            <w:vAlign w:val="center"/>
          </w:tcPr>
          <w:p w14:paraId="1C5A1177">
            <w:pPr>
              <w:rPr>
                <w:rFonts w:hint="eastAsia"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</w:rPr>
              <w:t>2.6</w:t>
            </w:r>
          </w:p>
        </w:tc>
        <w:tc>
          <w:tcPr>
            <w:tcW w:w="1742" w:type="dxa"/>
            <w:noWrap w:val="0"/>
            <w:vAlign w:val="center"/>
          </w:tcPr>
          <w:p w14:paraId="74952126">
            <w:pPr>
              <w:rPr>
                <w:rFonts w:hint="eastAsia"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</w:rPr>
              <w:t>软件授权</w:t>
            </w:r>
          </w:p>
        </w:tc>
        <w:tc>
          <w:tcPr>
            <w:tcW w:w="5944" w:type="dxa"/>
            <w:noWrap w:val="0"/>
            <w:vAlign w:val="center"/>
          </w:tcPr>
          <w:p w14:paraId="4472CAC1">
            <w:pPr>
              <w:rPr>
                <w:rFonts w:hint="eastAsia"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</w:rPr>
              <w:t>提供所有控制系统软件、数据库软件及OPC通信服务器的正式授权（永久授权，非试用版/临时授权）</w:t>
            </w:r>
          </w:p>
        </w:tc>
        <w:tc>
          <w:tcPr>
            <w:tcW w:w="929" w:type="dxa"/>
            <w:noWrap w:val="0"/>
            <w:vAlign w:val="center"/>
          </w:tcPr>
          <w:p w14:paraId="0E74C9FF">
            <w:pPr>
              <w:jc w:val="center"/>
              <w:rPr>
                <w:rFonts w:hint="eastAsia"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highlight w:val="none"/>
              </w:rPr>
              <w:t>★</w:t>
            </w:r>
          </w:p>
        </w:tc>
      </w:tr>
      <w:bookmarkEnd w:id="13"/>
    </w:tbl>
    <w:p w14:paraId="711F0876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bookmarkStart w:id="14" w:name="三交货时间及方法-1"/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本章标注"★"的条款为实质性要求</w:t>
      </w:r>
      <w:r>
        <w:rPr>
          <w:rFonts w:hint="eastAsia" w:ascii="宋体" w:hAnsi="宋体" w:cs="宋体"/>
          <w:color w:val="auto"/>
          <w:szCs w:val="21"/>
          <w:highlight w:val="none"/>
        </w:rPr>
        <w:t>，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投标人须逐条响应</w:t>
      </w:r>
      <w:r>
        <w:rPr>
          <w:rFonts w:hint="eastAsia" w:ascii="宋体" w:hAnsi="宋体" w:cs="宋体"/>
          <w:color w:val="auto"/>
          <w:szCs w:val="21"/>
          <w:highlight w:val="none"/>
        </w:rPr>
        <w:t>。任何一条星号条款不满足，其</w:t>
      </w:r>
      <w:r>
        <w:rPr>
          <w:rFonts w:hint="eastAsia" w:ascii="宋体" w:hAnsi="宋体" w:cs="宋体"/>
          <w:szCs w:val="21"/>
          <w:highlight w:val="none"/>
        </w:rPr>
        <w:t>投标将按无效投标处理。</w:t>
      </w:r>
    </w:p>
    <w:p w14:paraId="4F6998A6">
      <w:pPr>
        <w:pStyle w:val="4"/>
        <w:ind w:firstLineChars="0"/>
        <w:rPr>
          <w:b/>
          <w:bCs w:val="0"/>
          <w:sz w:val="21"/>
          <w:szCs w:val="28"/>
          <w:lang w:val="en-US"/>
        </w:rPr>
      </w:pPr>
      <w:r>
        <w:rPr>
          <w:rFonts w:hint="eastAsia"/>
          <w:b/>
          <w:bCs w:val="0"/>
          <w:sz w:val="21"/>
          <w:szCs w:val="28"/>
          <w:lang w:val="en-US"/>
        </w:rPr>
        <w:t>三、技术培训</w:t>
      </w:r>
    </w:p>
    <w:p w14:paraId="6FCCB4E8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设备安装完毕后，中标人须在招标人现场对招标人操作人员提供投标货物的操作培训，培训内容包括但不限于设备的基本工作原理、软硬件操作方法、日常维护以及紧急状况应急处理措施；培训时间不少于7天，直到招标人人员掌握培训内容为止。</w:t>
      </w:r>
    </w:p>
    <w:bookmarkEnd w:id="14"/>
    <w:p w14:paraId="77E36914">
      <w:pPr>
        <w:pStyle w:val="4"/>
        <w:ind w:firstLineChars="0"/>
        <w:rPr>
          <w:b/>
          <w:bCs w:val="0"/>
          <w:sz w:val="21"/>
          <w:szCs w:val="28"/>
          <w:lang w:val="en-US"/>
        </w:rPr>
      </w:pPr>
      <w:bookmarkStart w:id="15" w:name="四验收标准及质保期限-1"/>
      <w:r>
        <w:rPr>
          <w:rFonts w:hint="eastAsia"/>
          <w:b/>
          <w:bCs w:val="0"/>
          <w:sz w:val="21"/>
          <w:szCs w:val="28"/>
          <w:lang w:val="en-US"/>
        </w:rPr>
        <w:t>四、交货时间及方法</w:t>
      </w:r>
    </w:p>
    <w:p w14:paraId="7BDE3C59">
      <w:pPr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cs="宋体"/>
          <w:szCs w:val="21"/>
        </w:rPr>
        <w:t>自签订合同之日起</w:t>
      </w:r>
      <w:r>
        <w:rPr>
          <w:rFonts w:hint="eastAsia" w:ascii="宋体" w:hAnsi="宋体" w:cs="宋体"/>
          <w:szCs w:val="21"/>
          <w:lang w:val="en-US" w:eastAsia="zh-CN"/>
        </w:rPr>
        <w:t>60</w:t>
      </w:r>
      <w:r>
        <w:rPr>
          <w:rFonts w:hint="eastAsia" w:ascii="宋体" w:hAnsi="宋体" w:cs="宋体"/>
          <w:szCs w:val="21"/>
        </w:rPr>
        <w:t>日内完成全部货物交货及安装调试完毕</w:t>
      </w:r>
      <w:r>
        <w:rPr>
          <w:rFonts w:hint="eastAsia" w:ascii="宋体" w:hAnsi="宋体" w:cs="宋体"/>
          <w:szCs w:val="21"/>
          <w:lang w:eastAsia="zh-CN"/>
        </w:rPr>
        <w:t>。</w:t>
      </w:r>
    </w:p>
    <w:bookmarkEnd w:id="15"/>
    <w:p w14:paraId="1F3D25CE">
      <w:pPr>
        <w:pStyle w:val="4"/>
        <w:ind w:firstLineChars="0"/>
        <w:rPr>
          <w:b/>
          <w:bCs w:val="0"/>
          <w:sz w:val="21"/>
          <w:szCs w:val="28"/>
          <w:highlight w:val="none"/>
          <w:lang w:val="en-US"/>
        </w:rPr>
      </w:pPr>
      <w:bookmarkStart w:id="16" w:name="五结算方式及期限-1"/>
      <w:r>
        <w:rPr>
          <w:rFonts w:hint="eastAsia"/>
          <w:b/>
          <w:bCs w:val="0"/>
          <w:sz w:val="21"/>
          <w:szCs w:val="28"/>
          <w:highlight w:val="none"/>
          <w:lang w:val="en-US"/>
        </w:rPr>
        <w:t>五、验收标准及质保期限</w:t>
      </w:r>
    </w:p>
    <w:bookmarkEnd w:id="16"/>
    <w:p w14:paraId="7C32F8A2">
      <w:pPr>
        <w:pStyle w:val="4"/>
        <w:ind w:firstLineChars="0"/>
        <w:rPr>
          <w:rFonts w:hint="eastAsia" w:ascii="宋体" w:hAnsi="宋体" w:cs="宋体"/>
          <w:sz w:val="21"/>
          <w:szCs w:val="28"/>
          <w:highlight w:val="none"/>
        </w:rPr>
      </w:pPr>
      <w:r>
        <w:rPr>
          <w:rFonts w:hint="eastAsia" w:ascii="宋体" w:hAnsi="宋体" w:cs="宋体"/>
          <w:sz w:val="21"/>
          <w:szCs w:val="28"/>
          <w:highlight w:val="none"/>
        </w:rPr>
        <w:t>1.货物应按照国家及有关部门的规定进行包装，以确保其安全无损地运抵供货地点。</w:t>
      </w:r>
    </w:p>
    <w:p w14:paraId="19DAA654">
      <w:pPr>
        <w:pStyle w:val="4"/>
        <w:ind w:firstLineChars="0"/>
        <w:rPr>
          <w:rFonts w:hint="eastAsia" w:ascii="宋体" w:hAnsi="宋体" w:cs="宋体"/>
          <w:color w:val="auto"/>
          <w:sz w:val="21"/>
          <w:szCs w:val="28"/>
          <w:highlight w:val="none"/>
        </w:rPr>
      </w:pPr>
      <w:r>
        <w:rPr>
          <w:rFonts w:hint="eastAsia" w:ascii="宋体" w:hAnsi="宋体" w:cs="宋体"/>
          <w:sz w:val="21"/>
          <w:szCs w:val="28"/>
          <w:highlight w:val="none"/>
        </w:rPr>
        <w:t>2.货物必须在运抵供货地点经招标人检验同意后才能</w:t>
      </w:r>
      <w:r>
        <w:rPr>
          <w:rFonts w:hint="eastAsia" w:ascii="宋体" w:hAnsi="宋体" w:cs="宋体"/>
          <w:color w:val="auto"/>
          <w:sz w:val="21"/>
          <w:szCs w:val="28"/>
          <w:highlight w:val="none"/>
        </w:rPr>
        <w:t>开启包装，</w:t>
      </w:r>
      <w:r>
        <w:rPr>
          <w:rFonts w:ascii="宋体" w:hAnsi="宋体" w:cs="宋体"/>
          <w:color w:val="auto"/>
          <w:sz w:val="21"/>
          <w:szCs w:val="28"/>
          <w:highlight w:val="none"/>
        </w:rPr>
        <w:t>招标人与中标人共同开箱检验，核对设备数量、型号、规格、外观及随机资料，签署到货验收单。</w:t>
      </w:r>
    </w:p>
    <w:p w14:paraId="65D0BCC9">
      <w:pPr>
        <w:pStyle w:val="4"/>
        <w:ind w:firstLineChars="0"/>
        <w:rPr>
          <w:rFonts w:hint="eastAsia" w:ascii="宋体" w:hAnsi="宋体" w:cs="宋体"/>
          <w:sz w:val="21"/>
          <w:szCs w:val="28"/>
        </w:rPr>
      </w:pPr>
      <w:r>
        <w:rPr>
          <w:rFonts w:hint="eastAsia" w:ascii="宋体" w:hAnsi="宋体" w:cs="宋体"/>
          <w:color w:val="auto"/>
          <w:sz w:val="21"/>
          <w:szCs w:val="28"/>
          <w:highlight w:val="none"/>
        </w:rPr>
        <w:t>3.货物属于《强制性产品认证管理规定》范围内的，必须具有“CCC”中国</w:t>
      </w:r>
      <w:r>
        <w:rPr>
          <w:rFonts w:hint="eastAsia" w:ascii="宋体" w:hAnsi="宋体" w:cs="宋体"/>
          <w:sz w:val="21"/>
          <w:szCs w:val="28"/>
          <w:highlight w:val="none"/>
        </w:rPr>
        <w:t>强制认证标志，</w:t>
      </w:r>
      <w:r>
        <w:rPr>
          <w:rFonts w:hint="eastAsia" w:ascii="宋体" w:hAnsi="宋体" w:cs="宋体"/>
          <w:sz w:val="21"/>
          <w:szCs w:val="28"/>
        </w:rPr>
        <w:t>否则验收不合格。</w:t>
      </w:r>
      <w:bookmarkStart w:id="17" w:name="_GoBack"/>
    </w:p>
    <w:bookmarkEnd w:id="17"/>
    <w:p w14:paraId="6DE2254B">
      <w:pPr>
        <w:pStyle w:val="4"/>
        <w:ind w:firstLineChars="0"/>
        <w:rPr>
          <w:rFonts w:hint="eastAsia" w:ascii="宋体" w:hAnsi="宋体" w:cs="宋体"/>
          <w:sz w:val="21"/>
          <w:szCs w:val="28"/>
        </w:rPr>
      </w:pPr>
      <w:r>
        <w:rPr>
          <w:rFonts w:hint="eastAsia" w:ascii="宋体" w:hAnsi="宋体" w:cs="宋体"/>
          <w:sz w:val="21"/>
          <w:szCs w:val="28"/>
        </w:rPr>
        <w:t>4.</w:t>
      </w:r>
      <w:r>
        <w:rPr>
          <w:rFonts w:hint="eastAsia" w:ascii="宋体" w:hAnsi="宋体" w:eastAsia="宋体" w:cs="宋体"/>
          <w:sz w:val="21"/>
          <w:szCs w:val="28"/>
        </w:rPr>
        <w:t>质保期</w:t>
      </w:r>
      <w:r>
        <w:rPr>
          <w:rFonts w:hint="eastAsia" w:ascii="宋体" w:hAnsi="宋体" w:eastAsia="宋体" w:cs="宋体"/>
          <w:sz w:val="21"/>
          <w:szCs w:val="28"/>
          <w:lang w:val="en-US" w:eastAsia="zh-CN"/>
        </w:rPr>
        <w:t>≥5</w:t>
      </w:r>
      <w:r>
        <w:rPr>
          <w:rFonts w:hint="eastAsia" w:ascii="宋体" w:hAnsi="宋体" w:eastAsia="宋体" w:cs="宋体"/>
          <w:sz w:val="21"/>
          <w:szCs w:val="28"/>
        </w:rPr>
        <w:t>年，质</w:t>
      </w:r>
      <w:r>
        <w:rPr>
          <w:rFonts w:hint="eastAsia" w:ascii="宋体" w:hAnsi="宋体" w:cs="宋体"/>
          <w:sz w:val="21"/>
          <w:szCs w:val="28"/>
        </w:rPr>
        <w:t>保期内免费提供配件更换及技术</w:t>
      </w:r>
      <w:r>
        <w:rPr>
          <w:rFonts w:hint="eastAsia" w:ascii="宋体" w:hAnsi="宋体" w:cs="宋体"/>
          <w:sz w:val="21"/>
          <w:szCs w:val="28"/>
          <w:lang w:val="en-US"/>
        </w:rPr>
        <w:t>支持</w:t>
      </w:r>
      <w:r>
        <w:rPr>
          <w:rFonts w:hint="eastAsia" w:ascii="宋体" w:hAnsi="宋体" w:cs="宋体"/>
          <w:sz w:val="21"/>
          <w:szCs w:val="28"/>
        </w:rPr>
        <w:t>。</w:t>
      </w:r>
    </w:p>
    <w:p w14:paraId="2D81EF95">
      <w:pPr>
        <w:pStyle w:val="4"/>
        <w:ind w:firstLineChars="0"/>
        <w:rPr>
          <w:b/>
          <w:bCs w:val="0"/>
          <w:sz w:val="21"/>
          <w:szCs w:val="28"/>
          <w:lang w:val="en-US"/>
        </w:rPr>
      </w:pPr>
      <w:r>
        <w:rPr>
          <w:rFonts w:hint="eastAsia"/>
          <w:b/>
          <w:bCs w:val="0"/>
          <w:sz w:val="21"/>
          <w:szCs w:val="28"/>
          <w:lang w:val="en-US"/>
        </w:rPr>
        <w:t>六、结算方式及期限</w:t>
      </w:r>
    </w:p>
    <w:p w14:paraId="78D07F97">
      <w:pPr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招标人不支付预付款，设备到货安装调试完毕并验收合格后，支付合同金额的90%，剩余10%的合同价款，于设备正常运行12个月后无息支付。合同价款中含税。</w:t>
      </w:r>
    </w:p>
    <w:p w14:paraId="36EBD03C">
      <w:pPr>
        <w:pStyle w:val="4"/>
        <w:ind w:firstLineChars="0"/>
        <w:rPr>
          <w:b/>
          <w:bCs w:val="0"/>
          <w:sz w:val="21"/>
          <w:szCs w:val="28"/>
          <w:lang w:val="en-US"/>
        </w:rPr>
      </w:pPr>
      <w:r>
        <w:rPr>
          <w:rFonts w:hint="eastAsia"/>
          <w:b/>
          <w:bCs w:val="0"/>
          <w:sz w:val="21"/>
          <w:szCs w:val="28"/>
          <w:lang w:val="en-US"/>
        </w:rPr>
        <w:t>七、售后服务承诺</w:t>
      </w:r>
    </w:p>
    <w:p w14:paraId="050CD7E7">
      <w:pPr>
        <w:spacing w:line="360" w:lineRule="auto"/>
        <w:ind w:firstLine="42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产品交付使用五年内，如因供应商原因</w:t>
      </w:r>
      <w:r>
        <w:rPr>
          <w:rFonts w:hint="eastAsia" w:ascii="宋体" w:hAnsi="宋体" w:cs="宋体"/>
          <w:szCs w:val="21"/>
          <w:highlight w:val="none"/>
        </w:rPr>
        <w:t>出现</w:t>
      </w:r>
      <w:r>
        <w:rPr>
          <w:rFonts w:hint="eastAsia" w:ascii="宋体" w:hAnsi="宋体" w:cs="宋体"/>
          <w:szCs w:val="21"/>
        </w:rPr>
        <w:t>的产品质量问题，供应商负责调换、修改，费用由供应商负担。</w:t>
      </w:r>
    </w:p>
    <w:p w14:paraId="3375CAF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967182"/>
    <w:rsid w:val="018E50EE"/>
    <w:rsid w:val="045313A6"/>
    <w:rsid w:val="05D97117"/>
    <w:rsid w:val="063062F6"/>
    <w:rsid w:val="064755D9"/>
    <w:rsid w:val="067055E7"/>
    <w:rsid w:val="068D45CB"/>
    <w:rsid w:val="080A5986"/>
    <w:rsid w:val="0870334D"/>
    <w:rsid w:val="08714923"/>
    <w:rsid w:val="0BAE5563"/>
    <w:rsid w:val="0BC13714"/>
    <w:rsid w:val="0DC43FA8"/>
    <w:rsid w:val="0EA42749"/>
    <w:rsid w:val="10417F2E"/>
    <w:rsid w:val="10426664"/>
    <w:rsid w:val="122F1A81"/>
    <w:rsid w:val="140D2E54"/>
    <w:rsid w:val="141C609E"/>
    <w:rsid w:val="146F72DC"/>
    <w:rsid w:val="18334242"/>
    <w:rsid w:val="19C50071"/>
    <w:rsid w:val="1DCC3B81"/>
    <w:rsid w:val="20253E94"/>
    <w:rsid w:val="23062777"/>
    <w:rsid w:val="23782094"/>
    <w:rsid w:val="262544CF"/>
    <w:rsid w:val="2A626323"/>
    <w:rsid w:val="2B8A5F1E"/>
    <w:rsid w:val="2DB6736A"/>
    <w:rsid w:val="31530D10"/>
    <w:rsid w:val="32265B71"/>
    <w:rsid w:val="326B5F70"/>
    <w:rsid w:val="33C5349A"/>
    <w:rsid w:val="33FB51A0"/>
    <w:rsid w:val="35503C56"/>
    <w:rsid w:val="35D344A3"/>
    <w:rsid w:val="36604783"/>
    <w:rsid w:val="369646C1"/>
    <w:rsid w:val="3AEF1E51"/>
    <w:rsid w:val="3C045970"/>
    <w:rsid w:val="3E114B81"/>
    <w:rsid w:val="3F676ED1"/>
    <w:rsid w:val="40D017FC"/>
    <w:rsid w:val="43024510"/>
    <w:rsid w:val="43552EE2"/>
    <w:rsid w:val="44521FF8"/>
    <w:rsid w:val="46B23C93"/>
    <w:rsid w:val="47852A83"/>
    <w:rsid w:val="47F956FA"/>
    <w:rsid w:val="490B4A5A"/>
    <w:rsid w:val="496473B4"/>
    <w:rsid w:val="4965745A"/>
    <w:rsid w:val="499E3669"/>
    <w:rsid w:val="4BA63D5D"/>
    <w:rsid w:val="4C83534D"/>
    <w:rsid w:val="4E210ECF"/>
    <w:rsid w:val="4E8F7587"/>
    <w:rsid w:val="4EF7190E"/>
    <w:rsid w:val="51FA0FBF"/>
    <w:rsid w:val="52BE350C"/>
    <w:rsid w:val="53C40BA3"/>
    <w:rsid w:val="56EF512A"/>
    <w:rsid w:val="59E37D91"/>
    <w:rsid w:val="59F24467"/>
    <w:rsid w:val="5A7053B1"/>
    <w:rsid w:val="5C504937"/>
    <w:rsid w:val="5E292A79"/>
    <w:rsid w:val="5FF03C61"/>
    <w:rsid w:val="607F2CD2"/>
    <w:rsid w:val="61466291"/>
    <w:rsid w:val="62967182"/>
    <w:rsid w:val="661F458A"/>
    <w:rsid w:val="662A0B4E"/>
    <w:rsid w:val="67C75C0D"/>
    <w:rsid w:val="69A71B2F"/>
    <w:rsid w:val="6A556DE3"/>
    <w:rsid w:val="6A5907ED"/>
    <w:rsid w:val="6BA05346"/>
    <w:rsid w:val="6C2A7F46"/>
    <w:rsid w:val="6D461D90"/>
    <w:rsid w:val="6DBC56D4"/>
    <w:rsid w:val="6EF027EC"/>
    <w:rsid w:val="6FE40E77"/>
    <w:rsid w:val="701E7AED"/>
    <w:rsid w:val="71175018"/>
    <w:rsid w:val="75076DA0"/>
    <w:rsid w:val="795B7DF4"/>
    <w:rsid w:val="7BA46BD6"/>
    <w:rsid w:val="7D1B6CFE"/>
    <w:rsid w:val="7D1C2484"/>
    <w:rsid w:val="7E1D63BF"/>
    <w:rsid w:val="7E86736F"/>
    <w:rsid w:val="7ED55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报告正文"/>
    <w:basedOn w:val="1"/>
    <w:qFormat/>
    <w:uiPriority w:val="0"/>
    <w:pPr>
      <w:spacing w:line="360" w:lineRule="auto"/>
      <w:ind w:firstLine="480" w:firstLineChars="200"/>
    </w:pPr>
    <w:rPr>
      <w:rFonts w:ascii="Times New Roman" w:hAnsi="Times New Roman" w:cs="Times New Roman"/>
      <w:bCs/>
      <w:sz w:val="24"/>
      <w:szCs w:val="36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1300</Words>
  <Characters>1538</Characters>
  <Lines>0</Lines>
  <Paragraphs>0</Paragraphs>
  <TotalTime>0</TotalTime>
  <ScaleCrop>false</ScaleCrop>
  <LinksUpToDate>false</LinksUpToDate>
  <CharactersWithSpaces>1546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2026-09-28T09:44:00Z</dcterms:created>
  <dc:creator>知了</dc:creator>
  <cp:lastModifiedBy>知了</cp:lastModifiedBy>
  <dcterms:modified xsi:type="dcterms:W3CDTF">2026-09-29T03:02:55Z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C900A64B72ED46A0B028C8624D92BBC1_11</vt:lpwstr>
  </property>
  <property fmtid="{D5CDD505-2E9C-101B-9397-08002B2CF9AE}" pid="4" name="KSOTemplateDocerSaveRecord">
    <vt:lpwstr>eyJoZGlkIjoiOWY4ODEyYjJmODdmNTJjOTY0YmUxNmJmZDIyNWUyMTkiLCJ1c2VySWQiOiI4NjM3MjYxMzkifQ==</vt:lpwstr>
  </property>
</Properties>
</file>