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EB986F">
      <w:pPr>
        <w:adjustRightInd w:val="0"/>
        <w:snapToGrid w:val="0"/>
        <w:spacing w:after="156" w:afterLines="50" w:line="360" w:lineRule="auto"/>
        <w:jc w:val="center"/>
        <w:outlineLvl w:val="0"/>
        <w:rPr>
          <w:rFonts w:ascii="黑体" w:eastAsia="黑体"/>
          <w:b/>
          <w:color w:val="000000"/>
          <w:kern w:val="44"/>
          <w:sz w:val="48"/>
          <w:szCs w:val="20"/>
        </w:rPr>
      </w:pPr>
      <w:bookmarkStart w:id="0" w:name="_Toc129880039"/>
      <w:r>
        <w:rPr>
          <w:rFonts w:hint="eastAsia" w:ascii="宋体" w:hAnsi="宋体"/>
          <w:b/>
          <w:color w:val="000000"/>
          <w:sz w:val="30"/>
          <w:szCs w:val="30"/>
        </w:rPr>
        <w:t>第八部分 采购需求</w:t>
      </w:r>
      <w:bookmarkEnd w:id="0"/>
    </w:p>
    <w:p w14:paraId="5B131D90">
      <w:pPr>
        <w:adjustRightInd w:val="0"/>
        <w:snapToGrid w:val="0"/>
        <w:spacing w:before="156" w:beforeLines="50" w:after="156" w:afterLines="50" w:line="360" w:lineRule="auto"/>
        <w:jc w:val="center"/>
        <w:rPr>
          <w:rFonts w:ascii="宋体" w:hAnsi="宋体"/>
          <w:b/>
          <w:color w:val="000000"/>
          <w:sz w:val="24"/>
        </w:rPr>
      </w:pPr>
      <w:r>
        <w:rPr>
          <w:rFonts w:hint="eastAsia" w:ascii="宋体" w:hAnsi="宋体"/>
          <w:b/>
          <w:color w:val="000000"/>
          <w:sz w:val="24"/>
        </w:rPr>
        <w:t>货物需求一览表</w:t>
      </w:r>
    </w:p>
    <w:p w14:paraId="7CB19C8C">
      <w:pPr>
        <w:adjustRightInd w:val="0"/>
        <w:snapToGrid w:val="0"/>
        <w:jc w:val="center"/>
        <w:rPr>
          <w:rFonts w:ascii="宋体" w:hAnsi="宋体"/>
          <w:b/>
          <w:color w:val="000000"/>
          <w:sz w:val="30"/>
          <w:szCs w:val="30"/>
        </w:rPr>
      </w:pPr>
    </w:p>
    <w:tbl>
      <w:tblPr>
        <w:tblStyle w:val="3"/>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597FF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vAlign w:val="center"/>
          </w:tcPr>
          <w:p w14:paraId="0329BED7">
            <w:pPr>
              <w:jc w:val="center"/>
              <w:rPr>
                <w:rFonts w:ascii="宋体" w:hAnsi="Bookman Old Style"/>
                <w:color w:val="000000"/>
                <w:sz w:val="24"/>
              </w:rPr>
            </w:pPr>
            <w:r>
              <w:rPr>
                <w:rFonts w:hint="eastAsia" w:ascii="宋体" w:hAnsi="Bookman Old Style"/>
                <w:color w:val="000000"/>
                <w:sz w:val="24"/>
              </w:rPr>
              <w:t>包号</w:t>
            </w:r>
          </w:p>
        </w:tc>
        <w:tc>
          <w:tcPr>
            <w:tcW w:w="2357" w:type="dxa"/>
            <w:vAlign w:val="center"/>
          </w:tcPr>
          <w:p w14:paraId="1357301A">
            <w:pPr>
              <w:jc w:val="center"/>
              <w:rPr>
                <w:rFonts w:ascii="宋体" w:hAnsi="Bookman Old Style"/>
                <w:color w:val="000000"/>
                <w:sz w:val="24"/>
              </w:rPr>
            </w:pPr>
            <w:r>
              <w:rPr>
                <w:rFonts w:hint="eastAsia" w:ascii="宋体" w:hAnsi="Bookman Old Style"/>
                <w:color w:val="000000"/>
                <w:sz w:val="24"/>
              </w:rPr>
              <w:t>货物名称</w:t>
            </w:r>
          </w:p>
        </w:tc>
        <w:tc>
          <w:tcPr>
            <w:tcW w:w="1329" w:type="dxa"/>
            <w:vAlign w:val="center"/>
          </w:tcPr>
          <w:p w14:paraId="12C89CFC">
            <w:pPr>
              <w:jc w:val="center"/>
              <w:rPr>
                <w:rFonts w:ascii="宋体" w:hAnsi="Bookman Old Style"/>
                <w:color w:val="000000"/>
                <w:sz w:val="24"/>
              </w:rPr>
            </w:pPr>
            <w:r>
              <w:rPr>
                <w:rFonts w:hint="eastAsia" w:ascii="宋体" w:hAnsi="Bookman Old Style"/>
                <w:color w:val="000000"/>
                <w:sz w:val="24"/>
              </w:rPr>
              <w:t>数量</w:t>
            </w:r>
          </w:p>
        </w:tc>
        <w:tc>
          <w:tcPr>
            <w:tcW w:w="2470" w:type="dxa"/>
            <w:vAlign w:val="center"/>
          </w:tcPr>
          <w:p w14:paraId="1EA47696">
            <w:pPr>
              <w:jc w:val="center"/>
              <w:rPr>
                <w:rFonts w:ascii="宋体" w:hAnsi="Bookman Old Style"/>
                <w:color w:val="000000"/>
                <w:sz w:val="24"/>
              </w:rPr>
            </w:pPr>
            <w:r>
              <w:rPr>
                <w:rFonts w:hint="eastAsia" w:ascii="宋体" w:hAnsi="Bookman Old Style"/>
                <w:color w:val="000000"/>
                <w:sz w:val="24"/>
              </w:rPr>
              <w:t>是否接受进口</w:t>
            </w:r>
          </w:p>
        </w:tc>
      </w:tr>
      <w:tr w14:paraId="690A0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vAlign w:val="center"/>
          </w:tcPr>
          <w:p w14:paraId="25E40FFD">
            <w:pPr>
              <w:jc w:val="center"/>
              <w:rPr>
                <w:rFonts w:hint="default" w:ascii="宋体" w:eastAsia="宋体"/>
                <w:color w:val="000000"/>
                <w:sz w:val="24"/>
                <w:lang w:val="en-US" w:eastAsia="zh-CN"/>
              </w:rPr>
            </w:pPr>
            <w:r>
              <w:rPr>
                <w:rFonts w:hint="eastAsia" w:ascii="宋体"/>
                <w:color w:val="000000"/>
                <w:sz w:val="24"/>
                <w:lang w:val="en-US" w:eastAsia="zh-CN"/>
              </w:rPr>
              <w:t>16</w:t>
            </w:r>
          </w:p>
        </w:tc>
        <w:tc>
          <w:tcPr>
            <w:tcW w:w="2357" w:type="dxa"/>
            <w:vAlign w:val="center"/>
          </w:tcPr>
          <w:p w14:paraId="744F2C20">
            <w:pPr>
              <w:jc w:val="center"/>
              <w:rPr>
                <w:rFonts w:ascii="Bookman Old Style" w:hAnsi="Bookman Old Style"/>
                <w:color w:val="000000"/>
                <w:sz w:val="24"/>
              </w:rPr>
            </w:pPr>
            <w:r>
              <w:rPr>
                <w:rFonts w:hint="eastAsia" w:ascii="Bookman Old Style" w:hAnsi="Bookman Old Style"/>
                <w:color w:val="000000"/>
                <w:sz w:val="24"/>
              </w:rPr>
              <w:t>多维形态电感耦合等离子体串联质谱仪联用系统</w:t>
            </w:r>
          </w:p>
        </w:tc>
        <w:tc>
          <w:tcPr>
            <w:tcW w:w="1329" w:type="dxa"/>
            <w:vAlign w:val="center"/>
          </w:tcPr>
          <w:p w14:paraId="2BD0A4BE">
            <w:pPr>
              <w:jc w:val="center"/>
              <w:rPr>
                <w:rFonts w:ascii="宋体" w:hAnsi="Bookman Old Style"/>
                <w:color w:val="000000"/>
                <w:sz w:val="24"/>
              </w:rPr>
            </w:pPr>
            <w:r>
              <w:rPr>
                <w:rFonts w:hint="eastAsia" w:ascii="宋体" w:hAnsi="Bookman Old Style"/>
                <w:color w:val="000000"/>
                <w:sz w:val="24"/>
              </w:rPr>
              <w:t>1套</w:t>
            </w:r>
          </w:p>
        </w:tc>
        <w:tc>
          <w:tcPr>
            <w:tcW w:w="2470" w:type="dxa"/>
            <w:vAlign w:val="center"/>
          </w:tcPr>
          <w:p w14:paraId="70DA9CFD">
            <w:pPr>
              <w:jc w:val="center"/>
              <w:rPr>
                <w:rFonts w:ascii="宋体" w:hAnsi="Bookman Old Style"/>
                <w:color w:val="000000"/>
                <w:sz w:val="24"/>
              </w:rPr>
            </w:pPr>
            <w:r>
              <w:rPr>
                <w:rFonts w:hint="eastAsia" w:ascii="宋体" w:hAnsi="Bookman Old Style"/>
                <w:color w:val="000000"/>
                <w:sz w:val="24"/>
              </w:rPr>
              <w:t>是</w:t>
            </w:r>
          </w:p>
        </w:tc>
      </w:tr>
    </w:tbl>
    <w:p w14:paraId="3DAC7171">
      <w:pPr>
        <w:adjustRightInd w:val="0"/>
        <w:snapToGrid w:val="0"/>
        <w:jc w:val="center"/>
        <w:rPr>
          <w:rFonts w:ascii="宋体" w:hAnsi="宋体"/>
          <w:b/>
          <w:color w:val="000000"/>
          <w:sz w:val="30"/>
          <w:szCs w:val="30"/>
        </w:rPr>
      </w:pPr>
    </w:p>
    <w:p w14:paraId="0A239B6E">
      <w:pPr>
        <w:adjustRightInd w:val="0"/>
        <w:snapToGrid w:val="0"/>
        <w:jc w:val="center"/>
        <w:rPr>
          <w:rFonts w:ascii="宋体" w:hAnsi="宋体"/>
          <w:b/>
          <w:color w:val="000000"/>
          <w:sz w:val="30"/>
          <w:szCs w:val="30"/>
        </w:rPr>
      </w:pPr>
    </w:p>
    <w:p w14:paraId="19F6C697">
      <w:pPr>
        <w:rPr>
          <w:rFonts w:ascii="Bookman Old Style" w:hAnsi="Bookman Old Style"/>
          <w:color w:val="000000"/>
          <w:sz w:val="24"/>
        </w:rPr>
      </w:pPr>
      <w:r>
        <w:rPr>
          <w:rFonts w:hint="eastAsia"/>
          <w:color w:val="000000"/>
          <w:sz w:val="24"/>
        </w:rPr>
        <w:t>注：投标人须对上述投标内容中完整的一包进行投标，</w:t>
      </w:r>
      <w:r>
        <w:rPr>
          <w:rFonts w:hint="eastAsia" w:ascii="Bookman Old Style" w:hAnsi="Bookman Old Style"/>
          <w:color w:val="000000"/>
          <w:sz w:val="24"/>
        </w:rPr>
        <w:t>不完整的投标将视为非响应性投标予以拒绝。</w:t>
      </w:r>
    </w:p>
    <w:p w14:paraId="6A83231C">
      <w:pPr>
        <w:adjustRightInd w:val="0"/>
        <w:snapToGrid w:val="0"/>
        <w:rPr>
          <w:rFonts w:ascii="宋体" w:hAnsi="宋体"/>
          <w:color w:val="000000"/>
          <w:szCs w:val="21"/>
        </w:rPr>
      </w:pPr>
    </w:p>
    <w:p w14:paraId="5BD718D5">
      <w:pPr>
        <w:adjustRightInd w:val="0"/>
        <w:snapToGrid w:val="0"/>
        <w:rPr>
          <w:rFonts w:ascii="宋体" w:hAnsi="宋体"/>
          <w:color w:val="000000"/>
          <w:szCs w:val="21"/>
        </w:rPr>
      </w:pPr>
    </w:p>
    <w:p w14:paraId="7E086F59">
      <w:pPr>
        <w:adjustRightInd w:val="0"/>
        <w:snapToGrid w:val="0"/>
        <w:rPr>
          <w:rFonts w:ascii="宋体" w:hAnsi="宋体"/>
          <w:color w:val="000000"/>
          <w:szCs w:val="21"/>
        </w:rPr>
      </w:pPr>
    </w:p>
    <w:p w14:paraId="225A893F">
      <w:pPr>
        <w:adjustRightInd w:val="0"/>
        <w:snapToGrid w:val="0"/>
        <w:spacing w:line="360" w:lineRule="auto"/>
        <w:rPr>
          <w:rFonts w:ascii="宋体" w:hAnsi="宋体"/>
          <w:b/>
          <w:color w:val="000000"/>
          <w:sz w:val="28"/>
          <w:szCs w:val="28"/>
        </w:rPr>
      </w:pPr>
      <w:r>
        <w:rPr>
          <w:rFonts w:ascii="宋体" w:hAnsi="宋体"/>
          <w:b/>
          <w:color w:val="000000"/>
          <w:sz w:val="30"/>
          <w:szCs w:val="30"/>
        </w:rPr>
        <w:br w:type="page"/>
      </w:r>
      <w:r>
        <w:rPr>
          <w:rFonts w:hint="eastAsia" w:ascii="宋体" w:hAnsi="宋体"/>
          <w:b/>
          <w:color w:val="000000"/>
          <w:sz w:val="28"/>
          <w:szCs w:val="28"/>
        </w:rPr>
        <w:t>一、总则</w:t>
      </w:r>
    </w:p>
    <w:p w14:paraId="2F2E2322">
      <w:pPr>
        <w:adjustRightInd w:val="0"/>
        <w:snapToGrid w:val="0"/>
        <w:spacing w:line="360" w:lineRule="auto"/>
        <w:rPr>
          <w:rFonts w:ascii="宋体" w:hAnsi="宋体"/>
          <w:b/>
          <w:color w:val="000000"/>
          <w:sz w:val="28"/>
          <w:szCs w:val="28"/>
        </w:rPr>
      </w:pPr>
      <w:r>
        <w:rPr>
          <w:rFonts w:ascii="宋体" w:hAnsi="宋体"/>
          <w:b/>
          <w:color w:val="000000"/>
          <w:sz w:val="28"/>
          <w:szCs w:val="28"/>
        </w:rPr>
        <w:t>1</w:t>
      </w:r>
      <w:r>
        <w:rPr>
          <w:rFonts w:hint="eastAsia" w:ascii="宋体" w:hAnsi="宋体"/>
          <w:b/>
          <w:color w:val="000000"/>
          <w:sz w:val="28"/>
          <w:szCs w:val="28"/>
        </w:rPr>
        <w:t>、投标要求</w:t>
      </w:r>
    </w:p>
    <w:p w14:paraId="732C8904">
      <w:pPr>
        <w:spacing w:line="360" w:lineRule="auto"/>
        <w:ind w:left="554" w:hanging="554" w:hangingChars="231"/>
        <w:rPr>
          <w:rFonts w:ascii="宋体" w:hAnsi="宋体"/>
          <w:color w:val="000000"/>
          <w:sz w:val="24"/>
        </w:rPr>
      </w:pPr>
      <w:r>
        <w:rPr>
          <w:rFonts w:ascii="宋体" w:hAnsi="宋体"/>
          <w:color w:val="000000"/>
          <w:sz w:val="24"/>
        </w:rPr>
        <w:t xml:space="preserve">1.1 </w:t>
      </w:r>
      <w:r>
        <w:rPr>
          <w:rFonts w:hint="eastAsia" w:ascii="宋体" w:hAnsi="宋体"/>
          <w:color w:val="000000"/>
          <w:sz w:val="24"/>
        </w:rPr>
        <w:t xml:space="preserve"> 投标人在准备投标书时，务必在所提供的商品的技术规格文件中，标明型号、商标名称、目录号。</w:t>
      </w:r>
    </w:p>
    <w:p w14:paraId="60AEDF95">
      <w:pPr>
        <w:spacing w:line="360" w:lineRule="auto"/>
        <w:ind w:left="554" w:hanging="554" w:hangingChars="231"/>
        <w:rPr>
          <w:rFonts w:ascii="宋体" w:hAnsi="宋体"/>
          <w:color w:val="000000"/>
          <w:sz w:val="24"/>
        </w:rPr>
      </w:pPr>
      <w:r>
        <w:rPr>
          <w:rFonts w:hint="eastAsia" w:ascii="宋体" w:hAnsi="宋体"/>
          <w:color w:val="000000"/>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58090A5C">
      <w:pPr>
        <w:spacing w:line="360" w:lineRule="auto"/>
        <w:ind w:left="554" w:hanging="554" w:hangingChars="231"/>
        <w:rPr>
          <w:rFonts w:ascii="宋体"/>
          <w:color w:val="000000"/>
          <w:sz w:val="24"/>
        </w:rPr>
      </w:pPr>
      <w:r>
        <w:rPr>
          <w:rFonts w:hint="eastAsia" w:ascii="宋体" w:hAnsi="宋体"/>
          <w:color w:val="000000"/>
          <w:sz w:val="24"/>
        </w:rPr>
        <w:t xml:space="preserve">1.3  </w:t>
      </w:r>
      <w:r>
        <w:rPr>
          <w:rFonts w:hint="eastAsia"/>
          <w:color w:val="000000"/>
          <w:sz w:val="24"/>
        </w:rPr>
        <w:t>投标人提供的</w:t>
      </w:r>
      <w:r>
        <w:rPr>
          <w:rFonts w:hint="eastAsia" w:ascii="宋体"/>
          <w:color w:val="000000"/>
          <w:sz w:val="24"/>
        </w:rPr>
        <w:t>产品</w:t>
      </w:r>
      <w:r>
        <w:rPr>
          <w:rFonts w:hint="eastAsia"/>
          <w:color w:val="000000"/>
          <w:sz w:val="24"/>
        </w:rPr>
        <w:t>样本，必须是“原件”而非复印件，</w:t>
      </w:r>
      <w:r>
        <w:rPr>
          <w:rFonts w:hint="eastAsia" w:ascii="宋体"/>
          <w:color w:val="000000"/>
          <w:sz w:val="24"/>
        </w:rPr>
        <w:t>图表、简图、电路图以及印刷电路板图等都应</w:t>
      </w:r>
      <w:r>
        <w:rPr>
          <w:rFonts w:hint="eastAsia"/>
          <w:color w:val="000000"/>
          <w:sz w:val="24"/>
        </w:rPr>
        <w:t>清晰易读。买方有权</w:t>
      </w:r>
      <w:r>
        <w:rPr>
          <w:rFonts w:hint="eastAsia" w:ascii="宋体"/>
          <w:color w:val="000000"/>
          <w:sz w:val="24"/>
        </w:rPr>
        <w:t>不付任何附加费用</w:t>
      </w:r>
      <w:r>
        <w:rPr>
          <w:rFonts w:hint="eastAsia"/>
          <w:color w:val="000000"/>
          <w:sz w:val="24"/>
        </w:rPr>
        <w:t>复制这些资料</w:t>
      </w:r>
      <w:r>
        <w:rPr>
          <w:rFonts w:hint="eastAsia" w:ascii="宋体"/>
          <w:color w:val="000000"/>
          <w:sz w:val="24"/>
        </w:rPr>
        <w:t>以供参考。</w:t>
      </w:r>
    </w:p>
    <w:p w14:paraId="5E1EF1CE">
      <w:pPr>
        <w:spacing w:line="360" w:lineRule="auto"/>
        <w:ind w:left="554" w:hanging="554" w:hangingChars="231"/>
        <w:rPr>
          <w:rFonts w:ascii="宋体"/>
          <w:color w:val="000000"/>
          <w:sz w:val="24"/>
        </w:rPr>
      </w:pPr>
      <w:r>
        <w:rPr>
          <w:rFonts w:hint="eastAsia" w:ascii="宋体"/>
          <w:color w:val="000000"/>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5E19185D">
      <w:pPr>
        <w:adjustRightInd w:val="0"/>
        <w:snapToGrid w:val="0"/>
        <w:spacing w:line="360" w:lineRule="auto"/>
        <w:rPr>
          <w:rFonts w:ascii="宋体" w:hAnsi="宋体"/>
          <w:b/>
          <w:color w:val="000000"/>
          <w:sz w:val="28"/>
          <w:szCs w:val="28"/>
        </w:rPr>
      </w:pPr>
      <w:r>
        <w:rPr>
          <w:rFonts w:hint="eastAsia" w:ascii="宋体" w:hAnsi="宋体"/>
          <w:b/>
          <w:color w:val="000000"/>
          <w:sz w:val="28"/>
          <w:szCs w:val="28"/>
        </w:rPr>
        <w:t>2、评标标准</w:t>
      </w:r>
    </w:p>
    <w:p w14:paraId="3C8D3866">
      <w:pPr>
        <w:spacing w:line="360" w:lineRule="auto"/>
        <w:ind w:left="554" w:hanging="554" w:hangingChars="231"/>
        <w:rPr>
          <w:rFonts w:ascii="宋体"/>
          <w:color w:val="000000"/>
          <w:sz w:val="24"/>
        </w:rPr>
      </w:pPr>
      <w:r>
        <w:rPr>
          <w:rFonts w:ascii="宋体" w:hAnsi="宋体"/>
          <w:color w:val="000000"/>
          <w:sz w:val="24"/>
        </w:rPr>
        <w:t>2.</w:t>
      </w:r>
      <w:r>
        <w:rPr>
          <w:rFonts w:hint="eastAsia" w:ascii="宋体" w:hAnsi="宋体"/>
          <w:color w:val="000000"/>
          <w:sz w:val="24"/>
        </w:rPr>
        <w:t xml:space="preserve">1  </w:t>
      </w:r>
      <w:r>
        <w:rPr>
          <w:rFonts w:hint="eastAsia"/>
          <w:color w:val="000000"/>
          <w:sz w:val="24"/>
        </w:rPr>
        <w:t>除招标文件中指定的附件和专用工具外，</w:t>
      </w:r>
      <w:r>
        <w:rPr>
          <w:rFonts w:hint="eastAsia" w:ascii="宋体"/>
          <w:color w:val="000000"/>
          <w:sz w:val="24"/>
        </w:rPr>
        <w:t>投标人应提供仪器设备的正常运行和常规保养所需的全套标准附件、专用工具</w:t>
      </w:r>
      <w:r>
        <w:rPr>
          <w:rFonts w:hint="eastAsia"/>
          <w:color w:val="000000"/>
          <w:sz w:val="24"/>
        </w:rPr>
        <w:t>和消耗品</w:t>
      </w:r>
      <w:r>
        <w:rPr>
          <w:rFonts w:hint="eastAsia" w:ascii="宋体"/>
          <w:color w:val="000000"/>
          <w:sz w:val="24"/>
        </w:rPr>
        <w:t>。投标人在投标书中需列出这些附件和工具的数量和单价的清单，这些附件和工具的报价的总值需计入投标价中。</w:t>
      </w:r>
    </w:p>
    <w:p w14:paraId="03896DB1">
      <w:pPr>
        <w:spacing w:line="360" w:lineRule="auto"/>
        <w:ind w:left="554" w:hanging="554" w:hangingChars="231"/>
        <w:rPr>
          <w:color w:val="000000"/>
          <w:sz w:val="24"/>
        </w:rPr>
      </w:pPr>
      <w:r>
        <w:rPr>
          <w:rFonts w:hint="eastAsia" w:ascii="宋体" w:hAnsi="宋体"/>
          <w:color w:val="000000"/>
          <w:sz w:val="24"/>
        </w:rPr>
        <w:t xml:space="preserve">2.2  </w:t>
      </w:r>
      <w:r>
        <w:rPr>
          <w:rFonts w:hint="eastAsia"/>
          <w:color w:val="000000"/>
          <w:sz w:val="24"/>
        </w:rPr>
        <w:t>对于标书</w:t>
      </w:r>
      <w:r>
        <w:rPr>
          <w:rFonts w:hint="eastAsia" w:ascii="宋体"/>
          <w:color w:val="000000"/>
          <w:sz w:val="24"/>
        </w:rPr>
        <w:t>技术规范中已列</w:t>
      </w:r>
      <w:r>
        <w:rPr>
          <w:rFonts w:hint="eastAsia"/>
          <w:color w:val="000000"/>
          <w:sz w:val="24"/>
        </w:rPr>
        <w:t>出的作为查询选件的附件、零配件、专用工具和消耗品，投标书中</w:t>
      </w:r>
      <w:r>
        <w:rPr>
          <w:rFonts w:hint="eastAsia" w:ascii="宋体"/>
          <w:color w:val="000000"/>
          <w:sz w:val="24"/>
        </w:rPr>
        <w:t>应列明其数量、单价、总价供买方参考。投标人也可推荐买方没有要求的附件或专用工具作为选件，并列明其数量、单价、总价供买方参考。选件价格不计入评标价中。</w:t>
      </w:r>
    </w:p>
    <w:p w14:paraId="2ECA9517">
      <w:pPr>
        <w:spacing w:line="360" w:lineRule="auto"/>
        <w:ind w:left="554" w:hanging="554" w:hangingChars="231"/>
        <w:rPr>
          <w:rFonts w:ascii="宋体" w:hAnsi="宋体"/>
          <w:color w:val="000000"/>
          <w:sz w:val="24"/>
        </w:rPr>
      </w:pPr>
      <w:r>
        <w:rPr>
          <w:rFonts w:hint="eastAsia" w:ascii="宋体" w:hAnsi="宋体"/>
          <w:color w:val="000000"/>
          <w:sz w:val="24"/>
        </w:rPr>
        <w:t>2.3  为便于用户进行接收仪器的准备工作，卖方应在合同生效后</w:t>
      </w:r>
      <w:r>
        <w:rPr>
          <w:rFonts w:hint="eastAsia" w:ascii="宋体" w:hAnsi="宋体"/>
          <w:b/>
          <w:color w:val="000000"/>
          <w:sz w:val="24"/>
        </w:rPr>
        <w:t>60</w:t>
      </w:r>
      <w:r>
        <w:rPr>
          <w:rFonts w:hint="eastAsia" w:ascii="宋体" w:hAnsi="宋体"/>
          <w:color w:val="000000"/>
          <w:sz w:val="24"/>
        </w:rPr>
        <w:t>天内向用户提供一套完整的使用说明书、操作手册、维修及安装说明等文件。另一套完整上述资料应在交货时随货包装提供给用户，这些费用应计入投标价中。</w:t>
      </w:r>
    </w:p>
    <w:p w14:paraId="1B79F885">
      <w:pPr>
        <w:spacing w:line="360" w:lineRule="auto"/>
        <w:ind w:left="554" w:hanging="554" w:hangingChars="231"/>
        <w:rPr>
          <w:rFonts w:ascii="宋体" w:hAnsi="宋体"/>
          <w:color w:val="000000"/>
          <w:sz w:val="24"/>
        </w:rPr>
      </w:pPr>
      <w:r>
        <w:rPr>
          <w:rFonts w:hint="eastAsia" w:ascii="宋体" w:hAnsi="宋体"/>
          <w:color w:val="000000"/>
          <w:sz w:val="24"/>
        </w:rPr>
        <w:t>2</w:t>
      </w:r>
      <w:r>
        <w:rPr>
          <w:rFonts w:ascii="宋体" w:hAnsi="宋体"/>
          <w:color w:val="000000"/>
          <w:sz w:val="24"/>
        </w:rPr>
        <w:t>.</w:t>
      </w:r>
      <w:r>
        <w:rPr>
          <w:rFonts w:hint="eastAsia" w:ascii="宋体" w:hAnsi="宋体"/>
          <w:color w:val="000000"/>
          <w:sz w:val="24"/>
        </w:rPr>
        <w:t>4</w:t>
      </w:r>
      <w:r>
        <w:rPr>
          <w:rFonts w:ascii="宋体" w:hAnsi="宋体"/>
          <w:color w:val="000000"/>
          <w:sz w:val="24"/>
        </w:rPr>
        <w:t xml:space="preserve"> </w:t>
      </w:r>
      <w:r>
        <w:rPr>
          <w:rFonts w:hint="eastAsia" w:ascii="宋体" w:hAnsi="宋体"/>
          <w:color w:val="000000"/>
          <w:sz w:val="24"/>
        </w:rPr>
        <w:t xml:space="preserve"> 关于设备的安装调试，如果有必要的安装准备条件，卖方应在合同生效后一个月内向买方提出详细的要求或计划。安装调试的费用应计入投标价中，并应单独列出，供评标使用。</w:t>
      </w:r>
    </w:p>
    <w:p w14:paraId="61824492">
      <w:pPr>
        <w:spacing w:line="360" w:lineRule="auto"/>
        <w:ind w:left="554" w:hanging="554" w:hangingChars="231"/>
        <w:rPr>
          <w:rFonts w:ascii="宋体" w:hAnsi="宋体"/>
          <w:color w:val="000000"/>
          <w:sz w:val="24"/>
        </w:rPr>
      </w:pPr>
      <w:r>
        <w:rPr>
          <w:rFonts w:ascii="宋体" w:hAnsi="宋体"/>
          <w:color w:val="000000"/>
          <w:sz w:val="24"/>
        </w:rPr>
        <w:t>2.</w:t>
      </w:r>
      <w:r>
        <w:rPr>
          <w:rFonts w:hint="eastAsia" w:ascii="宋体" w:hAnsi="宋体"/>
          <w:color w:val="000000"/>
          <w:sz w:val="24"/>
        </w:rPr>
        <w:t>5  制造厂家提供的培训指的是涉及货物的基本原理、操作使用和保养维修等有关内容的培训。培训教员的培训费、旅费、食宿费等费用和培训场地费及培训资料费均应由卖方支付。</w:t>
      </w:r>
    </w:p>
    <w:p w14:paraId="10BF5FF1">
      <w:pPr>
        <w:adjustRightInd w:val="0"/>
        <w:snapToGrid w:val="0"/>
        <w:spacing w:line="360" w:lineRule="auto"/>
        <w:rPr>
          <w:rFonts w:ascii="宋体" w:hAnsi="宋体"/>
          <w:b/>
          <w:color w:val="000000"/>
          <w:sz w:val="28"/>
          <w:szCs w:val="28"/>
        </w:rPr>
      </w:pPr>
      <w:r>
        <w:rPr>
          <w:rFonts w:hint="eastAsia" w:ascii="宋体" w:hAnsi="宋体"/>
          <w:b/>
          <w:color w:val="000000"/>
          <w:sz w:val="28"/>
          <w:szCs w:val="28"/>
        </w:rPr>
        <w:t>3、工作条件</w:t>
      </w:r>
    </w:p>
    <w:p w14:paraId="412D51F6">
      <w:pPr>
        <w:spacing w:after="312" w:afterLines="100" w:line="360" w:lineRule="auto"/>
        <w:rPr>
          <w:rFonts w:ascii="宋体" w:hAnsi="宋体"/>
          <w:color w:val="000000"/>
          <w:sz w:val="24"/>
        </w:rPr>
      </w:pPr>
      <w:r>
        <w:rPr>
          <w:rFonts w:hint="eastAsia" w:ascii="宋体" w:hAnsi="宋体"/>
          <w:color w:val="000000"/>
          <w:sz w:val="24"/>
        </w:rPr>
        <w:t>除非在技术规格中另有说明，所有仪器、设备和系统都应符合下列要求：</w:t>
      </w:r>
      <w:r>
        <w:rPr>
          <w:rFonts w:ascii="宋体" w:hAnsi="宋体"/>
          <w:color w:val="000000"/>
          <w:sz w:val="24"/>
        </w:rPr>
        <w:t xml:space="preserve"> </w:t>
      </w:r>
    </w:p>
    <w:p w14:paraId="49722393">
      <w:pPr>
        <w:spacing w:line="360" w:lineRule="auto"/>
        <w:ind w:left="554" w:hanging="554" w:hangingChars="231"/>
        <w:rPr>
          <w:rFonts w:ascii="宋体" w:hAnsi="宋体"/>
          <w:color w:val="000000"/>
          <w:sz w:val="24"/>
        </w:rPr>
      </w:pPr>
      <w:r>
        <w:rPr>
          <w:rFonts w:hint="eastAsia" w:ascii="宋体" w:hAnsi="宋体"/>
          <w:color w:val="000000"/>
          <w:sz w:val="24"/>
        </w:rPr>
        <w:t>3.1  适于在气温为摄氏</w:t>
      </w:r>
      <w:r>
        <w:rPr>
          <w:rFonts w:ascii="宋体" w:hAnsi="宋体"/>
          <w:b/>
          <w:color w:val="000000"/>
          <w:sz w:val="24"/>
        </w:rPr>
        <w:t>-40</w:t>
      </w:r>
      <w:r>
        <w:rPr>
          <w:rFonts w:hint="eastAsia" w:ascii="宋体" w:hAnsi="宋体"/>
          <w:b/>
          <w:color w:val="000000"/>
          <w:sz w:val="24"/>
        </w:rPr>
        <w:t>℃～＋</w:t>
      </w:r>
      <w:r>
        <w:rPr>
          <w:rFonts w:ascii="宋体" w:hAnsi="宋体"/>
          <w:b/>
          <w:color w:val="000000"/>
          <w:sz w:val="24"/>
        </w:rPr>
        <w:t>50</w:t>
      </w:r>
      <w:r>
        <w:rPr>
          <w:rFonts w:hint="eastAsia" w:ascii="宋体" w:hAnsi="宋体"/>
          <w:b/>
          <w:color w:val="000000"/>
          <w:sz w:val="24"/>
        </w:rPr>
        <w:t>℃</w:t>
      </w:r>
      <w:r>
        <w:rPr>
          <w:rFonts w:hint="eastAsia" w:ascii="宋体" w:hAnsi="宋体"/>
          <w:color w:val="000000"/>
          <w:sz w:val="24"/>
        </w:rPr>
        <w:t>和相对湿度为</w:t>
      </w:r>
      <w:r>
        <w:rPr>
          <w:rFonts w:ascii="宋体" w:hAnsi="宋体"/>
          <w:b/>
          <w:color w:val="000000"/>
          <w:sz w:val="24"/>
        </w:rPr>
        <w:t>90</w:t>
      </w:r>
      <w:r>
        <w:rPr>
          <w:rFonts w:hint="eastAsia" w:ascii="宋体" w:hAnsi="宋体"/>
          <w:b/>
          <w:color w:val="000000"/>
          <w:sz w:val="24"/>
        </w:rPr>
        <w:t>％</w:t>
      </w:r>
      <w:r>
        <w:rPr>
          <w:rFonts w:hint="eastAsia" w:ascii="宋体" w:hAnsi="宋体"/>
          <w:color w:val="000000"/>
          <w:sz w:val="24"/>
        </w:rPr>
        <w:t>的环境条件下运输和贮存。</w:t>
      </w:r>
    </w:p>
    <w:p w14:paraId="412D9EA4">
      <w:pPr>
        <w:spacing w:line="360" w:lineRule="auto"/>
        <w:ind w:left="554" w:hanging="554" w:hangingChars="231"/>
        <w:rPr>
          <w:rFonts w:ascii="宋体" w:hAnsi="宋体"/>
          <w:color w:val="000000"/>
          <w:sz w:val="24"/>
        </w:rPr>
      </w:pPr>
      <w:r>
        <w:rPr>
          <w:rFonts w:hint="eastAsia" w:ascii="宋体" w:hAnsi="宋体"/>
          <w:color w:val="000000"/>
          <w:sz w:val="24"/>
        </w:rPr>
        <w:t>3.2  适于在电源</w:t>
      </w:r>
      <w:r>
        <w:rPr>
          <w:rFonts w:ascii="宋体" w:hAnsi="宋体"/>
          <w:b/>
          <w:color w:val="000000"/>
          <w:sz w:val="24"/>
        </w:rPr>
        <w:t>220V</w:t>
      </w:r>
      <w:r>
        <w:rPr>
          <w:rFonts w:hint="eastAsia" w:ascii="宋体" w:hAnsi="宋体"/>
          <w:b/>
          <w:color w:val="000000"/>
          <w:sz w:val="24"/>
        </w:rPr>
        <w:t>（</w:t>
      </w:r>
      <w:r>
        <w:rPr>
          <w:rFonts w:ascii="宋体" w:hAnsi="宋体"/>
          <w:b/>
          <w:color w:val="000000"/>
          <w:sz w:val="24"/>
        </w:rPr>
        <w:sym w:font="Symbol" w:char="F0B1"/>
      </w:r>
      <w:r>
        <w:rPr>
          <w:rFonts w:ascii="宋体" w:hAnsi="宋体"/>
          <w:b/>
          <w:color w:val="000000"/>
          <w:sz w:val="24"/>
        </w:rPr>
        <w:t>10</w:t>
      </w:r>
      <w:r>
        <w:rPr>
          <w:rFonts w:hint="eastAsia" w:ascii="宋体" w:hAnsi="宋体"/>
          <w:b/>
          <w:color w:val="000000"/>
          <w:sz w:val="24"/>
        </w:rPr>
        <w:t>％）</w:t>
      </w:r>
      <w:r>
        <w:rPr>
          <w:rFonts w:ascii="宋体" w:hAnsi="宋体"/>
          <w:b/>
          <w:color w:val="000000"/>
          <w:sz w:val="24"/>
        </w:rPr>
        <w:t>/50Hz</w:t>
      </w:r>
      <w:r>
        <w:rPr>
          <w:rFonts w:hint="eastAsia" w:ascii="宋体" w:hAnsi="宋体"/>
          <w:color w:val="000000"/>
          <w:sz w:val="24"/>
        </w:rPr>
        <w:t>、气温摄氏</w:t>
      </w:r>
      <w:r>
        <w:rPr>
          <w:rFonts w:hint="eastAsia" w:ascii="宋体" w:hAnsi="宋体"/>
          <w:b/>
          <w:color w:val="000000"/>
          <w:sz w:val="24"/>
        </w:rPr>
        <w:t>+1</w:t>
      </w:r>
      <w:r>
        <w:rPr>
          <w:rFonts w:ascii="宋体" w:hAnsi="宋体"/>
          <w:b/>
          <w:color w:val="000000"/>
          <w:sz w:val="24"/>
        </w:rPr>
        <w:t>5</w:t>
      </w:r>
      <w:r>
        <w:rPr>
          <w:rFonts w:hint="eastAsia" w:ascii="宋体" w:hAnsi="宋体"/>
          <w:b/>
          <w:color w:val="000000"/>
          <w:sz w:val="24"/>
        </w:rPr>
        <w:t>℃～＋3</w:t>
      </w:r>
      <w:r>
        <w:rPr>
          <w:rFonts w:ascii="宋体" w:hAnsi="宋体"/>
          <w:b/>
          <w:color w:val="000000"/>
          <w:sz w:val="24"/>
        </w:rPr>
        <w:t>0</w:t>
      </w:r>
      <w:r>
        <w:rPr>
          <w:rFonts w:hint="eastAsia" w:ascii="宋体" w:hAnsi="宋体"/>
          <w:b/>
          <w:color w:val="000000"/>
          <w:sz w:val="24"/>
        </w:rPr>
        <w:t>℃</w:t>
      </w:r>
      <w:r>
        <w:rPr>
          <w:rFonts w:hint="eastAsia" w:ascii="宋体" w:hAnsi="宋体"/>
          <w:color w:val="000000"/>
          <w:sz w:val="24"/>
        </w:rPr>
        <w:t>和相对湿度小于</w:t>
      </w:r>
      <w:r>
        <w:rPr>
          <w:rFonts w:ascii="宋体" w:hAnsi="宋体"/>
          <w:b/>
          <w:color w:val="000000"/>
          <w:sz w:val="24"/>
        </w:rPr>
        <w:t>8</w:t>
      </w:r>
      <w:r>
        <w:rPr>
          <w:rFonts w:hint="eastAsia" w:ascii="宋体" w:hAnsi="宋体"/>
          <w:b/>
          <w:color w:val="000000"/>
          <w:sz w:val="24"/>
        </w:rPr>
        <w:t>0％</w:t>
      </w:r>
      <w:r>
        <w:rPr>
          <w:rFonts w:hint="eastAsia" w:ascii="宋体" w:hAnsi="宋体"/>
          <w:color w:val="000000"/>
          <w:sz w:val="24"/>
        </w:rPr>
        <w:t>的环境条件下运行。</w:t>
      </w:r>
      <w:r>
        <w:rPr>
          <w:rFonts w:hint="eastAsia" w:ascii="宋体" w:hAnsi="宋体"/>
          <w:b/>
          <w:color w:val="000000"/>
          <w:sz w:val="24"/>
        </w:rPr>
        <w:t>能够连续正常工作。</w:t>
      </w:r>
    </w:p>
    <w:p w14:paraId="6B35AD90">
      <w:pPr>
        <w:spacing w:line="360" w:lineRule="auto"/>
        <w:ind w:left="554" w:hanging="554" w:hangingChars="231"/>
        <w:rPr>
          <w:rFonts w:ascii="宋体" w:hAnsi="宋体"/>
          <w:color w:val="000000"/>
          <w:sz w:val="24"/>
        </w:rPr>
      </w:pPr>
      <w:r>
        <w:rPr>
          <w:rFonts w:hint="eastAsia" w:ascii="宋体" w:hAnsi="宋体"/>
          <w:color w:val="000000"/>
          <w:sz w:val="24"/>
        </w:rPr>
        <w:t>3.3  配置符合中国有关标准要求的插头，如果没有这样的插头，则需</w:t>
      </w:r>
      <w:r>
        <w:rPr>
          <w:rFonts w:hint="eastAsia" w:ascii="宋体"/>
          <w:color w:val="000000"/>
          <w:sz w:val="24"/>
        </w:rPr>
        <w:t>提供适当的转</w:t>
      </w:r>
      <w:r>
        <w:rPr>
          <w:rFonts w:hint="eastAsia" w:ascii="宋体" w:hAnsi="宋体"/>
          <w:color w:val="000000"/>
          <w:sz w:val="24"/>
        </w:rPr>
        <w:t>换插座。</w:t>
      </w:r>
    </w:p>
    <w:p w14:paraId="75E9E3A0">
      <w:pPr>
        <w:spacing w:line="360" w:lineRule="auto"/>
        <w:ind w:left="554" w:hanging="554" w:hangingChars="231"/>
        <w:rPr>
          <w:rFonts w:ascii="宋体" w:hAnsi="宋体"/>
          <w:color w:val="000000"/>
          <w:sz w:val="24"/>
        </w:rPr>
      </w:pPr>
      <w:r>
        <w:rPr>
          <w:rFonts w:hint="eastAsia" w:ascii="宋体" w:hAnsi="宋体"/>
          <w:color w:val="000000"/>
          <w:sz w:val="24"/>
        </w:rPr>
        <w:t>3.4  如产品达不到上述要求，投标人应注明其偏差。如仪器设备需要特殊工作条件（如水、电源、磁场强度、温度、湿度、动强度等）投标人应在投标书中加以说明。</w:t>
      </w:r>
    </w:p>
    <w:p w14:paraId="0EDF277F">
      <w:pPr>
        <w:rPr>
          <w:rFonts w:eastAsia="黑体"/>
          <w:b/>
          <w:bCs/>
          <w:color w:val="000000"/>
          <w:kern w:val="44"/>
          <w:sz w:val="24"/>
        </w:rPr>
      </w:pPr>
    </w:p>
    <w:p w14:paraId="645452FE">
      <w:pPr>
        <w:adjustRightInd w:val="0"/>
        <w:snapToGrid w:val="0"/>
        <w:spacing w:line="360" w:lineRule="auto"/>
        <w:rPr>
          <w:rFonts w:ascii="宋体" w:hAnsi="宋体"/>
          <w:b/>
          <w:color w:val="000000"/>
          <w:sz w:val="28"/>
          <w:szCs w:val="28"/>
        </w:rPr>
      </w:pPr>
      <w:r>
        <w:rPr>
          <w:rFonts w:hint="eastAsia" w:ascii="宋体" w:hAnsi="宋体"/>
          <w:b/>
          <w:color w:val="000000"/>
          <w:sz w:val="28"/>
          <w:szCs w:val="28"/>
        </w:rPr>
        <w:t>4、验收标准</w:t>
      </w:r>
    </w:p>
    <w:p w14:paraId="4E0B9B89">
      <w:pPr>
        <w:spacing w:after="312" w:afterLines="100" w:line="360" w:lineRule="auto"/>
        <w:rPr>
          <w:rFonts w:ascii="宋体" w:hAnsi="宋体"/>
          <w:color w:val="000000"/>
          <w:sz w:val="24"/>
        </w:rPr>
      </w:pPr>
      <w:r>
        <w:rPr>
          <w:rFonts w:hint="eastAsia" w:ascii="宋体" w:hAnsi="宋体"/>
          <w:color w:val="000000"/>
          <w:sz w:val="24"/>
        </w:rPr>
        <w:t>除非另有说明，所有仪器、设备和系统按下列要求进行验收：</w:t>
      </w:r>
      <w:r>
        <w:rPr>
          <w:rFonts w:ascii="宋体" w:hAnsi="宋体"/>
          <w:color w:val="000000"/>
          <w:sz w:val="24"/>
        </w:rPr>
        <w:t xml:space="preserve"> </w:t>
      </w:r>
    </w:p>
    <w:p w14:paraId="1DAC0749">
      <w:pPr>
        <w:spacing w:line="360" w:lineRule="auto"/>
        <w:ind w:left="554" w:hanging="554" w:hangingChars="231"/>
        <w:rPr>
          <w:rFonts w:ascii="宋体" w:hAnsi="宋体"/>
          <w:color w:val="000000"/>
          <w:sz w:val="24"/>
        </w:rPr>
      </w:pPr>
      <w:r>
        <w:rPr>
          <w:rFonts w:hint="eastAsia" w:ascii="宋体" w:hAnsi="宋体"/>
          <w:color w:val="000000"/>
          <w:sz w:val="24"/>
        </w:rPr>
        <w:t>4.1  仪器设备运抵安装现场后，买方将与卖方共同开箱验收</w:t>
      </w:r>
      <w:r>
        <w:rPr>
          <w:rFonts w:ascii="宋体" w:hAnsi="宋体"/>
          <w:color w:val="000000"/>
          <w:sz w:val="24"/>
        </w:rPr>
        <w:t xml:space="preserve">, </w:t>
      </w:r>
      <w:r>
        <w:rPr>
          <w:rFonts w:hint="eastAsia" w:ascii="宋体" w:hAnsi="宋体"/>
          <w:color w:val="000000"/>
          <w:sz w:val="24"/>
        </w:rPr>
        <w:t>如卖方届时不派人来</w:t>
      </w:r>
      <w:r>
        <w:rPr>
          <w:rFonts w:ascii="宋体" w:hAnsi="宋体"/>
          <w:color w:val="000000"/>
          <w:sz w:val="24"/>
        </w:rPr>
        <w:t xml:space="preserve">, </w:t>
      </w:r>
      <w:r>
        <w:rPr>
          <w:rFonts w:hint="eastAsia" w:ascii="宋体" w:hAnsi="宋体"/>
          <w:color w:val="000000"/>
          <w:sz w:val="24"/>
        </w:rPr>
        <w:t>则验收结果应以买方的验收报告为最终验收结果。验收时发现短缺、破损</w:t>
      </w:r>
      <w:r>
        <w:rPr>
          <w:rFonts w:ascii="宋体" w:hAnsi="宋体"/>
          <w:color w:val="000000"/>
          <w:sz w:val="24"/>
        </w:rPr>
        <w:t xml:space="preserve">, </w:t>
      </w:r>
      <w:r>
        <w:rPr>
          <w:rFonts w:hint="eastAsia" w:ascii="宋体" w:hAnsi="宋体"/>
          <w:color w:val="000000"/>
          <w:sz w:val="24"/>
        </w:rPr>
        <w:t>买方有权要求卖方负责更换。</w:t>
      </w:r>
    </w:p>
    <w:p w14:paraId="627D588A">
      <w:pPr>
        <w:spacing w:line="360" w:lineRule="auto"/>
        <w:ind w:left="554" w:hanging="554" w:hangingChars="231"/>
        <w:rPr>
          <w:rFonts w:ascii="宋体" w:hAnsi="宋体"/>
          <w:color w:val="000000"/>
          <w:sz w:val="24"/>
        </w:rPr>
      </w:pPr>
      <w:r>
        <w:rPr>
          <w:rFonts w:hint="eastAsia" w:ascii="宋体" w:hAnsi="宋体"/>
          <w:color w:val="000000"/>
          <w:sz w:val="24"/>
        </w:rPr>
        <w:t xml:space="preserve">4.2  </w:t>
      </w:r>
      <w:r>
        <w:rPr>
          <w:rFonts w:hint="eastAsia"/>
          <w:color w:val="000000"/>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3BB3FB0A">
      <w:pPr>
        <w:spacing w:line="360" w:lineRule="auto"/>
        <w:ind w:left="554" w:hanging="554" w:hangingChars="231"/>
        <w:rPr>
          <w:rFonts w:ascii="宋体" w:hAnsi="宋体"/>
          <w:color w:val="000000"/>
          <w:sz w:val="24"/>
        </w:rPr>
      </w:pPr>
      <w:r>
        <w:rPr>
          <w:rFonts w:hint="eastAsia" w:ascii="宋体" w:hAnsi="宋体"/>
          <w:color w:val="000000"/>
          <w:sz w:val="24"/>
        </w:rPr>
        <w:t xml:space="preserve">4.3  </w:t>
      </w:r>
      <w:r>
        <w:rPr>
          <w:rFonts w:ascii="宋体" w:hAnsi="宋体"/>
          <w:color w:val="000000"/>
          <w:sz w:val="24"/>
        </w:rPr>
        <w:t>验收由采购人、中标人及相关人员依国家有关标准、合同及有关附件要求进行，验收完毕由采购人及中标人在验收报告上签名。</w:t>
      </w:r>
    </w:p>
    <w:p w14:paraId="6B7742D0">
      <w:pPr>
        <w:pStyle w:val="2"/>
        <w:spacing w:line="360" w:lineRule="auto"/>
        <w:ind w:left="410" w:hanging="410" w:hangingChars="170"/>
        <w:rPr>
          <w:rFonts w:hAnsi="宋体"/>
          <w:b/>
          <w:color w:val="000000"/>
          <w:sz w:val="24"/>
          <w:szCs w:val="24"/>
        </w:rPr>
      </w:pPr>
    </w:p>
    <w:p w14:paraId="4235F893">
      <w:pPr>
        <w:adjustRightInd w:val="0"/>
        <w:snapToGrid w:val="0"/>
        <w:spacing w:line="360" w:lineRule="auto"/>
        <w:rPr>
          <w:rFonts w:hAnsi="宋体"/>
          <w:b/>
          <w:color w:val="000000"/>
          <w:sz w:val="24"/>
        </w:rPr>
      </w:pPr>
      <w:r>
        <w:rPr>
          <w:rFonts w:hint="eastAsia"/>
          <w:b/>
          <w:bCs/>
          <w:color w:val="000000"/>
          <w:sz w:val="24"/>
        </w:rPr>
        <w:t>5、本采购需求书中标注“★”号技术条款的为实质性要求，不满足其投标将视为无效投标被拒绝。</w:t>
      </w:r>
    </w:p>
    <w:p w14:paraId="57117DF9">
      <w:pPr>
        <w:adjustRightInd w:val="0"/>
        <w:snapToGrid w:val="0"/>
        <w:spacing w:line="360" w:lineRule="auto"/>
        <w:rPr>
          <w:rFonts w:ascii="宋体" w:hAnsi="宋体"/>
          <w:b/>
          <w:color w:val="000000"/>
          <w:sz w:val="24"/>
        </w:rPr>
      </w:pPr>
    </w:p>
    <w:p w14:paraId="23CC282D">
      <w:pPr>
        <w:adjustRightInd w:val="0"/>
        <w:snapToGrid w:val="0"/>
        <w:spacing w:line="360" w:lineRule="auto"/>
        <w:rPr>
          <w:rFonts w:ascii="宋体" w:hAnsi="宋体"/>
          <w:b/>
          <w:color w:val="000000"/>
          <w:sz w:val="24"/>
        </w:rPr>
      </w:pPr>
      <w:r>
        <w:rPr>
          <w:rFonts w:hint="eastAsia" w:ascii="宋体" w:hAnsi="宋体"/>
          <w:b/>
          <w:color w:val="000000"/>
          <w:sz w:val="24"/>
        </w:rPr>
        <w:t>6、如在具体规格要求中有本总则不一致之处，以具体规格中的要求为准。</w:t>
      </w:r>
    </w:p>
    <w:p w14:paraId="1A3102CE">
      <w:pPr>
        <w:adjustRightInd w:val="0"/>
        <w:snapToGrid w:val="0"/>
        <w:spacing w:line="360" w:lineRule="auto"/>
        <w:rPr>
          <w:rFonts w:ascii="宋体" w:hAnsi="宋体"/>
          <w:b/>
          <w:color w:val="000000"/>
          <w:sz w:val="28"/>
          <w:szCs w:val="28"/>
        </w:rPr>
      </w:pPr>
      <w:r>
        <w:rPr>
          <w:rFonts w:ascii="宋体" w:hAnsi="宋体"/>
          <w:b/>
          <w:color w:val="000000"/>
          <w:sz w:val="28"/>
        </w:rPr>
        <w:br w:type="page"/>
      </w:r>
      <w:r>
        <w:rPr>
          <w:rFonts w:hint="eastAsia" w:ascii="宋体" w:hAnsi="宋体"/>
          <w:b/>
          <w:color w:val="000000"/>
          <w:sz w:val="28"/>
          <w:szCs w:val="28"/>
        </w:rPr>
        <w:t>二、具体规格要求</w:t>
      </w:r>
    </w:p>
    <w:p w14:paraId="23EA8F66">
      <w:pPr>
        <w:jc w:val="center"/>
        <w:rPr>
          <w:b/>
          <w:color w:val="000000"/>
          <w:sz w:val="24"/>
        </w:rPr>
      </w:pPr>
      <w:r>
        <w:rPr>
          <w:rFonts w:hint="eastAsia"/>
          <w:b/>
          <w:color w:val="000000"/>
          <w:sz w:val="24"/>
        </w:rPr>
        <w:t>多维形态电感耦合等离子体串联质谱仪联用系统</w:t>
      </w:r>
    </w:p>
    <w:p w14:paraId="1C683A37">
      <w:pPr>
        <w:rPr>
          <w:b/>
          <w:color w:val="000000"/>
          <w:sz w:val="24"/>
        </w:rPr>
      </w:pPr>
    </w:p>
    <w:p w14:paraId="3142AC89">
      <w:pPr>
        <w:rPr>
          <w:b/>
          <w:color w:val="000000"/>
          <w:sz w:val="24"/>
        </w:rPr>
      </w:pPr>
    </w:p>
    <w:p w14:paraId="48EF00E2">
      <w:pPr>
        <w:numPr>
          <w:ilvl w:val="0"/>
          <w:numId w:val="1"/>
        </w:numPr>
        <w:rPr>
          <w:b/>
          <w:color w:val="000000"/>
          <w:sz w:val="24"/>
        </w:rPr>
      </w:pPr>
      <w:r>
        <w:rPr>
          <w:rFonts w:hint="eastAsia"/>
          <w:b/>
          <w:color w:val="000000"/>
          <w:sz w:val="24"/>
        </w:rPr>
        <w:t>技术要求：</w:t>
      </w:r>
    </w:p>
    <w:p w14:paraId="283B6DB1">
      <w:pPr>
        <w:rPr>
          <w:b/>
          <w:color w:val="000000"/>
          <w:sz w:val="24"/>
        </w:rPr>
      </w:pPr>
    </w:p>
    <w:p w14:paraId="02D83985">
      <w:pPr>
        <w:numPr>
          <w:ilvl w:val="0"/>
          <w:numId w:val="2"/>
        </w:numPr>
        <w:spacing w:line="360" w:lineRule="auto"/>
        <w:rPr>
          <w:b/>
          <w:color w:val="000000"/>
          <w:sz w:val="24"/>
        </w:rPr>
      </w:pPr>
      <w:r>
        <w:rPr>
          <w:rFonts w:hint="eastAsia"/>
          <w:b/>
          <w:color w:val="000000"/>
          <w:sz w:val="24"/>
        </w:rPr>
        <w:t>工作条件：</w:t>
      </w:r>
    </w:p>
    <w:p w14:paraId="12C044FD">
      <w:pPr>
        <w:spacing w:line="360" w:lineRule="auto"/>
        <w:rPr>
          <w:color w:val="000000"/>
          <w:sz w:val="24"/>
        </w:rPr>
      </w:pPr>
      <w:r>
        <w:rPr>
          <w:rFonts w:hint="eastAsia"/>
          <w:color w:val="000000"/>
          <w:sz w:val="24"/>
        </w:rPr>
        <w:t>1.1 工作电压：220 ± 5% V</w:t>
      </w:r>
    </w:p>
    <w:p w14:paraId="253EB836">
      <w:pPr>
        <w:spacing w:line="360" w:lineRule="auto"/>
        <w:rPr>
          <w:color w:val="000000"/>
          <w:sz w:val="24"/>
        </w:rPr>
      </w:pPr>
      <w:r>
        <w:rPr>
          <w:rFonts w:hint="eastAsia"/>
          <w:color w:val="000000"/>
          <w:sz w:val="24"/>
        </w:rPr>
        <w:t>1.2工作温度：15～30℃，＜2℃/h（最大变化：5℃）</w:t>
      </w:r>
    </w:p>
    <w:p w14:paraId="376887CD">
      <w:pPr>
        <w:spacing w:line="360" w:lineRule="auto"/>
        <w:rPr>
          <w:color w:val="000000"/>
          <w:sz w:val="24"/>
        </w:rPr>
      </w:pPr>
      <w:r>
        <w:rPr>
          <w:rFonts w:hint="eastAsia"/>
          <w:color w:val="000000"/>
          <w:sz w:val="24"/>
        </w:rPr>
        <w:t>1.3湿度：20～80％（无冷凝）</w:t>
      </w:r>
    </w:p>
    <w:p w14:paraId="1237A068">
      <w:pPr>
        <w:spacing w:line="360" w:lineRule="auto"/>
        <w:ind w:left="435" w:firstLine="240"/>
        <w:rPr>
          <w:color w:val="000000"/>
          <w:sz w:val="24"/>
        </w:rPr>
      </w:pPr>
    </w:p>
    <w:p w14:paraId="60137650">
      <w:pPr>
        <w:numPr>
          <w:ilvl w:val="0"/>
          <w:numId w:val="2"/>
        </w:numPr>
        <w:spacing w:line="360" w:lineRule="auto"/>
        <w:rPr>
          <w:b/>
          <w:color w:val="000000"/>
          <w:sz w:val="24"/>
        </w:rPr>
      </w:pPr>
      <w:r>
        <w:rPr>
          <w:rFonts w:hint="eastAsia"/>
          <w:b/>
          <w:color w:val="000000"/>
          <w:sz w:val="24"/>
        </w:rPr>
        <w:t>设备用途：</w:t>
      </w:r>
    </w:p>
    <w:p w14:paraId="61928C9F">
      <w:pPr>
        <w:spacing w:line="360" w:lineRule="auto"/>
        <w:ind w:firstLine="480" w:firstLineChars="200"/>
        <w:rPr>
          <w:color w:val="000000"/>
          <w:sz w:val="24"/>
        </w:rPr>
      </w:pPr>
      <w:r>
        <w:rPr>
          <w:rFonts w:hint="eastAsia"/>
          <w:color w:val="000000"/>
          <w:sz w:val="24"/>
        </w:rPr>
        <w:t>多维形态电感耦合等离子体串联质谱仪联用系统用途主要集中在以下几个方面：首先，该系统能够对不同环境介质和生物样品中的痕量金属元素进行高灵敏度、高准确度的检测。其次，它可用于建立金属纳米颗粒的单颗粒和单细胞表征方法，通过这种表征，可以深入了解金属纳米颗粒在生物体内的分布、迁移、转化、积累和消除规律。这对于评估金属纳米颗粒的生物安全性和潜在风险至关重要。此外，该系统还可通过与高效惰性液相色谱联用，开展多介质样品中金属多形态的灵敏检测，实现金属与生物大分子结合物的分离。这有助于揭示金属污染物的毒性效应及其分子机制，进一步阐明污染物与疾病之间的关联，为环境健康风险评估和疾病防治提供科学依据。总之，多维形态电感耦合等离子体串联质谱仪联用系统在环境监测、污染物迁移转化以及毒性机制研究等多个领域发挥着重要作用，为相关科学研究提供了强有力的技术支持。</w:t>
      </w:r>
    </w:p>
    <w:p w14:paraId="69FB8311">
      <w:pPr>
        <w:spacing w:line="360" w:lineRule="auto"/>
        <w:rPr>
          <w:b/>
          <w:color w:val="000000"/>
          <w:sz w:val="24"/>
        </w:rPr>
      </w:pPr>
    </w:p>
    <w:p w14:paraId="58FEC47A">
      <w:pPr>
        <w:numPr>
          <w:ilvl w:val="0"/>
          <w:numId w:val="2"/>
        </w:numPr>
        <w:spacing w:line="360" w:lineRule="auto"/>
        <w:rPr>
          <w:b/>
          <w:color w:val="000000"/>
          <w:sz w:val="24"/>
        </w:rPr>
      </w:pPr>
      <w:r>
        <w:rPr>
          <w:rFonts w:hint="eastAsia"/>
          <w:b/>
          <w:color w:val="000000"/>
          <w:sz w:val="24"/>
        </w:rPr>
        <w:t>技术规格：</w:t>
      </w:r>
    </w:p>
    <w:p w14:paraId="1DD6B19F">
      <w:pPr>
        <w:spacing w:line="360" w:lineRule="auto"/>
        <w:rPr>
          <w:color w:val="000000"/>
          <w:sz w:val="24"/>
        </w:rPr>
      </w:pPr>
      <w:r>
        <w:rPr>
          <w:rFonts w:hint="eastAsia"/>
          <w:color w:val="000000"/>
          <w:sz w:val="24"/>
        </w:rPr>
        <w:t>3.1电感耦合等离子体串联质谱部分</w:t>
      </w:r>
    </w:p>
    <w:p w14:paraId="5C82C881">
      <w:pPr>
        <w:spacing w:line="360" w:lineRule="auto"/>
        <w:ind w:firstLine="480" w:firstLineChars="200"/>
        <w:rPr>
          <w:color w:val="000000"/>
          <w:sz w:val="24"/>
        </w:rPr>
      </w:pPr>
      <w:r>
        <w:rPr>
          <w:rFonts w:hint="eastAsia"/>
          <w:color w:val="000000"/>
          <w:sz w:val="24"/>
        </w:rPr>
        <w:t>3.1.1雾化室: 具有高效半导体控温装置的石英雾化室；</w:t>
      </w:r>
    </w:p>
    <w:p w14:paraId="37AF776E">
      <w:pPr>
        <w:spacing w:line="360" w:lineRule="auto"/>
        <w:ind w:firstLine="480" w:firstLineChars="200"/>
        <w:rPr>
          <w:color w:val="000000"/>
          <w:sz w:val="24"/>
        </w:rPr>
      </w:pPr>
      <w:r>
        <w:rPr>
          <w:rFonts w:hint="eastAsia"/>
          <w:color w:val="000000"/>
          <w:sz w:val="24"/>
        </w:rPr>
        <w:t>★3.1.2离子源：数控式固态射频发生器，射频频率≤27.12 MHz，最高功率不小于1600W，可从软件中显示，并截图证明；</w:t>
      </w:r>
    </w:p>
    <w:p w14:paraId="4E9933F8">
      <w:pPr>
        <w:spacing w:line="360" w:lineRule="auto"/>
        <w:ind w:firstLine="480" w:firstLineChars="200"/>
        <w:rPr>
          <w:color w:val="000000"/>
          <w:sz w:val="24"/>
        </w:rPr>
      </w:pPr>
      <w:r>
        <w:rPr>
          <w:rFonts w:hint="eastAsia"/>
          <w:color w:val="000000"/>
          <w:sz w:val="24"/>
        </w:rPr>
        <w:t>3.1.3超高耐盐接口：配置气溶胶稀释系统，可直接分析25%高盐样品；</w:t>
      </w:r>
    </w:p>
    <w:p w14:paraId="6423A87B">
      <w:pPr>
        <w:spacing w:line="360" w:lineRule="auto"/>
        <w:ind w:firstLine="480" w:firstLineChars="200"/>
        <w:rPr>
          <w:color w:val="000000"/>
          <w:sz w:val="24"/>
        </w:rPr>
      </w:pPr>
      <w:r>
        <w:rPr>
          <w:rFonts w:hint="eastAsia"/>
          <w:color w:val="000000"/>
          <w:sz w:val="24"/>
        </w:rPr>
        <w:t>#3.1.4炬管可进行沿中心轴方向的采样深度调节，自动范围不小于5-15mm；</w:t>
      </w:r>
    </w:p>
    <w:p w14:paraId="2C8578DD">
      <w:pPr>
        <w:spacing w:line="360" w:lineRule="auto"/>
        <w:ind w:firstLine="480" w:firstLineChars="200"/>
        <w:rPr>
          <w:color w:val="000000"/>
          <w:sz w:val="24"/>
        </w:rPr>
      </w:pPr>
      <w:r>
        <w:rPr>
          <w:rFonts w:hint="eastAsia"/>
          <w:color w:val="000000"/>
          <w:sz w:val="24"/>
        </w:rPr>
        <w:t>3.1.5截取锥后碰撞池前具有离子偏转透镜，且在不卸真空情况下可进行拆卸和更换；</w:t>
      </w:r>
    </w:p>
    <w:p w14:paraId="5BDCB5B7">
      <w:pPr>
        <w:spacing w:line="360" w:lineRule="auto"/>
        <w:ind w:firstLine="480" w:firstLineChars="200"/>
        <w:rPr>
          <w:color w:val="000000"/>
          <w:sz w:val="24"/>
        </w:rPr>
      </w:pPr>
      <w:r>
        <w:rPr>
          <w:rFonts w:hint="eastAsia"/>
          <w:color w:val="000000"/>
          <w:sz w:val="24"/>
        </w:rPr>
        <w:t>3.1.6工作气体控制</w:t>
      </w:r>
      <w:r>
        <w:rPr>
          <w:rFonts w:hint="eastAsia"/>
          <w:color w:val="000000"/>
          <w:sz w:val="24"/>
          <w:lang w:eastAsia="zh-CN"/>
        </w:rPr>
        <w:t>：</w:t>
      </w:r>
      <w:r>
        <w:rPr>
          <w:rFonts w:hint="eastAsia"/>
          <w:color w:val="000000"/>
          <w:sz w:val="24"/>
        </w:rPr>
        <w:t>配置有可由仪器软件控制的高精度气体质量流量控制器控制各个工作气体，可计算机控制的质量流量控制气体流路8个；</w:t>
      </w:r>
    </w:p>
    <w:p w14:paraId="6E861F93">
      <w:pPr>
        <w:spacing w:line="360" w:lineRule="auto"/>
        <w:ind w:firstLine="480" w:firstLineChars="200"/>
        <w:rPr>
          <w:color w:val="000000"/>
          <w:sz w:val="24"/>
        </w:rPr>
      </w:pPr>
      <w:r>
        <w:rPr>
          <w:rFonts w:hint="eastAsia"/>
          <w:color w:val="000000"/>
          <w:sz w:val="24"/>
        </w:rPr>
        <w:t>#3.1.7四极杆Q1：在碰撞反应池前具有四极杆Q1，Q1质量分辨率≤0.3amu，且在这一质量分辨率下中质量数灵敏度≥500 Mcps/ppm；</w:t>
      </w:r>
    </w:p>
    <w:p w14:paraId="5F7B7EF3">
      <w:pPr>
        <w:spacing w:line="360" w:lineRule="auto"/>
        <w:ind w:firstLine="480" w:firstLineChars="200"/>
        <w:rPr>
          <w:color w:val="000000"/>
          <w:sz w:val="24"/>
        </w:rPr>
      </w:pPr>
      <w:r>
        <w:rPr>
          <w:rFonts w:hint="eastAsia"/>
          <w:color w:val="000000"/>
          <w:sz w:val="24"/>
        </w:rPr>
        <w:t>3.1.8四极杆Q1长度≥四极杆Q2，驱动射频≥2.8 MHz；</w:t>
      </w:r>
    </w:p>
    <w:p w14:paraId="79302DFB">
      <w:pPr>
        <w:spacing w:line="360" w:lineRule="auto"/>
        <w:ind w:firstLine="480" w:firstLineChars="200"/>
        <w:rPr>
          <w:color w:val="000000"/>
          <w:sz w:val="24"/>
        </w:rPr>
      </w:pPr>
      <w:r>
        <w:rPr>
          <w:rFonts w:hint="eastAsia"/>
          <w:color w:val="000000"/>
          <w:sz w:val="24"/>
        </w:rPr>
        <w:t>3.1.9四极杆Q2：在碰撞反应池之后具有四极杆Q2，Q2质量分辨率≤0.3amu，驱动射频≥2.8 MHz；</w:t>
      </w:r>
    </w:p>
    <w:p w14:paraId="4B4BC15C">
      <w:pPr>
        <w:spacing w:line="360" w:lineRule="auto"/>
        <w:ind w:firstLine="480" w:firstLineChars="200"/>
        <w:rPr>
          <w:color w:val="000000"/>
          <w:sz w:val="24"/>
        </w:rPr>
      </w:pPr>
      <w:r>
        <w:rPr>
          <w:rFonts w:hint="eastAsia"/>
          <w:color w:val="000000"/>
          <w:sz w:val="24"/>
        </w:rPr>
        <w:t>★3.1.10质量范围：Q1: 2 - 260 amu，Q2: 2-275</w:t>
      </w:r>
      <w:r>
        <w:rPr>
          <w:color w:val="000000"/>
          <w:sz w:val="24"/>
        </w:rPr>
        <w:t xml:space="preserve"> </w:t>
      </w:r>
      <w:r>
        <w:rPr>
          <w:rFonts w:hint="eastAsia"/>
          <w:color w:val="000000"/>
          <w:sz w:val="24"/>
        </w:rPr>
        <w:t>amu；</w:t>
      </w:r>
    </w:p>
    <w:p w14:paraId="3FF745F8">
      <w:pPr>
        <w:spacing w:line="360" w:lineRule="auto"/>
        <w:ind w:firstLine="480" w:firstLineChars="200"/>
        <w:rPr>
          <w:color w:val="000000"/>
          <w:sz w:val="24"/>
        </w:rPr>
      </w:pPr>
      <w:r>
        <w:rPr>
          <w:rFonts w:hint="eastAsia"/>
          <w:color w:val="000000"/>
          <w:sz w:val="24"/>
        </w:rPr>
        <w:t>#3.1.11碰撞反应池：具备六极杆或更多同轴射频极杆的碰撞反应池；</w:t>
      </w:r>
    </w:p>
    <w:p w14:paraId="56DB9E40">
      <w:pPr>
        <w:spacing w:line="360" w:lineRule="auto"/>
        <w:ind w:firstLine="480" w:firstLineChars="200"/>
        <w:rPr>
          <w:color w:val="000000"/>
          <w:sz w:val="24"/>
        </w:rPr>
      </w:pPr>
      <w:r>
        <w:rPr>
          <w:rFonts w:hint="eastAsia"/>
          <w:color w:val="000000"/>
          <w:sz w:val="24"/>
        </w:rPr>
        <w:t>#3.1.12碰撞反应池有独立涡轮分子泵支持的真空系统，不同气体模式切换，抽空和平衡所需切换时间小于5秒；</w:t>
      </w:r>
    </w:p>
    <w:p w14:paraId="471B0853">
      <w:pPr>
        <w:spacing w:line="360" w:lineRule="auto"/>
        <w:ind w:firstLine="480" w:firstLineChars="200"/>
        <w:rPr>
          <w:color w:val="000000"/>
          <w:sz w:val="24"/>
        </w:rPr>
      </w:pPr>
      <w:r>
        <w:rPr>
          <w:rFonts w:hint="eastAsia"/>
          <w:color w:val="000000"/>
          <w:sz w:val="24"/>
        </w:rPr>
        <w:t>#3.1.13碰撞反应池可设置恒温加热至不低于80℃，避免池体污染，保证热稳定性；</w:t>
      </w:r>
    </w:p>
    <w:p w14:paraId="6B6E15AF">
      <w:pPr>
        <w:spacing w:line="360" w:lineRule="auto"/>
        <w:ind w:firstLine="480" w:firstLineChars="200"/>
        <w:rPr>
          <w:color w:val="000000"/>
          <w:sz w:val="24"/>
        </w:rPr>
      </w:pPr>
      <w:r>
        <w:rPr>
          <w:rFonts w:hint="eastAsia"/>
          <w:color w:val="000000"/>
          <w:sz w:val="24"/>
        </w:rPr>
        <w:t>★3.1.14在碰撞反应池后和第二级四极杆质量分析器之间配备离轴偏转透镜，以消除池内产生的中性噪音，验收指标噪音：Be≤0.20</w:t>
      </w:r>
      <w:r>
        <w:rPr>
          <w:color w:val="000000"/>
          <w:sz w:val="24"/>
        </w:rPr>
        <w:t xml:space="preserve"> </w:t>
      </w:r>
      <w:r>
        <w:rPr>
          <w:rFonts w:hint="eastAsia"/>
          <w:color w:val="000000"/>
          <w:sz w:val="24"/>
        </w:rPr>
        <w:t xml:space="preserve">cps； </w:t>
      </w:r>
    </w:p>
    <w:p w14:paraId="3EBD0360">
      <w:pPr>
        <w:spacing w:line="360" w:lineRule="auto"/>
        <w:ind w:firstLine="480" w:firstLineChars="200"/>
        <w:rPr>
          <w:color w:val="000000"/>
          <w:sz w:val="24"/>
        </w:rPr>
      </w:pPr>
      <w:r>
        <w:rPr>
          <w:rFonts w:hint="eastAsia"/>
          <w:color w:val="000000"/>
          <w:sz w:val="24"/>
        </w:rPr>
        <w:t>#3.1.15仪器主机内应设置有2个或以上独立的分子涡轮泵，两小时内可达到真空稳定，正常进行样品测试；</w:t>
      </w:r>
    </w:p>
    <w:p w14:paraId="10E98DDA">
      <w:pPr>
        <w:spacing w:line="360" w:lineRule="auto"/>
        <w:ind w:firstLine="480" w:firstLineChars="200"/>
        <w:rPr>
          <w:color w:val="000000"/>
          <w:sz w:val="24"/>
        </w:rPr>
      </w:pPr>
      <w:r>
        <w:rPr>
          <w:rFonts w:hint="eastAsia"/>
          <w:color w:val="000000"/>
          <w:sz w:val="24"/>
        </w:rPr>
        <w:t>3.1.16具有纳米颗粒物和单细胞专用的数据分析模块；</w:t>
      </w:r>
    </w:p>
    <w:p w14:paraId="54203372">
      <w:pPr>
        <w:spacing w:line="360" w:lineRule="auto"/>
        <w:ind w:firstLine="480" w:firstLineChars="200"/>
        <w:rPr>
          <w:color w:val="000000"/>
          <w:sz w:val="24"/>
        </w:rPr>
      </w:pPr>
      <w:r>
        <w:rPr>
          <w:rFonts w:hint="eastAsia"/>
          <w:color w:val="000000"/>
          <w:sz w:val="24"/>
        </w:rPr>
        <w:t>3.1.17色谱联机模块：完善的接口，能够和惰性液相/毛细管联用，质谱软件能够直接控制同品牌液相色谱仪；</w:t>
      </w:r>
    </w:p>
    <w:p w14:paraId="029BF882">
      <w:pPr>
        <w:spacing w:line="360" w:lineRule="auto"/>
        <w:ind w:firstLine="480" w:firstLineChars="200"/>
        <w:rPr>
          <w:color w:val="000000"/>
          <w:sz w:val="24"/>
        </w:rPr>
      </w:pPr>
      <w:r>
        <w:rPr>
          <w:rFonts w:hint="eastAsia"/>
          <w:color w:val="000000"/>
          <w:sz w:val="24"/>
        </w:rPr>
        <w:t>3.1.18性能指标</w:t>
      </w:r>
    </w:p>
    <w:p w14:paraId="0E39B0D2">
      <w:pPr>
        <w:spacing w:line="360" w:lineRule="auto"/>
        <w:ind w:firstLine="960" w:firstLineChars="400"/>
        <w:rPr>
          <w:color w:val="000000"/>
          <w:sz w:val="24"/>
        </w:rPr>
      </w:pPr>
      <w:r>
        <w:rPr>
          <w:rFonts w:hint="eastAsia"/>
          <w:color w:val="000000"/>
          <w:sz w:val="24"/>
        </w:rPr>
        <w:t>★3.1.18.1灵敏度: 在CeO</w:t>
      </w:r>
      <w:r>
        <w:rPr>
          <w:rFonts w:hint="eastAsia"/>
          <w:color w:val="000000"/>
          <w:sz w:val="24"/>
          <w:vertAlign w:val="superscript"/>
        </w:rPr>
        <w:t>+</w:t>
      </w:r>
      <w:r>
        <w:rPr>
          <w:rFonts w:hint="eastAsia"/>
          <w:color w:val="000000"/>
          <w:sz w:val="24"/>
        </w:rPr>
        <w:t>/Ce</w:t>
      </w:r>
      <w:r>
        <w:rPr>
          <w:rFonts w:hint="eastAsia"/>
          <w:color w:val="000000"/>
          <w:sz w:val="24"/>
          <w:vertAlign w:val="superscript"/>
        </w:rPr>
        <w:t>+</w:t>
      </w:r>
      <w:r>
        <w:rPr>
          <w:color w:val="000000"/>
          <w:sz w:val="24"/>
          <w:vertAlign w:val="superscript"/>
        </w:rPr>
        <w:t xml:space="preserve"> </w:t>
      </w:r>
      <w:r>
        <w:rPr>
          <w:rFonts w:hint="eastAsia"/>
          <w:color w:val="000000"/>
          <w:sz w:val="24"/>
        </w:rPr>
        <w:t>≤2 %条件下，</w:t>
      </w:r>
      <w:r>
        <w:rPr>
          <w:rFonts w:hint="eastAsia"/>
          <w:color w:val="000000"/>
          <w:sz w:val="24"/>
          <w:vertAlign w:val="superscript"/>
        </w:rPr>
        <w:t>7</w:t>
      </w:r>
      <w:r>
        <w:rPr>
          <w:rFonts w:hint="eastAsia"/>
          <w:color w:val="000000"/>
          <w:sz w:val="24"/>
        </w:rPr>
        <w:t>Li≥300 Mcps/ppm，</w:t>
      </w:r>
      <w:r>
        <w:rPr>
          <w:rFonts w:hint="eastAsia"/>
          <w:color w:val="000000"/>
          <w:sz w:val="24"/>
          <w:vertAlign w:val="superscript"/>
        </w:rPr>
        <w:t>115</w:t>
      </w:r>
      <w:r>
        <w:rPr>
          <w:rFonts w:hint="eastAsia"/>
          <w:color w:val="000000"/>
          <w:sz w:val="24"/>
        </w:rPr>
        <w:t>In≥1000 Mcps/ppm，</w:t>
      </w:r>
      <w:r>
        <w:rPr>
          <w:rFonts w:hint="eastAsia"/>
          <w:color w:val="000000"/>
          <w:sz w:val="24"/>
          <w:vertAlign w:val="superscript"/>
        </w:rPr>
        <w:t>238</w:t>
      </w:r>
      <w:r>
        <w:rPr>
          <w:rFonts w:hint="eastAsia"/>
          <w:color w:val="000000"/>
          <w:sz w:val="24"/>
        </w:rPr>
        <w:t>U≥650 Mcps/ppm；</w:t>
      </w:r>
    </w:p>
    <w:p w14:paraId="6D224955">
      <w:pPr>
        <w:spacing w:line="360" w:lineRule="auto"/>
        <w:ind w:firstLine="960" w:firstLineChars="400"/>
        <w:rPr>
          <w:color w:val="000000"/>
          <w:sz w:val="24"/>
        </w:rPr>
      </w:pPr>
      <w:r>
        <w:rPr>
          <w:rFonts w:hint="eastAsia"/>
          <w:color w:val="000000"/>
          <w:sz w:val="24"/>
        </w:rPr>
        <w:t xml:space="preserve">3.1.18.2质量分辨率：碰撞反应池前和池后配置均设置质量分析器，分辨率 ≤ 0.3amu； </w:t>
      </w:r>
    </w:p>
    <w:p w14:paraId="1DAF50A1">
      <w:pPr>
        <w:spacing w:line="360" w:lineRule="auto"/>
        <w:ind w:firstLine="960" w:firstLineChars="400"/>
        <w:rPr>
          <w:color w:val="000000"/>
          <w:sz w:val="24"/>
        </w:rPr>
      </w:pPr>
      <w:r>
        <w:rPr>
          <w:rFonts w:hint="eastAsia"/>
          <w:color w:val="000000"/>
          <w:sz w:val="24"/>
        </w:rPr>
        <w:t>3.1.18.3高能氦模式灵敏度</w:t>
      </w:r>
      <w:r>
        <w:rPr>
          <w:rFonts w:hint="eastAsia"/>
          <w:color w:val="000000"/>
          <w:sz w:val="24"/>
          <w:lang w:eastAsia="zh-CN"/>
        </w:rPr>
        <w:t>：</w:t>
      </w:r>
      <w:r>
        <w:rPr>
          <w:rFonts w:hint="eastAsia"/>
          <w:color w:val="000000"/>
          <w:sz w:val="24"/>
        </w:rPr>
        <w:t>使用≥8mL/min纯He碰撞气，</w:t>
      </w:r>
      <w:r>
        <w:rPr>
          <w:rFonts w:hint="eastAsia"/>
          <w:color w:val="000000"/>
          <w:sz w:val="24"/>
          <w:vertAlign w:val="superscript"/>
        </w:rPr>
        <w:t>78</w:t>
      </w:r>
      <w:r>
        <w:rPr>
          <w:rFonts w:hint="eastAsia"/>
          <w:color w:val="000000"/>
          <w:sz w:val="24"/>
        </w:rPr>
        <w:t>Se灵敏度 ≥ 400cps/ppb；</w:t>
      </w:r>
    </w:p>
    <w:p w14:paraId="3509EA2A">
      <w:pPr>
        <w:spacing w:line="360" w:lineRule="auto"/>
        <w:ind w:firstLine="960" w:firstLineChars="400"/>
        <w:rPr>
          <w:color w:val="000000"/>
          <w:sz w:val="24"/>
        </w:rPr>
      </w:pPr>
      <w:r>
        <w:rPr>
          <w:rFonts w:hint="eastAsia"/>
          <w:color w:val="000000"/>
          <w:sz w:val="24"/>
        </w:rPr>
        <w:t>3.1.18.4检测器线性范围：响应信号范围不窄于 0.1 cps 至10</w:t>
      </w:r>
      <w:r>
        <w:rPr>
          <w:rFonts w:hint="eastAsia"/>
          <w:color w:val="000000"/>
          <w:sz w:val="24"/>
          <w:vertAlign w:val="superscript"/>
        </w:rPr>
        <w:t xml:space="preserve">9 </w:t>
      </w:r>
      <w:r>
        <w:rPr>
          <w:rFonts w:hint="eastAsia"/>
          <w:color w:val="000000"/>
          <w:sz w:val="24"/>
        </w:rPr>
        <w:t>cps；</w:t>
      </w:r>
    </w:p>
    <w:p w14:paraId="0ED03AC5">
      <w:pPr>
        <w:spacing w:line="360" w:lineRule="auto"/>
        <w:ind w:firstLine="960" w:firstLineChars="400"/>
        <w:rPr>
          <w:color w:val="000000"/>
          <w:sz w:val="24"/>
        </w:rPr>
      </w:pPr>
      <w:r>
        <w:rPr>
          <w:rFonts w:hint="eastAsia"/>
          <w:color w:val="000000"/>
          <w:sz w:val="24"/>
        </w:rPr>
        <w:t>3.1.18.5检测限</w:t>
      </w:r>
      <w:r>
        <w:rPr>
          <w:rFonts w:hint="eastAsia"/>
          <w:color w:val="000000"/>
          <w:sz w:val="24"/>
          <w:lang w:eastAsia="zh-CN"/>
        </w:rPr>
        <w:t>：</w:t>
      </w:r>
      <w:r>
        <w:rPr>
          <w:rFonts w:hint="eastAsia"/>
          <w:color w:val="000000"/>
          <w:sz w:val="24"/>
          <w:vertAlign w:val="superscript"/>
        </w:rPr>
        <w:t>9</w:t>
      </w:r>
      <w:r>
        <w:rPr>
          <w:rFonts w:hint="eastAsia"/>
          <w:color w:val="000000"/>
          <w:sz w:val="24"/>
        </w:rPr>
        <w:t>Be≤0.1 ppt</w:t>
      </w:r>
      <w:r>
        <w:rPr>
          <w:rFonts w:hint="eastAsia"/>
          <w:color w:val="000000"/>
          <w:sz w:val="24"/>
          <w:lang w:eastAsia="zh-CN"/>
        </w:rPr>
        <w:t>；</w:t>
      </w:r>
      <w:r>
        <w:rPr>
          <w:rFonts w:hint="eastAsia"/>
          <w:color w:val="000000"/>
          <w:sz w:val="24"/>
          <w:vertAlign w:val="superscript"/>
        </w:rPr>
        <w:t>115</w:t>
      </w:r>
      <w:r>
        <w:rPr>
          <w:rFonts w:hint="eastAsia"/>
          <w:color w:val="000000"/>
          <w:sz w:val="24"/>
        </w:rPr>
        <w:t>In ≤ 0.05 ppt</w:t>
      </w:r>
      <w:r>
        <w:rPr>
          <w:rFonts w:hint="eastAsia"/>
          <w:color w:val="000000"/>
          <w:sz w:val="24"/>
          <w:lang w:eastAsia="zh-CN"/>
        </w:rPr>
        <w:t>；</w:t>
      </w:r>
      <w:r>
        <w:rPr>
          <w:rFonts w:hint="eastAsia"/>
          <w:color w:val="000000"/>
          <w:sz w:val="24"/>
          <w:vertAlign w:val="superscript"/>
        </w:rPr>
        <w:t>209</w:t>
      </w:r>
      <w:r>
        <w:rPr>
          <w:rFonts w:hint="eastAsia"/>
          <w:color w:val="000000"/>
          <w:sz w:val="24"/>
        </w:rPr>
        <w:t>Bi≤0.05 ppt（参照jjf-1159 《四极杆电感耦合等离子体质谱仪校准规范》测定所得）；</w:t>
      </w:r>
    </w:p>
    <w:p w14:paraId="659A452D">
      <w:pPr>
        <w:spacing w:line="360" w:lineRule="auto"/>
        <w:ind w:firstLine="960" w:firstLineChars="400"/>
        <w:rPr>
          <w:color w:val="000000"/>
          <w:sz w:val="24"/>
        </w:rPr>
      </w:pPr>
      <w:r>
        <w:rPr>
          <w:rFonts w:hint="eastAsia"/>
          <w:color w:val="000000"/>
          <w:sz w:val="24"/>
        </w:rPr>
        <w:t>3.1.18.6抗干扰能力</w:t>
      </w:r>
      <w:r>
        <w:rPr>
          <w:rFonts w:hint="eastAsia"/>
          <w:color w:val="000000"/>
          <w:sz w:val="24"/>
          <w:lang w:eastAsia="zh-CN"/>
        </w:rPr>
        <w:t>：</w:t>
      </w:r>
      <w:r>
        <w:rPr>
          <w:rFonts w:hint="eastAsia"/>
          <w:color w:val="000000"/>
          <w:sz w:val="24"/>
        </w:rPr>
        <w:t>S(SO</w:t>
      </w:r>
      <w:r>
        <w:rPr>
          <w:rFonts w:hint="eastAsia"/>
          <w:color w:val="000000"/>
          <w:sz w:val="24"/>
          <w:vertAlign w:val="superscript"/>
        </w:rPr>
        <w:t>+</w:t>
      </w:r>
      <w:r>
        <w:rPr>
          <w:rFonts w:hint="eastAsia"/>
          <w:color w:val="000000"/>
          <w:sz w:val="24"/>
        </w:rPr>
        <w:t>)检出限&lt;</w:t>
      </w:r>
      <w:r>
        <w:rPr>
          <w:color w:val="000000"/>
          <w:sz w:val="24"/>
        </w:rPr>
        <w:t xml:space="preserve"> </w:t>
      </w:r>
      <w:r>
        <w:rPr>
          <w:rFonts w:hint="eastAsia"/>
          <w:color w:val="000000"/>
          <w:sz w:val="24"/>
        </w:rPr>
        <w:t>0.2 ppb</w:t>
      </w:r>
      <w:r>
        <w:rPr>
          <w:rFonts w:hint="eastAsia"/>
          <w:color w:val="000000"/>
          <w:sz w:val="24"/>
          <w:lang w:eastAsia="zh-CN"/>
        </w:rPr>
        <w:t>；</w:t>
      </w:r>
      <w:r>
        <w:rPr>
          <w:rFonts w:hint="eastAsia"/>
          <w:color w:val="000000"/>
          <w:sz w:val="24"/>
        </w:rPr>
        <w:t xml:space="preserve"> P(PO</w:t>
      </w:r>
      <w:r>
        <w:rPr>
          <w:rFonts w:hint="eastAsia"/>
          <w:color w:val="000000"/>
          <w:sz w:val="24"/>
          <w:vertAlign w:val="superscript"/>
        </w:rPr>
        <w:t>+</w:t>
      </w:r>
      <w:r>
        <w:rPr>
          <w:rFonts w:hint="eastAsia"/>
          <w:color w:val="000000"/>
          <w:sz w:val="24"/>
        </w:rPr>
        <w:t>)检出限&lt;</w:t>
      </w:r>
      <w:r>
        <w:rPr>
          <w:color w:val="000000"/>
          <w:sz w:val="24"/>
        </w:rPr>
        <w:t xml:space="preserve"> </w:t>
      </w:r>
      <w:r>
        <w:rPr>
          <w:rFonts w:hint="eastAsia"/>
          <w:color w:val="000000"/>
          <w:sz w:val="24"/>
        </w:rPr>
        <w:t>0.05 ppb。</w:t>
      </w:r>
    </w:p>
    <w:p w14:paraId="3791E121">
      <w:pPr>
        <w:spacing w:line="360" w:lineRule="auto"/>
        <w:rPr>
          <w:color w:val="000000"/>
          <w:sz w:val="24"/>
        </w:rPr>
      </w:pPr>
      <w:r>
        <w:rPr>
          <w:rFonts w:hint="eastAsia"/>
          <w:color w:val="000000"/>
          <w:sz w:val="24"/>
        </w:rPr>
        <w:t>3.2惰性液相色谱部分</w:t>
      </w:r>
    </w:p>
    <w:p w14:paraId="65444790">
      <w:pPr>
        <w:spacing w:line="360" w:lineRule="auto"/>
        <w:ind w:firstLine="480" w:firstLineChars="200"/>
        <w:rPr>
          <w:color w:val="000000"/>
          <w:sz w:val="24"/>
        </w:rPr>
      </w:pPr>
      <w:r>
        <w:rPr>
          <w:rFonts w:hint="eastAsia"/>
          <w:color w:val="000000"/>
          <w:sz w:val="24"/>
        </w:rPr>
        <w:t>#3.2.1惰性液相色谱仪需要与电感耦合等离子体串联质谱部分同一品牌，并由同一厂家提供软件系统，以保证整套系统的稳定性；</w:t>
      </w:r>
    </w:p>
    <w:p w14:paraId="0E15685A">
      <w:pPr>
        <w:spacing w:line="360" w:lineRule="auto"/>
        <w:ind w:firstLine="480" w:firstLineChars="200"/>
        <w:rPr>
          <w:color w:val="000000"/>
          <w:sz w:val="24"/>
        </w:rPr>
      </w:pPr>
      <w:r>
        <w:rPr>
          <w:rFonts w:hint="eastAsia"/>
          <w:color w:val="000000"/>
          <w:sz w:val="24"/>
        </w:rPr>
        <w:t>★3.2.2生物惰性四元梯度泵：流量范围0.001~10mL/min，递增率0.001mL/min；</w:t>
      </w:r>
    </w:p>
    <w:p w14:paraId="317F8DA7">
      <w:pPr>
        <w:spacing w:line="360" w:lineRule="auto"/>
        <w:ind w:firstLine="480" w:firstLineChars="200"/>
        <w:rPr>
          <w:rFonts w:hint="eastAsia" w:eastAsia="宋体"/>
          <w:color w:val="000000"/>
          <w:sz w:val="24"/>
          <w:lang w:eastAsia="zh-CN"/>
        </w:rPr>
      </w:pPr>
      <w:r>
        <w:rPr>
          <w:rFonts w:hint="eastAsia"/>
          <w:color w:val="000000"/>
          <w:sz w:val="24"/>
        </w:rPr>
        <w:t>3.2.3生物惰性自动进样器：进样范围0.1 - 100µL，样品位数为2mL样品瓶不少于100个，流路材质采用钛</w:t>
      </w:r>
      <w:r>
        <w:rPr>
          <w:rFonts w:hint="eastAsia"/>
          <w:color w:val="000000"/>
          <w:sz w:val="24"/>
          <w:lang w:eastAsia="zh-CN"/>
        </w:rPr>
        <w:t>，</w:t>
      </w:r>
      <w:r>
        <w:rPr>
          <w:rFonts w:hint="eastAsia"/>
          <w:color w:val="000000"/>
          <w:sz w:val="24"/>
        </w:rPr>
        <w:t>金</w:t>
      </w:r>
      <w:r>
        <w:rPr>
          <w:rFonts w:hint="eastAsia"/>
          <w:color w:val="000000"/>
          <w:sz w:val="24"/>
          <w:lang w:eastAsia="zh-CN"/>
        </w:rPr>
        <w:t>，</w:t>
      </w:r>
      <w:r>
        <w:rPr>
          <w:rFonts w:hint="eastAsia"/>
          <w:color w:val="000000"/>
          <w:sz w:val="24"/>
        </w:rPr>
        <w:t>PEEK</w:t>
      </w:r>
      <w:r>
        <w:rPr>
          <w:rFonts w:hint="eastAsia"/>
          <w:color w:val="000000"/>
          <w:sz w:val="24"/>
          <w:lang w:eastAsia="zh-CN"/>
        </w:rPr>
        <w:t>，</w:t>
      </w:r>
      <w:r>
        <w:rPr>
          <w:rFonts w:hint="eastAsia"/>
          <w:color w:val="000000"/>
          <w:sz w:val="24"/>
        </w:rPr>
        <w:t>PTFE</w:t>
      </w:r>
      <w:r>
        <w:rPr>
          <w:rFonts w:hint="eastAsia"/>
          <w:color w:val="000000"/>
          <w:sz w:val="24"/>
          <w:lang w:eastAsia="zh-CN"/>
        </w:rPr>
        <w:t>，</w:t>
      </w:r>
      <w:r>
        <w:rPr>
          <w:rFonts w:hint="eastAsia"/>
          <w:color w:val="000000"/>
          <w:sz w:val="24"/>
        </w:rPr>
        <w:t>陶瓷等非金属流路</w:t>
      </w:r>
      <w:r>
        <w:rPr>
          <w:rFonts w:hint="eastAsia"/>
          <w:color w:val="000000"/>
          <w:sz w:val="24"/>
          <w:lang w:eastAsia="zh-CN"/>
        </w:rPr>
        <w:t>；</w:t>
      </w:r>
    </w:p>
    <w:p w14:paraId="788B21D5">
      <w:pPr>
        <w:spacing w:line="360" w:lineRule="auto"/>
        <w:ind w:firstLine="480" w:firstLineChars="200"/>
        <w:rPr>
          <w:color w:val="000000"/>
          <w:sz w:val="24"/>
        </w:rPr>
      </w:pPr>
      <w:r>
        <w:rPr>
          <w:rFonts w:hint="eastAsia"/>
          <w:color w:val="000000"/>
          <w:sz w:val="24"/>
        </w:rPr>
        <w:t>3.2.4生物惰性柱温箱：可同时容纳30cm长色谱柱不少于3根</w:t>
      </w:r>
      <w:r>
        <w:rPr>
          <w:rFonts w:hint="eastAsia"/>
          <w:color w:val="000000"/>
          <w:sz w:val="24"/>
          <w:lang w:eastAsia="zh-CN"/>
        </w:rPr>
        <w:t>，</w:t>
      </w:r>
      <w:r>
        <w:rPr>
          <w:rFonts w:hint="eastAsia"/>
          <w:color w:val="000000"/>
          <w:sz w:val="24"/>
        </w:rPr>
        <w:t>控温范围为4℃ ~ 85℃</w:t>
      </w:r>
      <w:r>
        <w:rPr>
          <w:rFonts w:hint="eastAsia"/>
          <w:color w:val="000000"/>
          <w:sz w:val="24"/>
          <w:lang w:eastAsia="zh-CN"/>
        </w:rPr>
        <w:t>，</w:t>
      </w:r>
      <w:r>
        <w:rPr>
          <w:rFonts w:hint="eastAsia"/>
          <w:color w:val="000000"/>
          <w:sz w:val="24"/>
        </w:rPr>
        <w:t xml:space="preserve">温度稳定性为±0.1℃。 </w:t>
      </w:r>
      <w:r>
        <w:rPr>
          <w:color w:val="000000"/>
          <w:sz w:val="24"/>
        </w:rPr>
        <w:t xml:space="preserve">        </w:t>
      </w:r>
    </w:p>
    <w:p w14:paraId="3AD5AC28">
      <w:pPr>
        <w:spacing w:line="360" w:lineRule="auto"/>
        <w:ind w:firstLine="480"/>
        <w:rPr>
          <w:color w:val="000000"/>
          <w:sz w:val="24"/>
        </w:rPr>
      </w:pPr>
    </w:p>
    <w:p w14:paraId="22D0A662">
      <w:pPr>
        <w:tabs>
          <w:tab w:val="left" w:pos="540"/>
        </w:tabs>
        <w:spacing w:line="360" w:lineRule="auto"/>
        <w:rPr>
          <w:b/>
          <w:color w:val="000000"/>
          <w:sz w:val="24"/>
        </w:rPr>
      </w:pPr>
      <w:r>
        <w:rPr>
          <w:rFonts w:hint="eastAsia"/>
          <w:b/>
          <w:color w:val="000000"/>
          <w:sz w:val="24"/>
        </w:rPr>
        <w:t>4.  技术文件：</w:t>
      </w:r>
    </w:p>
    <w:p w14:paraId="755FAA44">
      <w:pPr>
        <w:spacing w:line="360" w:lineRule="auto"/>
        <w:ind w:firstLine="480" w:firstLineChars="200"/>
        <w:rPr>
          <w:color w:val="000000"/>
          <w:sz w:val="24"/>
        </w:rPr>
      </w:pPr>
      <w:r>
        <w:rPr>
          <w:rFonts w:hint="eastAsia"/>
          <w:color w:val="000000"/>
          <w:sz w:val="24"/>
        </w:rPr>
        <w:t>提供1套详尽的技术资料，包括：产品注册证；产品验收标准、出厂检验合格证书与验收清单；仪器设备技术说明书、应用方案、安装指南、仪器设备详细操作使用说明书、仪器设备标准操作规程与维护规程、仪器设备安装调试资料。</w:t>
      </w:r>
    </w:p>
    <w:p w14:paraId="17BF825A">
      <w:pPr>
        <w:spacing w:line="360" w:lineRule="auto"/>
        <w:ind w:firstLine="480" w:firstLineChars="200"/>
        <w:rPr>
          <w:color w:val="000000"/>
          <w:sz w:val="24"/>
        </w:rPr>
      </w:pPr>
    </w:p>
    <w:p w14:paraId="5E9903A5">
      <w:pPr>
        <w:spacing w:line="360" w:lineRule="auto"/>
        <w:rPr>
          <w:b/>
          <w:color w:val="000000"/>
          <w:sz w:val="24"/>
        </w:rPr>
      </w:pPr>
      <w:r>
        <w:rPr>
          <w:rFonts w:hint="eastAsia"/>
          <w:b/>
          <w:color w:val="000000"/>
          <w:sz w:val="24"/>
        </w:rPr>
        <w:t>（二）质保及售后服务：</w:t>
      </w:r>
    </w:p>
    <w:p w14:paraId="582D9EFD">
      <w:pPr>
        <w:spacing w:line="360" w:lineRule="auto"/>
        <w:rPr>
          <w:color w:val="000000"/>
          <w:sz w:val="24"/>
        </w:rPr>
      </w:pPr>
      <w:r>
        <w:rPr>
          <w:rFonts w:hint="eastAsia"/>
          <w:color w:val="000000"/>
          <w:sz w:val="24"/>
        </w:rPr>
        <w:t>1.1 设备安装调试</w:t>
      </w:r>
    </w:p>
    <w:p w14:paraId="330D5D8B">
      <w:pPr>
        <w:spacing w:line="360" w:lineRule="auto"/>
        <w:ind w:firstLine="480" w:firstLineChars="200"/>
        <w:rPr>
          <w:bCs/>
          <w:color w:val="000000"/>
          <w:sz w:val="24"/>
        </w:rPr>
      </w:pPr>
      <w:r>
        <w:rPr>
          <w:bCs/>
          <w:color w:val="000000"/>
          <w:sz w:val="24"/>
        </w:rPr>
        <w:t>仪器</w:t>
      </w:r>
      <w:r>
        <w:rPr>
          <w:rFonts w:hint="eastAsia"/>
          <w:bCs/>
          <w:color w:val="000000"/>
          <w:sz w:val="24"/>
        </w:rPr>
        <w:t>在</w:t>
      </w:r>
      <w:r>
        <w:rPr>
          <w:bCs/>
          <w:color w:val="000000"/>
          <w:sz w:val="24"/>
        </w:rPr>
        <w:t>约定的时间内到货，</w:t>
      </w:r>
      <w:r>
        <w:rPr>
          <w:rFonts w:hint="eastAsia"/>
          <w:bCs/>
          <w:color w:val="000000"/>
          <w:sz w:val="24"/>
        </w:rPr>
        <w:t>接到用户安装通知后，</w:t>
      </w:r>
      <w:r>
        <w:rPr>
          <w:bCs/>
          <w:color w:val="000000"/>
          <w:sz w:val="24"/>
        </w:rPr>
        <w:t>售后服务工程师</w:t>
      </w:r>
      <w:r>
        <w:rPr>
          <w:rFonts w:hint="eastAsia"/>
          <w:bCs/>
          <w:color w:val="000000"/>
          <w:sz w:val="24"/>
        </w:rPr>
        <w:t>在</w:t>
      </w:r>
      <w:r>
        <w:rPr>
          <w:bCs/>
          <w:color w:val="000000"/>
          <w:sz w:val="24"/>
        </w:rPr>
        <w:t>七个工作日内（或与</w:t>
      </w:r>
      <w:r>
        <w:rPr>
          <w:rFonts w:hint="eastAsia"/>
          <w:bCs/>
          <w:color w:val="000000"/>
          <w:sz w:val="24"/>
        </w:rPr>
        <w:t>用户</w:t>
      </w:r>
      <w:r>
        <w:rPr>
          <w:bCs/>
          <w:color w:val="000000"/>
          <w:sz w:val="24"/>
        </w:rPr>
        <w:t>约定的时间）现场开箱验收安装。</w:t>
      </w:r>
      <w:r>
        <w:rPr>
          <w:rFonts w:hint="eastAsia"/>
          <w:bCs/>
          <w:color w:val="000000"/>
          <w:sz w:val="24"/>
        </w:rPr>
        <w:t>供应商</w:t>
      </w:r>
      <w:r>
        <w:rPr>
          <w:bCs/>
          <w:color w:val="000000"/>
          <w:sz w:val="24"/>
        </w:rPr>
        <w:t>免费提供安装和调试所需的专用工具和辅助材料，并提供装机验证服务。根据合同要求及仪器设备本身标注的性能，</w:t>
      </w:r>
      <w:r>
        <w:rPr>
          <w:rFonts w:hint="eastAsia"/>
          <w:bCs/>
          <w:color w:val="000000"/>
          <w:sz w:val="24"/>
        </w:rPr>
        <w:t>供应商</w:t>
      </w:r>
      <w:r>
        <w:rPr>
          <w:bCs/>
          <w:color w:val="000000"/>
          <w:sz w:val="24"/>
        </w:rPr>
        <w:t>在指定地点和环境下，免费完成仪器设备所有安装、调试工作并实现正常运行，达到标书要求的性能和产品技术规格中的性能。</w:t>
      </w:r>
    </w:p>
    <w:p w14:paraId="46EA2E5C">
      <w:pPr>
        <w:spacing w:line="360" w:lineRule="auto"/>
        <w:ind w:firstLine="480" w:firstLineChars="200"/>
        <w:rPr>
          <w:bCs/>
          <w:color w:val="000000"/>
          <w:sz w:val="24"/>
        </w:rPr>
      </w:pPr>
      <w:r>
        <w:rPr>
          <w:bCs/>
          <w:color w:val="000000"/>
          <w:sz w:val="24"/>
        </w:rPr>
        <w:t>设备的安装调试由</w:t>
      </w:r>
      <w:r>
        <w:rPr>
          <w:rFonts w:hint="eastAsia"/>
          <w:bCs/>
          <w:color w:val="000000"/>
          <w:sz w:val="24"/>
        </w:rPr>
        <w:t>供应商</w:t>
      </w:r>
      <w:r>
        <w:rPr>
          <w:bCs/>
          <w:color w:val="000000"/>
          <w:sz w:val="24"/>
        </w:rPr>
        <w:t>有经验的工程技术人员到现场进行实施，同时必须在</w:t>
      </w:r>
      <w:r>
        <w:rPr>
          <w:rFonts w:hint="eastAsia"/>
          <w:bCs/>
          <w:color w:val="000000"/>
          <w:sz w:val="24"/>
        </w:rPr>
        <w:t>用户</w:t>
      </w:r>
      <w:r>
        <w:rPr>
          <w:bCs/>
          <w:color w:val="000000"/>
          <w:sz w:val="24"/>
        </w:rPr>
        <w:t>技术人员在场的情况下进行。验收由</w:t>
      </w:r>
      <w:r>
        <w:rPr>
          <w:rFonts w:hint="eastAsia"/>
          <w:bCs/>
          <w:color w:val="000000"/>
          <w:sz w:val="24"/>
        </w:rPr>
        <w:t>用户</w:t>
      </w:r>
      <w:r>
        <w:rPr>
          <w:bCs/>
          <w:color w:val="000000"/>
          <w:sz w:val="24"/>
        </w:rPr>
        <w:t>及相关人员依国家有关标准、合同及有关附件要求进行，直至验收合格，验收完毕由</w:t>
      </w:r>
      <w:r>
        <w:rPr>
          <w:rFonts w:hint="eastAsia"/>
          <w:bCs/>
          <w:color w:val="000000"/>
          <w:sz w:val="24"/>
        </w:rPr>
        <w:t>用户</w:t>
      </w:r>
      <w:r>
        <w:rPr>
          <w:bCs/>
          <w:color w:val="000000"/>
          <w:sz w:val="24"/>
        </w:rPr>
        <w:t>在验收报告上签名。</w:t>
      </w:r>
    </w:p>
    <w:p w14:paraId="556F1CD4">
      <w:pPr>
        <w:tabs>
          <w:tab w:val="left" w:pos="5419"/>
          <w:tab w:val="left" w:pos="7816"/>
        </w:tabs>
        <w:spacing w:line="360" w:lineRule="auto"/>
        <w:rPr>
          <w:bCs/>
          <w:color w:val="000000"/>
          <w:sz w:val="24"/>
        </w:rPr>
      </w:pPr>
      <w:r>
        <w:rPr>
          <w:rFonts w:hint="eastAsia"/>
          <w:bCs/>
          <w:color w:val="000000"/>
          <w:sz w:val="24"/>
        </w:rPr>
        <w:t xml:space="preserve">1.2 </w:t>
      </w:r>
      <w:r>
        <w:rPr>
          <w:bCs/>
          <w:color w:val="000000"/>
          <w:sz w:val="24"/>
        </w:rPr>
        <w:t>技术培训</w:t>
      </w:r>
      <w:r>
        <w:rPr>
          <w:bCs/>
          <w:color w:val="000000"/>
          <w:sz w:val="24"/>
        </w:rPr>
        <w:tab/>
      </w:r>
      <w:r>
        <w:rPr>
          <w:bCs/>
          <w:color w:val="000000"/>
          <w:sz w:val="24"/>
        </w:rPr>
        <w:tab/>
      </w:r>
    </w:p>
    <w:p w14:paraId="15C99E5D">
      <w:pPr>
        <w:spacing w:line="360" w:lineRule="auto"/>
        <w:ind w:firstLine="480" w:firstLineChars="200"/>
        <w:rPr>
          <w:color w:val="000000"/>
          <w:sz w:val="24"/>
        </w:rPr>
      </w:pPr>
      <w:r>
        <w:rPr>
          <w:rFonts w:hint="eastAsia"/>
          <w:color w:val="000000"/>
          <w:sz w:val="24"/>
        </w:rPr>
        <w:t xml:space="preserve">1.2.1 </w:t>
      </w:r>
      <w:r>
        <w:rPr>
          <w:color w:val="000000"/>
          <w:sz w:val="24"/>
        </w:rPr>
        <w:t>现场培训：在安装仪器时由专业工程师进行免费安装调试和现场培训。讲解仪器内部构造、仪器维护保养以及简单的故障排除方法，直至用户技术人员熟练使用仪器以及会应用仪器完成整个分析检测工作。</w:t>
      </w:r>
    </w:p>
    <w:p w14:paraId="779AD1BA">
      <w:pPr>
        <w:spacing w:line="360" w:lineRule="auto"/>
        <w:ind w:firstLine="480" w:firstLineChars="200"/>
        <w:rPr>
          <w:color w:val="000000"/>
          <w:sz w:val="24"/>
        </w:rPr>
      </w:pPr>
      <w:r>
        <w:rPr>
          <w:rFonts w:hint="eastAsia"/>
          <w:color w:val="000000"/>
          <w:sz w:val="24"/>
        </w:rPr>
        <w:t xml:space="preserve">1.2.2 </w:t>
      </w:r>
      <w:r>
        <w:rPr>
          <w:color w:val="000000"/>
          <w:sz w:val="24"/>
        </w:rPr>
        <w:t>现场回访培训：根据用户使用情况及需求，供应商不定期安排专业应用工程师免费对使用情况进行提高培训，帮助</w:t>
      </w:r>
      <w:r>
        <w:rPr>
          <w:rFonts w:hint="eastAsia"/>
          <w:color w:val="000000"/>
          <w:sz w:val="24"/>
        </w:rPr>
        <w:t>用户</w:t>
      </w:r>
      <w:r>
        <w:rPr>
          <w:color w:val="000000"/>
          <w:sz w:val="24"/>
        </w:rPr>
        <w:t>解决遇到的问题和项目开发，并进行技术提高和方法开发等高级培训。</w:t>
      </w:r>
    </w:p>
    <w:p w14:paraId="0CC79EC3">
      <w:pPr>
        <w:spacing w:line="360" w:lineRule="auto"/>
        <w:ind w:firstLine="480" w:firstLineChars="200"/>
        <w:rPr>
          <w:bCs/>
          <w:color w:val="000000"/>
          <w:sz w:val="24"/>
        </w:rPr>
      </w:pPr>
      <w:r>
        <w:rPr>
          <w:rFonts w:hint="eastAsia"/>
          <w:color w:val="000000"/>
          <w:sz w:val="24"/>
        </w:rPr>
        <w:t xml:space="preserve">1.2.3 </w:t>
      </w:r>
      <w:r>
        <w:rPr>
          <w:color w:val="000000"/>
          <w:sz w:val="24"/>
        </w:rPr>
        <w:t>厂家培训中心培训：提供2个名额学习班系统培训，包括仪器原理、操作、维护等。</w:t>
      </w:r>
    </w:p>
    <w:p w14:paraId="1D89B82E">
      <w:pPr>
        <w:spacing w:line="360" w:lineRule="auto"/>
        <w:rPr>
          <w:color w:val="000000"/>
          <w:sz w:val="24"/>
        </w:rPr>
      </w:pPr>
      <w:r>
        <w:rPr>
          <w:rFonts w:hint="eastAsia"/>
          <w:color w:val="000000"/>
          <w:sz w:val="24"/>
        </w:rPr>
        <w:t>1.3 质保期：提供一年的免费质保，自设备安装调试，技术验收报告签字盖章起计算。在保修期内，任何由制造商选材和制造不当引起的质量问题，供应商负责免费维修，如1个月内不能完全修复，需更换一台全新设备并承担相应损失。出现故障后，在收到用户正式通知后24小时之内响应，如果需要到现场，将安排就近的工程师到现场。质保期后，厂家提供终身维修，并保证零配件的供应。</w:t>
      </w:r>
    </w:p>
    <w:p w14:paraId="34EA632E">
      <w:pPr>
        <w:spacing w:line="360" w:lineRule="auto"/>
        <w:rPr>
          <w:color w:val="000000"/>
          <w:sz w:val="24"/>
        </w:rPr>
      </w:pPr>
      <w:r>
        <w:rPr>
          <w:rFonts w:hint="eastAsia"/>
          <w:color w:val="000000"/>
          <w:sz w:val="24"/>
        </w:rPr>
        <w:t>1.4 维修响应时间</w:t>
      </w:r>
    </w:p>
    <w:p w14:paraId="2B872620">
      <w:pPr>
        <w:spacing w:line="360" w:lineRule="auto"/>
        <w:ind w:firstLine="480" w:firstLineChars="200"/>
        <w:rPr>
          <w:color w:val="000000"/>
          <w:sz w:val="24"/>
        </w:rPr>
      </w:pPr>
      <w:r>
        <w:rPr>
          <w:rFonts w:hint="eastAsia"/>
          <w:color w:val="000000"/>
          <w:sz w:val="24"/>
        </w:rPr>
        <w:t>1.4.1 供应商在中国境内有固定的办事处、维修部及零配件保存仓库。质保期内如设备出现故障，供方应在接到需方通知后的2小时内响应，24小时内确定故障原因和维修方法。如需要到现场维修，供方维修工程师应在48小时内（遇见不可抗拒的因素除外）到达现场，免费更换受损元件和提供免费服务，快速排除故障。</w:t>
      </w:r>
    </w:p>
    <w:p w14:paraId="42296C09">
      <w:pPr>
        <w:spacing w:line="360" w:lineRule="auto"/>
        <w:ind w:firstLine="480" w:firstLineChars="200"/>
        <w:rPr>
          <w:color w:val="000000"/>
          <w:sz w:val="24"/>
        </w:rPr>
      </w:pPr>
      <w:r>
        <w:rPr>
          <w:rFonts w:hint="eastAsia"/>
          <w:color w:val="000000"/>
          <w:sz w:val="24"/>
        </w:rPr>
        <w:t>1.4.2 质保期后，供方承诺将为需方提供长期维修服务，对于需方的任何投诉和要求，供方将在4小时内做出相应答复；当仪器出现故障时，供方工程师在接到需方故障通知后24小时内提出处理意见；供方在接到需方维修通知后72小时到达现场修复，维修费用由双方协商解决。</w:t>
      </w:r>
    </w:p>
    <w:p w14:paraId="50C21814">
      <w:pPr>
        <w:spacing w:line="360" w:lineRule="auto"/>
        <w:rPr>
          <w:color w:val="000000"/>
          <w:sz w:val="24"/>
        </w:rPr>
      </w:pPr>
      <w:r>
        <w:rPr>
          <w:rFonts w:hint="eastAsia"/>
          <w:color w:val="000000"/>
          <w:sz w:val="24"/>
        </w:rPr>
        <w:t>1.5 后期更换配件及易耗品成本价提供。保障投标设备停产后10年的关键零部件（包括易耗品）供应。</w:t>
      </w:r>
    </w:p>
    <w:p w14:paraId="1AE57ABA">
      <w:pPr>
        <w:spacing w:line="360" w:lineRule="auto"/>
        <w:rPr>
          <w:b/>
          <w:color w:val="000000"/>
          <w:sz w:val="24"/>
        </w:rPr>
      </w:pPr>
    </w:p>
    <w:p w14:paraId="73A4D3D8">
      <w:pPr>
        <w:spacing w:line="360" w:lineRule="auto"/>
        <w:rPr>
          <w:b/>
          <w:color w:val="000000"/>
          <w:sz w:val="24"/>
        </w:rPr>
      </w:pPr>
      <w:r>
        <w:rPr>
          <w:rFonts w:hint="eastAsia"/>
          <w:b/>
          <w:color w:val="000000"/>
          <w:sz w:val="24"/>
        </w:rPr>
        <w:t>（三） 订货数量：</w:t>
      </w:r>
    </w:p>
    <w:p w14:paraId="4DD798C8">
      <w:pPr>
        <w:spacing w:line="360" w:lineRule="auto"/>
        <w:ind w:firstLine="240" w:firstLineChars="100"/>
        <w:rPr>
          <w:color w:val="000000"/>
          <w:sz w:val="24"/>
        </w:rPr>
      </w:pPr>
      <w:r>
        <w:rPr>
          <w:rFonts w:hint="eastAsia"/>
          <w:color w:val="000000"/>
          <w:sz w:val="24"/>
        </w:rPr>
        <w:t xml:space="preserve"> 1套</w:t>
      </w:r>
    </w:p>
    <w:p w14:paraId="3CD412F2">
      <w:pPr>
        <w:spacing w:line="360" w:lineRule="auto"/>
        <w:rPr>
          <w:color w:val="000000"/>
          <w:sz w:val="24"/>
        </w:rPr>
      </w:pPr>
    </w:p>
    <w:p w14:paraId="695B59BF">
      <w:pPr>
        <w:spacing w:line="360" w:lineRule="auto"/>
        <w:rPr>
          <w:b/>
          <w:color w:val="000000"/>
          <w:sz w:val="24"/>
        </w:rPr>
      </w:pPr>
      <w:r>
        <w:rPr>
          <w:rFonts w:hint="eastAsia"/>
          <w:b/>
          <w:color w:val="000000"/>
          <w:sz w:val="24"/>
        </w:rPr>
        <w:t>（四）交货日期和交货地点（项目现场）：</w:t>
      </w:r>
    </w:p>
    <w:p w14:paraId="4B2404F6">
      <w:pPr>
        <w:spacing w:line="360" w:lineRule="auto"/>
        <w:ind w:firstLine="480" w:firstLineChars="200"/>
        <w:rPr>
          <w:color w:val="000000"/>
          <w:sz w:val="24"/>
        </w:rPr>
      </w:pPr>
      <w:r>
        <w:rPr>
          <w:rFonts w:hint="eastAsia"/>
          <w:color w:val="000000"/>
          <w:sz w:val="24"/>
        </w:rPr>
        <w:t>交货日期：</w:t>
      </w:r>
      <w:r>
        <w:rPr>
          <w:bCs/>
          <w:color w:val="000000"/>
          <w:sz w:val="24"/>
        </w:rPr>
        <w:t>合同生效后4个月</w:t>
      </w:r>
      <w:r>
        <w:rPr>
          <w:rFonts w:hint="eastAsia"/>
          <w:bCs/>
          <w:color w:val="000000"/>
          <w:sz w:val="24"/>
        </w:rPr>
        <w:t>内。</w:t>
      </w:r>
      <w:r>
        <w:rPr>
          <w:bCs/>
          <w:color w:val="000000"/>
          <w:sz w:val="24"/>
        </w:rPr>
        <w:t xml:space="preserve"> </w:t>
      </w:r>
    </w:p>
    <w:p w14:paraId="664CA6AA">
      <w:pPr>
        <w:spacing w:line="360" w:lineRule="auto"/>
        <w:ind w:firstLine="480" w:firstLineChars="200"/>
        <w:rPr>
          <w:bCs/>
          <w:color w:val="000000"/>
          <w:sz w:val="24"/>
        </w:rPr>
      </w:pPr>
      <w:r>
        <w:rPr>
          <w:rFonts w:hint="eastAsia"/>
          <w:color w:val="000000"/>
          <w:sz w:val="24"/>
        </w:rPr>
        <w:t>交货地点：</w:t>
      </w:r>
      <w:r>
        <w:rPr>
          <w:rFonts w:hint="eastAsia"/>
          <w:bCs/>
          <w:sz w:val="24"/>
        </w:rPr>
        <w:t>中国科学院生态环境研究中心</w:t>
      </w:r>
    </w:p>
    <w:p w14:paraId="3CBCC797">
      <w:pPr>
        <w:spacing w:line="360" w:lineRule="auto"/>
        <w:rPr>
          <w:color w:val="000000"/>
          <w:sz w:val="24"/>
        </w:rPr>
      </w:pPr>
    </w:p>
    <w:p w14:paraId="4E8D9C76">
      <w:pPr>
        <w:spacing w:line="360" w:lineRule="auto"/>
        <w:rPr>
          <w:b/>
          <w:color w:val="000000"/>
          <w:sz w:val="24"/>
        </w:rPr>
      </w:pPr>
      <w:r>
        <w:rPr>
          <w:rFonts w:hint="eastAsia"/>
          <w:b/>
          <w:color w:val="000000"/>
          <w:sz w:val="24"/>
        </w:rPr>
        <w:t xml:space="preserve">（五）付款方式：                                         </w:t>
      </w:r>
    </w:p>
    <w:p w14:paraId="2D9E309B">
      <w:pPr>
        <w:spacing w:line="360" w:lineRule="auto"/>
        <w:ind w:firstLine="480" w:firstLineChars="200"/>
        <w:rPr>
          <w:color w:val="000000"/>
          <w:sz w:val="24"/>
        </w:rPr>
      </w:pPr>
      <w:r>
        <w:rPr>
          <w:rFonts w:hint="eastAsia"/>
          <w:color w:val="000000"/>
          <w:sz w:val="24"/>
        </w:rPr>
        <w:t>对于国产产品：100%凭用户代表签字并加盖单位公章后的验收报告支付；</w:t>
      </w:r>
    </w:p>
    <w:p w14:paraId="1A974952">
      <w:pPr>
        <w:spacing w:line="360" w:lineRule="auto"/>
        <w:ind w:firstLine="480" w:firstLineChars="200"/>
        <w:rPr>
          <w:color w:val="000000"/>
          <w:sz w:val="24"/>
        </w:rPr>
      </w:pPr>
      <w:r>
        <w:rPr>
          <w:rFonts w:hint="eastAsia"/>
          <w:color w:val="000000"/>
          <w:sz w:val="24"/>
        </w:rPr>
        <w:t>对于进口产品：</w:t>
      </w:r>
      <w:bookmarkStart w:id="1" w:name="OLE_LINK12"/>
      <w:bookmarkStart w:id="2" w:name="OLE_LINK11"/>
      <w:r>
        <w:rPr>
          <w:rFonts w:hint="eastAsia"/>
          <w:color w:val="000000"/>
          <w:sz w:val="24"/>
        </w:rPr>
        <w:t>100%不可撤销信用证，其中80%凭货到现场用户签收单支付，20%凭盖章版技术验收报告支付。</w:t>
      </w:r>
    </w:p>
    <w:bookmarkEnd w:id="1"/>
    <w:bookmarkEnd w:id="2"/>
    <w:p w14:paraId="510FAC27">
      <w:pPr>
        <w:spacing w:line="360" w:lineRule="auto"/>
        <w:rPr>
          <w:color w:val="000000"/>
          <w:sz w:val="24"/>
        </w:rPr>
      </w:pPr>
    </w:p>
    <w:p w14:paraId="0AED8F5D">
      <w:pPr>
        <w:spacing w:line="360" w:lineRule="auto"/>
        <w:rPr>
          <w:b/>
          <w:color w:val="000000"/>
          <w:sz w:val="24"/>
        </w:rPr>
      </w:pPr>
      <w:r>
        <w:rPr>
          <w:rFonts w:hint="eastAsia"/>
          <w:b/>
          <w:color w:val="000000"/>
          <w:sz w:val="24"/>
        </w:rPr>
        <w:t>（六）执行的相关标准</w:t>
      </w:r>
    </w:p>
    <w:p w14:paraId="076815B0">
      <w:pPr>
        <w:spacing w:line="360" w:lineRule="auto"/>
        <w:rPr>
          <w:rFonts w:ascii="inherit" w:hAnsi="inherit" w:cs="宋体"/>
          <w:color w:val="000000"/>
          <w:kern w:val="0"/>
          <w:sz w:val="24"/>
        </w:rPr>
      </w:pPr>
      <w:r>
        <w:rPr>
          <w:rFonts w:hint="eastAsia" w:ascii="inherit" w:hAnsi="inherit" w:cs="宋体"/>
          <w:color w:val="000000"/>
          <w:kern w:val="0"/>
          <w:sz w:val="24"/>
        </w:rPr>
        <w:t xml:space="preserve">   产品应满足相关国家标准及行业标准。</w:t>
      </w:r>
    </w:p>
    <w:p w14:paraId="69E7D5FC">
      <w:pPr>
        <w:spacing w:line="360" w:lineRule="auto"/>
        <w:rPr>
          <w:rFonts w:ascii="inherit" w:hAnsi="inherit" w:cs="宋体"/>
          <w:color w:val="000000"/>
          <w:kern w:val="0"/>
          <w:sz w:val="24"/>
        </w:rPr>
      </w:pPr>
    </w:p>
    <w:p w14:paraId="0C6BC34C">
      <w:pPr>
        <w:numPr>
          <w:ilvl w:val="0"/>
          <w:numId w:val="3"/>
        </w:numPr>
        <w:spacing w:line="360" w:lineRule="auto"/>
        <w:rPr>
          <w:b/>
          <w:color w:val="000000"/>
          <w:sz w:val="24"/>
        </w:rPr>
      </w:pPr>
      <w:r>
        <w:rPr>
          <w:rFonts w:hint="eastAsia"/>
          <w:b/>
          <w:color w:val="000000"/>
          <w:sz w:val="24"/>
        </w:rPr>
        <w:t>验收标准</w:t>
      </w:r>
    </w:p>
    <w:p w14:paraId="251F6964">
      <w:pPr>
        <w:spacing w:line="360" w:lineRule="auto"/>
        <w:ind w:firstLine="480" w:firstLineChars="200"/>
        <w:rPr>
          <w:b/>
          <w:bCs/>
          <w:color w:val="000000"/>
          <w:sz w:val="24"/>
        </w:rPr>
      </w:pPr>
      <w:r>
        <w:rPr>
          <w:color w:val="000000"/>
          <w:sz w:val="24"/>
        </w:rPr>
        <w:t>*1. 设备的配置、功能和</w:t>
      </w:r>
      <w:r>
        <w:rPr>
          <w:b/>
          <w:bCs/>
          <w:color w:val="000000"/>
          <w:sz w:val="24"/>
        </w:rPr>
        <w:t>技术</w:t>
      </w:r>
      <w:r>
        <w:rPr>
          <w:rFonts w:hint="eastAsia"/>
          <w:b/>
          <w:bCs/>
          <w:color w:val="000000"/>
          <w:sz w:val="24"/>
          <w:lang w:val="en-US" w:eastAsia="zh-CN"/>
        </w:rPr>
        <w:t>实质性</w:t>
      </w:r>
      <w:r>
        <w:rPr>
          <w:b/>
          <w:bCs/>
          <w:color w:val="000000"/>
          <w:sz w:val="24"/>
        </w:rPr>
        <w:t>指标</w:t>
      </w:r>
      <w:r>
        <w:rPr>
          <w:color w:val="000000"/>
          <w:sz w:val="24"/>
        </w:rPr>
        <w:t>必须满足招标文件要求，所有技术指标必须能够现场验收或提供第三方权威机构的证明材料，投标商需在投标文件中提供完备的现场验收方案，</w:t>
      </w:r>
      <w:r>
        <w:rPr>
          <w:b/>
          <w:bCs/>
          <w:color w:val="000000"/>
          <w:sz w:val="24"/>
        </w:rPr>
        <w:t>未提交现场验收方案将作为废标处理。</w:t>
      </w:r>
    </w:p>
    <w:p w14:paraId="3188A421">
      <w:pPr>
        <w:spacing w:line="360" w:lineRule="auto"/>
        <w:ind w:firstLine="480" w:firstLineChars="200"/>
        <w:rPr>
          <w:color w:val="000000"/>
          <w:sz w:val="24"/>
        </w:rPr>
      </w:pPr>
      <w:r>
        <w:rPr>
          <w:color w:val="000000"/>
          <w:sz w:val="24"/>
        </w:rPr>
        <w:t>2. 技术指标现场验收方案科学、合理，具有可行性。</w:t>
      </w:r>
    </w:p>
    <w:p w14:paraId="3C767272">
      <w:pPr>
        <w:widowControl/>
        <w:spacing w:line="360" w:lineRule="atLeast"/>
        <w:rPr>
          <w:rFonts w:ascii="宋体" w:hAnsi="宋体"/>
          <w:b/>
          <w:color w:val="000000"/>
          <w:sz w:val="30"/>
          <w:szCs w:val="30"/>
        </w:rPr>
      </w:pPr>
    </w:p>
    <w:p w14:paraId="5ADEC83C">
      <w:bookmarkStart w:id="3" w:name="_GoBack"/>
      <w:bookmarkEnd w:id="3"/>
    </w:p>
    <w:sectPr>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Bookman Old Style">
    <w:panose1 w:val="02050604050505020204"/>
    <w:charset w:val="00"/>
    <w:family w:val="roman"/>
    <w:pitch w:val="default"/>
    <w:sig w:usb0="00000287" w:usb1="00000000" w:usb2="00000000" w:usb3="00000000" w:csb0="2000009F" w:csb1="DFD70000"/>
  </w:font>
  <w:font w:name="inherit">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DDAC0A88"/>
    <w:multiLevelType w:val="singleLevel"/>
    <w:tmpl w:val="DDAC0A88"/>
    <w:lvl w:ilvl="0" w:tentative="0">
      <w:start w:val="7"/>
      <w:numFmt w:val="chineseCounting"/>
      <w:suff w:val="nothing"/>
      <w:lvlText w:val="（%1）"/>
      <w:lvlJc w:val="left"/>
      <w:rPr>
        <w:rFonts w:hint="eastAsia"/>
      </w:rPr>
    </w:lvl>
  </w:abstractNum>
  <w:abstractNum w:abstractNumId="2">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48149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basedOn w:val="1"/>
    <w:qFormat/>
    <w:uiPriority w:val="99"/>
    <w:rPr>
      <w:rFonts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2025-07-01T05:26:53Z</dcterms:created>
  <dc:creator>yzjia</dc:creator>
  <cp:lastModifiedBy>godjiao</cp:lastModifiedBy>
  <dcterms:modified xsi:type="dcterms:W3CDTF">2025-07-01T05:27:14Z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eyJoZGlkIjoiY2IxMDc5ODZkZDE5M2E5MjdjM2ZkNDMyYjY0NzE3YmEiLCJ1c2VySWQiOiIyNDgyNzkwNjcifQ==</vt:lpwstr>
  </property>
  <property fmtid="{D5CDD505-2E9C-101B-9397-08002B2CF9AE}" pid="4" name="ICV">
    <vt:lpwstr>B77B50A0A4454F3E863BEEE159E322A3_12</vt:lpwstr>
  </property>
</Properties>
</file>