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4AE496">
      <w:pPr>
        <w:adjustRightInd w:val="0"/>
        <w:spacing w:before="24" w:beforeLines="10" w:line="400" w:lineRule="exact"/>
        <w:ind w:firstLine="422" w:firstLineChars="200"/>
        <w:jc w:val="center"/>
        <w:rPr>
          <w:rFonts w:ascii="宋体" w:hAnsi="宋体"/>
          <w:b/>
          <w:bCs/>
          <w:szCs w:val="21"/>
          <w:highlight w:val="none"/>
        </w:rPr>
      </w:pPr>
    </w:p>
    <w:p w14:paraId="0E995F51">
      <w:pPr>
        <w:adjustRightInd w:val="0"/>
        <w:spacing w:before="24" w:beforeLines="10" w:line="400" w:lineRule="exact"/>
        <w:ind w:firstLine="422" w:firstLineChars="200"/>
        <w:jc w:val="center"/>
        <w:rPr>
          <w:rFonts w:ascii="宋体" w:hAnsi="宋体"/>
          <w:b/>
          <w:bCs/>
          <w:szCs w:val="21"/>
          <w:highlight w:val="none"/>
        </w:rPr>
      </w:pPr>
    </w:p>
    <w:p w14:paraId="51C848EA">
      <w:pPr>
        <w:pStyle w:val="16"/>
        <w:jc w:val="center"/>
        <w:rPr>
          <w:rFonts w:hAnsi="宋体"/>
          <w:bCs/>
          <w:szCs w:val="21"/>
          <w:highlight w:val="none"/>
        </w:rPr>
      </w:pPr>
    </w:p>
    <w:p w14:paraId="40D1C451">
      <w:pPr>
        <w:pStyle w:val="16"/>
        <w:jc w:val="center"/>
        <w:rPr>
          <w:rFonts w:hAnsi="宋体"/>
          <w:bCs/>
          <w:szCs w:val="21"/>
          <w:highlight w:val="none"/>
        </w:rPr>
      </w:pPr>
    </w:p>
    <w:p w14:paraId="6E77FDFF">
      <w:pPr>
        <w:pStyle w:val="16"/>
        <w:jc w:val="center"/>
        <w:rPr>
          <w:rFonts w:hint="eastAsia" w:hAnsi="宋体" w:eastAsia="宋体"/>
          <w:b/>
          <w:bCs/>
          <w:sz w:val="48"/>
          <w:szCs w:val="44"/>
          <w:highlight w:val="none"/>
          <w:lang w:eastAsia="zh-CN"/>
        </w:rPr>
      </w:pPr>
      <w:r>
        <w:rPr>
          <w:rFonts w:hint="eastAsia" w:hAnsi="宋体"/>
          <w:b/>
          <w:bCs/>
          <w:kern w:val="0"/>
          <w:sz w:val="48"/>
          <w:szCs w:val="44"/>
          <w:highlight w:val="none"/>
          <w:lang w:eastAsia="zh-CN"/>
        </w:rPr>
        <w:t>昆明市妇幼保健院便携式彩色多普勒超声诊断仪等医疗设备采购项目</w:t>
      </w:r>
    </w:p>
    <w:p w14:paraId="629C0F59">
      <w:pPr>
        <w:pStyle w:val="16"/>
        <w:jc w:val="center"/>
        <w:rPr>
          <w:rFonts w:hAnsi="宋体"/>
          <w:bCs/>
          <w:sz w:val="44"/>
          <w:szCs w:val="44"/>
          <w:highlight w:val="none"/>
        </w:rPr>
      </w:pPr>
    </w:p>
    <w:p w14:paraId="393426C1">
      <w:pPr>
        <w:pStyle w:val="16"/>
        <w:jc w:val="center"/>
        <w:rPr>
          <w:rFonts w:hAnsi="宋体"/>
          <w:bCs/>
          <w:sz w:val="44"/>
          <w:szCs w:val="44"/>
          <w:highlight w:val="none"/>
        </w:rPr>
      </w:pPr>
    </w:p>
    <w:p w14:paraId="4BEBE7D7">
      <w:pPr>
        <w:pStyle w:val="16"/>
        <w:jc w:val="center"/>
        <w:rPr>
          <w:rFonts w:hAnsi="宋体"/>
          <w:bCs/>
          <w:sz w:val="44"/>
          <w:szCs w:val="44"/>
          <w:highlight w:val="none"/>
        </w:rPr>
      </w:pPr>
    </w:p>
    <w:p w14:paraId="5282D8DD">
      <w:pPr>
        <w:pStyle w:val="16"/>
        <w:autoSpaceDE w:val="0"/>
        <w:autoSpaceDN w:val="0"/>
        <w:adjustRightInd w:val="0"/>
        <w:spacing w:line="360" w:lineRule="auto"/>
        <w:jc w:val="center"/>
        <w:rPr>
          <w:rFonts w:hAnsi="宋体"/>
          <w:b/>
          <w:bCs/>
          <w:kern w:val="0"/>
          <w:sz w:val="84"/>
          <w:szCs w:val="84"/>
          <w:highlight w:val="none"/>
        </w:rPr>
      </w:pPr>
      <w:r>
        <w:rPr>
          <w:rFonts w:hint="eastAsia" w:hAnsi="宋体"/>
          <w:b/>
          <w:bCs/>
          <w:kern w:val="0"/>
          <w:sz w:val="84"/>
          <w:szCs w:val="84"/>
          <w:highlight w:val="none"/>
        </w:rPr>
        <w:t>招 标 文 件</w:t>
      </w:r>
    </w:p>
    <w:p w14:paraId="6DB86ED7">
      <w:pPr>
        <w:pStyle w:val="16"/>
        <w:ind w:firstLine="3946" w:firstLineChars="897"/>
        <w:rPr>
          <w:rFonts w:hAnsi="宋体"/>
          <w:bCs/>
          <w:sz w:val="44"/>
          <w:szCs w:val="44"/>
          <w:highlight w:val="none"/>
        </w:rPr>
      </w:pPr>
    </w:p>
    <w:p w14:paraId="1A5E70AC">
      <w:pPr>
        <w:pStyle w:val="16"/>
        <w:autoSpaceDE w:val="0"/>
        <w:autoSpaceDN w:val="0"/>
        <w:adjustRightInd w:val="0"/>
        <w:spacing w:line="360" w:lineRule="auto"/>
        <w:jc w:val="center"/>
        <w:rPr>
          <w:rFonts w:hAnsi="宋体"/>
          <w:kern w:val="0"/>
          <w:sz w:val="32"/>
          <w:szCs w:val="32"/>
          <w:highlight w:val="none"/>
        </w:rPr>
      </w:pPr>
      <w:r>
        <w:rPr>
          <w:rFonts w:hint="eastAsia" w:hAnsi="宋体"/>
          <w:kern w:val="0"/>
          <w:sz w:val="32"/>
          <w:szCs w:val="32"/>
          <w:highlight w:val="none"/>
        </w:rPr>
        <w:t>招标编号：YDCTH20260697</w:t>
      </w:r>
    </w:p>
    <w:p w14:paraId="328F90D1">
      <w:pPr>
        <w:pStyle w:val="16"/>
        <w:autoSpaceDE w:val="0"/>
        <w:autoSpaceDN w:val="0"/>
        <w:adjustRightInd w:val="0"/>
        <w:spacing w:line="360" w:lineRule="auto"/>
        <w:jc w:val="center"/>
        <w:rPr>
          <w:rFonts w:hAnsi="宋体"/>
          <w:sz w:val="32"/>
          <w:szCs w:val="32"/>
          <w:highlight w:val="none"/>
        </w:rPr>
      </w:pPr>
      <w:r>
        <w:rPr>
          <w:rFonts w:hint="eastAsia" w:hAnsi="宋体"/>
          <w:kern w:val="0"/>
          <w:sz w:val="32"/>
          <w:szCs w:val="32"/>
          <w:highlight w:val="none"/>
        </w:rPr>
        <w:t>政采云项目编号：KMZC2026-G1-00906-YYZX-0231</w:t>
      </w:r>
    </w:p>
    <w:p w14:paraId="339BFE21">
      <w:pPr>
        <w:pStyle w:val="16"/>
        <w:rPr>
          <w:rFonts w:hAnsi="宋体"/>
          <w:szCs w:val="21"/>
          <w:highlight w:val="none"/>
        </w:rPr>
      </w:pPr>
    </w:p>
    <w:p w14:paraId="6ED28379">
      <w:pPr>
        <w:pStyle w:val="16"/>
        <w:rPr>
          <w:rFonts w:hAnsi="宋体"/>
          <w:szCs w:val="21"/>
          <w:highlight w:val="none"/>
        </w:rPr>
      </w:pPr>
    </w:p>
    <w:p w14:paraId="64D707C9">
      <w:pPr>
        <w:pStyle w:val="16"/>
        <w:rPr>
          <w:rFonts w:hAnsi="宋体"/>
          <w:szCs w:val="21"/>
          <w:highlight w:val="none"/>
        </w:rPr>
      </w:pPr>
    </w:p>
    <w:p w14:paraId="55B8D0AB">
      <w:pPr>
        <w:pStyle w:val="16"/>
        <w:rPr>
          <w:rFonts w:hAnsi="宋体"/>
          <w:szCs w:val="21"/>
          <w:highlight w:val="none"/>
        </w:rPr>
      </w:pPr>
    </w:p>
    <w:p w14:paraId="492806DB">
      <w:pPr>
        <w:pStyle w:val="16"/>
        <w:rPr>
          <w:rFonts w:hAnsi="宋体"/>
          <w:bCs/>
          <w:szCs w:val="21"/>
          <w:highlight w:val="none"/>
        </w:rPr>
      </w:pPr>
    </w:p>
    <w:p w14:paraId="311E7A4C">
      <w:pPr>
        <w:pStyle w:val="16"/>
        <w:rPr>
          <w:rFonts w:hAnsi="宋体"/>
          <w:bCs/>
          <w:szCs w:val="21"/>
          <w:highlight w:val="none"/>
        </w:rPr>
      </w:pPr>
    </w:p>
    <w:p w14:paraId="4961989A">
      <w:pPr>
        <w:pStyle w:val="16"/>
        <w:rPr>
          <w:rFonts w:hAnsi="宋体"/>
          <w:bCs/>
          <w:szCs w:val="21"/>
          <w:highlight w:val="none"/>
        </w:rPr>
      </w:pPr>
    </w:p>
    <w:p w14:paraId="7A6F35F9">
      <w:pPr>
        <w:pStyle w:val="16"/>
        <w:rPr>
          <w:rFonts w:hAnsi="宋体"/>
          <w:bCs/>
          <w:szCs w:val="21"/>
          <w:highlight w:val="none"/>
        </w:rPr>
      </w:pPr>
    </w:p>
    <w:p w14:paraId="1BEE17C3">
      <w:pPr>
        <w:pStyle w:val="16"/>
        <w:rPr>
          <w:rFonts w:hAnsi="宋体"/>
          <w:bCs/>
          <w:szCs w:val="21"/>
          <w:highlight w:val="none"/>
        </w:rPr>
      </w:pPr>
    </w:p>
    <w:p w14:paraId="1D3952B0">
      <w:pPr>
        <w:pStyle w:val="16"/>
        <w:rPr>
          <w:rFonts w:hAnsi="宋体"/>
          <w:bCs/>
          <w:szCs w:val="21"/>
          <w:highlight w:val="none"/>
        </w:rPr>
      </w:pPr>
    </w:p>
    <w:p w14:paraId="65CBEFC1">
      <w:pPr>
        <w:pStyle w:val="16"/>
        <w:rPr>
          <w:rFonts w:hAnsi="宋体"/>
          <w:bCs/>
          <w:szCs w:val="21"/>
          <w:highlight w:val="none"/>
        </w:rPr>
      </w:pPr>
    </w:p>
    <w:p w14:paraId="71F708A5">
      <w:pPr>
        <w:pStyle w:val="16"/>
        <w:rPr>
          <w:rFonts w:hAnsi="宋体"/>
          <w:bCs/>
          <w:szCs w:val="21"/>
          <w:highlight w:val="none"/>
        </w:rPr>
      </w:pPr>
    </w:p>
    <w:p w14:paraId="70FEB0EF">
      <w:pPr>
        <w:pStyle w:val="16"/>
        <w:rPr>
          <w:rFonts w:hAnsi="宋体"/>
          <w:bCs/>
          <w:szCs w:val="21"/>
          <w:highlight w:val="none"/>
        </w:rPr>
      </w:pPr>
    </w:p>
    <w:p w14:paraId="0FD4D065">
      <w:pPr>
        <w:pStyle w:val="16"/>
        <w:jc w:val="center"/>
        <w:rPr>
          <w:rFonts w:hAnsi="宋体"/>
          <w:b/>
          <w:bCs/>
          <w:sz w:val="32"/>
          <w:szCs w:val="32"/>
          <w:highlight w:val="none"/>
        </w:rPr>
      </w:pPr>
      <w:r>
        <w:rPr>
          <w:rFonts w:hint="eastAsia" w:hAnsi="宋体"/>
          <w:b/>
          <w:bCs/>
          <w:sz w:val="32"/>
          <w:szCs w:val="32"/>
          <w:highlight w:val="none"/>
        </w:rPr>
        <w:t xml:space="preserve">采 购 </w:t>
      </w:r>
      <w:r>
        <w:rPr>
          <w:rFonts w:hAnsi="宋体"/>
          <w:b/>
          <w:bCs/>
          <w:sz w:val="32"/>
          <w:szCs w:val="32"/>
          <w:highlight w:val="none"/>
        </w:rPr>
        <w:t>人</w:t>
      </w:r>
      <w:r>
        <w:rPr>
          <w:rFonts w:hint="eastAsia" w:hAnsi="宋体"/>
          <w:b/>
          <w:bCs/>
          <w:sz w:val="32"/>
          <w:szCs w:val="32"/>
          <w:highlight w:val="none"/>
        </w:rPr>
        <w:t>：昆明市妇幼保健院</w:t>
      </w:r>
    </w:p>
    <w:p w14:paraId="11E5F8DE">
      <w:pPr>
        <w:pStyle w:val="16"/>
        <w:jc w:val="center"/>
        <w:rPr>
          <w:rFonts w:hint="eastAsia" w:hAnsi="宋体" w:eastAsia="宋体"/>
          <w:b/>
          <w:bCs/>
          <w:sz w:val="32"/>
          <w:szCs w:val="32"/>
          <w:highlight w:val="none"/>
          <w:lang w:eastAsia="zh-CN"/>
        </w:rPr>
      </w:pPr>
      <w:r>
        <w:rPr>
          <w:rFonts w:hint="eastAsia" w:hAnsi="宋体"/>
          <w:b/>
          <w:bCs/>
          <w:sz w:val="32"/>
          <w:szCs w:val="32"/>
          <w:highlight w:val="none"/>
        </w:rPr>
        <w:t>采购代理机构：</w:t>
      </w:r>
      <w:r>
        <w:rPr>
          <w:rFonts w:hint="eastAsia" w:hAnsi="宋体"/>
          <w:b/>
          <w:bCs/>
          <w:sz w:val="32"/>
          <w:szCs w:val="32"/>
          <w:highlight w:val="none"/>
          <w:lang w:eastAsia="zh-CN"/>
        </w:rPr>
        <w:t>云南元大工程咨询有限责任公司</w:t>
      </w:r>
    </w:p>
    <w:p w14:paraId="6435A7BA">
      <w:pPr>
        <w:pStyle w:val="16"/>
        <w:jc w:val="center"/>
        <w:rPr>
          <w:rFonts w:hAnsi="宋体"/>
          <w:b/>
          <w:szCs w:val="21"/>
          <w:highlight w:val="none"/>
        </w:rPr>
      </w:pPr>
      <w:r>
        <w:rPr>
          <w:rFonts w:hAnsi="宋体"/>
          <w:b/>
          <w:bCs/>
          <w:sz w:val="32"/>
          <w:szCs w:val="32"/>
          <w:highlight w:val="none"/>
        </w:rPr>
        <w:t>202</w:t>
      </w:r>
      <w:r>
        <w:rPr>
          <w:rFonts w:hint="eastAsia" w:hAnsi="宋体"/>
          <w:b/>
          <w:bCs/>
          <w:sz w:val="32"/>
          <w:szCs w:val="32"/>
          <w:highlight w:val="none"/>
          <w:lang w:val="en-US" w:eastAsia="zh-CN"/>
        </w:rPr>
        <w:t>6</w:t>
      </w:r>
      <w:r>
        <w:rPr>
          <w:rFonts w:hint="eastAsia" w:hAnsi="宋体"/>
          <w:b/>
          <w:bCs/>
          <w:sz w:val="32"/>
          <w:szCs w:val="32"/>
          <w:highlight w:val="none"/>
        </w:rPr>
        <w:t>年</w:t>
      </w:r>
      <w:r>
        <w:rPr>
          <w:rFonts w:hint="eastAsia" w:hAnsi="宋体"/>
          <w:b/>
          <w:bCs/>
          <w:sz w:val="32"/>
          <w:szCs w:val="32"/>
          <w:highlight w:val="none"/>
          <w:lang w:val="en-US" w:eastAsia="zh-CN"/>
        </w:rPr>
        <w:t>5</w:t>
      </w:r>
      <w:r>
        <w:rPr>
          <w:rFonts w:hint="eastAsia" w:hAnsi="宋体"/>
          <w:b/>
          <w:bCs/>
          <w:sz w:val="32"/>
          <w:szCs w:val="32"/>
          <w:highlight w:val="none"/>
        </w:rPr>
        <w:t>月</w:t>
      </w:r>
    </w:p>
    <w:p w14:paraId="1B6DB3B2">
      <w:pPr>
        <w:pStyle w:val="16"/>
        <w:jc w:val="center"/>
        <w:rPr>
          <w:rFonts w:hAnsi="宋体"/>
          <w:szCs w:val="21"/>
          <w:highlight w:val="none"/>
        </w:rPr>
      </w:pPr>
      <w:r>
        <w:rPr>
          <w:rFonts w:hAnsi="宋体"/>
          <w:b/>
          <w:szCs w:val="21"/>
          <w:highlight w:val="none"/>
        </w:rPr>
        <w:br w:type="page"/>
      </w:r>
    </w:p>
    <w:p w14:paraId="68251AC7">
      <w:pPr>
        <w:pStyle w:val="16"/>
        <w:snapToGrid w:val="0"/>
        <w:spacing w:line="360" w:lineRule="auto"/>
        <w:jc w:val="center"/>
        <w:rPr>
          <w:rFonts w:hAnsi="宋体"/>
          <w:szCs w:val="21"/>
          <w:highlight w:val="none"/>
        </w:rPr>
      </w:pPr>
    </w:p>
    <w:p w14:paraId="7EC484D4">
      <w:pPr>
        <w:pStyle w:val="16"/>
        <w:snapToGrid w:val="0"/>
        <w:spacing w:line="360" w:lineRule="auto"/>
        <w:jc w:val="center"/>
        <w:rPr>
          <w:rFonts w:hAnsi="宋体"/>
          <w:b/>
          <w:sz w:val="24"/>
          <w:szCs w:val="24"/>
          <w:highlight w:val="none"/>
        </w:rPr>
      </w:pPr>
      <w:r>
        <w:rPr>
          <w:rFonts w:hint="eastAsia" w:hAnsi="宋体"/>
          <w:b/>
          <w:sz w:val="24"/>
          <w:szCs w:val="24"/>
          <w:highlight w:val="none"/>
        </w:rPr>
        <w:t>目     录</w:t>
      </w:r>
    </w:p>
    <w:p w14:paraId="4AE9AB7A">
      <w:pPr>
        <w:pStyle w:val="22"/>
        <w:tabs>
          <w:tab w:val="right" w:leader="dot" w:pos="9354"/>
          <w:tab w:val="clear" w:pos="9628"/>
        </w:tabs>
      </w:pPr>
      <w:r>
        <w:rPr>
          <w:rFonts w:ascii="宋体" w:hAnsi="宋体"/>
          <w:bCs w:val="0"/>
          <w:caps w:val="0"/>
          <w:smallCaps/>
          <w:sz w:val="21"/>
          <w:szCs w:val="21"/>
          <w:highlight w:val="none"/>
        </w:rPr>
        <w:fldChar w:fldCharType="begin"/>
      </w:r>
      <w:r>
        <w:rPr>
          <w:rFonts w:ascii="宋体" w:hAnsi="宋体"/>
          <w:bCs w:val="0"/>
          <w:caps w:val="0"/>
          <w:smallCaps/>
          <w:sz w:val="21"/>
          <w:szCs w:val="21"/>
          <w:highlight w:val="none"/>
        </w:rPr>
        <w:instrText xml:space="preserve"> TOC \o "1-2" \h \z \u </w:instrText>
      </w:r>
      <w:r>
        <w:rPr>
          <w:rFonts w:ascii="宋体" w:hAnsi="宋体"/>
          <w:bCs w:val="0"/>
          <w:caps w:val="0"/>
          <w:smallCaps/>
          <w:sz w:val="21"/>
          <w:szCs w:val="21"/>
          <w:highlight w:val="none"/>
        </w:rPr>
        <w:fldChar w:fldCharType="separate"/>
      </w:r>
      <w:r>
        <w:rPr>
          <w:rFonts w:ascii="宋体" w:hAnsi="宋体"/>
          <w:bCs w:val="0"/>
          <w:caps w:val="0"/>
          <w:smallCaps/>
          <w:szCs w:val="21"/>
          <w:highlight w:val="none"/>
        </w:rPr>
        <w:fldChar w:fldCharType="begin"/>
      </w:r>
      <w:r>
        <w:rPr>
          <w:rFonts w:ascii="宋体" w:hAnsi="宋体"/>
          <w:bCs w:val="0"/>
          <w:caps w:val="0"/>
          <w:smallCaps/>
          <w:szCs w:val="21"/>
          <w:highlight w:val="none"/>
        </w:rPr>
        <w:instrText xml:space="preserve"> HYPERLINK \l _Toc15988 </w:instrText>
      </w:r>
      <w:r>
        <w:rPr>
          <w:rFonts w:ascii="宋体" w:hAnsi="宋体"/>
          <w:bCs w:val="0"/>
          <w:caps w:val="0"/>
          <w:smallCaps/>
          <w:szCs w:val="21"/>
          <w:highlight w:val="none"/>
        </w:rPr>
        <w:fldChar w:fldCharType="separate"/>
      </w:r>
      <w:r>
        <w:rPr>
          <w:rFonts w:hint="default" w:ascii="宋体" w:hAnsi="宋体" w:eastAsia="宋体"/>
          <w:szCs w:val="36"/>
        </w:rPr>
        <w:t xml:space="preserve">第一章 </w:t>
      </w:r>
      <w:r>
        <w:rPr>
          <w:rFonts w:hint="eastAsia" w:ascii="宋体" w:hAnsi="宋体" w:eastAsia="宋体"/>
          <w:szCs w:val="36"/>
          <w:highlight w:val="none"/>
        </w:rPr>
        <w:t>公开招标公告</w:t>
      </w:r>
      <w:r>
        <w:tab/>
      </w:r>
      <w:r>
        <w:fldChar w:fldCharType="begin"/>
      </w:r>
      <w:r>
        <w:instrText xml:space="preserve"> PAGEREF _Toc15988 \h </w:instrText>
      </w:r>
      <w:r>
        <w:fldChar w:fldCharType="separate"/>
      </w:r>
      <w:r>
        <w:t>1</w:t>
      </w:r>
      <w:r>
        <w:fldChar w:fldCharType="end"/>
      </w:r>
      <w:r>
        <w:rPr>
          <w:rFonts w:ascii="宋体" w:hAnsi="宋体"/>
          <w:bCs w:val="0"/>
          <w:caps w:val="0"/>
          <w:smallCaps/>
          <w:szCs w:val="21"/>
          <w:highlight w:val="none"/>
        </w:rPr>
        <w:fldChar w:fldCharType="end"/>
      </w:r>
    </w:p>
    <w:p w14:paraId="5C9F0C01">
      <w:pPr>
        <w:pStyle w:val="22"/>
        <w:tabs>
          <w:tab w:val="right" w:leader="dot" w:pos="9354"/>
          <w:tab w:val="clear" w:pos="9628"/>
        </w:tabs>
      </w:pPr>
      <w:r>
        <w:rPr>
          <w:rFonts w:ascii="宋体" w:hAnsi="宋体"/>
          <w:bCs/>
          <w:caps/>
          <w:smallCaps w:val="0"/>
          <w:szCs w:val="21"/>
          <w:highlight w:val="none"/>
        </w:rPr>
        <w:fldChar w:fldCharType="begin"/>
      </w:r>
      <w:r>
        <w:rPr>
          <w:rFonts w:ascii="宋体" w:hAnsi="宋体"/>
          <w:bCs/>
          <w:caps/>
          <w:smallCaps w:val="0"/>
          <w:szCs w:val="21"/>
          <w:highlight w:val="none"/>
        </w:rPr>
        <w:instrText xml:space="preserve"> HYPERLINK \l _Toc2087 </w:instrText>
      </w:r>
      <w:r>
        <w:rPr>
          <w:rFonts w:ascii="宋体" w:hAnsi="宋体"/>
          <w:bCs/>
          <w:caps/>
          <w:smallCaps w:val="0"/>
          <w:szCs w:val="21"/>
          <w:highlight w:val="none"/>
        </w:rPr>
        <w:fldChar w:fldCharType="separate"/>
      </w:r>
      <w:r>
        <w:rPr>
          <w:rFonts w:hint="eastAsia" w:ascii="宋体" w:hAnsi="宋体"/>
          <w:bCs w:val="0"/>
          <w:kern w:val="44"/>
          <w:szCs w:val="36"/>
          <w:highlight w:val="none"/>
        </w:rPr>
        <w:t>第二章 投标人须知</w:t>
      </w:r>
      <w:r>
        <w:tab/>
      </w:r>
      <w:r>
        <w:fldChar w:fldCharType="begin"/>
      </w:r>
      <w:r>
        <w:instrText xml:space="preserve"> PAGEREF _Toc2087 \h </w:instrText>
      </w:r>
      <w:r>
        <w:fldChar w:fldCharType="separate"/>
      </w:r>
      <w:r>
        <w:t>4</w:t>
      </w:r>
      <w:r>
        <w:fldChar w:fldCharType="end"/>
      </w:r>
      <w:r>
        <w:rPr>
          <w:rFonts w:ascii="宋体" w:hAnsi="宋体"/>
          <w:bCs/>
          <w:caps/>
          <w:smallCaps w:val="0"/>
          <w:szCs w:val="21"/>
          <w:highlight w:val="none"/>
        </w:rPr>
        <w:fldChar w:fldCharType="end"/>
      </w:r>
    </w:p>
    <w:p w14:paraId="47FF1046">
      <w:pPr>
        <w:pStyle w:val="22"/>
        <w:tabs>
          <w:tab w:val="right" w:leader="dot" w:pos="9354"/>
          <w:tab w:val="clear" w:pos="9628"/>
        </w:tabs>
      </w:pPr>
      <w:r>
        <w:rPr>
          <w:rFonts w:ascii="宋体" w:hAnsi="宋体"/>
          <w:bCs/>
          <w:caps/>
          <w:smallCaps w:val="0"/>
          <w:szCs w:val="21"/>
          <w:highlight w:val="none"/>
        </w:rPr>
        <w:fldChar w:fldCharType="begin"/>
      </w:r>
      <w:r>
        <w:rPr>
          <w:rFonts w:ascii="宋体" w:hAnsi="宋体"/>
          <w:bCs/>
          <w:caps/>
          <w:smallCaps w:val="0"/>
          <w:szCs w:val="21"/>
          <w:highlight w:val="none"/>
        </w:rPr>
        <w:instrText xml:space="preserve"> HYPERLINK \l _Toc19204 </w:instrText>
      </w:r>
      <w:r>
        <w:rPr>
          <w:rFonts w:ascii="宋体" w:hAnsi="宋体"/>
          <w:bCs/>
          <w:caps/>
          <w:smallCaps w:val="0"/>
          <w:szCs w:val="21"/>
          <w:highlight w:val="none"/>
        </w:rPr>
        <w:fldChar w:fldCharType="separate"/>
      </w:r>
      <w:r>
        <w:rPr>
          <w:rFonts w:hint="eastAsia" w:ascii="宋体" w:hAnsi="宋体" w:eastAsia="宋体"/>
          <w:bCs/>
          <w:szCs w:val="36"/>
          <w:highlight w:val="none"/>
        </w:rPr>
        <w:t>第三章 合同书样式及主要条款</w:t>
      </w:r>
      <w:r>
        <w:tab/>
      </w:r>
      <w:r>
        <w:fldChar w:fldCharType="begin"/>
      </w:r>
      <w:r>
        <w:instrText xml:space="preserve"> PAGEREF _Toc19204 \h </w:instrText>
      </w:r>
      <w:r>
        <w:fldChar w:fldCharType="separate"/>
      </w:r>
      <w:r>
        <w:t>21</w:t>
      </w:r>
      <w:r>
        <w:fldChar w:fldCharType="end"/>
      </w:r>
      <w:r>
        <w:rPr>
          <w:rFonts w:ascii="宋体" w:hAnsi="宋体"/>
          <w:bCs/>
          <w:caps/>
          <w:smallCaps w:val="0"/>
          <w:szCs w:val="21"/>
          <w:highlight w:val="none"/>
        </w:rPr>
        <w:fldChar w:fldCharType="end"/>
      </w:r>
    </w:p>
    <w:p w14:paraId="7E4C0272">
      <w:pPr>
        <w:pStyle w:val="22"/>
        <w:tabs>
          <w:tab w:val="right" w:leader="dot" w:pos="9354"/>
          <w:tab w:val="clear" w:pos="9628"/>
        </w:tabs>
      </w:pPr>
      <w:r>
        <w:rPr>
          <w:rFonts w:ascii="宋体" w:hAnsi="宋体"/>
          <w:bCs/>
          <w:caps/>
          <w:smallCaps w:val="0"/>
          <w:szCs w:val="21"/>
          <w:highlight w:val="none"/>
        </w:rPr>
        <w:fldChar w:fldCharType="begin"/>
      </w:r>
      <w:r>
        <w:rPr>
          <w:rFonts w:ascii="宋体" w:hAnsi="宋体"/>
          <w:bCs/>
          <w:caps/>
          <w:smallCaps w:val="0"/>
          <w:szCs w:val="21"/>
          <w:highlight w:val="none"/>
        </w:rPr>
        <w:instrText xml:space="preserve"> HYPERLINK \l _Toc1914 </w:instrText>
      </w:r>
      <w:r>
        <w:rPr>
          <w:rFonts w:ascii="宋体" w:hAnsi="宋体"/>
          <w:bCs/>
          <w:caps/>
          <w:smallCaps w:val="0"/>
          <w:szCs w:val="21"/>
          <w:highlight w:val="none"/>
        </w:rPr>
        <w:fldChar w:fldCharType="separate"/>
      </w:r>
      <w:r>
        <w:rPr>
          <w:rFonts w:hint="eastAsia" w:ascii="宋体" w:hAnsi="宋体" w:eastAsia="宋体"/>
          <w:bCs/>
          <w:szCs w:val="36"/>
          <w:highlight w:val="none"/>
        </w:rPr>
        <w:t>第四章  投标文件格式</w:t>
      </w:r>
      <w:r>
        <w:tab/>
      </w:r>
      <w:r>
        <w:fldChar w:fldCharType="begin"/>
      </w:r>
      <w:r>
        <w:instrText xml:space="preserve"> PAGEREF _Toc1914 \h </w:instrText>
      </w:r>
      <w:r>
        <w:fldChar w:fldCharType="separate"/>
      </w:r>
      <w:r>
        <w:t>37</w:t>
      </w:r>
      <w:r>
        <w:fldChar w:fldCharType="end"/>
      </w:r>
      <w:r>
        <w:rPr>
          <w:rFonts w:ascii="宋体" w:hAnsi="宋体"/>
          <w:bCs/>
          <w:caps/>
          <w:smallCaps w:val="0"/>
          <w:szCs w:val="21"/>
          <w:highlight w:val="none"/>
        </w:rPr>
        <w:fldChar w:fldCharType="end"/>
      </w:r>
    </w:p>
    <w:p w14:paraId="3E61AF71">
      <w:pPr>
        <w:pStyle w:val="22"/>
        <w:tabs>
          <w:tab w:val="right" w:leader="dot" w:pos="9354"/>
          <w:tab w:val="clear" w:pos="9628"/>
        </w:tabs>
      </w:pPr>
      <w:r>
        <w:rPr>
          <w:rFonts w:ascii="宋体" w:hAnsi="宋体"/>
          <w:bCs/>
          <w:caps/>
          <w:smallCaps w:val="0"/>
          <w:szCs w:val="21"/>
          <w:highlight w:val="none"/>
        </w:rPr>
        <w:fldChar w:fldCharType="begin"/>
      </w:r>
      <w:r>
        <w:rPr>
          <w:rFonts w:ascii="宋体" w:hAnsi="宋体"/>
          <w:bCs/>
          <w:caps/>
          <w:smallCaps w:val="0"/>
          <w:szCs w:val="21"/>
          <w:highlight w:val="none"/>
        </w:rPr>
        <w:instrText xml:space="preserve"> HYPERLINK \l _Toc8114 </w:instrText>
      </w:r>
      <w:r>
        <w:rPr>
          <w:rFonts w:ascii="宋体" w:hAnsi="宋体"/>
          <w:bCs/>
          <w:caps/>
          <w:smallCaps w:val="0"/>
          <w:szCs w:val="21"/>
          <w:highlight w:val="none"/>
        </w:rPr>
        <w:fldChar w:fldCharType="separate"/>
      </w:r>
      <w:r>
        <w:rPr>
          <w:rFonts w:hint="eastAsia" w:ascii="宋体" w:hAnsi="宋体" w:eastAsia="宋体"/>
          <w:bCs/>
          <w:szCs w:val="36"/>
          <w:highlight w:val="none"/>
        </w:rPr>
        <w:t>第五章  货物需求及技术要求</w:t>
      </w:r>
      <w:r>
        <w:tab/>
      </w:r>
      <w:r>
        <w:fldChar w:fldCharType="begin"/>
      </w:r>
      <w:r>
        <w:instrText xml:space="preserve"> PAGEREF _Toc8114 \h </w:instrText>
      </w:r>
      <w:r>
        <w:fldChar w:fldCharType="separate"/>
      </w:r>
      <w:r>
        <w:t>70</w:t>
      </w:r>
      <w:r>
        <w:fldChar w:fldCharType="end"/>
      </w:r>
      <w:r>
        <w:rPr>
          <w:rFonts w:ascii="宋体" w:hAnsi="宋体"/>
          <w:bCs/>
          <w:caps/>
          <w:smallCaps w:val="0"/>
          <w:szCs w:val="21"/>
          <w:highlight w:val="none"/>
        </w:rPr>
        <w:fldChar w:fldCharType="end"/>
      </w:r>
    </w:p>
    <w:p w14:paraId="0B09E1E3">
      <w:pPr>
        <w:pStyle w:val="22"/>
        <w:tabs>
          <w:tab w:val="right" w:leader="dot" w:pos="9354"/>
          <w:tab w:val="clear" w:pos="9628"/>
        </w:tabs>
      </w:pPr>
      <w:r>
        <w:rPr>
          <w:rFonts w:ascii="宋体" w:hAnsi="宋体"/>
          <w:bCs/>
          <w:caps/>
          <w:smallCaps w:val="0"/>
          <w:szCs w:val="21"/>
          <w:highlight w:val="none"/>
        </w:rPr>
        <w:fldChar w:fldCharType="begin"/>
      </w:r>
      <w:r>
        <w:rPr>
          <w:rFonts w:ascii="宋体" w:hAnsi="宋体"/>
          <w:bCs/>
          <w:caps/>
          <w:smallCaps w:val="0"/>
          <w:szCs w:val="21"/>
          <w:highlight w:val="none"/>
        </w:rPr>
        <w:instrText xml:space="preserve"> HYPERLINK \l _Toc6025 </w:instrText>
      </w:r>
      <w:r>
        <w:rPr>
          <w:rFonts w:ascii="宋体" w:hAnsi="宋体"/>
          <w:bCs/>
          <w:caps/>
          <w:smallCaps w:val="0"/>
          <w:szCs w:val="21"/>
          <w:highlight w:val="none"/>
        </w:rPr>
        <w:fldChar w:fldCharType="separate"/>
      </w:r>
      <w:r>
        <w:rPr>
          <w:rFonts w:hint="eastAsia" w:ascii="宋体" w:hAnsi="宋体" w:eastAsia="宋体"/>
          <w:bCs/>
          <w:szCs w:val="36"/>
          <w:highlight w:val="none"/>
        </w:rPr>
        <w:t>第六章 资格评审标准</w:t>
      </w:r>
      <w:r>
        <w:tab/>
      </w:r>
      <w:r>
        <w:fldChar w:fldCharType="begin"/>
      </w:r>
      <w:r>
        <w:instrText xml:space="preserve"> PAGEREF _Toc6025 \h </w:instrText>
      </w:r>
      <w:r>
        <w:fldChar w:fldCharType="separate"/>
      </w:r>
      <w:r>
        <w:t>104</w:t>
      </w:r>
      <w:r>
        <w:fldChar w:fldCharType="end"/>
      </w:r>
      <w:r>
        <w:rPr>
          <w:rFonts w:ascii="宋体" w:hAnsi="宋体"/>
          <w:bCs/>
          <w:caps/>
          <w:smallCaps w:val="0"/>
          <w:szCs w:val="21"/>
          <w:highlight w:val="none"/>
        </w:rPr>
        <w:fldChar w:fldCharType="end"/>
      </w:r>
    </w:p>
    <w:p w14:paraId="1B4C117D">
      <w:pPr>
        <w:pStyle w:val="22"/>
        <w:tabs>
          <w:tab w:val="right" w:leader="dot" w:pos="9354"/>
          <w:tab w:val="clear" w:pos="9628"/>
        </w:tabs>
      </w:pPr>
      <w:r>
        <w:rPr>
          <w:rFonts w:ascii="宋体" w:hAnsi="宋体"/>
          <w:bCs/>
          <w:caps/>
          <w:smallCaps w:val="0"/>
          <w:szCs w:val="21"/>
          <w:highlight w:val="none"/>
        </w:rPr>
        <w:fldChar w:fldCharType="begin"/>
      </w:r>
      <w:r>
        <w:rPr>
          <w:rFonts w:ascii="宋体" w:hAnsi="宋体"/>
          <w:bCs/>
          <w:caps/>
          <w:smallCaps w:val="0"/>
          <w:szCs w:val="21"/>
          <w:highlight w:val="none"/>
        </w:rPr>
        <w:instrText xml:space="preserve"> HYPERLINK \l _Toc5416 </w:instrText>
      </w:r>
      <w:r>
        <w:rPr>
          <w:rFonts w:ascii="宋体" w:hAnsi="宋体"/>
          <w:bCs/>
          <w:caps/>
          <w:smallCaps w:val="0"/>
          <w:szCs w:val="21"/>
          <w:highlight w:val="none"/>
        </w:rPr>
        <w:fldChar w:fldCharType="separate"/>
      </w:r>
      <w:r>
        <w:rPr>
          <w:rFonts w:hint="eastAsia" w:ascii="宋体" w:hAnsi="宋体" w:eastAsia="宋体"/>
          <w:bCs/>
          <w:szCs w:val="36"/>
          <w:highlight w:val="none"/>
        </w:rPr>
        <w:t>第七章 评标方法（综合评分法）</w:t>
      </w:r>
      <w:r>
        <w:tab/>
      </w:r>
      <w:r>
        <w:fldChar w:fldCharType="begin"/>
      </w:r>
      <w:r>
        <w:instrText xml:space="preserve"> PAGEREF _Toc5416 \h </w:instrText>
      </w:r>
      <w:r>
        <w:fldChar w:fldCharType="separate"/>
      </w:r>
      <w:r>
        <w:t>106</w:t>
      </w:r>
      <w:r>
        <w:fldChar w:fldCharType="end"/>
      </w:r>
      <w:r>
        <w:rPr>
          <w:rFonts w:ascii="宋体" w:hAnsi="宋体"/>
          <w:bCs/>
          <w:caps/>
          <w:smallCaps w:val="0"/>
          <w:szCs w:val="21"/>
          <w:highlight w:val="none"/>
        </w:rPr>
        <w:fldChar w:fldCharType="end"/>
      </w:r>
    </w:p>
    <w:p w14:paraId="2F2F8654">
      <w:pPr>
        <w:pStyle w:val="24"/>
        <w:adjustRightInd w:val="0"/>
        <w:snapToGrid w:val="0"/>
        <w:spacing w:line="360" w:lineRule="auto"/>
        <w:ind w:left="0"/>
        <w:rPr>
          <w:rFonts w:ascii="宋体" w:hAnsi="宋体"/>
          <w:sz w:val="21"/>
          <w:szCs w:val="21"/>
          <w:highlight w:val="none"/>
        </w:rPr>
        <w:sectPr>
          <w:footerReference r:id="rId6" w:type="first"/>
          <w:headerReference r:id="rId3" w:type="default"/>
          <w:footerReference r:id="rId4" w:type="default"/>
          <w:footerReference r:id="rId5" w:type="even"/>
          <w:pgSz w:w="11906" w:h="16838"/>
          <w:pgMar w:top="1134" w:right="1276" w:bottom="1134" w:left="1276" w:header="720" w:footer="720" w:gutter="0"/>
          <w:pgBorders>
            <w:top w:val="none" w:sz="0" w:space="0"/>
            <w:left w:val="none" w:sz="0" w:space="0"/>
            <w:bottom w:val="none" w:sz="0" w:space="0"/>
            <w:right w:val="none" w:sz="0" w:space="0"/>
          </w:pgBorders>
          <w:cols w:space="720" w:num="1"/>
          <w:titlePg/>
          <w:docGrid w:linePitch="331" w:charSpace="0"/>
        </w:sectPr>
      </w:pPr>
      <w:r>
        <w:rPr>
          <w:rFonts w:ascii="宋体" w:hAnsi="宋体"/>
          <w:bCs/>
          <w:caps/>
          <w:smallCaps w:val="0"/>
          <w:szCs w:val="21"/>
          <w:highlight w:val="none"/>
        </w:rPr>
        <w:fldChar w:fldCharType="end"/>
      </w:r>
    </w:p>
    <w:p w14:paraId="1CFE58E3">
      <w:pPr>
        <w:pStyle w:val="4"/>
        <w:numPr>
          <w:ilvl w:val="0"/>
          <w:numId w:val="4"/>
        </w:numPr>
        <w:jc w:val="center"/>
        <w:rPr>
          <w:rFonts w:ascii="宋体" w:hAnsi="宋体" w:eastAsia="宋体"/>
          <w:sz w:val="36"/>
          <w:szCs w:val="36"/>
          <w:highlight w:val="none"/>
        </w:rPr>
      </w:pPr>
      <w:bookmarkStart w:id="0" w:name="_Toc15988"/>
      <w:r>
        <w:rPr>
          <w:rFonts w:hint="eastAsia" w:ascii="宋体" w:hAnsi="宋体" w:eastAsia="宋体"/>
          <w:sz w:val="36"/>
          <w:szCs w:val="36"/>
          <w:highlight w:val="none"/>
        </w:rPr>
        <w:t>公开招标公告</w:t>
      </w:r>
      <w:bookmarkEnd w:id="0"/>
    </w:p>
    <w:p w14:paraId="2846C87D">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szCs w:val="21"/>
          <w:highlight w:val="none"/>
        </w:rPr>
      </w:pPr>
      <w:bookmarkStart w:id="1" w:name="OLE_LINK1"/>
      <w:r>
        <w:rPr>
          <w:rFonts w:hint="eastAsia" w:ascii="宋体" w:hAnsi="宋体"/>
          <w:szCs w:val="21"/>
          <w:highlight w:val="none"/>
          <w:u w:val="single"/>
          <w:lang w:eastAsia="zh-CN"/>
        </w:rPr>
        <w:t>昆明市妇幼保健院便携式彩色多普勒超声诊断仪等医疗设备采购项目</w:t>
      </w:r>
      <w:r>
        <w:rPr>
          <w:rFonts w:hint="eastAsia" w:ascii="宋体" w:hAnsi="宋体"/>
          <w:szCs w:val="21"/>
          <w:highlight w:val="none"/>
        </w:rPr>
        <w:t>的潜在投标人应在云南省电子交易平台（政采云平台</w:t>
      </w:r>
      <w:r>
        <w:rPr>
          <w:highlight w:val="none"/>
        </w:rPr>
        <w:fldChar w:fldCharType="begin"/>
      </w:r>
      <w:r>
        <w:rPr>
          <w:highlight w:val="none"/>
        </w:rPr>
        <w:instrText xml:space="preserve"> HYPERLINK "https://www.zcygov.cn/）获取招标文件，并于2025年" </w:instrText>
      </w:r>
      <w:r>
        <w:rPr>
          <w:highlight w:val="none"/>
        </w:rPr>
        <w:fldChar w:fldCharType="separate"/>
      </w:r>
      <w:r>
        <w:rPr>
          <w:rStyle w:val="37"/>
          <w:rFonts w:hint="eastAsia" w:ascii="宋体" w:hAnsi="宋体"/>
          <w:color w:val="auto"/>
          <w:szCs w:val="21"/>
          <w:highlight w:val="none"/>
        </w:rPr>
        <w:t>https://www.zcygov.cn/）获取招标文件，并于20</w:t>
      </w:r>
      <w:r>
        <w:rPr>
          <w:rStyle w:val="37"/>
          <w:rFonts w:hint="eastAsia" w:ascii="宋体" w:hAnsi="宋体"/>
          <w:color w:val="auto"/>
          <w:szCs w:val="21"/>
          <w:highlight w:val="none"/>
          <w:lang w:val="en-US" w:eastAsia="zh-CN"/>
        </w:rPr>
        <w:t>26</w:t>
      </w:r>
      <w:r>
        <w:rPr>
          <w:rStyle w:val="37"/>
          <w:rFonts w:hint="eastAsia" w:ascii="宋体" w:hAnsi="宋体"/>
          <w:color w:val="auto"/>
          <w:szCs w:val="21"/>
          <w:highlight w:val="none"/>
        </w:rPr>
        <w:t>年</w:t>
      </w:r>
      <w:r>
        <w:rPr>
          <w:rStyle w:val="37"/>
          <w:rFonts w:hint="eastAsia" w:ascii="宋体" w:hAnsi="宋体"/>
          <w:color w:val="auto"/>
          <w:szCs w:val="21"/>
          <w:highlight w:val="none"/>
        </w:rPr>
        <w:fldChar w:fldCharType="end"/>
      </w:r>
      <w:r>
        <w:rPr>
          <w:rFonts w:hint="eastAsia" w:ascii="宋体" w:hAnsi="宋体"/>
          <w:szCs w:val="21"/>
          <w:highlight w:val="none"/>
          <w:u w:val="single"/>
          <w:lang w:val="en-US" w:eastAsia="zh-CN"/>
        </w:rPr>
        <w:t>6</w:t>
      </w:r>
      <w:r>
        <w:rPr>
          <w:rFonts w:hint="eastAsia" w:ascii="宋体" w:hAnsi="宋体"/>
          <w:szCs w:val="21"/>
          <w:highlight w:val="none"/>
          <w:u w:val="single"/>
        </w:rPr>
        <w:t>月</w:t>
      </w:r>
      <w:r>
        <w:rPr>
          <w:rFonts w:hint="eastAsia" w:ascii="宋体" w:hAnsi="宋体"/>
          <w:szCs w:val="21"/>
          <w:highlight w:val="none"/>
          <w:u w:val="single"/>
          <w:lang w:val="en-US" w:eastAsia="zh-CN"/>
        </w:rPr>
        <w:t>15</w:t>
      </w:r>
      <w:r>
        <w:rPr>
          <w:rFonts w:hint="eastAsia" w:ascii="宋体" w:hAnsi="宋体"/>
          <w:szCs w:val="21"/>
          <w:highlight w:val="none"/>
          <w:u w:val="single"/>
        </w:rPr>
        <w:t>日09时30</w:t>
      </w:r>
      <w:r>
        <w:rPr>
          <w:rFonts w:hint="eastAsia" w:ascii="宋体" w:hAnsi="宋体"/>
          <w:szCs w:val="21"/>
          <w:highlight w:val="none"/>
        </w:rPr>
        <w:t>分（北京时间）前递交投标文件。</w:t>
      </w:r>
    </w:p>
    <w:p w14:paraId="4CBE03B5">
      <w:pPr>
        <w:rPr>
          <w:highlight w:val="none"/>
        </w:rPr>
      </w:pPr>
    </w:p>
    <w:p w14:paraId="27D0756C">
      <w:pPr>
        <w:snapToGrid w:val="0"/>
        <w:spacing w:line="360" w:lineRule="auto"/>
        <w:rPr>
          <w:rFonts w:ascii="宋体" w:hAnsi="宋体"/>
          <w:b/>
          <w:szCs w:val="21"/>
          <w:highlight w:val="none"/>
        </w:rPr>
      </w:pPr>
      <w:bookmarkStart w:id="2" w:name="_Toc35393798"/>
      <w:bookmarkStart w:id="3" w:name="_Toc35393629"/>
      <w:bookmarkStart w:id="4" w:name="_Toc28359012"/>
      <w:bookmarkStart w:id="5" w:name="_Toc28359089"/>
      <w:r>
        <w:rPr>
          <w:rFonts w:hint="eastAsia" w:ascii="宋体" w:hAnsi="宋体" w:cs="宋体"/>
          <w:b/>
          <w:szCs w:val="21"/>
          <w:highlight w:val="none"/>
        </w:rPr>
        <w:t>一、项目基本情况</w:t>
      </w:r>
      <w:bookmarkEnd w:id="2"/>
      <w:bookmarkEnd w:id="3"/>
      <w:bookmarkEnd w:id="4"/>
      <w:bookmarkEnd w:id="5"/>
    </w:p>
    <w:p w14:paraId="2076E567">
      <w:pPr>
        <w:snapToGrid w:val="0"/>
        <w:spacing w:line="360" w:lineRule="auto"/>
        <w:ind w:firstLine="422" w:firstLineChars="200"/>
        <w:rPr>
          <w:rFonts w:ascii="宋体" w:hAnsi="宋体"/>
          <w:b w:val="0"/>
          <w:bCs w:val="0"/>
          <w:szCs w:val="21"/>
          <w:highlight w:val="none"/>
        </w:rPr>
      </w:pPr>
      <w:r>
        <w:rPr>
          <w:rFonts w:hint="eastAsia" w:ascii="宋体" w:hAnsi="宋体"/>
          <w:b/>
          <w:bCs/>
          <w:szCs w:val="21"/>
          <w:highlight w:val="none"/>
        </w:rPr>
        <w:t>项目编号：</w:t>
      </w:r>
      <w:r>
        <w:rPr>
          <w:rFonts w:hint="eastAsia" w:ascii="宋体" w:hAnsi="宋体"/>
          <w:b w:val="0"/>
          <w:bCs w:val="0"/>
          <w:szCs w:val="21"/>
          <w:highlight w:val="none"/>
        </w:rPr>
        <w:t>KMZC2026-G1-00906-YYZX-0231</w:t>
      </w:r>
    </w:p>
    <w:p w14:paraId="6E572EE4">
      <w:pPr>
        <w:snapToGrid w:val="0"/>
        <w:spacing w:line="360" w:lineRule="auto"/>
        <w:ind w:firstLine="422" w:firstLineChars="200"/>
        <w:rPr>
          <w:rFonts w:hint="eastAsia" w:ascii="宋体" w:hAnsi="宋体" w:eastAsia="宋体"/>
          <w:szCs w:val="21"/>
          <w:highlight w:val="none"/>
          <w:u w:val="single"/>
          <w:lang w:eastAsia="zh-CN"/>
        </w:rPr>
      </w:pPr>
      <w:r>
        <w:rPr>
          <w:rFonts w:hint="eastAsia" w:ascii="宋体" w:hAnsi="宋体"/>
          <w:b/>
          <w:bCs/>
          <w:szCs w:val="21"/>
          <w:highlight w:val="none"/>
        </w:rPr>
        <w:t>项目名称：</w:t>
      </w:r>
      <w:r>
        <w:rPr>
          <w:rFonts w:hint="eastAsia" w:ascii="宋体" w:hAnsi="宋体"/>
          <w:szCs w:val="21"/>
          <w:highlight w:val="none"/>
          <w:lang w:eastAsia="zh-CN"/>
        </w:rPr>
        <w:t>昆明市妇幼保健院便携式彩色多普勒超声诊断仪等医疗设备采购项目</w:t>
      </w:r>
    </w:p>
    <w:p w14:paraId="01B5FAD6">
      <w:pPr>
        <w:snapToGrid w:val="0"/>
        <w:spacing w:line="360" w:lineRule="auto"/>
        <w:ind w:firstLine="422" w:firstLineChars="200"/>
        <w:rPr>
          <w:rFonts w:ascii="宋体" w:hAnsi="宋体"/>
          <w:szCs w:val="21"/>
          <w:highlight w:val="none"/>
        </w:rPr>
      </w:pPr>
      <w:r>
        <w:rPr>
          <w:rFonts w:hint="eastAsia" w:ascii="宋体" w:hAnsi="宋体"/>
          <w:b/>
          <w:bCs/>
          <w:szCs w:val="21"/>
          <w:highlight w:val="none"/>
        </w:rPr>
        <w:t>预算金额：</w:t>
      </w:r>
      <w:r>
        <w:rPr>
          <w:rFonts w:hint="eastAsia" w:ascii="宋体" w:hAnsi="宋体"/>
          <w:szCs w:val="21"/>
          <w:highlight w:val="none"/>
          <w:lang w:val="en-US" w:eastAsia="zh-CN"/>
        </w:rPr>
        <w:t>366.99</w:t>
      </w:r>
      <w:r>
        <w:rPr>
          <w:rFonts w:hint="eastAsia" w:ascii="宋体" w:hAnsi="宋体"/>
          <w:szCs w:val="21"/>
          <w:highlight w:val="none"/>
        </w:rPr>
        <w:t>万元</w:t>
      </w:r>
    </w:p>
    <w:p w14:paraId="205F60FC">
      <w:pPr>
        <w:snapToGrid w:val="0"/>
        <w:spacing w:line="360" w:lineRule="auto"/>
        <w:ind w:firstLine="422" w:firstLineChars="200"/>
        <w:rPr>
          <w:rFonts w:ascii="宋体" w:hAnsi="宋体"/>
          <w:b/>
          <w:bCs/>
          <w:szCs w:val="21"/>
          <w:highlight w:val="none"/>
        </w:rPr>
      </w:pPr>
      <w:r>
        <w:rPr>
          <w:rFonts w:hint="eastAsia" w:ascii="宋体" w:hAnsi="宋体"/>
          <w:b/>
          <w:bCs/>
          <w:szCs w:val="21"/>
          <w:highlight w:val="none"/>
        </w:rPr>
        <w:t>最高限价</w:t>
      </w:r>
      <w:r>
        <w:rPr>
          <w:rFonts w:hint="eastAsia" w:ascii="宋体" w:hAnsi="宋体"/>
          <w:b/>
          <w:bCs/>
          <w:szCs w:val="21"/>
          <w:highlight w:val="none"/>
          <w:lang w:eastAsia="zh-CN"/>
        </w:rPr>
        <w:t>：</w:t>
      </w:r>
      <w:r>
        <w:rPr>
          <w:rFonts w:hint="eastAsia" w:ascii="宋体" w:hAnsi="宋体"/>
          <w:b/>
          <w:bCs/>
          <w:szCs w:val="21"/>
          <w:highlight w:val="none"/>
          <w:lang w:val="en-US" w:eastAsia="zh-CN"/>
        </w:rPr>
        <w:t>357.49</w:t>
      </w:r>
      <w:r>
        <w:rPr>
          <w:rFonts w:hint="eastAsia" w:ascii="宋体" w:hAnsi="宋体"/>
          <w:b/>
          <w:bCs/>
          <w:szCs w:val="21"/>
          <w:highlight w:val="none"/>
        </w:rPr>
        <w:t>万元</w:t>
      </w:r>
    </w:p>
    <w:p w14:paraId="7E3369DD">
      <w:pPr>
        <w:snapToGrid w:val="0"/>
        <w:spacing w:line="360" w:lineRule="auto"/>
        <w:ind w:firstLine="422" w:firstLineChars="200"/>
        <w:rPr>
          <w:rFonts w:hint="eastAsia" w:ascii="宋体" w:hAnsi="宋体"/>
          <w:b/>
          <w:szCs w:val="21"/>
          <w:highlight w:val="none"/>
          <w:lang w:eastAsia="zh-CN"/>
        </w:rPr>
      </w:pPr>
      <w:r>
        <w:rPr>
          <w:rFonts w:hint="eastAsia" w:ascii="宋体" w:hAnsi="宋体"/>
          <w:b/>
          <w:bCs/>
          <w:szCs w:val="21"/>
          <w:highlight w:val="none"/>
        </w:rPr>
        <w:t>采购需求</w:t>
      </w:r>
      <w:r>
        <w:rPr>
          <w:rFonts w:hint="eastAsia" w:ascii="宋体" w:hAnsi="宋体"/>
          <w:szCs w:val="21"/>
          <w:highlight w:val="none"/>
        </w:rPr>
        <w:t>：</w:t>
      </w:r>
      <w:r>
        <w:rPr>
          <w:rFonts w:hint="eastAsia" w:ascii="宋体" w:hAnsi="宋体"/>
          <w:b/>
          <w:szCs w:val="21"/>
          <w:highlight w:val="none"/>
          <w:lang w:eastAsia="zh-CN"/>
        </w:rPr>
        <w:t>昆明市妇幼保健院便携式彩色多普勒超声诊断仪等医疗设备采购项目</w:t>
      </w:r>
      <w:r>
        <w:rPr>
          <w:rFonts w:hint="eastAsia" w:ascii="宋体" w:hAnsi="宋体"/>
          <w:b/>
          <w:szCs w:val="21"/>
          <w:highlight w:val="none"/>
        </w:rPr>
        <w:t>共分为</w:t>
      </w:r>
      <w:r>
        <w:rPr>
          <w:rFonts w:hint="eastAsia" w:ascii="宋体" w:hAnsi="宋体"/>
          <w:b/>
          <w:szCs w:val="21"/>
          <w:highlight w:val="none"/>
          <w:lang w:val="en-US" w:eastAsia="zh-CN"/>
        </w:rPr>
        <w:t>4</w:t>
      </w:r>
      <w:r>
        <w:rPr>
          <w:rFonts w:hint="eastAsia" w:ascii="宋体" w:hAnsi="宋体"/>
          <w:b/>
          <w:szCs w:val="21"/>
          <w:highlight w:val="none"/>
        </w:rPr>
        <w:t>个标段</w:t>
      </w:r>
      <w:r>
        <w:rPr>
          <w:rFonts w:hint="eastAsia" w:ascii="宋体" w:hAnsi="宋体"/>
          <w:b/>
          <w:szCs w:val="21"/>
          <w:highlight w:val="none"/>
          <w:lang w:eastAsia="zh-CN"/>
        </w:rPr>
        <w:t>；</w:t>
      </w:r>
    </w:p>
    <w:p w14:paraId="4BFBB470">
      <w:pPr>
        <w:snapToGrid w:val="0"/>
        <w:spacing w:line="360" w:lineRule="auto"/>
        <w:ind w:firstLine="420" w:firstLineChars="200"/>
        <w:rPr>
          <w:rFonts w:hint="eastAsia" w:ascii="宋体" w:hAnsi="宋体"/>
          <w:b/>
          <w:szCs w:val="21"/>
          <w:highlight w:val="none"/>
          <w:lang w:eastAsia="zh-CN"/>
        </w:rPr>
      </w:pPr>
      <w:r>
        <w:rPr>
          <w:rFonts w:hint="eastAsia" w:ascii="宋体" w:hAnsi="宋体"/>
          <w:b w:val="0"/>
          <w:bCs/>
          <w:szCs w:val="21"/>
          <w:highlight w:val="none"/>
          <w:lang w:val="en-US" w:eastAsia="zh-CN"/>
        </w:rPr>
        <w:t>1标段包含：便携式彩色多普勒超声诊断仪2套，</w:t>
      </w:r>
      <w:r>
        <w:rPr>
          <w:rFonts w:hint="eastAsia" w:ascii="宋体" w:hAnsi="宋体"/>
          <w:b/>
          <w:szCs w:val="21"/>
          <w:highlight w:val="none"/>
        </w:rPr>
        <w:t>最高限价：</w:t>
      </w:r>
      <w:r>
        <w:rPr>
          <w:rFonts w:hint="eastAsia" w:ascii="宋体" w:hAnsi="宋体"/>
          <w:b/>
          <w:szCs w:val="21"/>
          <w:highlight w:val="none"/>
          <w:lang w:val="en-US" w:eastAsia="zh-CN"/>
        </w:rPr>
        <w:t>150</w:t>
      </w:r>
      <w:r>
        <w:rPr>
          <w:rFonts w:hint="eastAsia" w:ascii="宋体" w:hAnsi="宋体"/>
          <w:b/>
          <w:szCs w:val="21"/>
          <w:highlight w:val="none"/>
        </w:rPr>
        <w:t>万元</w:t>
      </w:r>
      <w:r>
        <w:rPr>
          <w:rFonts w:hint="eastAsia" w:ascii="宋体" w:hAnsi="宋体"/>
          <w:b/>
          <w:szCs w:val="21"/>
          <w:highlight w:val="none"/>
          <w:lang w:eastAsia="zh-CN"/>
        </w:rPr>
        <w:t>；</w:t>
      </w:r>
    </w:p>
    <w:p w14:paraId="448D6C74">
      <w:pPr>
        <w:snapToGrid w:val="0"/>
        <w:spacing w:line="360" w:lineRule="auto"/>
        <w:ind w:firstLine="420" w:firstLineChars="200"/>
        <w:rPr>
          <w:rFonts w:hint="eastAsia" w:ascii="宋体" w:hAnsi="宋体"/>
          <w:b/>
          <w:szCs w:val="21"/>
          <w:highlight w:val="none"/>
          <w:lang w:eastAsia="zh-CN"/>
        </w:rPr>
      </w:pPr>
      <w:r>
        <w:rPr>
          <w:rFonts w:hint="eastAsia" w:ascii="宋体" w:hAnsi="宋体"/>
          <w:b w:val="0"/>
          <w:bCs/>
          <w:szCs w:val="21"/>
          <w:highlight w:val="none"/>
          <w:lang w:val="en-US" w:eastAsia="zh-CN"/>
        </w:rPr>
        <w:t>2标段包含：彩色超声多普勒诊断仪1套、数据记录仪1台、电动手术检查床1张、生物安全柜1台、恒温试管架1台、手持式PH计1台、拆蛋枪2支、电子天平2台、移动式空气消毒机1台，</w:t>
      </w:r>
      <w:r>
        <w:rPr>
          <w:rFonts w:hint="eastAsia" w:ascii="宋体" w:hAnsi="宋体"/>
          <w:b/>
          <w:szCs w:val="21"/>
          <w:highlight w:val="none"/>
        </w:rPr>
        <w:t>最高限价：</w:t>
      </w:r>
      <w:r>
        <w:rPr>
          <w:rFonts w:hint="eastAsia" w:ascii="宋体" w:hAnsi="宋体"/>
          <w:b/>
          <w:szCs w:val="21"/>
          <w:highlight w:val="none"/>
          <w:lang w:val="en-US" w:eastAsia="zh-CN"/>
        </w:rPr>
        <w:t>78.29</w:t>
      </w:r>
      <w:r>
        <w:rPr>
          <w:rFonts w:hint="eastAsia" w:ascii="宋体" w:hAnsi="宋体"/>
          <w:b/>
          <w:szCs w:val="21"/>
          <w:highlight w:val="none"/>
        </w:rPr>
        <w:t>万元</w:t>
      </w:r>
      <w:r>
        <w:rPr>
          <w:rFonts w:hint="eastAsia" w:ascii="宋体" w:hAnsi="宋体"/>
          <w:b/>
          <w:szCs w:val="21"/>
          <w:highlight w:val="none"/>
          <w:lang w:eastAsia="zh-CN"/>
        </w:rPr>
        <w:t>；</w:t>
      </w:r>
    </w:p>
    <w:p w14:paraId="57EF5756">
      <w:pPr>
        <w:snapToGrid w:val="0"/>
        <w:spacing w:line="360" w:lineRule="auto"/>
        <w:ind w:firstLine="420" w:firstLineChars="200"/>
        <w:rPr>
          <w:rFonts w:hint="eastAsia" w:ascii="宋体" w:hAnsi="宋体"/>
          <w:b/>
          <w:szCs w:val="21"/>
          <w:highlight w:val="none"/>
          <w:lang w:eastAsia="zh-CN"/>
        </w:rPr>
      </w:pPr>
      <w:r>
        <w:rPr>
          <w:rFonts w:hint="eastAsia" w:ascii="宋体" w:hAnsi="宋体"/>
          <w:b w:val="0"/>
          <w:bCs/>
          <w:szCs w:val="21"/>
          <w:highlight w:val="none"/>
          <w:lang w:val="en-US" w:eastAsia="zh-CN"/>
        </w:rPr>
        <w:t>3标段包含：全自动染色封片一体机1套、冰冻切片机1台、全自动快速组织脱水机1台、包埋盒打号机1台、玻片打号机1台、全自动免疫组化机1台，</w:t>
      </w:r>
      <w:r>
        <w:rPr>
          <w:rFonts w:hint="eastAsia" w:ascii="宋体" w:hAnsi="宋体"/>
          <w:b/>
          <w:szCs w:val="21"/>
          <w:highlight w:val="none"/>
        </w:rPr>
        <w:t>最高限价：</w:t>
      </w:r>
      <w:r>
        <w:rPr>
          <w:rFonts w:hint="eastAsia" w:ascii="宋体" w:hAnsi="宋体"/>
          <w:b/>
          <w:szCs w:val="21"/>
          <w:highlight w:val="none"/>
          <w:lang w:val="en-US" w:eastAsia="zh-CN"/>
        </w:rPr>
        <w:t>128.8</w:t>
      </w:r>
      <w:r>
        <w:rPr>
          <w:rFonts w:hint="eastAsia" w:ascii="宋体" w:hAnsi="宋体"/>
          <w:b/>
          <w:szCs w:val="21"/>
          <w:highlight w:val="none"/>
        </w:rPr>
        <w:t>万元</w:t>
      </w:r>
      <w:r>
        <w:rPr>
          <w:rFonts w:hint="eastAsia" w:ascii="宋体" w:hAnsi="宋体"/>
          <w:b/>
          <w:szCs w:val="21"/>
          <w:highlight w:val="none"/>
          <w:lang w:eastAsia="zh-CN"/>
        </w:rPr>
        <w:t>；</w:t>
      </w:r>
    </w:p>
    <w:p w14:paraId="03F51202">
      <w:pPr>
        <w:snapToGrid w:val="0"/>
        <w:spacing w:line="360" w:lineRule="auto"/>
        <w:ind w:firstLine="420" w:firstLineChars="200"/>
        <w:rPr>
          <w:rFonts w:hint="eastAsia" w:ascii="宋体" w:hAnsi="宋体" w:eastAsia="宋体"/>
          <w:b w:val="0"/>
          <w:bCs/>
          <w:szCs w:val="21"/>
          <w:highlight w:val="none"/>
          <w:lang w:val="en-US" w:eastAsia="zh-CN"/>
        </w:rPr>
      </w:pPr>
      <w:r>
        <w:rPr>
          <w:rFonts w:hint="eastAsia" w:ascii="宋体" w:hAnsi="宋体"/>
          <w:b w:val="0"/>
          <w:bCs/>
          <w:szCs w:val="21"/>
          <w:highlight w:val="none"/>
          <w:lang w:val="en-US" w:eastAsia="zh-CN"/>
        </w:rPr>
        <w:t>4标段包含：全自动血型分析仪1台和全自动化学发光免疫分析仪1台，</w:t>
      </w:r>
      <w:r>
        <w:rPr>
          <w:rFonts w:hint="eastAsia" w:ascii="宋体" w:hAnsi="宋体"/>
          <w:b/>
          <w:szCs w:val="21"/>
          <w:highlight w:val="none"/>
        </w:rPr>
        <w:t>最高限价：</w:t>
      </w:r>
      <w:r>
        <w:rPr>
          <w:rFonts w:hint="eastAsia" w:ascii="宋体" w:hAnsi="宋体"/>
          <w:b/>
          <w:szCs w:val="21"/>
          <w:highlight w:val="none"/>
          <w:lang w:val="en-US" w:eastAsia="zh-CN"/>
        </w:rPr>
        <w:t>0.4</w:t>
      </w:r>
      <w:r>
        <w:rPr>
          <w:rFonts w:hint="eastAsia" w:ascii="宋体" w:hAnsi="宋体"/>
          <w:b/>
          <w:szCs w:val="21"/>
          <w:highlight w:val="none"/>
        </w:rPr>
        <w:t>万元</w:t>
      </w:r>
      <w:r>
        <w:rPr>
          <w:rFonts w:hint="eastAsia" w:ascii="宋体" w:hAnsi="宋体"/>
          <w:b/>
          <w:szCs w:val="21"/>
          <w:highlight w:val="none"/>
          <w:lang w:eastAsia="zh-CN"/>
        </w:rPr>
        <w:t>。</w:t>
      </w:r>
    </w:p>
    <w:p w14:paraId="4C54DF31">
      <w:pPr>
        <w:snapToGrid w:val="0"/>
        <w:spacing w:line="360" w:lineRule="auto"/>
        <w:ind w:firstLine="420" w:firstLineChars="200"/>
        <w:rPr>
          <w:rFonts w:ascii="宋体" w:hAnsi="宋体"/>
          <w:szCs w:val="21"/>
          <w:highlight w:val="none"/>
        </w:rPr>
      </w:pPr>
      <w:r>
        <w:rPr>
          <w:rFonts w:hint="eastAsia"/>
          <w:highlight w:val="none"/>
        </w:rPr>
        <w:t>注：</w:t>
      </w:r>
      <w:r>
        <w:rPr>
          <w:rFonts w:hint="eastAsia"/>
          <w:highlight w:val="none"/>
          <w:lang w:val="en-US" w:eastAsia="zh-CN"/>
        </w:rPr>
        <w:t>供应商</w:t>
      </w:r>
      <w:r>
        <w:rPr>
          <w:rFonts w:hint="eastAsia"/>
          <w:highlight w:val="none"/>
        </w:rPr>
        <w:t>须对本项目所投标段内所有内容进行整体投标，不得缺项漏项，否则按不实质性响应招标文件处理。可根据自身情况选择一个或多个标段进行投标。</w:t>
      </w:r>
      <w:r>
        <w:rPr>
          <w:rFonts w:hint="eastAsia"/>
          <w:highlight w:val="none"/>
          <w:lang w:val="en-US" w:eastAsia="zh-CN"/>
        </w:rPr>
        <w:t>本次采购不接受进口产品。</w:t>
      </w:r>
    </w:p>
    <w:p w14:paraId="710DDE48">
      <w:pPr>
        <w:widowControl/>
        <w:adjustRightInd w:val="0"/>
        <w:snapToGrid w:val="0"/>
        <w:spacing w:line="360" w:lineRule="auto"/>
        <w:ind w:firstLine="420" w:firstLineChars="200"/>
        <w:jc w:val="left"/>
        <w:rPr>
          <w:rFonts w:ascii="宋体" w:hAnsi="宋体" w:cs="宋体"/>
          <w:b/>
          <w:szCs w:val="21"/>
          <w:highlight w:val="none"/>
        </w:rPr>
      </w:pPr>
      <w:r>
        <w:rPr>
          <w:rFonts w:hint="eastAsia" w:ascii="宋体" w:hAnsi="宋体" w:cs="宋体"/>
          <w:szCs w:val="21"/>
          <w:highlight w:val="none"/>
        </w:rPr>
        <w:t>合同履行期限：自合同签订之日起30个日历日内完成设备的供货及安装调试，确保一次性验收合格，具体以合同签订为准。</w:t>
      </w:r>
    </w:p>
    <w:p w14:paraId="58BFC53C">
      <w:pPr>
        <w:widowControl/>
        <w:spacing w:line="360" w:lineRule="auto"/>
        <w:ind w:firstLine="420" w:firstLineChars="200"/>
        <w:rPr>
          <w:rFonts w:ascii="宋体" w:hAnsi="宋体"/>
          <w:szCs w:val="21"/>
          <w:highlight w:val="none"/>
        </w:rPr>
      </w:pPr>
      <w:r>
        <w:rPr>
          <w:rFonts w:hint="eastAsia" w:ascii="宋体" w:hAnsi="宋体" w:cs="宋体"/>
          <w:bCs/>
          <w:szCs w:val="21"/>
          <w:highlight w:val="none"/>
        </w:rPr>
        <w:t>交货地点</w:t>
      </w:r>
      <w:r>
        <w:rPr>
          <w:rFonts w:hint="eastAsia" w:ascii="宋体" w:hAnsi="宋体" w:cs="宋体"/>
          <w:szCs w:val="21"/>
          <w:highlight w:val="none"/>
        </w:rPr>
        <w:t>：昆明市妇幼保健院，采购人指定地点</w:t>
      </w:r>
      <w:r>
        <w:rPr>
          <w:rFonts w:hint="eastAsia" w:ascii="宋体" w:hAnsi="宋体" w:cs="宋体"/>
          <w:bCs/>
          <w:szCs w:val="21"/>
          <w:highlight w:val="none"/>
        </w:rPr>
        <w:t>。</w:t>
      </w:r>
    </w:p>
    <w:p w14:paraId="6A946A80">
      <w:pPr>
        <w:snapToGrid w:val="0"/>
        <w:spacing w:line="360" w:lineRule="auto"/>
        <w:ind w:firstLine="420" w:firstLineChars="200"/>
        <w:rPr>
          <w:rFonts w:ascii="宋体" w:hAnsi="宋体"/>
          <w:szCs w:val="21"/>
          <w:highlight w:val="none"/>
        </w:rPr>
      </w:pPr>
      <w:r>
        <w:rPr>
          <w:rFonts w:hint="eastAsia" w:ascii="宋体" w:hAnsi="宋体"/>
          <w:szCs w:val="21"/>
          <w:highlight w:val="none"/>
        </w:rPr>
        <w:t>本项目（否）接受联合体。</w:t>
      </w:r>
    </w:p>
    <w:p w14:paraId="11F18B26">
      <w:pPr>
        <w:snapToGrid w:val="0"/>
        <w:spacing w:line="360" w:lineRule="auto"/>
        <w:rPr>
          <w:rFonts w:ascii="宋体" w:hAnsi="宋体" w:cs="宋体"/>
          <w:b/>
          <w:szCs w:val="21"/>
          <w:highlight w:val="none"/>
        </w:rPr>
      </w:pPr>
      <w:bookmarkStart w:id="6" w:name="_Toc28359090"/>
      <w:bookmarkStart w:id="7" w:name="_Toc35393630"/>
      <w:bookmarkStart w:id="8" w:name="_Toc35393799"/>
      <w:bookmarkStart w:id="9" w:name="_Toc28359013"/>
      <w:r>
        <w:rPr>
          <w:rFonts w:hint="eastAsia" w:ascii="宋体" w:hAnsi="宋体" w:cs="宋体"/>
          <w:b/>
          <w:szCs w:val="21"/>
          <w:highlight w:val="none"/>
        </w:rPr>
        <w:t>二、申请人的资格要求：</w:t>
      </w:r>
      <w:bookmarkEnd w:id="6"/>
      <w:bookmarkEnd w:id="7"/>
      <w:bookmarkEnd w:id="8"/>
      <w:bookmarkEnd w:id="9"/>
    </w:p>
    <w:p w14:paraId="33A72E93">
      <w:pPr>
        <w:snapToGrid w:val="0"/>
        <w:spacing w:line="360" w:lineRule="auto"/>
        <w:ind w:firstLine="420" w:firstLineChars="200"/>
        <w:rPr>
          <w:rFonts w:ascii="宋体" w:hAnsi="宋体"/>
          <w:szCs w:val="21"/>
          <w:highlight w:val="none"/>
        </w:rPr>
      </w:pPr>
      <w:bookmarkStart w:id="10" w:name="_Toc28359014"/>
      <w:bookmarkStart w:id="11" w:name="_Toc28359091"/>
      <w:r>
        <w:rPr>
          <w:rFonts w:hint="eastAsia" w:ascii="宋体" w:hAnsi="宋体"/>
          <w:szCs w:val="21"/>
          <w:highlight w:val="none"/>
        </w:rPr>
        <w:t>1.满足《中华人民共和国政府采购法》第二十二条规定；</w:t>
      </w:r>
    </w:p>
    <w:p w14:paraId="0E7426BA">
      <w:pPr>
        <w:snapToGrid w:val="0"/>
        <w:spacing w:line="360" w:lineRule="auto"/>
        <w:ind w:firstLine="420" w:firstLineChars="200"/>
        <w:rPr>
          <w:rFonts w:ascii="宋体" w:hAnsi="宋体"/>
          <w:szCs w:val="21"/>
          <w:highlight w:val="none"/>
        </w:rPr>
      </w:pPr>
      <w:r>
        <w:rPr>
          <w:rFonts w:hint="eastAsia" w:ascii="宋体" w:hAnsi="宋体"/>
          <w:szCs w:val="21"/>
          <w:highlight w:val="none"/>
        </w:rPr>
        <w:t>2.落实政府采购政策需满足的资格要求：无；</w:t>
      </w:r>
      <w:r>
        <w:rPr>
          <w:rFonts w:hint="eastAsia" w:ascii="宋体" w:hAnsi="宋体"/>
          <w:szCs w:val="21"/>
          <w:highlight w:val="none"/>
          <w:lang w:eastAsia="zh-CN"/>
        </w:rPr>
        <w:t>昆明市妇幼保健院便携式彩色多普勒超声诊断仪等医疗设备采购项目（</w:t>
      </w:r>
      <w:r>
        <w:rPr>
          <w:rFonts w:hint="eastAsia" w:ascii="宋体" w:hAnsi="宋体"/>
          <w:szCs w:val="21"/>
          <w:highlight w:val="none"/>
          <w:lang w:val="en-US" w:eastAsia="zh-CN"/>
        </w:rPr>
        <w:t>1-4标段</w:t>
      </w:r>
      <w:r>
        <w:rPr>
          <w:rFonts w:hint="eastAsia" w:ascii="宋体" w:hAnsi="宋体"/>
          <w:szCs w:val="21"/>
          <w:highlight w:val="none"/>
          <w:lang w:eastAsia="zh-CN"/>
        </w:rPr>
        <w:t>）</w:t>
      </w:r>
      <w:r>
        <w:rPr>
          <w:rFonts w:hint="eastAsia" w:ascii="宋体" w:hAnsi="宋体"/>
          <w:szCs w:val="21"/>
          <w:highlight w:val="none"/>
        </w:rPr>
        <w:t>：非专门面向中小企业采购。</w:t>
      </w:r>
    </w:p>
    <w:p w14:paraId="35564149">
      <w:pPr>
        <w:snapToGrid w:val="0"/>
        <w:spacing w:line="360" w:lineRule="auto"/>
        <w:ind w:firstLine="420" w:firstLineChars="200"/>
        <w:rPr>
          <w:rFonts w:ascii="宋体" w:hAnsi="宋体"/>
          <w:szCs w:val="21"/>
          <w:highlight w:val="none"/>
        </w:rPr>
      </w:pPr>
      <w:r>
        <w:rPr>
          <w:rFonts w:hint="eastAsia" w:ascii="宋体" w:hAnsi="宋体"/>
          <w:szCs w:val="21"/>
          <w:highlight w:val="none"/>
        </w:rPr>
        <w:t>3.本项目的特定资格要求：</w:t>
      </w:r>
    </w:p>
    <w:p w14:paraId="37184768">
      <w:pPr>
        <w:snapToGrid w:val="0"/>
        <w:spacing w:line="360" w:lineRule="auto"/>
        <w:ind w:firstLine="420" w:firstLineChars="200"/>
        <w:rPr>
          <w:rFonts w:ascii="宋体" w:hAnsi="宋体"/>
          <w:szCs w:val="21"/>
          <w:highlight w:val="none"/>
        </w:rPr>
      </w:pPr>
      <w:bookmarkStart w:id="12" w:name="OLE_LINK16"/>
      <w:r>
        <w:rPr>
          <w:rFonts w:hint="eastAsia" w:ascii="宋体" w:hAnsi="宋体"/>
          <w:szCs w:val="21"/>
          <w:highlight w:val="none"/>
        </w:rPr>
        <w:t>3.1投标人如果是代理商或经销商，须提供医疗器械经营许可/备案证、所投产品制造商医疗器械生产许可/备案证（制造商工商注册地在中华人民共和国境外的，不</w:t>
      </w:r>
      <w:r>
        <w:rPr>
          <w:rFonts w:hint="eastAsia" w:ascii="宋体" w:hAnsi="宋体"/>
          <w:szCs w:val="21"/>
          <w:highlight w:val="none"/>
          <w:lang w:eastAsia="zh-CN"/>
        </w:rPr>
        <w:t>作</w:t>
      </w:r>
      <w:r>
        <w:rPr>
          <w:rFonts w:hint="eastAsia" w:ascii="宋体" w:hAnsi="宋体"/>
          <w:szCs w:val="21"/>
          <w:highlight w:val="none"/>
        </w:rPr>
        <w:t>此要求）、所投产品的医疗器械注册证；投标人如果是制造商，须提供医疗器械生产许可/备案证（制造商工商注册地在中华人民共和国境外的，不做此要求）、所投产品的医疗器械注册证。医疗器械生产或经营许可/备案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4937F237">
      <w:pPr>
        <w:snapToGrid w:val="0"/>
        <w:spacing w:line="360" w:lineRule="auto"/>
        <w:ind w:firstLine="420" w:firstLineChars="200"/>
        <w:rPr>
          <w:rFonts w:ascii="宋体" w:hAnsi="宋体"/>
          <w:szCs w:val="21"/>
          <w:highlight w:val="none"/>
        </w:rPr>
      </w:pPr>
      <w:r>
        <w:rPr>
          <w:rFonts w:hint="eastAsia" w:ascii="宋体" w:hAnsi="宋体"/>
          <w:szCs w:val="21"/>
          <w:highlight w:val="none"/>
        </w:rPr>
        <w:t>3</w:t>
      </w:r>
      <w:r>
        <w:rPr>
          <w:rFonts w:ascii="宋体" w:hAnsi="宋体"/>
          <w:szCs w:val="21"/>
          <w:highlight w:val="none"/>
        </w:rPr>
        <w:t>.</w:t>
      </w:r>
      <w:r>
        <w:rPr>
          <w:rFonts w:hint="eastAsia" w:ascii="宋体" w:hAnsi="宋体"/>
          <w:szCs w:val="21"/>
          <w:highlight w:val="none"/>
        </w:rPr>
        <w:t>2单位负责人为同一人或者存在直接控股、管理关系的不同供应商，不得参加同一合同项下的政府采购活动。为本项目提供整体设计、规范编制或者项目管理、监理、检测等服务的供应商，不得再参加本项目的采购活动。</w:t>
      </w:r>
    </w:p>
    <w:p w14:paraId="410CD370">
      <w:pPr>
        <w:snapToGrid w:val="0"/>
        <w:spacing w:line="360" w:lineRule="auto"/>
        <w:ind w:firstLine="420" w:firstLineChars="200"/>
        <w:rPr>
          <w:rFonts w:ascii="宋体" w:hAnsi="宋体"/>
          <w:szCs w:val="21"/>
          <w:highlight w:val="none"/>
        </w:rPr>
      </w:pPr>
      <w:r>
        <w:rPr>
          <w:rFonts w:hint="eastAsia" w:ascii="宋体" w:hAnsi="宋体"/>
          <w:szCs w:val="21"/>
          <w:highlight w:val="none"/>
        </w:rPr>
        <w:t>3.3本次招标不接受联合体投标。</w:t>
      </w:r>
      <w:bookmarkEnd w:id="12"/>
    </w:p>
    <w:p w14:paraId="0A55BA2C">
      <w:pPr>
        <w:snapToGrid w:val="0"/>
        <w:spacing w:line="360" w:lineRule="auto"/>
        <w:rPr>
          <w:rFonts w:ascii="宋体" w:hAnsi="宋体" w:cs="宋体"/>
          <w:b/>
          <w:szCs w:val="21"/>
          <w:highlight w:val="none"/>
        </w:rPr>
      </w:pPr>
      <w:bookmarkStart w:id="13" w:name="_Toc35393631"/>
      <w:bookmarkStart w:id="14" w:name="_Toc35393800"/>
      <w:r>
        <w:rPr>
          <w:rFonts w:hint="eastAsia" w:ascii="宋体" w:hAnsi="宋体" w:cs="宋体"/>
          <w:b/>
          <w:szCs w:val="21"/>
          <w:highlight w:val="none"/>
        </w:rPr>
        <w:t>三、获取招标文件</w:t>
      </w:r>
      <w:bookmarkEnd w:id="10"/>
      <w:bookmarkEnd w:id="11"/>
      <w:bookmarkEnd w:id="13"/>
      <w:bookmarkEnd w:id="14"/>
    </w:p>
    <w:p w14:paraId="3241DE9A">
      <w:pPr>
        <w:snapToGrid w:val="0"/>
        <w:spacing w:line="360" w:lineRule="auto"/>
        <w:ind w:firstLine="540"/>
        <w:rPr>
          <w:rFonts w:ascii="宋体" w:hAnsi="宋体" w:cs="宋体"/>
          <w:szCs w:val="21"/>
          <w:highlight w:val="none"/>
        </w:rPr>
      </w:pPr>
      <w:r>
        <w:rPr>
          <w:rFonts w:hint="eastAsia" w:ascii="宋体" w:hAnsi="宋体" w:cs="宋体"/>
          <w:szCs w:val="21"/>
          <w:highlight w:val="none"/>
        </w:rPr>
        <w:t>时间：</w:t>
      </w:r>
      <w:r>
        <w:rPr>
          <w:rFonts w:hint="eastAsia" w:ascii="宋体" w:hAnsi="宋体" w:cs="宋体"/>
          <w:szCs w:val="21"/>
          <w:highlight w:val="none"/>
          <w:u w:val="single"/>
        </w:rPr>
        <w:t>202</w:t>
      </w:r>
      <w:r>
        <w:rPr>
          <w:rFonts w:hint="eastAsia" w:ascii="宋体" w:hAnsi="宋体" w:cs="宋体"/>
          <w:szCs w:val="21"/>
          <w:highlight w:val="none"/>
          <w:u w:val="single"/>
          <w:lang w:val="en-US" w:eastAsia="zh-CN"/>
        </w:rPr>
        <w:t>6</w:t>
      </w:r>
      <w:r>
        <w:rPr>
          <w:rFonts w:hint="eastAsia" w:ascii="宋体" w:hAnsi="宋体" w:cs="宋体"/>
          <w:szCs w:val="21"/>
          <w:highlight w:val="none"/>
          <w:u w:val="single"/>
        </w:rPr>
        <w:t>年</w:t>
      </w:r>
      <w:r>
        <w:rPr>
          <w:rFonts w:hint="eastAsia" w:ascii="宋体" w:hAnsi="宋体" w:cs="宋体"/>
          <w:szCs w:val="21"/>
          <w:highlight w:val="none"/>
          <w:u w:val="single"/>
          <w:lang w:val="en-US" w:eastAsia="zh-CN"/>
        </w:rPr>
        <w:t>5</w:t>
      </w:r>
      <w:r>
        <w:rPr>
          <w:rFonts w:hint="eastAsia" w:ascii="宋体" w:hAnsi="宋体" w:cs="宋体"/>
          <w:szCs w:val="21"/>
          <w:highlight w:val="none"/>
          <w:u w:val="single"/>
        </w:rPr>
        <w:t>月</w:t>
      </w:r>
      <w:r>
        <w:rPr>
          <w:rFonts w:hint="eastAsia" w:ascii="宋体" w:hAnsi="宋体" w:cs="宋体"/>
          <w:szCs w:val="21"/>
          <w:highlight w:val="none"/>
          <w:u w:val="single"/>
          <w:lang w:val="en-US" w:eastAsia="zh-CN"/>
        </w:rPr>
        <w:t>22</w:t>
      </w:r>
      <w:r>
        <w:rPr>
          <w:rFonts w:hint="eastAsia" w:ascii="宋体" w:hAnsi="宋体" w:cs="宋体"/>
          <w:szCs w:val="21"/>
          <w:highlight w:val="none"/>
          <w:u w:val="single"/>
        </w:rPr>
        <w:t>日</w:t>
      </w:r>
      <w:r>
        <w:rPr>
          <w:rFonts w:hint="eastAsia" w:ascii="宋体" w:hAnsi="宋体" w:cs="宋体"/>
          <w:szCs w:val="21"/>
          <w:highlight w:val="none"/>
        </w:rPr>
        <w:t>至</w:t>
      </w:r>
      <w:r>
        <w:rPr>
          <w:rFonts w:hint="eastAsia" w:ascii="宋体" w:hAnsi="宋体" w:cs="宋体"/>
          <w:szCs w:val="21"/>
          <w:highlight w:val="none"/>
          <w:u w:val="single"/>
        </w:rPr>
        <w:t>202</w:t>
      </w:r>
      <w:r>
        <w:rPr>
          <w:rFonts w:hint="eastAsia" w:ascii="宋体" w:hAnsi="宋体" w:cs="宋体"/>
          <w:szCs w:val="21"/>
          <w:highlight w:val="none"/>
          <w:u w:val="single"/>
          <w:lang w:val="en-US" w:eastAsia="zh-CN"/>
        </w:rPr>
        <w:t>6</w:t>
      </w:r>
      <w:r>
        <w:rPr>
          <w:rFonts w:hint="eastAsia" w:ascii="宋体" w:hAnsi="宋体" w:cs="宋体"/>
          <w:szCs w:val="21"/>
          <w:highlight w:val="none"/>
          <w:u w:val="single"/>
        </w:rPr>
        <w:t>年</w:t>
      </w:r>
      <w:r>
        <w:rPr>
          <w:rFonts w:hint="eastAsia" w:ascii="宋体" w:hAnsi="宋体" w:cs="宋体"/>
          <w:szCs w:val="21"/>
          <w:highlight w:val="none"/>
          <w:u w:val="single"/>
          <w:lang w:val="en-US" w:eastAsia="zh-CN"/>
        </w:rPr>
        <w:t>5</w:t>
      </w:r>
      <w:r>
        <w:rPr>
          <w:rFonts w:hint="eastAsia" w:ascii="宋体" w:hAnsi="宋体" w:cs="宋体"/>
          <w:szCs w:val="21"/>
          <w:highlight w:val="none"/>
          <w:u w:val="single"/>
        </w:rPr>
        <w:t>月</w:t>
      </w:r>
      <w:r>
        <w:rPr>
          <w:rFonts w:hint="eastAsia" w:ascii="宋体" w:hAnsi="宋体" w:cs="宋体"/>
          <w:szCs w:val="21"/>
          <w:highlight w:val="none"/>
          <w:u w:val="single"/>
          <w:lang w:val="en-US" w:eastAsia="zh-CN"/>
        </w:rPr>
        <w:t>29</w:t>
      </w:r>
      <w:r>
        <w:rPr>
          <w:rFonts w:hint="eastAsia" w:ascii="宋体" w:hAnsi="宋体" w:cs="宋体"/>
          <w:szCs w:val="21"/>
          <w:highlight w:val="none"/>
          <w:u w:val="single"/>
        </w:rPr>
        <w:t>日</w:t>
      </w:r>
      <w:r>
        <w:rPr>
          <w:rFonts w:hint="eastAsia" w:ascii="宋体" w:hAnsi="宋体" w:cs="宋体"/>
          <w:szCs w:val="21"/>
          <w:highlight w:val="none"/>
        </w:rPr>
        <w:t>，每天上午</w:t>
      </w:r>
      <w:r>
        <w:rPr>
          <w:rFonts w:hint="eastAsia" w:ascii="宋体" w:hAnsi="宋体" w:cs="宋体"/>
          <w:szCs w:val="21"/>
          <w:highlight w:val="none"/>
          <w:u w:val="single"/>
        </w:rPr>
        <w:t>06:00</w:t>
      </w:r>
      <w:r>
        <w:rPr>
          <w:rFonts w:hint="eastAsia" w:ascii="宋体" w:hAnsi="宋体" w:cs="宋体"/>
          <w:szCs w:val="21"/>
          <w:highlight w:val="none"/>
        </w:rPr>
        <w:t>至</w:t>
      </w:r>
      <w:r>
        <w:rPr>
          <w:rFonts w:hint="eastAsia" w:ascii="宋体" w:hAnsi="宋体" w:cs="宋体"/>
          <w:szCs w:val="21"/>
          <w:highlight w:val="none"/>
          <w:u w:val="single"/>
        </w:rPr>
        <w:t>12</w:t>
      </w:r>
      <w:r>
        <w:rPr>
          <w:rFonts w:ascii="宋体" w:hAnsi="宋体" w:cs="宋体"/>
          <w:szCs w:val="21"/>
          <w:highlight w:val="none"/>
          <w:u w:val="single"/>
        </w:rPr>
        <w:t>:</w:t>
      </w:r>
      <w:r>
        <w:rPr>
          <w:rFonts w:hint="eastAsia" w:ascii="宋体" w:hAnsi="宋体" w:cs="宋体"/>
          <w:szCs w:val="21"/>
          <w:highlight w:val="none"/>
          <w:u w:val="single"/>
        </w:rPr>
        <w:t>00</w:t>
      </w:r>
      <w:r>
        <w:rPr>
          <w:rFonts w:hint="eastAsia" w:ascii="宋体" w:hAnsi="宋体" w:cs="宋体"/>
          <w:szCs w:val="21"/>
          <w:highlight w:val="none"/>
        </w:rPr>
        <w:t>，下午</w:t>
      </w:r>
      <w:r>
        <w:rPr>
          <w:rFonts w:hint="eastAsia" w:ascii="宋体" w:hAnsi="宋体" w:cs="宋体"/>
          <w:szCs w:val="21"/>
          <w:highlight w:val="none"/>
          <w:u w:val="single"/>
        </w:rPr>
        <w:t>12</w:t>
      </w:r>
      <w:r>
        <w:rPr>
          <w:rFonts w:ascii="宋体" w:hAnsi="宋体" w:cs="宋体"/>
          <w:szCs w:val="21"/>
          <w:highlight w:val="none"/>
          <w:u w:val="single"/>
        </w:rPr>
        <w:t>:</w:t>
      </w:r>
      <w:r>
        <w:rPr>
          <w:rFonts w:hint="eastAsia" w:ascii="宋体" w:hAnsi="宋体" w:cs="宋体"/>
          <w:szCs w:val="21"/>
          <w:highlight w:val="none"/>
          <w:u w:val="single"/>
        </w:rPr>
        <w:t>00</w:t>
      </w:r>
      <w:r>
        <w:rPr>
          <w:rFonts w:hint="eastAsia" w:ascii="宋体" w:hAnsi="宋体" w:cs="宋体"/>
          <w:szCs w:val="21"/>
          <w:highlight w:val="none"/>
        </w:rPr>
        <w:t>至</w:t>
      </w:r>
      <w:r>
        <w:rPr>
          <w:rFonts w:hint="eastAsia" w:ascii="宋体" w:hAnsi="宋体" w:cs="宋体"/>
          <w:szCs w:val="21"/>
          <w:highlight w:val="none"/>
          <w:u w:val="single"/>
        </w:rPr>
        <w:t>23</w:t>
      </w:r>
      <w:r>
        <w:rPr>
          <w:rFonts w:ascii="宋体" w:hAnsi="宋体" w:cs="宋体"/>
          <w:szCs w:val="21"/>
          <w:highlight w:val="none"/>
          <w:u w:val="single"/>
        </w:rPr>
        <w:t>:</w:t>
      </w:r>
      <w:r>
        <w:rPr>
          <w:rFonts w:hint="eastAsia" w:ascii="宋体" w:hAnsi="宋体" w:cs="宋体"/>
          <w:szCs w:val="21"/>
          <w:highlight w:val="none"/>
          <w:u w:val="single"/>
        </w:rPr>
        <w:t>59</w:t>
      </w:r>
      <w:r>
        <w:rPr>
          <w:rFonts w:hint="eastAsia" w:ascii="宋体" w:hAnsi="宋体" w:cs="宋体"/>
          <w:szCs w:val="21"/>
          <w:highlight w:val="none"/>
        </w:rPr>
        <w:t>（北京时间，</w:t>
      </w:r>
      <w:r>
        <w:rPr>
          <w:rFonts w:ascii="宋体" w:hAnsi="宋体" w:cs="宋体"/>
          <w:szCs w:val="21"/>
          <w:highlight w:val="none"/>
        </w:rPr>
        <w:t>法定节假日</w:t>
      </w:r>
      <w:r>
        <w:rPr>
          <w:rFonts w:hint="eastAsia" w:ascii="宋体" w:hAnsi="宋体" w:cs="宋体"/>
          <w:szCs w:val="21"/>
          <w:highlight w:val="none"/>
        </w:rPr>
        <w:t>除外）；</w:t>
      </w:r>
    </w:p>
    <w:p w14:paraId="3D9F8C88">
      <w:pPr>
        <w:snapToGrid w:val="0"/>
        <w:spacing w:line="360" w:lineRule="auto"/>
        <w:ind w:firstLine="540"/>
        <w:rPr>
          <w:rFonts w:ascii="宋体" w:hAnsi="宋体" w:cs="宋体"/>
          <w:szCs w:val="21"/>
          <w:highlight w:val="none"/>
          <w:u w:val="single"/>
        </w:rPr>
      </w:pPr>
      <w:r>
        <w:rPr>
          <w:rFonts w:hint="eastAsia" w:ascii="宋体" w:hAnsi="宋体" w:cs="宋体"/>
          <w:szCs w:val="21"/>
          <w:highlight w:val="none"/>
        </w:rPr>
        <w:t>地点：</w:t>
      </w:r>
      <w:r>
        <w:rPr>
          <w:rFonts w:hint="eastAsia" w:ascii="宋体" w:hAnsi="宋体"/>
          <w:szCs w:val="21"/>
          <w:highlight w:val="none"/>
        </w:rPr>
        <w:t>云南省电子交易平台（政采云平台https://www.zcygov.cn/）；</w:t>
      </w:r>
    </w:p>
    <w:p w14:paraId="0E49C8E4">
      <w:pPr>
        <w:snapToGrid w:val="0"/>
        <w:spacing w:line="360" w:lineRule="auto"/>
        <w:ind w:firstLine="540"/>
        <w:rPr>
          <w:rFonts w:ascii="宋体" w:hAnsi="宋体"/>
          <w:szCs w:val="21"/>
          <w:highlight w:val="none"/>
        </w:rPr>
      </w:pPr>
      <w:r>
        <w:rPr>
          <w:rFonts w:hint="eastAsia" w:ascii="宋体" w:hAnsi="宋体" w:cs="宋体"/>
          <w:szCs w:val="21"/>
          <w:highlight w:val="none"/>
        </w:rPr>
        <w:t>方式：</w:t>
      </w:r>
      <w:r>
        <w:rPr>
          <w:rFonts w:hint="eastAsia" w:ascii="宋体" w:hAnsi="宋体"/>
          <w:szCs w:val="21"/>
          <w:highlight w:val="none"/>
        </w:rPr>
        <w:t>1. 凡 有 意 参 加 投 标 者 ， 须 在 政 采 云 平 台 办 理 数 字 证 书 （ CA ） ， CA 申 领 链 接 ：https://middle.zcygov.cn/ca/apply/list?_app_=zcy.sys，并在政采云绑定数字证书（CA）后在网上获取采购文件及其它采购资料，数字证书（CA）详见其办理流程。</w:t>
      </w:r>
    </w:p>
    <w:p w14:paraId="6E7C3353">
      <w:pPr>
        <w:snapToGrid w:val="0"/>
        <w:spacing w:line="360" w:lineRule="auto"/>
        <w:ind w:firstLine="540"/>
        <w:rPr>
          <w:rFonts w:ascii="宋体" w:hAnsi="宋体" w:cs="宋体"/>
          <w:szCs w:val="21"/>
          <w:highlight w:val="none"/>
          <w:u w:val="single"/>
        </w:rPr>
      </w:pPr>
      <w:r>
        <w:rPr>
          <w:rFonts w:hint="eastAsia" w:ascii="宋体" w:hAnsi="宋体"/>
          <w:szCs w:val="21"/>
          <w:highlight w:val="none"/>
        </w:rPr>
        <w:t>2.按上述要求获取文件的供应商视为合法获取了本项目采购文件，具备本项目的投标资格。</w:t>
      </w:r>
    </w:p>
    <w:p w14:paraId="0A82F001">
      <w:pPr>
        <w:snapToGrid w:val="0"/>
        <w:spacing w:line="360" w:lineRule="auto"/>
        <w:ind w:firstLine="540"/>
        <w:rPr>
          <w:rFonts w:ascii="宋体" w:hAnsi="宋体" w:cs="宋体"/>
          <w:szCs w:val="21"/>
          <w:highlight w:val="none"/>
        </w:rPr>
      </w:pPr>
      <w:r>
        <w:rPr>
          <w:rFonts w:hint="eastAsia" w:ascii="宋体" w:hAnsi="宋体" w:cs="宋体"/>
          <w:szCs w:val="21"/>
          <w:highlight w:val="none"/>
        </w:rPr>
        <w:t>售价：</w:t>
      </w:r>
      <w:r>
        <w:rPr>
          <w:rFonts w:ascii="宋体" w:hAnsi="宋体" w:cs="宋体"/>
          <w:szCs w:val="21"/>
          <w:highlight w:val="none"/>
        </w:rPr>
        <w:t>0</w:t>
      </w:r>
      <w:r>
        <w:rPr>
          <w:rFonts w:hint="eastAsia" w:ascii="宋体" w:hAnsi="宋体" w:cs="宋体"/>
          <w:szCs w:val="21"/>
          <w:highlight w:val="none"/>
        </w:rPr>
        <w:t>元</w:t>
      </w:r>
    </w:p>
    <w:p w14:paraId="1D226EDE">
      <w:pPr>
        <w:snapToGrid w:val="0"/>
        <w:spacing w:line="360" w:lineRule="auto"/>
        <w:rPr>
          <w:rFonts w:ascii="宋体" w:hAnsi="宋体" w:cs="宋体"/>
          <w:b/>
          <w:szCs w:val="21"/>
          <w:highlight w:val="none"/>
        </w:rPr>
      </w:pPr>
      <w:bookmarkStart w:id="15" w:name="_Toc35393801"/>
      <w:bookmarkStart w:id="16" w:name="_Toc28359015"/>
      <w:bookmarkStart w:id="17" w:name="_Toc28359092"/>
      <w:bookmarkStart w:id="18" w:name="_Toc35393632"/>
      <w:r>
        <w:rPr>
          <w:rFonts w:hint="eastAsia" w:ascii="宋体" w:hAnsi="宋体" w:cs="宋体"/>
          <w:b/>
          <w:szCs w:val="21"/>
          <w:highlight w:val="none"/>
        </w:rPr>
        <w:t>四、</w:t>
      </w:r>
      <w:bookmarkEnd w:id="15"/>
      <w:bookmarkEnd w:id="16"/>
      <w:bookmarkEnd w:id="17"/>
      <w:bookmarkEnd w:id="18"/>
      <w:r>
        <w:rPr>
          <w:rFonts w:hint="eastAsia" w:ascii="宋体" w:hAnsi="宋体" w:cs="宋体"/>
          <w:b/>
          <w:szCs w:val="21"/>
          <w:highlight w:val="none"/>
        </w:rPr>
        <w:t>提交投标文件截止时间、开标时间和地点</w:t>
      </w:r>
    </w:p>
    <w:p w14:paraId="3E748F94">
      <w:pPr>
        <w:snapToGrid w:val="0"/>
        <w:spacing w:line="360" w:lineRule="auto"/>
        <w:ind w:firstLine="420" w:firstLineChars="200"/>
        <w:rPr>
          <w:rFonts w:ascii="宋体" w:hAnsi="宋体"/>
          <w:bCs/>
          <w:szCs w:val="21"/>
          <w:highlight w:val="none"/>
          <w:u w:val="single"/>
        </w:rPr>
      </w:pPr>
      <w:r>
        <w:rPr>
          <w:rFonts w:hint="eastAsia" w:ascii="宋体" w:hAnsi="宋体"/>
          <w:szCs w:val="21"/>
          <w:highlight w:val="none"/>
        </w:rPr>
        <w:t>截止时间：</w:t>
      </w:r>
      <w:r>
        <w:rPr>
          <w:rFonts w:hint="eastAsia" w:ascii="宋体" w:hAnsi="宋体"/>
          <w:szCs w:val="21"/>
          <w:highlight w:val="none"/>
          <w:u w:val="single"/>
        </w:rPr>
        <w:t>202</w:t>
      </w:r>
      <w:r>
        <w:rPr>
          <w:rFonts w:hint="eastAsia" w:ascii="宋体" w:hAnsi="宋体"/>
          <w:szCs w:val="21"/>
          <w:highlight w:val="none"/>
          <w:u w:val="single"/>
          <w:lang w:val="en-US" w:eastAsia="zh-CN"/>
        </w:rPr>
        <w:t>6</w:t>
      </w:r>
      <w:r>
        <w:rPr>
          <w:rFonts w:hint="eastAsia" w:ascii="宋体" w:hAnsi="宋体"/>
          <w:szCs w:val="21"/>
          <w:highlight w:val="none"/>
          <w:u w:val="single"/>
        </w:rPr>
        <w:t>年</w:t>
      </w:r>
      <w:r>
        <w:rPr>
          <w:rFonts w:hint="eastAsia" w:ascii="宋体" w:hAnsi="宋体"/>
          <w:szCs w:val="21"/>
          <w:highlight w:val="none"/>
          <w:u w:val="single"/>
          <w:lang w:val="en-US" w:eastAsia="zh-CN"/>
        </w:rPr>
        <w:t>6</w:t>
      </w:r>
      <w:r>
        <w:rPr>
          <w:rFonts w:hint="eastAsia" w:ascii="宋体" w:hAnsi="宋体"/>
          <w:szCs w:val="21"/>
          <w:highlight w:val="none"/>
          <w:u w:val="single"/>
        </w:rPr>
        <w:t>月</w:t>
      </w:r>
      <w:r>
        <w:rPr>
          <w:rFonts w:hint="eastAsia" w:ascii="宋体" w:hAnsi="宋体"/>
          <w:szCs w:val="21"/>
          <w:highlight w:val="none"/>
          <w:u w:val="single"/>
          <w:lang w:val="en-US" w:eastAsia="zh-CN"/>
        </w:rPr>
        <w:t>15</w:t>
      </w:r>
      <w:r>
        <w:rPr>
          <w:rFonts w:hint="eastAsia" w:ascii="宋体" w:hAnsi="宋体"/>
          <w:szCs w:val="21"/>
          <w:highlight w:val="none"/>
          <w:u w:val="single"/>
        </w:rPr>
        <w:t>日09点30分</w:t>
      </w:r>
      <w:r>
        <w:rPr>
          <w:rFonts w:hint="eastAsia" w:ascii="宋体" w:hAnsi="宋体"/>
          <w:bCs/>
          <w:szCs w:val="21"/>
          <w:highlight w:val="none"/>
        </w:rPr>
        <w:t>（北京时间）</w:t>
      </w:r>
      <w:r>
        <w:rPr>
          <w:rFonts w:hint="eastAsia" w:ascii="宋体" w:hAnsi="宋体" w:cs="宋体"/>
          <w:iCs/>
          <w:szCs w:val="21"/>
          <w:highlight w:val="none"/>
        </w:rPr>
        <w:t>；</w:t>
      </w:r>
    </w:p>
    <w:p w14:paraId="537AEBAC">
      <w:pPr>
        <w:snapToGrid w:val="0"/>
        <w:spacing w:line="360" w:lineRule="auto"/>
        <w:ind w:firstLine="420" w:firstLineChars="200"/>
        <w:rPr>
          <w:rFonts w:ascii="宋体" w:hAnsi="宋体"/>
          <w:bCs/>
          <w:szCs w:val="21"/>
          <w:highlight w:val="none"/>
          <w:u w:val="single"/>
        </w:rPr>
      </w:pPr>
      <w:r>
        <w:rPr>
          <w:rFonts w:hint="eastAsia" w:ascii="宋体" w:hAnsi="宋体"/>
          <w:szCs w:val="21"/>
          <w:highlight w:val="none"/>
        </w:rPr>
        <w:t>地点：供应商应按照本项目采购文件和</w:t>
      </w:r>
      <w:r>
        <w:rPr>
          <w:rFonts w:hint="eastAsia" w:ascii="宋体" w:hAnsi="宋体"/>
          <w:szCs w:val="21"/>
          <w:highlight w:val="none"/>
          <w:lang w:eastAsia="zh-CN"/>
        </w:rPr>
        <w:t>“政采云”</w:t>
      </w:r>
      <w:r>
        <w:rPr>
          <w:rFonts w:hint="eastAsia" w:ascii="宋体" w:hAnsi="宋体"/>
          <w:szCs w:val="21"/>
          <w:highlight w:val="none"/>
        </w:rPr>
        <w:t>平台的要求编制、加密后在投标文件提交截止时间前上传至</w:t>
      </w:r>
      <w:r>
        <w:rPr>
          <w:rFonts w:hint="eastAsia" w:ascii="宋体" w:hAnsi="宋体"/>
          <w:szCs w:val="21"/>
          <w:highlight w:val="none"/>
          <w:lang w:eastAsia="zh-CN"/>
        </w:rPr>
        <w:t>“政采云”</w:t>
      </w:r>
      <w:r>
        <w:rPr>
          <w:rFonts w:hint="eastAsia" w:ascii="宋体" w:hAnsi="宋体"/>
          <w:szCs w:val="21"/>
          <w:highlight w:val="none"/>
        </w:rPr>
        <w:t>平台，投标文件提交截止时间前未完成投标文件上传的，视为撤回投标文件。供应商在</w:t>
      </w:r>
      <w:r>
        <w:rPr>
          <w:rFonts w:hint="eastAsia" w:ascii="宋体" w:hAnsi="宋体"/>
          <w:szCs w:val="21"/>
          <w:highlight w:val="none"/>
          <w:lang w:eastAsia="zh-CN"/>
        </w:rPr>
        <w:t>“政采云”</w:t>
      </w:r>
      <w:r>
        <w:rPr>
          <w:rFonts w:hint="eastAsia" w:ascii="宋体" w:hAnsi="宋体"/>
          <w:szCs w:val="21"/>
          <w:highlight w:val="none"/>
        </w:rPr>
        <w:t>平台提交电子版投标文件时，请填写参加远程采购活动经办人联系方式。</w:t>
      </w:r>
    </w:p>
    <w:p w14:paraId="1A5FAE2C">
      <w:pPr>
        <w:snapToGrid w:val="0"/>
        <w:spacing w:line="360" w:lineRule="auto"/>
        <w:rPr>
          <w:rFonts w:ascii="宋体" w:hAnsi="宋体" w:cs="宋体"/>
          <w:b/>
          <w:szCs w:val="21"/>
          <w:highlight w:val="none"/>
        </w:rPr>
      </w:pPr>
      <w:bookmarkStart w:id="19" w:name="_Toc35393634"/>
      <w:bookmarkStart w:id="20" w:name="_Toc28359017"/>
      <w:bookmarkStart w:id="21" w:name="_Toc28359094"/>
      <w:bookmarkStart w:id="22" w:name="_Toc35393803"/>
      <w:r>
        <w:rPr>
          <w:rFonts w:hint="eastAsia" w:ascii="宋体" w:hAnsi="宋体" w:cs="宋体"/>
          <w:b/>
          <w:szCs w:val="21"/>
          <w:highlight w:val="none"/>
        </w:rPr>
        <w:t>五、公告期限</w:t>
      </w:r>
      <w:bookmarkEnd w:id="19"/>
      <w:bookmarkEnd w:id="20"/>
      <w:bookmarkEnd w:id="21"/>
      <w:bookmarkEnd w:id="22"/>
    </w:p>
    <w:p w14:paraId="13CAF252">
      <w:pPr>
        <w:snapToGrid w:val="0"/>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自本公告发布之日起</w:t>
      </w:r>
      <w:r>
        <w:rPr>
          <w:rFonts w:ascii="宋体" w:hAnsi="宋体" w:cs="宋体"/>
          <w:kern w:val="0"/>
          <w:szCs w:val="21"/>
          <w:highlight w:val="none"/>
        </w:rPr>
        <w:t>5</w:t>
      </w:r>
      <w:r>
        <w:rPr>
          <w:rFonts w:hint="eastAsia" w:ascii="宋体" w:hAnsi="宋体" w:cs="宋体"/>
          <w:kern w:val="0"/>
          <w:szCs w:val="21"/>
          <w:highlight w:val="none"/>
        </w:rPr>
        <w:t>个工作日。</w:t>
      </w:r>
    </w:p>
    <w:p w14:paraId="5CDBDE17">
      <w:pPr>
        <w:snapToGrid w:val="0"/>
        <w:spacing w:line="360" w:lineRule="auto"/>
        <w:rPr>
          <w:rFonts w:ascii="宋体" w:hAnsi="宋体" w:cs="宋体"/>
          <w:szCs w:val="21"/>
          <w:highlight w:val="none"/>
        </w:rPr>
      </w:pPr>
      <w:bookmarkStart w:id="23" w:name="_Toc35393635"/>
      <w:bookmarkStart w:id="24" w:name="_Toc35393804"/>
      <w:r>
        <w:rPr>
          <w:rFonts w:hint="eastAsia" w:ascii="宋体" w:hAnsi="宋体" w:cs="宋体"/>
          <w:b/>
          <w:szCs w:val="21"/>
          <w:highlight w:val="none"/>
        </w:rPr>
        <w:t>六、其他补充事宜</w:t>
      </w:r>
      <w:bookmarkEnd w:id="23"/>
      <w:bookmarkEnd w:id="24"/>
      <w:bookmarkStart w:id="25" w:name="_Toc28359018"/>
      <w:bookmarkStart w:id="26" w:name="_Toc28359095"/>
      <w:bookmarkStart w:id="27" w:name="_Toc35393805"/>
      <w:bookmarkStart w:id="28" w:name="_Toc35393636"/>
      <w:r>
        <w:rPr>
          <w:rFonts w:hint="eastAsia" w:ascii="宋体" w:hAnsi="宋体" w:cs="宋体"/>
          <w:b/>
          <w:szCs w:val="21"/>
          <w:highlight w:val="none"/>
        </w:rPr>
        <w:t>：</w:t>
      </w:r>
    </w:p>
    <w:p w14:paraId="2CC048F1">
      <w:pPr>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cs="宋体"/>
          <w:sz w:val="21"/>
          <w:szCs w:val="21"/>
          <w:highlight w:val="none"/>
        </w:rPr>
        <w:t>开标方式：网上开标</w:t>
      </w:r>
    </w:p>
    <w:p w14:paraId="5D945004">
      <w:pPr>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lang w:val="en-US" w:eastAsia="zh-CN"/>
        </w:rPr>
        <w:t>2.</w:t>
      </w:r>
      <w:r>
        <w:rPr>
          <w:rFonts w:hint="eastAsia" w:ascii="宋体" w:hAnsi="宋体" w:cs="宋体"/>
          <w:sz w:val="21"/>
          <w:szCs w:val="21"/>
          <w:highlight w:val="none"/>
        </w:rPr>
        <w:t>是否需要缴纳投标保证金：是</w:t>
      </w:r>
    </w:p>
    <w:p w14:paraId="77D639F9">
      <w:pPr>
        <w:snapToGrid w:val="0"/>
        <w:spacing w:line="360" w:lineRule="auto"/>
        <w:ind w:firstLine="420" w:firstLineChars="200"/>
        <w:rPr>
          <w:rFonts w:hint="eastAsia" w:ascii="宋体" w:hAnsi="宋体" w:cs="华文细黑"/>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cs="华文细黑"/>
          <w:color w:val="auto"/>
          <w:sz w:val="21"/>
          <w:szCs w:val="21"/>
          <w:highlight w:val="none"/>
          <w:lang w:val="en-US" w:eastAsia="zh-CN"/>
        </w:rPr>
        <w:t>投标保证金缴纳金额：1标段：15000.00元；2标段：7000.00元；3标段：10000.00元；4标段：50.00元。</w:t>
      </w:r>
    </w:p>
    <w:p w14:paraId="1AA51DFF">
      <w:pPr>
        <w:widowControl w:val="0"/>
        <w:spacing w:line="360" w:lineRule="auto"/>
        <w:ind w:firstLine="420" w:firstLineChars="200"/>
        <w:rPr>
          <w:rFonts w:hint="eastAsia" w:ascii="宋体" w:hAnsi="宋体" w:cs="华文细黑"/>
          <w:color w:val="auto"/>
          <w:sz w:val="21"/>
          <w:szCs w:val="21"/>
          <w:highlight w:val="none"/>
          <w:lang w:val="en-US" w:eastAsia="zh-CN"/>
        </w:rPr>
      </w:pPr>
      <w:r>
        <w:rPr>
          <w:rFonts w:hint="eastAsia" w:ascii="宋体" w:hAnsi="宋体" w:cs="华文细黑"/>
          <w:color w:val="auto"/>
          <w:sz w:val="21"/>
          <w:szCs w:val="21"/>
          <w:highlight w:val="none"/>
          <w:lang w:val="en-US" w:eastAsia="zh-CN"/>
        </w:rPr>
        <w:t>4.投标保证金缴纳方式：支票、汇票、本票或者金融机构、担保机构出具的保函等非现金形式。</w:t>
      </w:r>
    </w:p>
    <w:p w14:paraId="427FD62A">
      <w:pPr>
        <w:widowControl w:val="0"/>
        <w:spacing w:line="360" w:lineRule="auto"/>
        <w:ind w:firstLine="420" w:firstLineChars="200"/>
        <w:rPr>
          <w:rFonts w:hint="eastAsia" w:ascii="宋体" w:hAnsi="宋体" w:cs="宋体"/>
          <w:color w:val="auto"/>
          <w:sz w:val="21"/>
          <w:szCs w:val="21"/>
          <w:highlight w:val="none"/>
        </w:rPr>
      </w:pPr>
      <w:r>
        <w:rPr>
          <w:rFonts w:hint="eastAsia" w:ascii="宋体" w:hAnsi="宋体" w:cs="华文细黑"/>
          <w:color w:val="auto"/>
          <w:sz w:val="21"/>
          <w:szCs w:val="21"/>
          <w:highlight w:val="none"/>
          <w:lang w:val="en-US" w:eastAsia="zh-CN"/>
        </w:rPr>
        <w:t>5.投标保证金缴纳截止时间：同投标文件提交截止时间</w:t>
      </w:r>
    </w:p>
    <w:p w14:paraId="49C17DA5">
      <w:pPr>
        <w:snapToGrid w:val="0"/>
        <w:spacing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lang w:val="en-US" w:eastAsia="zh-CN"/>
        </w:rPr>
        <w:t>6</w:t>
      </w:r>
      <w:r>
        <w:rPr>
          <w:rFonts w:hint="eastAsia" w:ascii="宋体" w:hAnsi="宋体" w:cs="宋体"/>
          <w:sz w:val="21"/>
          <w:szCs w:val="21"/>
          <w:highlight w:val="none"/>
        </w:rPr>
        <w:t>其他：</w:t>
      </w:r>
    </w:p>
    <w:p w14:paraId="07CA522A">
      <w:pPr>
        <w:snapToGrid w:val="0"/>
        <w:spacing w:line="360" w:lineRule="auto"/>
        <w:ind w:firstLine="420" w:firstLineChars="2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6.1.本次招标公告在云南省政府采购网上发布，公告内容和时间以云南省政府采购网发布的信息为准；</w:t>
      </w:r>
    </w:p>
    <w:p w14:paraId="4C3CF445">
      <w:pPr>
        <w:snapToGrid w:val="0"/>
        <w:spacing w:line="360" w:lineRule="auto"/>
        <w:ind w:firstLine="420" w:firstLineChars="200"/>
        <w:rPr>
          <w:rFonts w:hint="eastAsia" w:ascii="宋体" w:hAnsi="宋体" w:cs="宋体"/>
          <w:sz w:val="21"/>
          <w:szCs w:val="21"/>
          <w:highlight w:val="none"/>
          <w:lang w:eastAsia="zh-CN"/>
        </w:rPr>
      </w:pPr>
      <w:r>
        <w:rPr>
          <w:rFonts w:hint="eastAsia" w:ascii="宋体" w:hAnsi="宋体" w:cs="宋体"/>
          <w:sz w:val="21"/>
          <w:szCs w:val="21"/>
          <w:highlight w:val="none"/>
          <w:lang w:val="en-US" w:eastAsia="zh-CN"/>
        </w:rPr>
        <w:t>6.2.</w:t>
      </w:r>
      <w:r>
        <w:rPr>
          <w:rFonts w:hint="eastAsia" w:ascii="宋体" w:hAnsi="宋体" w:cs="宋体"/>
          <w:sz w:val="21"/>
          <w:szCs w:val="21"/>
          <w:highlight w:val="none"/>
        </w:rPr>
        <w:t>质保期：自验收合格之日起，整机保修不低于3年（费用包含在投标报价中）</w:t>
      </w:r>
      <w:r>
        <w:rPr>
          <w:rFonts w:hint="eastAsia" w:ascii="宋体" w:hAnsi="宋体" w:cs="宋体"/>
          <w:sz w:val="21"/>
          <w:szCs w:val="21"/>
          <w:highlight w:val="none"/>
          <w:lang w:eastAsia="zh-CN"/>
        </w:rPr>
        <w:t>；</w:t>
      </w:r>
    </w:p>
    <w:p w14:paraId="793816CE">
      <w:pPr>
        <w:snapToGrid w:val="0"/>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r>
        <w:rPr>
          <w:rFonts w:hint="eastAsia" w:ascii="宋体" w:hAnsi="宋体" w:cs="宋体"/>
          <w:sz w:val="21"/>
          <w:szCs w:val="21"/>
          <w:highlight w:val="none"/>
        </w:rPr>
        <w:t>3交货地点：昆明市妇幼保健院指定地点</w:t>
      </w:r>
      <w:r>
        <w:rPr>
          <w:rFonts w:hint="eastAsia" w:ascii="宋体" w:hAnsi="宋体" w:cs="宋体"/>
          <w:sz w:val="21"/>
          <w:szCs w:val="21"/>
          <w:highlight w:val="none"/>
          <w:lang w:eastAsia="zh-CN"/>
        </w:rPr>
        <w:t>；</w:t>
      </w:r>
    </w:p>
    <w:p w14:paraId="063E65DC">
      <w:pPr>
        <w:snapToGrid w:val="0"/>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lang w:val="en-US" w:eastAsia="zh-CN"/>
        </w:rPr>
        <w:t>6.</w:t>
      </w:r>
      <w:r>
        <w:rPr>
          <w:rFonts w:hint="eastAsia" w:ascii="宋体" w:hAnsi="宋体" w:cs="宋体"/>
          <w:szCs w:val="21"/>
          <w:highlight w:val="none"/>
        </w:rPr>
        <w:t>4质量标准：符合国家及行业有关生产、制造的规定、规范和标准，满足招标文件规定的技术要求和采购人使用需要，一次验收合格。产品质保期内的任何质量问题，供应商必须及时、按质、主动处理解决并承担一切费用，直至满足采购人要求</w:t>
      </w:r>
      <w:r>
        <w:rPr>
          <w:rFonts w:hint="eastAsia" w:ascii="宋体" w:hAnsi="宋体" w:cs="宋体"/>
          <w:szCs w:val="21"/>
          <w:highlight w:val="none"/>
          <w:lang w:eastAsia="zh-CN"/>
        </w:rPr>
        <w:t>；</w:t>
      </w:r>
    </w:p>
    <w:p w14:paraId="6E3E3B12">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6.5</w:t>
      </w:r>
      <w:r>
        <w:rPr>
          <w:rFonts w:hint="eastAsia" w:ascii="宋体" w:hAnsi="宋体" w:cs="宋体"/>
          <w:szCs w:val="21"/>
          <w:highlight w:val="none"/>
        </w:rPr>
        <w:t>进口产品是指通过中国海关报关验放进入中国境内且产自关境外的产品。</w:t>
      </w:r>
    </w:p>
    <w:p w14:paraId="1D5D2055">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注：</w:t>
      </w:r>
    </w:p>
    <w:p w14:paraId="25C6204D">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.1本项目为不见面开标，投标单位无需到达现场；</w:t>
      </w:r>
    </w:p>
    <w:p w14:paraId="174420F2">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.2本项目实行网上投标，采用电子投标文件；</w:t>
      </w:r>
    </w:p>
    <w:p w14:paraId="3C0CB89E">
      <w:pPr>
        <w:wordWrap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3各供应商应在开标前应确保成为政采云平台供应商，并完成CA数字证书申领。因未注册入库、未办理CA数字证书等原因造成无法投标或投标失败等后果由供应商自行承担。凡有意参加投标的供应商，须在政采云平台办理数字证书（CA）CA申领链接：https://middle.zcygov.cn/ca/apply/list?_app_=zcy.sys，并通过政采云绑定数字证书（CA）后在网上获取采购文件及其它采购资料，数字证书（CA）详见其办理流程；</w:t>
      </w:r>
    </w:p>
    <w:p w14:paraId="7A2B12E9">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进行咨询。如因供应商自身原因导致在规定时间内无法正常解密的（如：浏览器故障、未安装相关驱动、网络故障、加密CA与解密CA不一致等），代理机构不予异常处理，视为供应商自动弃标。</w:t>
      </w:r>
    </w:p>
    <w:p w14:paraId="4162166D">
      <w:pPr>
        <w:snapToGrid w:val="0"/>
        <w:spacing w:line="360" w:lineRule="auto"/>
        <w:rPr>
          <w:rFonts w:ascii="宋体" w:hAnsi="宋体" w:cs="宋体"/>
          <w:b/>
          <w:szCs w:val="21"/>
          <w:highlight w:val="none"/>
        </w:rPr>
      </w:pPr>
      <w:r>
        <w:rPr>
          <w:rFonts w:hint="eastAsia" w:ascii="宋体" w:hAnsi="宋体" w:cs="宋体"/>
          <w:b/>
          <w:szCs w:val="21"/>
          <w:highlight w:val="none"/>
        </w:rPr>
        <w:t>七、对本次招标提出询问，请按以下方式联系。</w:t>
      </w:r>
      <w:bookmarkEnd w:id="25"/>
      <w:bookmarkEnd w:id="26"/>
      <w:bookmarkEnd w:id="27"/>
      <w:bookmarkEnd w:id="28"/>
    </w:p>
    <w:p w14:paraId="1FC1E8E4">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1.采购人信息</w:t>
      </w:r>
    </w:p>
    <w:p w14:paraId="026852CF">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名称：昆明市妇幼保健院</w:t>
      </w:r>
    </w:p>
    <w:p w14:paraId="3A5678E8">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地址：昆明市五华区华山西路5号</w:t>
      </w:r>
    </w:p>
    <w:p w14:paraId="075DDE3C">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联系方式：叶老师，</w:t>
      </w:r>
      <w:r>
        <w:rPr>
          <w:rFonts w:ascii="宋体" w:hAnsi="宋体" w:cs="宋体"/>
          <w:szCs w:val="21"/>
          <w:highlight w:val="none"/>
        </w:rPr>
        <w:t>0871-63624002</w:t>
      </w:r>
    </w:p>
    <w:p w14:paraId="28E35BD9">
      <w:pPr>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2.采购代理机构信息</w:t>
      </w:r>
    </w:p>
    <w:p w14:paraId="53C386D3">
      <w:pPr>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名称：云南元大工程咨询有限责任公司</w:t>
      </w:r>
    </w:p>
    <w:p w14:paraId="18A8C17F">
      <w:pPr>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地址：云南省昆明市盘龙区联盟路与万宏路交汇处万宏嘉园沣苑（地块三）B座15楼（奥斯迪商务中心B座15楼）</w:t>
      </w:r>
    </w:p>
    <w:p w14:paraId="13C469D8">
      <w:pPr>
        <w:snapToGrid w:val="0"/>
        <w:spacing w:line="360" w:lineRule="auto"/>
        <w:ind w:firstLine="420" w:firstLineChars="200"/>
        <w:rPr>
          <w:rFonts w:hint="default" w:ascii="宋体" w:hAnsi="宋体" w:eastAsia="宋体" w:cs="宋体"/>
          <w:szCs w:val="21"/>
          <w:highlight w:val="none"/>
          <w:lang w:val="en-US"/>
        </w:rPr>
      </w:pPr>
      <w:r>
        <w:rPr>
          <w:rFonts w:hint="eastAsia" w:ascii="宋体" w:hAnsi="宋体" w:eastAsia="宋体" w:cs="宋体"/>
          <w:szCs w:val="21"/>
          <w:highlight w:val="none"/>
          <w:lang w:val="en-US" w:eastAsia="zh-CN"/>
        </w:rPr>
        <w:t>联系方式</w:t>
      </w:r>
      <w:bookmarkStart w:id="29" w:name="_Toc28359087"/>
      <w:bookmarkStart w:id="30" w:name="_Toc28359010"/>
      <w:r>
        <w:rPr>
          <w:rFonts w:hint="eastAsia" w:ascii="宋体" w:hAnsi="宋体" w:eastAsia="宋体" w:cs="宋体"/>
          <w:szCs w:val="21"/>
          <w:highlight w:val="none"/>
          <w:lang w:val="en-US" w:eastAsia="zh-CN"/>
        </w:rPr>
        <w:t xml:space="preserve"> 0871-63335856</w:t>
      </w:r>
    </w:p>
    <w:p w14:paraId="203E6D24">
      <w:pPr>
        <w:snapToGrid w:val="0"/>
        <w:spacing w:line="360" w:lineRule="auto"/>
        <w:ind w:firstLine="420" w:firstLineChars="200"/>
        <w:rPr>
          <w:rFonts w:hint="eastAsia" w:ascii="宋体" w:hAnsi="宋体" w:eastAsia="宋体" w:cs="宋体"/>
          <w:szCs w:val="21"/>
          <w:highlight w:val="none"/>
          <w:lang w:val="en-US"/>
        </w:rPr>
      </w:pPr>
      <w:r>
        <w:rPr>
          <w:rFonts w:hint="eastAsia" w:ascii="宋体" w:hAnsi="宋体" w:eastAsia="宋体" w:cs="宋体"/>
          <w:szCs w:val="21"/>
          <w:highlight w:val="none"/>
          <w:lang w:val="en-US" w:eastAsia="zh-CN"/>
        </w:rPr>
        <w:t>3.项目联系方式</w:t>
      </w:r>
      <w:bookmarkEnd w:id="29"/>
      <w:bookmarkEnd w:id="30"/>
    </w:p>
    <w:p w14:paraId="1447E628">
      <w:pPr>
        <w:snapToGrid w:val="0"/>
        <w:spacing w:line="360" w:lineRule="auto"/>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项目联系人：杨映琨、赵珠念、妥鑫、蔡慈进</w:t>
      </w:r>
    </w:p>
    <w:p w14:paraId="05989132">
      <w:pPr>
        <w:snapToGrid w:val="0"/>
        <w:spacing w:line="360" w:lineRule="auto"/>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电话：0871-63335856</w:t>
      </w:r>
    </w:p>
    <w:p w14:paraId="7D83968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olor w:val="C00000"/>
          <w:sz w:val="24"/>
          <w:szCs w:val="24"/>
          <w:highlight w:val="none"/>
          <w:u w:val="single"/>
          <w:lang w:val="en-US"/>
        </w:rPr>
      </w:pPr>
    </w:p>
    <w:p w14:paraId="32699104">
      <w:pPr>
        <w:pStyle w:val="2"/>
        <w:rPr>
          <w:highlight w:val="none"/>
        </w:rPr>
      </w:pPr>
    </w:p>
    <w:p w14:paraId="27C0811A">
      <w:pPr>
        <w:pStyle w:val="2"/>
        <w:rPr>
          <w:highlight w:val="none"/>
        </w:rPr>
      </w:pPr>
      <w:r>
        <w:rPr>
          <w:highlight w:val="none"/>
        </w:rPr>
        <w:br w:type="page"/>
      </w:r>
    </w:p>
    <w:p w14:paraId="2C89C01C">
      <w:pPr>
        <w:snapToGrid w:val="0"/>
        <w:spacing w:line="360" w:lineRule="auto"/>
        <w:ind w:firstLine="420" w:firstLineChars="200"/>
        <w:rPr>
          <w:rFonts w:ascii="宋体" w:hAnsi="宋体" w:cs="宋体"/>
          <w:szCs w:val="21"/>
          <w:highlight w:val="none"/>
        </w:rPr>
      </w:pPr>
    </w:p>
    <w:bookmarkEnd w:id="1"/>
    <w:p w14:paraId="585FAD3A">
      <w:pPr>
        <w:pStyle w:val="28"/>
        <w:adjustRightInd w:val="0"/>
        <w:snapToGrid w:val="0"/>
        <w:spacing w:before="0" w:after="0" w:line="360" w:lineRule="auto"/>
        <w:rPr>
          <w:rFonts w:ascii="宋体" w:hAnsi="宋体"/>
          <w:bCs w:val="0"/>
          <w:kern w:val="44"/>
          <w:sz w:val="36"/>
          <w:szCs w:val="36"/>
          <w:highlight w:val="none"/>
        </w:rPr>
      </w:pPr>
      <w:bookmarkStart w:id="31" w:name="_Toc2087"/>
      <w:r>
        <w:rPr>
          <w:rFonts w:hint="eastAsia" w:ascii="宋体" w:hAnsi="宋体"/>
          <w:bCs w:val="0"/>
          <w:kern w:val="44"/>
          <w:sz w:val="36"/>
          <w:szCs w:val="36"/>
          <w:highlight w:val="none"/>
        </w:rPr>
        <w:t>第二章 投标人须知</w:t>
      </w:r>
      <w:bookmarkEnd w:id="31"/>
    </w:p>
    <w:p w14:paraId="15C88163">
      <w:pPr>
        <w:pStyle w:val="5"/>
        <w:snapToGrid w:val="0"/>
        <w:spacing w:before="0"/>
        <w:jc w:val="center"/>
        <w:rPr>
          <w:rFonts w:ascii="宋体" w:hAnsi="宋体" w:eastAsia="宋体"/>
          <w:kern w:val="44"/>
          <w:sz w:val="32"/>
          <w:szCs w:val="32"/>
          <w:highlight w:val="none"/>
        </w:rPr>
      </w:pPr>
      <w:bookmarkStart w:id="32" w:name="_Toc101004081"/>
      <w:bookmarkStart w:id="33" w:name="_Toc33095529"/>
      <w:bookmarkStart w:id="34" w:name="_Toc14069"/>
      <w:bookmarkStart w:id="35" w:name="_Toc24684"/>
      <w:r>
        <w:rPr>
          <w:rFonts w:hint="eastAsia" w:ascii="宋体" w:hAnsi="宋体" w:eastAsia="宋体"/>
          <w:kern w:val="44"/>
          <w:sz w:val="32"/>
          <w:szCs w:val="32"/>
          <w:highlight w:val="none"/>
        </w:rPr>
        <w:t>投标人须知前附表</w:t>
      </w:r>
      <w:bookmarkEnd w:id="32"/>
      <w:bookmarkEnd w:id="33"/>
      <w:bookmarkEnd w:id="34"/>
      <w:bookmarkEnd w:id="35"/>
    </w:p>
    <w:tbl>
      <w:tblPr>
        <w:tblStyle w:val="30"/>
        <w:tblW w:w="10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2723"/>
        <w:gridCol w:w="5953"/>
      </w:tblGrid>
      <w:tr w14:paraId="653AC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480" w:type="dxa"/>
            <w:vAlign w:val="center"/>
          </w:tcPr>
          <w:p w14:paraId="38E04A60">
            <w:pPr>
              <w:pStyle w:val="16"/>
              <w:spacing w:line="300" w:lineRule="exact"/>
              <w:jc w:val="center"/>
              <w:rPr>
                <w:rFonts w:hAnsi="宋体"/>
                <w:b/>
                <w:szCs w:val="21"/>
                <w:highlight w:val="none"/>
              </w:rPr>
            </w:pPr>
            <w:r>
              <w:rPr>
                <w:rFonts w:hint="eastAsia" w:hAnsi="宋体"/>
                <w:b/>
                <w:szCs w:val="21"/>
                <w:highlight w:val="none"/>
              </w:rPr>
              <w:t>条款号</w:t>
            </w:r>
          </w:p>
        </w:tc>
        <w:tc>
          <w:tcPr>
            <w:tcW w:w="2723" w:type="dxa"/>
            <w:vAlign w:val="center"/>
          </w:tcPr>
          <w:p w14:paraId="3F73A49A">
            <w:pPr>
              <w:pStyle w:val="16"/>
              <w:spacing w:line="300" w:lineRule="exact"/>
              <w:jc w:val="center"/>
              <w:rPr>
                <w:rFonts w:hAnsi="宋体"/>
                <w:b/>
                <w:szCs w:val="21"/>
                <w:highlight w:val="none"/>
              </w:rPr>
            </w:pPr>
            <w:r>
              <w:rPr>
                <w:rFonts w:hint="eastAsia" w:hAnsi="宋体"/>
                <w:b/>
                <w:szCs w:val="21"/>
                <w:highlight w:val="none"/>
              </w:rPr>
              <w:t>条款名称</w:t>
            </w:r>
          </w:p>
        </w:tc>
        <w:tc>
          <w:tcPr>
            <w:tcW w:w="5953" w:type="dxa"/>
            <w:vAlign w:val="center"/>
          </w:tcPr>
          <w:p w14:paraId="06197AE1">
            <w:pPr>
              <w:pStyle w:val="16"/>
              <w:spacing w:line="300" w:lineRule="exact"/>
              <w:jc w:val="center"/>
              <w:rPr>
                <w:rFonts w:hAnsi="宋体"/>
                <w:b/>
                <w:szCs w:val="21"/>
                <w:highlight w:val="none"/>
              </w:rPr>
            </w:pPr>
            <w:r>
              <w:rPr>
                <w:rFonts w:hint="eastAsia" w:hAnsi="宋体"/>
                <w:b/>
                <w:szCs w:val="21"/>
                <w:highlight w:val="none"/>
              </w:rPr>
              <w:t>编列内容</w:t>
            </w:r>
          </w:p>
        </w:tc>
      </w:tr>
      <w:tr w14:paraId="08E6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1480" w:type="dxa"/>
            <w:vMerge w:val="restart"/>
            <w:vAlign w:val="center"/>
          </w:tcPr>
          <w:p w14:paraId="6C0A4686">
            <w:pPr>
              <w:pStyle w:val="16"/>
              <w:spacing w:line="300" w:lineRule="exact"/>
              <w:jc w:val="center"/>
              <w:rPr>
                <w:rFonts w:hAnsi="宋体"/>
                <w:szCs w:val="21"/>
                <w:highlight w:val="none"/>
              </w:rPr>
            </w:pPr>
            <w:r>
              <w:rPr>
                <w:rFonts w:hint="eastAsia" w:hAnsi="宋体"/>
                <w:szCs w:val="21"/>
                <w:highlight w:val="none"/>
              </w:rPr>
              <w:t>1</w:t>
            </w:r>
          </w:p>
          <w:p w14:paraId="21F44356">
            <w:pPr>
              <w:pStyle w:val="16"/>
              <w:spacing w:line="300" w:lineRule="exact"/>
              <w:jc w:val="center"/>
              <w:rPr>
                <w:rFonts w:hAnsi="宋体"/>
                <w:szCs w:val="21"/>
                <w:highlight w:val="none"/>
              </w:rPr>
            </w:pPr>
            <w:r>
              <w:rPr>
                <w:rFonts w:hint="eastAsia" w:hAnsi="宋体"/>
                <w:szCs w:val="21"/>
                <w:highlight w:val="none"/>
              </w:rPr>
              <w:t>2.1</w:t>
            </w:r>
          </w:p>
        </w:tc>
        <w:tc>
          <w:tcPr>
            <w:tcW w:w="2723" w:type="dxa"/>
            <w:vAlign w:val="bottom"/>
          </w:tcPr>
          <w:p w14:paraId="0A85A0DD">
            <w:pPr>
              <w:pStyle w:val="16"/>
              <w:keepNext w:val="0"/>
              <w:keepLines w:val="0"/>
              <w:pageBreakBefore w:val="0"/>
              <w:kinsoku/>
              <w:wordWrap/>
              <w:overflowPunct/>
              <w:topLinePunct w:val="0"/>
              <w:bidi w:val="0"/>
              <w:adjustRightInd/>
              <w:spacing w:line="360" w:lineRule="auto"/>
              <w:jc w:val="both"/>
              <w:rPr>
                <w:rFonts w:hAnsi="宋体"/>
                <w:szCs w:val="21"/>
                <w:highlight w:val="none"/>
                <w:u w:val="single"/>
              </w:rPr>
            </w:pPr>
            <w:r>
              <w:rPr>
                <w:rFonts w:hint="eastAsia" w:hAnsi="宋体"/>
                <w:bCs/>
                <w:szCs w:val="21"/>
                <w:highlight w:val="none"/>
              </w:rPr>
              <w:t>采购人</w:t>
            </w:r>
            <w:r>
              <w:rPr>
                <w:rFonts w:hint="eastAsia" w:hAnsi="宋体"/>
                <w:kern w:val="48"/>
                <w:szCs w:val="21"/>
                <w:highlight w:val="none"/>
              </w:rPr>
              <w:t xml:space="preserve"> </w:t>
            </w:r>
          </w:p>
        </w:tc>
        <w:tc>
          <w:tcPr>
            <w:tcW w:w="5953" w:type="dxa"/>
            <w:vAlign w:val="bottom"/>
          </w:tcPr>
          <w:p w14:paraId="7C005F6F">
            <w:pPr>
              <w:pStyle w:val="16"/>
              <w:keepNext w:val="0"/>
              <w:keepLines w:val="0"/>
              <w:pageBreakBefore w:val="0"/>
              <w:kinsoku/>
              <w:wordWrap/>
              <w:overflowPunct/>
              <w:topLinePunct w:val="0"/>
              <w:bidi w:val="0"/>
              <w:adjustRightInd/>
              <w:spacing w:line="360" w:lineRule="auto"/>
              <w:jc w:val="both"/>
              <w:rPr>
                <w:rFonts w:hAnsi="宋体"/>
                <w:szCs w:val="21"/>
                <w:highlight w:val="none"/>
              </w:rPr>
            </w:pPr>
            <w:r>
              <w:rPr>
                <w:rFonts w:hint="eastAsia" w:hAnsi="宋体"/>
                <w:szCs w:val="21"/>
                <w:highlight w:val="none"/>
              </w:rPr>
              <w:t>昆明市妇幼保健院</w:t>
            </w:r>
          </w:p>
        </w:tc>
      </w:tr>
      <w:tr w14:paraId="519AA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1480" w:type="dxa"/>
            <w:vMerge w:val="continue"/>
            <w:vAlign w:val="center"/>
          </w:tcPr>
          <w:p w14:paraId="667A025A">
            <w:pPr>
              <w:spacing w:line="300" w:lineRule="exact"/>
              <w:rPr>
                <w:rFonts w:ascii="宋体" w:hAnsi="宋体"/>
                <w:szCs w:val="21"/>
                <w:highlight w:val="none"/>
              </w:rPr>
            </w:pPr>
          </w:p>
        </w:tc>
        <w:tc>
          <w:tcPr>
            <w:tcW w:w="2723" w:type="dxa"/>
            <w:vAlign w:val="bottom"/>
          </w:tcPr>
          <w:p w14:paraId="0B8AFB5C">
            <w:pPr>
              <w:pStyle w:val="16"/>
              <w:keepNext w:val="0"/>
              <w:keepLines w:val="0"/>
              <w:pageBreakBefore w:val="0"/>
              <w:kinsoku/>
              <w:wordWrap/>
              <w:overflowPunct/>
              <w:topLinePunct w:val="0"/>
              <w:bidi w:val="0"/>
              <w:adjustRightInd/>
              <w:spacing w:line="360" w:lineRule="auto"/>
              <w:jc w:val="both"/>
              <w:rPr>
                <w:rFonts w:hAnsi="宋体"/>
                <w:bCs/>
                <w:szCs w:val="21"/>
                <w:highlight w:val="none"/>
              </w:rPr>
            </w:pPr>
            <w:r>
              <w:rPr>
                <w:rFonts w:hint="eastAsia" w:hAnsi="宋体"/>
                <w:bCs/>
                <w:szCs w:val="21"/>
                <w:highlight w:val="none"/>
              </w:rPr>
              <w:t>采购代理机构</w:t>
            </w:r>
          </w:p>
        </w:tc>
        <w:tc>
          <w:tcPr>
            <w:tcW w:w="5953" w:type="dxa"/>
            <w:vAlign w:val="bottom"/>
          </w:tcPr>
          <w:p w14:paraId="34354138">
            <w:pPr>
              <w:pStyle w:val="16"/>
              <w:keepNext w:val="0"/>
              <w:keepLines w:val="0"/>
              <w:pageBreakBefore w:val="0"/>
              <w:kinsoku/>
              <w:wordWrap/>
              <w:overflowPunct/>
              <w:topLinePunct w:val="0"/>
              <w:bidi w:val="0"/>
              <w:adjustRightInd/>
              <w:spacing w:line="360" w:lineRule="auto"/>
              <w:jc w:val="both"/>
              <w:rPr>
                <w:rFonts w:hint="eastAsia" w:hAnsi="宋体" w:eastAsia="宋体"/>
                <w:szCs w:val="21"/>
                <w:highlight w:val="none"/>
                <w:lang w:eastAsia="zh-CN"/>
              </w:rPr>
            </w:pPr>
            <w:r>
              <w:rPr>
                <w:rFonts w:hint="eastAsia" w:hAnsi="宋体"/>
                <w:szCs w:val="21"/>
                <w:highlight w:val="none"/>
                <w:lang w:eastAsia="zh-CN"/>
              </w:rPr>
              <w:t>云南元大工程咨询有限责任公司</w:t>
            </w:r>
          </w:p>
        </w:tc>
      </w:tr>
      <w:tr w14:paraId="48D7D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480" w:type="dxa"/>
            <w:vMerge w:val="continue"/>
            <w:vAlign w:val="center"/>
          </w:tcPr>
          <w:p w14:paraId="242D6DB6">
            <w:pPr>
              <w:spacing w:line="300" w:lineRule="exact"/>
              <w:rPr>
                <w:rFonts w:ascii="宋体" w:hAnsi="宋体"/>
                <w:szCs w:val="21"/>
                <w:highlight w:val="none"/>
              </w:rPr>
            </w:pPr>
          </w:p>
        </w:tc>
        <w:tc>
          <w:tcPr>
            <w:tcW w:w="2723" w:type="dxa"/>
            <w:vAlign w:val="center"/>
          </w:tcPr>
          <w:p w14:paraId="05135C02">
            <w:pPr>
              <w:pStyle w:val="16"/>
              <w:keepNext w:val="0"/>
              <w:keepLines w:val="0"/>
              <w:pageBreakBefore w:val="0"/>
              <w:kinsoku/>
              <w:wordWrap/>
              <w:overflowPunct/>
              <w:topLinePunct w:val="0"/>
              <w:bidi w:val="0"/>
              <w:adjustRightInd/>
              <w:spacing w:line="360" w:lineRule="auto"/>
              <w:jc w:val="both"/>
              <w:rPr>
                <w:rFonts w:hAnsi="宋体"/>
                <w:szCs w:val="21"/>
                <w:highlight w:val="none"/>
              </w:rPr>
            </w:pPr>
            <w:r>
              <w:rPr>
                <w:rFonts w:hint="eastAsia" w:hAnsi="宋体"/>
                <w:szCs w:val="21"/>
                <w:highlight w:val="none"/>
              </w:rPr>
              <w:t>项目名称及招标编号</w:t>
            </w:r>
          </w:p>
        </w:tc>
        <w:tc>
          <w:tcPr>
            <w:tcW w:w="5953" w:type="dxa"/>
            <w:vAlign w:val="center"/>
          </w:tcPr>
          <w:p w14:paraId="03B28916">
            <w:pPr>
              <w:pStyle w:val="16"/>
              <w:keepNext w:val="0"/>
              <w:keepLines w:val="0"/>
              <w:pageBreakBefore w:val="0"/>
              <w:kinsoku/>
              <w:wordWrap/>
              <w:overflowPunct/>
              <w:topLinePunct w:val="0"/>
              <w:bidi w:val="0"/>
              <w:adjustRightInd/>
              <w:spacing w:line="360" w:lineRule="auto"/>
              <w:jc w:val="both"/>
              <w:rPr>
                <w:rFonts w:hint="eastAsia" w:hAnsi="宋体" w:eastAsia="宋体"/>
                <w:szCs w:val="21"/>
                <w:highlight w:val="none"/>
                <w:lang w:eastAsia="zh-CN"/>
              </w:rPr>
            </w:pPr>
            <w:r>
              <w:rPr>
                <w:rFonts w:hint="eastAsia" w:hAnsi="宋体"/>
                <w:szCs w:val="21"/>
                <w:highlight w:val="none"/>
              </w:rPr>
              <w:t>项目名称：</w:t>
            </w:r>
            <w:r>
              <w:rPr>
                <w:rFonts w:hint="eastAsia" w:hAnsi="宋体" w:cs="Arial"/>
                <w:kern w:val="0"/>
                <w:szCs w:val="21"/>
                <w:highlight w:val="none"/>
                <w:lang w:eastAsia="zh-CN"/>
              </w:rPr>
              <w:t>昆明市妇幼保健院便携式彩色多普勒超声诊断仪等医疗设备采购项目</w:t>
            </w:r>
          </w:p>
          <w:p w14:paraId="6622920B">
            <w:pPr>
              <w:pStyle w:val="16"/>
              <w:keepNext w:val="0"/>
              <w:keepLines w:val="0"/>
              <w:pageBreakBefore w:val="0"/>
              <w:kinsoku/>
              <w:wordWrap/>
              <w:overflowPunct/>
              <w:topLinePunct w:val="0"/>
              <w:bidi w:val="0"/>
              <w:adjustRightInd/>
              <w:spacing w:line="360" w:lineRule="auto"/>
              <w:jc w:val="both"/>
              <w:rPr>
                <w:rFonts w:hAnsi="宋体"/>
                <w:szCs w:val="21"/>
                <w:highlight w:val="none"/>
                <w:u w:val="single"/>
              </w:rPr>
            </w:pPr>
            <w:r>
              <w:rPr>
                <w:rFonts w:hint="eastAsia" w:hAnsi="宋体"/>
                <w:szCs w:val="21"/>
                <w:highlight w:val="none"/>
              </w:rPr>
              <w:t>招标编号：YDCTH20260697</w:t>
            </w:r>
          </w:p>
        </w:tc>
      </w:tr>
      <w:tr w14:paraId="0451A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0" w:type="dxa"/>
            <w:vAlign w:val="center"/>
          </w:tcPr>
          <w:p w14:paraId="47747347">
            <w:pPr>
              <w:pStyle w:val="16"/>
              <w:spacing w:line="300" w:lineRule="exact"/>
              <w:jc w:val="center"/>
              <w:rPr>
                <w:rFonts w:hAnsi="宋体"/>
                <w:szCs w:val="21"/>
                <w:highlight w:val="none"/>
              </w:rPr>
            </w:pPr>
            <w:r>
              <w:rPr>
                <w:rFonts w:hint="eastAsia" w:hAnsi="宋体"/>
                <w:szCs w:val="21"/>
                <w:highlight w:val="none"/>
              </w:rPr>
              <w:t>3.1</w:t>
            </w:r>
          </w:p>
        </w:tc>
        <w:tc>
          <w:tcPr>
            <w:tcW w:w="2723" w:type="dxa"/>
            <w:vAlign w:val="center"/>
          </w:tcPr>
          <w:p w14:paraId="57BB07B5">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招标范围</w:t>
            </w:r>
          </w:p>
        </w:tc>
        <w:tc>
          <w:tcPr>
            <w:tcW w:w="5953" w:type="dxa"/>
            <w:vAlign w:val="center"/>
          </w:tcPr>
          <w:p w14:paraId="4924574A">
            <w:pPr>
              <w:pStyle w:val="16"/>
              <w:keepNext w:val="0"/>
              <w:keepLines w:val="0"/>
              <w:pageBreakBefore w:val="0"/>
              <w:kinsoku/>
              <w:wordWrap/>
              <w:overflowPunct/>
              <w:topLinePunct w:val="0"/>
              <w:bidi w:val="0"/>
              <w:adjustRightInd/>
              <w:spacing w:line="360" w:lineRule="auto"/>
              <w:jc w:val="left"/>
              <w:rPr>
                <w:rFonts w:hAnsi="宋体"/>
                <w:szCs w:val="21"/>
                <w:highlight w:val="none"/>
              </w:rPr>
            </w:pPr>
            <w:r>
              <w:rPr>
                <w:rFonts w:hint="eastAsia" w:hAnsi="宋体"/>
                <w:szCs w:val="21"/>
                <w:highlight w:val="none"/>
              </w:rPr>
              <w:t>技术规格详见招标公告及招标文件第五章</w:t>
            </w:r>
          </w:p>
        </w:tc>
      </w:tr>
      <w:tr w14:paraId="53400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3C74A19A">
            <w:pPr>
              <w:pStyle w:val="16"/>
              <w:spacing w:line="300" w:lineRule="exact"/>
              <w:jc w:val="center"/>
              <w:rPr>
                <w:rFonts w:hAnsi="宋体"/>
                <w:szCs w:val="21"/>
                <w:highlight w:val="none"/>
              </w:rPr>
            </w:pPr>
            <w:r>
              <w:rPr>
                <w:rFonts w:hint="eastAsia" w:hAnsi="宋体"/>
                <w:szCs w:val="21"/>
                <w:highlight w:val="none"/>
              </w:rPr>
              <w:t>3.2</w:t>
            </w:r>
          </w:p>
        </w:tc>
        <w:tc>
          <w:tcPr>
            <w:tcW w:w="2723" w:type="dxa"/>
            <w:vAlign w:val="center"/>
          </w:tcPr>
          <w:p w14:paraId="2A1662C7">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交货</w:t>
            </w:r>
          </w:p>
        </w:tc>
        <w:tc>
          <w:tcPr>
            <w:tcW w:w="5953" w:type="dxa"/>
            <w:vAlign w:val="center"/>
          </w:tcPr>
          <w:p w14:paraId="57AC3C9D">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交货期：</w:t>
            </w:r>
            <w:r>
              <w:rPr>
                <w:rFonts w:hint="eastAsia" w:hAnsi="宋体" w:cs="宋体"/>
                <w:szCs w:val="21"/>
                <w:highlight w:val="none"/>
              </w:rPr>
              <w:t>自合同签订之日起30个日历日内完成设备的供货及安装调试，确保一次性验收合格，具体以合同签订为准。</w:t>
            </w:r>
          </w:p>
          <w:p w14:paraId="62473716">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交货地点：昆明市妇幼保健院用户指定地点。</w:t>
            </w:r>
          </w:p>
          <w:p w14:paraId="7DDEAF90">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交货方式：安装调试并验收合格</w:t>
            </w:r>
          </w:p>
        </w:tc>
      </w:tr>
      <w:tr w14:paraId="2105D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4A668555">
            <w:pPr>
              <w:pStyle w:val="16"/>
              <w:spacing w:line="300" w:lineRule="exact"/>
              <w:jc w:val="center"/>
              <w:rPr>
                <w:rFonts w:hAnsi="宋体"/>
                <w:szCs w:val="21"/>
                <w:highlight w:val="none"/>
              </w:rPr>
            </w:pPr>
            <w:r>
              <w:rPr>
                <w:rFonts w:hint="eastAsia" w:hAnsi="宋体"/>
                <w:szCs w:val="21"/>
                <w:highlight w:val="none"/>
              </w:rPr>
              <w:t>4</w:t>
            </w:r>
            <w:r>
              <w:rPr>
                <w:rFonts w:hAnsi="宋体"/>
                <w:szCs w:val="21"/>
                <w:highlight w:val="none"/>
              </w:rPr>
              <w:t>.1.2</w:t>
            </w:r>
          </w:p>
        </w:tc>
        <w:tc>
          <w:tcPr>
            <w:tcW w:w="2723" w:type="dxa"/>
            <w:vAlign w:val="center"/>
          </w:tcPr>
          <w:p w14:paraId="5224EE81">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财务状况</w:t>
            </w:r>
          </w:p>
        </w:tc>
        <w:tc>
          <w:tcPr>
            <w:tcW w:w="5953" w:type="dxa"/>
            <w:vAlign w:val="center"/>
          </w:tcPr>
          <w:p w14:paraId="57B1C2A4">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b/>
                <w:bCs/>
                <w:highlight w:val="none"/>
              </w:rPr>
              <w:t>提供</w:t>
            </w:r>
            <w:r>
              <w:rPr>
                <w:rFonts w:hint="eastAsia" w:hAnsi="宋体"/>
                <w:b/>
                <w:bCs/>
                <w:highlight w:val="none"/>
                <w:lang w:eastAsia="zh-CN"/>
              </w:rPr>
              <w:t>2024年或2025年</w:t>
            </w:r>
            <w:r>
              <w:rPr>
                <w:rFonts w:hint="eastAsia" w:hAnsi="宋体"/>
                <w:b/>
                <w:bCs/>
                <w:highlight w:val="none"/>
              </w:rPr>
              <w:t>经审计的财务报告（扫描件）或提交投标文件截止时间前三个月内基本开户银行出具的资信证明（扫描件）或财政部门认可的政府采购专业担保机构出具的投标担保函（扫描件）（成立时间不足一年的，可提供提交投标文件截止时间前3个月内基本开户银行出具的资信证明或自成立至今经第三方审计的财务报告；如提供投标担保函的，需同时提供专业担保机构经财政部门认可的证明文件）</w:t>
            </w:r>
          </w:p>
        </w:tc>
      </w:tr>
      <w:tr w14:paraId="6CE1F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6DABE4E7">
            <w:pPr>
              <w:pStyle w:val="16"/>
              <w:spacing w:line="300" w:lineRule="exact"/>
              <w:jc w:val="center"/>
              <w:rPr>
                <w:rFonts w:hAnsi="宋体"/>
                <w:szCs w:val="21"/>
                <w:highlight w:val="none"/>
              </w:rPr>
            </w:pPr>
            <w:r>
              <w:rPr>
                <w:rFonts w:hint="eastAsia" w:hAnsi="宋体"/>
                <w:szCs w:val="21"/>
                <w:highlight w:val="none"/>
              </w:rPr>
              <w:t>4.1.3</w:t>
            </w:r>
          </w:p>
        </w:tc>
        <w:tc>
          <w:tcPr>
            <w:tcW w:w="2723" w:type="dxa"/>
            <w:vAlign w:val="center"/>
          </w:tcPr>
          <w:p w14:paraId="3085AA30">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szCs w:val="21"/>
                <w:highlight w:val="none"/>
              </w:rPr>
            </w:pPr>
            <w:r>
              <w:rPr>
                <w:rFonts w:ascii="宋体" w:hAnsi="宋体"/>
                <w:szCs w:val="21"/>
                <w:highlight w:val="none"/>
              </w:rPr>
              <w:t>纳税证明材料的时间范围</w:t>
            </w:r>
          </w:p>
        </w:tc>
        <w:tc>
          <w:tcPr>
            <w:tcW w:w="5953" w:type="dxa"/>
            <w:vAlign w:val="center"/>
          </w:tcPr>
          <w:p w14:paraId="0EE3DA47">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b/>
                <w:szCs w:val="21"/>
                <w:highlight w:val="none"/>
              </w:rPr>
            </w:pPr>
            <w:r>
              <w:rPr>
                <w:rFonts w:hint="eastAsia" w:ascii="宋体" w:hAnsi="宋体"/>
                <w:b/>
                <w:highlight w:val="none"/>
              </w:rPr>
              <w:t>缴税所属时间在202</w:t>
            </w:r>
            <w:r>
              <w:rPr>
                <w:rFonts w:hint="eastAsia" w:ascii="宋体" w:hAnsi="宋体"/>
                <w:b/>
                <w:highlight w:val="none"/>
                <w:lang w:val="en-US" w:eastAsia="zh-CN"/>
              </w:rPr>
              <w:t>5</w:t>
            </w:r>
            <w:r>
              <w:rPr>
                <w:rFonts w:hint="eastAsia" w:ascii="宋体" w:hAnsi="宋体"/>
                <w:b/>
                <w:highlight w:val="none"/>
              </w:rPr>
              <w:t>年1月至投标截止日期前任意2个月的税务局税收通用缴款书扫描件或银行电子缴税（费）凭证扫描件或税务局出具纳税情况的相关证明扫描件（成立未满2个月的提供成立以来的纳税相关证明或相关情况说明；依法免税的投标人，应提供相应文件证明其依法免税）</w:t>
            </w:r>
          </w:p>
        </w:tc>
      </w:tr>
      <w:tr w14:paraId="7DE67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7CDD8A7D">
            <w:pPr>
              <w:pStyle w:val="16"/>
              <w:spacing w:line="300" w:lineRule="exact"/>
              <w:jc w:val="center"/>
              <w:rPr>
                <w:rFonts w:hAnsi="宋体"/>
                <w:szCs w:val="21"/>
                <w:highlight w:val="none"/>
              </w:rPr>
            </w:pPr>
            <w:r>
              <w:rPr>
                <w:rFonts w:hint="eastAsia" w:hAnsi="宋体"/>
                <w:szCs w:val="21"/>
                <w:highlight w:val="none"/>
              </w:rPr>
              <w:t>4.1.4</w:t>
            </w:r>
          </w:p>
        </w:tc>
        <w:tc>
          <w:tcPr>
            <w:tcW w:w="2723" w:type="dxa"/>
            <w:vAlign w:val="center"/>
          </w:tcPr>
          <w:p w14:paraId="1673B57C">
            <w:pPr>
              <w:pStyle w:val="16"/>
              <w:keepNext w:val="0"/>
              <w:keepLines w:val="0"/>
              <w:pageBreakBefore w:val="0"/>
              <w:kinsoku/>
              <w:wordWrap/>
              <w:overflowPunct/>
              <w:topLinePunct w:val="0"/>
              <w:bidi w:val="0"/>
              <w:adjustRightInd/>
              <w:spacing w:line="360" w:lineRule="auto"/>
              <w:rPr>
                <w:rFonts w:hAnsi="宋体"/>
                <w:szCs w:val="21"/>
                <w:highlight w:val="none"/>
              </w:rPr>
            </w:pPr>
            <w:r>
              <w:rPr>
                <w:rFonts w:hAnsi="宋体"/>
                <w:szCs w:val="21"/>
                <w:highlight w:val="none"/>
              </w:rPr>
              <w:t>缴纳社会保险证明材料的时间范围</w:t>
            </w:r>
          </w:p>
        </w:tc>
        <w:tc>
          <w:tcPr>
            <w:tcW w:w="5953" w:type="dxa"/>
            <w:vAlign w:val="center"/>
          </w:tcPr>
          <w:p w14:paraId="5C5040E9">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b/>
                <w:szCs w:val="21"/>
                <w:highlight w:val="none"/>
              </w:rPr>
            </w:pPr>
            <w:r>
              <w:rPr>
                <w:rFonts w:hint="eastAsia" w:ascii="宋体" w:hAnsi="宋体"/>
                <w:b/>
                <w:highlight w:val="none"/>
              </w:rPr>
              <w:t>缴费所属时间在202</w:t>
            </w:r>
            <w:r>
              <w:rPr>
                <w:rFonts w:hint="eastAsia" w:ascii="宋体" w:hAnsi="宋体"/>
                <w:b/>
                <w:highlight w:val="none"/>
                <w:lang w:val="en-US" w:eastAsia="zh-CN"/>
              </w:rPr>
              <w:t>5</w:t>
            </w:r>
            <w:r>
              <w:rPr>
                <w:rFonts w:hint="eastAsia" w:ascii="宋体" w:hAnsi="宋体"/>
                <w:b/>
                <w:highlight w:val="none"/>
              </w:rPr>
              <w:t>年1月至投标截止日期前任意2个月的社会保险费缴款书扫描件或银行电子缴税（费）凭证扫描件或社保管理部门出具的有效的缴款证明扫描件（成立未满2个月的提供成立以来的社会保险费缴纳证明或相关情况说明；不需要缴纳社会保险费的投标人，应提供相应文件证明其不需要缴纳社会保险费）</w:t>
            </w:r>
          </w:p>
        </w:tc>
      </w:tr>
      <w:tr w14:paraId="7F4C2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0" w:type="dxa"/>
            <w:vAlign w:val="center"/>
          </w:tcPr>
          <w:p w14:paraId="169F6872">
            <w:pPr>
              <w:pStyle w:val="16"/>
              <w:spacing w:line="300" w:lineRule="exact"/>
              <w:jc w:val="center"/>
              <w:rPr>
                <w:rFonts w:hAnsi="宋体"/>
                <w:szCs w:val="21"/>
                <w:highlight w:val="none"/>
              </w:rPr>
            </w:pPr>
            <w:r>
              <w:rPr>
                <w:rFonts w:hint="eastAsia" w:hAnsi="宋体"/>
                <w:szCs w:val="21"/>
                <w:highlight w:val="none"/>
              </w:rPr>
              <w:t>4.1.6</w:t>
            </w:r>
          </w:p>
        </w:tc>
        <w:tc>
          <w:tcPr>
            <w:tcW w:w="2723" w:type="dxa"/>
            <w:vAlign w:val="center"/>
          </w:tcPr>
          <w:p w14:paraId="6E429523">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没有重大违法记录书面声明</w:t>
            </w:r>
          </w:p>
        </w:tc>
        <w:tc>
          <w:tcPr>
            <w:tcW w:w="5953" w:type="dxa"/>
            <w:vAlign w:val="center"/>
          </w:tcPr>
          <w:p w14:paraId="3305317C">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b/>
                <w:highlight w:val="none"/>
              </w:rPr>
            </w:pPr>
            <w:r>
              <w:rPr>
                <w:rFonts w:hint="eastAsia" w:ascii="宋体" w:hAnsi="宋体"/>
                <w:b/>
                <w:highlight w:val="none"/>
              </w:rPr>
              <w:t>①投标人必须提供参加政府采购活动前3年内在经营活动中没有重大违法记录的书面声明（重大违法记录，是指供应商因违法经营受到刑事处罚或者责令停产停业、吊销许可证或者执照、较大数额罚款等行政处罚）</w:t>
            </w:r>
          </w:p>
          <w:p w14:paraId="0FF806F6">
            <w:pPr>
              <w:pStyle w:val="2"/>
              <w:keepNext w:val="0"/>
              <w:keepLines w:val="0"/>
              <w:pageBreakBefore w:val="0"/>
              <w:kinsoku/>
              <w:wordWrap/>
              <w:overflowPunct/>
              <w:topLinePunct w:val="0"/>
              <w:bidi w:val="0"/>
              <w:adjustRightInd/>
              <w:spacing w:line="360" w:lineRule="auto"/>
              <w:ind w:left="0" w:leftChars="0"/>
              <w:rPr>
                <w:highlight w:val="none"/>
              </w:rPr>
            </w:pPr>
            <w:r>
              <w:rPr>
                <w:rFonts w:hint="eastAsia"/>
                <w:highlight w:val="none"/>
              </w:rPr>
              <w:t>②采购代理机构将于评标前在“信用中国”网站（www.creditchina.gov.cn）失信被执行人、重大税收违法失信主体及中国政府采购网（www.ccgp.gov.cn）“政府采购严重违法失信行为信息记录”对投标人进行信用信息查询。查询记录为上述网站信用信息查询结果的网页截图或网页打印稿。列入失信被执行人或重大税收违法失信主体或政府采购严重违法失信行为记录名单的投标人，不得参加政府采购活动；</w:t>
            </w:r>
          </w:p>
        </w:tc>
      </w:tr>
      <w:tr w14:paraId="491B1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480" w:type="dxa"/>
            <w:vAlign w:val="center"/>
          </w:tcPr>
          <w:p w14:paraId="2DF301E1">
            <w:pPr>
              <w:pStyle w:val="16"/>
              <w:spacing w:line="300" w:lineRule="exact"/>
              <w:jc w:val="center"/>
              <w:rPr>
                <w:rFonts w:hAnsi="宋体"/>
                <w:szCs w:val="21"/>
                <w:highlight w:val="none"/>
              </w:rPr>
            </w:pPr>
            <w:r>
              <w:rPr>
                <w:rFonts w:hint="eastAsia" w:hAnsi="宋体"/>
                <w:szCs w:val="21"/>
                <w:highlight w:val="none"/>
              </w:rPr>
              <w:t>4.2</w:t>
            </w:r>
          </w:p>
        </w:tc>
        <w:tc>
          <w:tcPr>
            <w:tcW w:w="2723" w:type="dxa"/>
            <w:vAlign w:val="center"/>
          </w:tcPr>
          <w:p w14:paraId="4A7A741B">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采购人根据采购项目的特殊要求规定的特定条件</w:t>
            </w:r>
          </w:p>
        </w:tc>
        <w:tc>
          <w:tcPr>
            <w:tcW w:w="5953" w:type="dxa"/>
            <w:vAlign w:val="center"/>
          </w:tcPr>
          <w:p w14:paraId="498E5B38">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szCs w:val="21"/>
                <w:highlight w:val="none"/>
              </w:rPr>
            </w:pPr>
            <w:r>
              <w:rPr>
                <w:rFonts w:hint="eastAsia" w:ascii="宋体" w:hAnsi="宋体"/>
                <w:szCs w:val="21"/>
                <w:highlight w:val="none"/>
              </w:rPr>
              <w:t>见第一章“招标公告”三、投标人资格要求</w:t>
            </w:r>
          </w:p>
        </w:tc>
      </w:tr>
      <w:tr w14:paraId="09AE9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7" w:hRule="atLeast"/>
          <w:jc w:val="center"/>
        </w:trPr>
        <w:tc>
          <w:tcPr>
            <w:tcW w:w="1480" w:type="dxa"/>
            <w:vAlign w:val="center"/>
          </w:tcPr>
          <w:p w14:paraId="074F4792">
            <w:pPr>
              <w:pStyle w:val="16"/>
              <w:spacing w:line="300" w:lineRule="exact"/>
              <w:jc w:val="center"/>
              <w:rPr>
                <w:rFonts w:hAnsi="宋体"/>
                <w:szCs w:val="21"/>
                <w:highlight w:val="none"/>
              </w:rPr>
            </w:pPr>
            <w:r>
              <w:rPr>
                <w:rFonts w:hint="eastAsia" w:hAnsi="宋体"/>
                <w:szCs w:val="21"/>
                <w:highlight w:val="none"/>
              </w:rPr>
              <w:t>★4.</w:t>
            </w:r>
            <w:r>
              <w:rPr>
                <w:rFonts w:hAnsi="宋体"/>
                <w:szCs w:val="21"/>
                <w:highlight w:val="none"/>
              </w:rPr>
              <w:t>5</w:t>
            </w:r>
          </w:p>
        </w:tc>
        <w:tc>
          <w:tcPr>
            <w:tcW w:w="2723" w:type="dxa"/>
            <w:vAlign w:val="bottom"/>
          </w:tcPr>
          <w:p w14:paraId="2CEC4743">
            <w:pPr>
              <w:pStyle w:val="16"/>
              <w:keepNext w:val="0"/>
              <w:keepLines w:val="0"/>
              <w:pageBreakBefore w:val="0"/>
              <w:kinsoku/>
              <w:wordWrap/>
              <w:overflowPunct/>
              <w:topLinePunct w:val="0"/>
              <w:bidi w:val="0"/>
              <w:adjustRightInd/>
              <w:spacing w:line="360" w:lineRule="auto"/>
              <w:jc w:val="both"/>
              <w:rPr>
                <w:rFonts w:hAnsi="宋体"/>
                <w:szCs w:val="21"/>
                <w:highlight w:val="none"/>
              </w:rPr>
            </w:pPr>
            <w:r>
              <w:rPr>
                <w:rFonts w:hint="eastAsia" w:hAnsi="宋体"/>
                <w:szCs w:val="21"/>
                <w:highlight w:val="none"/>
              </w:rPr>
              <w:t>是否接受联合体投标</w:t>
            </w:r>
          </w:p>
        </w:tc>
        <w:tc>
          <w:tcPr>
            <w:tcW w:w="5953" w:type="dxa"/>
            <w:vAlign w:val="bottom"/>
          </w:tcPr>
          <w:p w14:paraId="5FE997B9">
            <w:pPr>
              <w:pStyle w:val="16"/>
              <w:keepNext w:val="0"/>
              <w:keepLines w:val="0"/>
              <w:pageBreakBefore w:val="0"/>
              <w:kinsoku/>
              <w:wordWrap/>
              <w:overflowPunct/>
              <w:topLinePunct w:val="0"/>
              <w:bidi w:val="0"/>
              <w:adjustRightInd/>
              <w:spacing w:line="360" w:lineRule="auto"/>
              <w:jc w:val="both"/>
              <w:rPr>
                <w:rFonts w:hAnsi="宋体"/>
                <w:szCs w:val="21"/>
                <w:highlight w:val="none"/>
              </w:rPr>
            </w:pPr>
            <w:r>
              <w:rPr>
                <w:rFonts w:hint="eastAsia" w:hAnsi="宋体"/>
                <w:szCs w:val="21"/>
                <w:highlight w:val="none"/>
              </w:rPr>
              <w:t>不接受</w:t>
            </w:r>
          </w:p>
        </w:tc>
      </w:tr>
      <w:tr w14:paraId="33FB4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480" w:type="dxa"/>
            <w:vAlign w:val="center"/>
          </w:tcPr>
          <w:p w14:paraId="2C591012">
            <w:pPr>
              <w:pStyle w:val="16"/>
              <w:spacing w:line="300" w:lineRule="exact"/>
              <w:jc w:val="center"/>
              <w:rPr>
                <w:rFonts w:hAnsi="宋体"/>
                <w:szCs w:val="21"/>
                <w:highlight w:val="none"/>
              </w:rPr>
            </w:pPr>
            <w:r>
              <w:rPr>
                <w:rFonts w:hint="eastAsia" w:hAnsi="宋体"/>
                <w:szCs w:val="21"/>
                <w:highlight w:val="none"/>
              </w:rPr>
              <w:t>9.1</w:t>
            </w:r>
          </w:p>
        </w:tc>
        <w:tc>
          <w:tcPr>
            <w:tcW w:w="2723" w:type="dxa"/>
            <w:vAlign w:val="center"/>
          </w:tcPr>
          <w:p w14:paraId="5725B73A">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szCs w:val="21"/>
                <w:highlight w:val="none"/>
              </w:rPr>
            </w:pPr>
            <w:r>
              <w:rPr>
                <w:rFonts w:hint="eastAsia" w:ascii="宋体" w:hAnsi="宋体"/>
                <w:szCs w:val="21"/>
                <w:highlight w:val="none"/>
              </w:rPr>
              <w:t>招标文件澄清截止时间</w:t>
            </w:r>
          </w:p>
        </w:tc>
        <w:tc>
          <w:tcPr>
            <w:tcW w:w="5953" w:type="dxa"/>
            <w:vAlign w:val="center"/>
          </w:tcPr>
          <w:p w14:paraId="5F79096C">
            <w:pPr>
              <w:pStyle w:val="16"/>
              <w:keepNext w:val="0"/>
              <w:keepLines w:val="0"/>
              <w:pageBreakBefore w:val="0"/>
              <w:kinsoku/>
              <w:wordWrap/>
              <w:overflowPunct/>
              <w:topLinePunct w:val="0"/>
              <w:bidi w:val="0"/>
              <w:adjustRightInd/>
              <w:spacing w:line="360" w:lineRule="auto"/>
              <w:jc w:val="left"/>
              <w:rPr>
                <w:rFonts w:hAnsi="宋体"/>
                <w:bCs/>
                <w:szCs w:val="21"/>
                <w:highlight w:val="none"/>
              </w:rPr>
            </w:pPr>
            <w:r>
              <w:rPr>
                <w:rFonts w:hint="eastAsia" w:hAnsi="宋体"/>
                <w:szCs w:val="21"/>
                <w:highlight w:val="none"/>
              </w:rPr>
              <w:t>提交投标文件截止时间十五日前</w:t>
            </w:r>
          </w:p>
        </w:tc>
      </w:tr>
      <w:tr w14:paraId="5A7C1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80" w:type="dxa"/>
            <w:vAlign w:val="center"/>
          </w:tcPr>
          <w:p w14:paraId="5B68FB99">
            <w:pPr>
              <w:pStyle w:val="16"/>
              <w:spacing w:line="300" w:lineRule="exact"/>
              <w:jc w:val="center"/>
              <w:rPr>
                <w:rFonts w:hAnsi="宋体"/>
                <w:szCs w:val="21"/>
                <w:highlight w:val="none"/>
              </w:rPr>
            </w:pPr>
            <w:r>
              <w:rPr>
                <w:rFonts w:hAnsi="宋体"/>
                <w:szCs w:val="21"/>
                <w:highlight w:val="none"/>
              </w:rPr>
              <w:t>13.1</w:t>
            </w:r>
            <w:r>
              <w:rPr>
                <w:rFonts w:hint="eastAsia" w:hAnsi="宋体"/>
                <w:szCs w:val="21"/>
                <w:highlight w:val="none"/>
              </w:rPr>
              <w:t>.3</w:t>
            </w:r>
          </w:p>
        </w:tc>
        <w:tc>
          <w:tcPr>
            <w:tcW w:w="2723" w:type="dxa"/>
            <w:vAlign w:val="center"/>
          </w:tcPr>
          <w:p w14:paraId="6F5661B5">
            <w:pPr>
              <w:pStyle w:val="16"/>
              <w:keepNext w:val="0"/>
              <w:keepLines w:val="0"/>
              <w:pageBreakBefore w:val="0"/>
              <w:kinsoku/>
              <w:wordWrap/>
              <w:overflowPunct/>
              <w:topLinePunct w:val="0"/>
              <w:bidi w:val="0"/>
              <w:adjustRightInd/>
              <w:spacing w:line="360" w:lineRule="auto"/>
              <w:rPr>
                <w:rFonts w:hAnsi="宋体"/>
                <w:szCs w:val="21"/>
                <w:highlight w:val="none"/>
              </w:rPr>
            </w:pPr>
            <w:r>
              <w:rPr>
                <w:rFonts w:hAnsi="宋体"/>
                <w:szCs w:val="21"/>
                <w:highlight w:val="none"/>
              </w:rPr>
              <w:t>构成投标文件</w:t>
            </w:r>
            <w:r>
              <w:rPr>
                <w:rFonts w:hint="eastAsia" w:hAnsi="宋体"/>
                <w:szCs w:val="21"/>
                <w:highlight w:val="none"/>
              </w:rPr>
              <w:t>商务部分</w:t>
            </w:r>
            <w:r>
              <w:rPr>
                <w:rFonts w:hAnsi="宋体"/>
                <w:szCs w:val="21"/>
                <w:highlight w:val="none"/>
              </w:rPr>
              <w:t>的其他资料</w:t>
            </w:r>
          </w:p>
        </w:tc>
        <w:tc>
          <w:tcPr>
            <w:tcW w:w="5953" w:type="dxa"/>
            <w:vAlign w:val="center"/>
          </w:tcPr>
          <w:p w14:paraId="3713395B">
            <w:pPr>
              <w:keepNext w:val="0"/>
              <w:keepLines w:val="0"/>
              <w:pageBreakBefore w:val="0"/>
              <w:kinsoku/>
              <w:wordWrap/>
              <w:overflowPunct/>
              <w:topLinePunct w:val="0"/>
              <w:bidi w:val="0"/>
              <w:adjustRightInd/>
              <w:spacing w:line="360" w:lineRule="auto"/>
              <w:rPr>
                <w:rFonts w:ascii="宋体" w:hAnsi="宋体"/>
                <w:highlight w:val="none"/>
              </w:rPr>
            </w:pPr>
            <w:r>
              <w:rPr>
                <w:rFonts w:hint="eastAsia" w:ascii="宋体" w:hAnsi="宋体"/>
                <w:highlight w:val="none"/>
                <w:lang w:val="en-US" w:eastAsia="zh-CN"/>
              </w:rPr>
              <w:t>1.</w:t>
            </w:r>
            <w:r>
              <w:rPr>
                <w:rFonts w:hint="eastAsia" w:ascii="宋体" w:hAnsi="宋体"/>
                <w:highlight w:val="none"/>
              </w:rPr>
              <w:t>提供所投产品销售业绩的证明材料（销售合同或中标通知书或用户使用证明等）；</w:t>
            </w:r>
          </w:p>
          <w:p w14:paraId="624B7726">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bCs/>
                <w:szCs w:val="21"/>
                <w:highlight w:val="none"/>
              </w:rPr>
            </w:pPr>
            <w:r>
              <w:rPr>
                <w:rFonts w:hint="eastAsia" w:ascii="宋体" w:hAnsi="宋体"/>
                <w:szCs w:val="21"/>
                <w:highlight w:val="none"/>
              </w:rPr>
              <w:t>2</w:t>
            </w:r>
            <w:r>
              <w:rPr>
                <w:rFonts w:hint="eastAsia" w:ascii="宋体" w:hAnsi="宋体"/>
                <w:szCs w:val="21"/>
                <w:highlight w:val="none"/>
                <w:lang w:val="en-US" w:eastAsia="zh-CN"/>
              </w:rPr>
              <w:t>.</w:t>
            </w:r>
            <w:r>
              <w:rPr>
                <w:rFonts w:hint="eastAsia" w:ascii="宋体" w:hAnsi="宋体"/>
                <w:szCs w:val="21"/>
                <w:highlight w:val="none"/>
              </w:rPr>
              <w:t>售后服务机构技术力量说明</w:t>
            </w:r>
            <w:r>
              <w:rPr>
                <w:rFonts w:ascii="宋体" w:hAnsi="宋体"/>
                <w:bCs/>
                <w:szCs w:val="21"/>
                <w:highlight w:val="none"/>
              </w:rPr>
              <w:t>；</w:t>
            </w:r>
          </w:p>
          <w:p w14:paraId="1EE88F01">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bCs/>
                <w:szCs w:val="21"/>
                <w:highlight w:val="none"/>
              </w:rPr>
            </w:pPr>
            <w:r>
              <w:rPr>
                <w:rFonts w:hint="eastAsia" w:ascii="宋体" w:hAnsi="宋体"/>
                <w:bCs/>
                <w:szCs w:val="21"/>
                <w:highlight w:val="none"/>
              </w:rPr>
              <w:t>3</w:t>
            </w:r>
            <w:r>
              <w:rPr>
                <w:rFonts w:hint="eastAsia" w:ascii="宋体" w:hAnsi="宋体"/>
                <w:bCs/>
                <w:szCs w:val="21"/>
                <w:highlight w:val="none"/>
                <w:lang w:val="en-US" w:eastAsia="zh-CN"/>
              </w:rPr>
              <w:t>.</w:t>
            </w:r>
            <w:r>
              <w:rPr>
                <w:rFonts w:ascii="宋体" w:hAnsi="宋体"/>
                <w:bCs/>
                <w:szCs w:val="21"/>
                <w:highlight w:val="none"/>
              </w:rPr>
              <w:t>招标文件中所</w:t>
            </w:r>
            <w:r>
              <w:rPr>
                <w:rFonts w:hint="eastAsia" w:ascii="宋体" w:hAnsi="宋体"/>
                <w:bCs/>
                <w:szCs w:val="21"/>
                <w:highlight w:val="none"/>
                <w:lang w:eastAsia="zh-CN"/>
              </w:rPr>
              <w:t>涉及的相关</w:t>
            </w:r>
            <w:r>
              <w:rPr>
                <w:rFonts w:ascii="宋体" w:hAnsi="宋体"/>
                <w:bCs/>
                <w:szCs w:val="21"/>
                <w:highlight w:val="none"/>
              </w:rPr>
              <w:t>资料及证明文件或投标人认为必须提供的其他相关资料。</w:t>
            </w:r>
          </w:p>
        </w:tc>
      </w:tr>
      <w:tr w14:paraId="28F09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80" w:type="dxa"/>
            <w:vAlign w:val="center"/>
          </w:tcPr>
          <w:p w14:paraId="25096771">
            <w:pPr>
              <w:pStyle w:val="16"/>
              <w:spacing w:line="300" w:lineRule="exact"/>
              <w:jc w:val="center"/>
              <w:rPr>
                <w:rFonts w:hAnsi="宋体"/>
                <w:szCs w:val="21"/>
                <w:highlight w:val="none"/>
              </w:rPr>
            </w:pPr>
            <w:r>
              <w:rPr>
                <w:rFonts w:hAnsi="宋体"/>
                <w:szCs w:val="21"/>
                <w:highlight w:val="none"/>
              </w:rPr>
              <w:t>13.1</w:t>
            </w:r>
            <w:r>
              <w:rPr>
                <w:rFonts w:hint="eastAsia" w:hAnsi="宋体"/>
                <w:szCs w:val="21"/>
                <w:highlight w:val="none"/>
              </w:rPr>
              <w:t>.4</w:t>
            </w:r>
          </w:p>
        </w:tc>
        <w:tc>
          <w:tcPr>
            <w:tcW w:w="2723" w:type="dxa"/>
            <w:vAlign w:val="center"/>
          </w:tcPr>
          <w:p w14:paraId="335D93F1">
            <w:pPr>
              <w:pStyle w:val="16"/>
              <w:keepNext w:val="0"/>
              <w:keepLines w:val="0"/>
              <w:pageBreakBefore w:val="0"/>
              <w:kinsoku/>
              <w:wordWrap/>
              <w:overflowPunct/>
              <w:topLinePunct w:val="0"/>
              <w:bidi w:val="0"/>
              <w:adjustRightInd/>
              <w:spacing w:line="360" w:lineRule="auto"/>
              <w:rPr>
                <w:rFonts w:hAnsi="宋体"/>
                <w:szCs w:val="21"/>
                <w:highlight w:val="none"/>
              </w:rPr>
            </w:pPr>
            <w:r>
              <w:rPr>
                <w:rFonts w:hAnsi="宋体"/>
                <w:szCs w:val="21"/>
                <w:highlight w:val="none"/>
              </w:rPr>
              <w:t>构成投标文件技术部分的其他资料</w:t>
            </w:r>
          </w:p>
        </w:tc>
        <w:tc>
          <w:tcPr>
            <w:tcW w:w="5953" w:type="dxa"/>
            <w:vAlign w:val="center"/>
          </w:tcPr>
          <w:p w14:paraId="028D0337">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bCs/>
                <w:szCs w:val="21"/>
                <w:highlight w:val="none"/>
              </w:rPr>
            </w:pPr>
            <w:r>
              <w:rPr>
                <w:rFonts w:hint="eastAsia" w:ascii="宋体" w:hAnsi="宋体"/>
                <w:bCs/>
                <w:szCs w:val="21"/>
                <w:highlight w:val="none"/>
              </w:rPr>
              <w:t>1</w:t>
            </w:r>
            <w:r>
              <w:rPr>
                <w:rFonts w:hint="eastAsia" w:ascii="宋体" w:hAnsi="宋体"/>
                <w:bCs/>
                <w:szCs w:val="21"/>
                <w:highlight w:val="none"/>
                <w:lang w:val="en-US" w:eastAsia="zh-CN"/>
              </w:rPr>
              <w:t>.</w:t>
            </w:r>
            <w:r>
              <w:rPr>
                <w:rFonts w:hint="eastAsia" w:ascii="宋体" w:hAnsi="宋体"/>
                <w:bCs/>
                <w:szCs w:val="21"/>
                <w:highlight w:val="none"/>
              </w:rPr>
              <w:t>第五章“货物需求及技术要求”中要求提供的其他资料；</w:t>
            </w:r>
          </w:p>
          <w:p w14:paraId="6B8A438A">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bCs/>
                <w:szCs w:val="21"/>
                <w:highlight w:val="none"/>
              </w:rPr>
            </w:pPr>
            <w:r>
              <w:rPr>
                <w:rFonts w:ascii="宋体" w:hAnsi="宋体"/>
                <w:bCs/>
                <w:szCs w:val="21"/>
                <w:highlight w:val="none"/>
              </w:rPr>
              <w:t>2</w:t>
            </w:r>
            <w:r>
              <w:rPr>
                <w:rFonts w:hint="eastAsia" w:ascii="宋体" w:hAnsi="宋体"/>
                <w:bCs/>
                <w:szCs w:val="21"/>
                <w:highlight w:val="none"/>
                <w:lang w:val="en-US" w:eastAsia="zh-CN"/>
              </w:rPr>
              <w:t>.</w:t>
            </w:r>
            <w:r>
              <w:rPr>
                <w:rFonts w:ascii="宋体" w:hAnsi="宋体"/>
                <w:bCs/>
                <w:szCs w:val="21"/>
                <w:highlight w:val="none"/>
              </w:rPr>
              <w:t>招标文件中所</w:t>
            </w:r>
            <w:r>
              <w:rPr>
                <w:rFonts w:hint="eastAsia" w:ascii="宋体" w:hAnsi="宋体"/>
                <w:bCs/>
                <w:szCs w:val="21"/>
                <w:highlight w:val="none"/>
                <w:lang w:eastAsia="zh-CN"/>
              </w:rPr>
              <w:t>涉及的相关</w:t>
            </w:r>
            <w:r>
              <w:rPr>
                <w:rFonts w:ascii="宋体" w:hAnsi="宋体"/>
                <w:bCs/>
                <w:szCs w:val="21"/>
                <w:highlight w:val="none"/>
              </w:rPr>
              <w:t>资料及证明文件或投标人认为必须提供的其他相关资料。</w:t>
            </w:r>
          </w:p>
        </w:tc>
      </w:tr>
      <w:tr w14:paraId="081E5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80" w:type="dxa"/>
            <w:vAlign w:val="center"/>
          </w:tcPr>
          <w:p w14:paraId="1314DC49">
            <w:pPr>
              <w:pStyle w:val="16"/>
              <w:spacing w:line="300" w:lineRule="exact"/>
              <w:jc w:val="center"/>
              <w:rPr>
                <w:rFonts w:hAnsi="宋体"/>
                <w:szCs w:val="21"/>
                <w:highlight w:val="none"/>
              </w:rPr>
            </w:pPr>
            <w:r>
              <w:rPr>
                <w:rFonts w:hint="eastAsia" w:hAnsi="宋体"/>
                <w:szCs w:val="21"/>
                <w:highlight w:val="none"/>
              </w:rPr>
              <w:t>★15.1</w:t>
            </w:r>
          </w:p>
        </w:tc>
        <w:tc>
          <w:tcPr>
            <w:tcW w:w="2723" w:type="dxa"/>
            <w:vAlign w:val="center"/>
          </w:tcPr>
          <w:p w14:paraId="68244C2F">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本项目预算金额及最高限价</w:t>
            </w:r>
          </w:p>
        </w:tc>
        <w:tc>
          <w:tcPr>
            <w:tcW w:w="5953" w:type="dxa"/>
            <w:vAlign w:val="center"/>
          </w:tcPr>
          <w:p w14:paraId="79784C58">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bCs/>
                <w:szCs w:val="21"/>
                <w:highlight w:val="none"/>
              </w:rPr>
            </w:pPr>
            <w:r>
              <w:rPr>
                <w:rFonts w:hint="eastAsia"/>
                <w:highlight w:val="none"/>
              </w:rPr>
              <w:t>详见第一章公开招标公告</w:t>
            </w:r>
            <w:r>
              <w:rPr>
                <w:rFonts w:hint="eastAsia" w:ascii="宋体" w:hAnsi="宋体"/>
                <w:szCs w:val="21"/>
                <w:highlight w:val="none"/>
              </w:rPr>
              <w:t>。投标报价不得超过预算金额或者最高限价。</w:t>
            </w:r>
          </w:p>
        </w:tc>
      </w:tr>
      <w:tr w14:paraId="03A13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480" w:type="dxa"/>
            <w:vAlign w:val="center"/>
          </w:tcPr>
          <w:p w14:paraId="117F9643">
            <w:pPr>
              <w:pStyle w:val="16"/>
              <w:spacing w:line="300" w:lineRule="exact"/>
              <w:jc w:val="center"/>
              <w:rPr>
                <w:rFonts w:hAnsi="宋体"/>
                <w:szCs w:val="21"/>
                <w:highlight w:val="none"/>
              </w:rPr>
            </w:pPr>
            <w:r>
              <w:rPr>
                <w:rFonts w:hint="eastAsia" w:hAnsi="宋体"/>
                <w:szCs w:val="21"/>
                <w:highlight w:val="none"/>
              </w:rPr>
              <w:t>15.5</w:t>
            </w:r>
          </w:p>
        </w:tc>
        <w:tc>
          <w:tcPr>
            <w:tcW w:w="2723" w:type="dxa"/>
            <w:vAlign w:val="center"/>
          </w:tcPr>
          <w:p w14:paraId="4CA0C982">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备品备件</w:t>
            </w:r>
          </w:p>
        </w:tc>
        <w:tc>
          <w:tcPr>
            <w:tcW w:w="5953" w:type="dxa"/>
            <w:vAlign w:val="center"/>
          </w:tcPr>
          <w:p w14:paraId="4759C8CC">
            <w:pPr>
              <w:keepNext w:val="0"/>
              <w:keepLines w:val="0"/>
              <w:pageBreakBefore w:val="0"/>
              <w:kinsoku/>
              <w:wordWrap/>
              <w:overflowPunct/>
              <w:topLinePunct w:val="0"/>
              <w:bidi w:val="0"/>
              <w:adjustRightInd/>
              <w:spacing w:line="360" w:lineRule="auto"/>
              <w:jc w:val="left"/>
              <w:rPr>
                <w:rFonts w:ascii="宋体" w:hAnsi="宋体"/>
                <w:szCs w:val="21"/>
                <w:highlight w:val="none"/>
              </w:rPr>
            </w:pPr>
            <w:r>
              <w:rPr>
                <w:rFonts w:ascii="宋体" w:hAnsi="宋体"/>
                <w:szCs w:val="21"/>
                <w:highlight w:val="none"/>
              </w:rPr>
              <w:t>本次招标（□要求</w:t>
            </w:r>
            <w:r>
              <w:rPr>
                <w:rFonts w:hint="eastAsia" w:ascii="宋体" w:hAnsi="宋体"/>
                <w:szCs w:val="21"/>
                <w:highlight w:val="none"/>
              </w:rPr>
              <w:t>■</w:t>
            </w:r>
            <w:r>
              <w:rPr>
                <w:rFonts w:ascii="宋体" w:hAnsi="宋体"/>
                <w:szCs w:val="21"/>
                <w:highlight w:val="none"/>
              </w:rPr>
              <w:t>不要求）提供所需的备品备件。</w:t>
            </w:r>
            <w:r>
              <w:rPr>
                <w:rFonts w:hint="eastAsia" w:ascii="宋体" w:hAnsi="宋体"/>
                <w:szCs w:val="21"/>
                <w:highlight w:val="none"/>
              </w:rPr>
              <w:t>设备验收开始使用后至保质期内正常、连续地使用所必须的备品备件，计入投标价中</w:t>
            </w:r>
            <w:r>
              <w:rPr>
                <w:rFonts w:ascii="宋体" w:hAnsi="宋体"/>
                <w:szCs w:val="21"/>
                <w:highlight w:val="none"/>
              </w:rPr>
              <w:t>。</w:t>
            </w:r>
          </w:p>
        </w:tc>
      </w:tr>
      <w:tr w14:paraId="6AAEB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0" w:type="dxa"/>
            <w:vAlign w:val="center"/>
          </w:tcPr>
          <w:p w14:paraId="511C88DF">
            <w:pPr>
              <w:pStyle w:val="16"/>
              <w:spacing w:line="300" w:lineRule="exact"/>
              <w:jc w:val="center"/>
              <w:rPr>
                <w:rFonts w:hAnsi="宋体"/>
                <w:szCs w:val="21"/>
                <w:highlight w:val="none"/>
              </w:rPr>
            </w:pPr>
            <w:r>
              <w:rPr>
                <w:rFonts w:hint="eastAsia" w:hAnsi="宋体"/>
                <w:szCs w:val="21"/>
                <w:highlight w:val="none"/>
              </w:rPr>
              <w:t>15.8</w:t>
            </w:r>
          </w:p>
        </w:tc>
        <w:tc>
          <w:tcPr>
            <w:tcW w:w="2723" w:type="dxa"/>
            <w:vAlign w:val="center"/>
          </w:tcPr>
          <w:p w14:paraId="273478D1">
            <w:pPr>
              <w:keepNext w:val="0"/>
              <w:keepLines w:val="0"/>
              <w:pageBreakBefore w:val="0"/>
              <w:kinsoku/>
              <w:wordWrap/>
              <w:overflowPunct/>
              <w:topLinePunct w:val="0"/>
              <w:bidi w:val="0"/>
              <w:adjustRightInd/>
              <w:spacing w:line="360" w:lineRule="auto"/>
              <w:jc w:val="left"/>
              <w:rPr>
                <w:rFonts w:ascii="宋体" w:hAnsi="宋体"/>
                <w:szCs w:val="21"/>
                <w:highlight w:val="none"/>
              </w:rPr>
            </w:pPr>
            <w:r>
              <w:rPr>
                <w:rFonts w:hint="eastAsia" w:ascii="宋体" w:hAnsi="宋体"/>
                <w:szCs w:val="21"/>
                <w:highlight w:val="none"/>
              </w:rPr>
              <w:t>技术服务费</w:t>
            </w:r>
          </w:p>
        </w:tc>
        <w:tc>
          <w:tcPr>
            <w:tcW w:w="5953" w:type="dxa"/>
            <w:vAlign w:val="center"/>
          </w:tcPr>
          <w:p w14:paraId="1B9C9E79">
            <w:pPr>
              <w:keepNext w:val="0"/>
              <w:keepLines w:val="0"/>
              <w:pageBreakBefore w:val="0"/>
              <w:kinsoku/>
              <w:wordWrap/>
              <w:overflowPunct/>
              <w:topLinePunct w:val="0"/>
              <w:bidi w:val="0"/>
              <w:adjustRightInd/>
              <w:spacing w:line="360" w:lineRule="auto"/>
              <w:jc w:val="left"/>
              <w:rPr>
                <w:rFonts w:ascii="宋体" w:hAnsi="宋体"/>
                <w:szCs w:val="21"/>
                <w:highlight w:val="none"/>
              </w:rPr>
            </w:pPr>
            <w:r>
              <w:rPr>
                <w:rFonts w:hint="eastAsia" w:ascii="宋体" w:hAnsi="宋体"/>
                <w:szCs w:val="21"/>
                <w:highlight w:val="none"/>
              </w:rPr>
              <w:t>提供</w:t>
            </w:r>
            <w:r>
              <w:rPr>
                <w:rFonts w:ascii="宋体" w:hAnsi="宋体"/>
                <w:szCs w:val="21"/>
                <w:highlight w:val="none"/>
              </w:rPr>
              <w:t>现场服务（包括安装和调试费用）</w:t>
            </w:r>
            <w:r>
              <w:rPr>
                <w:rFonts w:hint="eastAsia" w:ascii="宋体" w:hAnsi="宋体"/>
                <w:szCs w:val="21"/>
                <w:highlight w:val="none"/>
              </w:rPr>
              <w:t>，并按“技术要求”提供</w:t>
            </w:r>
            <w:r>
              <w:rPr>
                <w:rFonts w:ascii="宋体" w:hAnsi="宋体"/>
                <w:szCs w:val="21"/>
                <w:highlight w:val="none"/>
              </w:rPr>
              <w:t>人员培训的费用</w:t>
            </w:r>
          </w:p>
        </w:tc>
      </w:tr>
      <w:tr w14:paraId="49563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480" w:type="dxa"/>
            <w:vAlign w:val="center"/>
          </w:tcPr>
          <w:p w14:paraId="36DD684B">
            <w:pPr>
              <w:pStyle w:val="16"/>
              <w:spacing w:line="300" w:lineRule="exact"/>
              <w:jc w:val="center"/>
              <w:rPr>
                <w:rFonts w:hAnsi="宋体"/>
                <w:szCs w:val="21"/>
                <w:highlight w:val="none"/>
              </w:rPr>
            </w:pPr>
            <w:r>
              <w:rPr>
                <w:rFonts w:hint="eastAsia" w:hAnsi="宋体"/>
                <w:szCs w:val="21"/>
                <w:highlight w:val="none"/>
              </w:rPr>
              <w:t>★17.1</w:t>
            </w:r>
          </w:p>
        </w:tc>
        <w:tc>
          <w:tcPr>
            <w:tcW w:w="2723" w:type="dxa"/>
            <w:vAlign w:val="center"/>
          </w:tcPr>
          <w:p w14:paraId="70C432B3">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投标文件有效期</w:t>
            </w:r>
          </w:p>
        </w:tc>
        <w:tc>
          <w:tcPr>
            <w:tcW w:w="5953" w:type="dxa"/>
            <w:vAlign w:val="center"/>
          </w:tcPr>
          <w:p w14:paraId="247B026A">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从提交投标文件截止之日起</w:t>
            </w:r>
            <w:r>
              <w:rPr>
                <w:rFonts w:hint="eastAsia" w:hAnsi="宋体"/>
                <w:szCs w:val="21"/>
                <w:highlight w:val="none"/>
                <w:u w:val="single"/>
              </w:rPr>
              <w:t>90</w:t>
            </w:r>
            <w:r>
              <w:rPr>
                <w:rFonts w:hint="eastAsia" w:hAnsi="宋体"/>
                <w:szCs w:val="21"/>
                <w:highlight w:val="none"/>
              </w:rPr>
              <w:t>日历天</w:t>
            </w:r>
          </w:p>
        </w:tc>
      </w:tr>
      <w:tr w14:paraId="2FE72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480" w:type="dxa"/>
            <w:vAlign w:val="center"/>
          </w:tcPr>
          <w:p w14:paraId="629E62A9">
            <w:pPr>
              <w:pStyle w:val="16"/>
              <w:spacing w:line="300" w:lineRule="exact"/>
              <w:jc w:val="center"/>
              <w:rPr>
                <w:rFonts w:hAnsi="宋体"/>
                <w:szCs w:val="21"/>
                <w:highlight w:val="none"/>
              </w:rPr>
            </w:pPr>
            <w:r>
              <w:rPr>
                <w:rFonts w:hint="eastAsia" w:hAnsi="宋体"/>
                <w:szCs w:val="21"/>
                <w:highlight w:val="none"/>
              </w:rPr>
              <w:t>18.1</w:t>
            </w:r>
          </w:p>
        </w:tc>
        <w:tc>
          <w:tcPr>
            <w:tcW w:w="2723" w:type="dxa"/>
            <w:vAlign w:val="center"/>
          </w:tcPr>
          <w:p w14:paraId="5C5DFE98">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分包</w:t>
            </w:r>
          </w:p>
        </w:tc>
        <w:tc>
          <w:tcPr>
            <w:tcW w:w="5953" w:type="dxa"/>
            <w:vAlign w:val="center"/>
          </w:tcPr>
          <w:p w14:paraId="1F53ED76">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highlight w:val="none"/>
              </w:rPr>
              <w:t>■</w:t>
            </w:r>
            <w:r>
              <w:rPr>
                <w:rFonts w:hint="eastAsia" w:hAnsi="宋体"/>
                <w:szCs w:val="21"/>
                <w:highlight w:val="none"/>
              </w:rPr>
              <w:t>本项目不得分包。</w:t>
            </w:r>
          </w:p>
          <w:p w14:paraId="4B07D268">
            <w:pPr>
              <w:pStyle w:val="16"/>
              <w:keepNext w:val="0"/>
              <w:keepLines w:val="0"/>
              <w:pageBreakBefore w:val="0"/>
              <w:kinsoku/>
              <w:wordWrap/>
              <w:overflowPunct/>
              <w:topLinePunct w:val="0"/>
              <w:bidi w:val="0"/>
              <w:adjustRightInd/>
              <w:spacing w:line="360" w:lineRule="auto"/>
              <w:rPr>
                <w:rFonts w:hAnsi="宋体"/>
                <w:szCs w:val="21"/>
                <w:highlight w:val="none"/>
              </w:rPr>
            </w:pPr>
            <w:r>
              <w:rPr>
                <w:rFonts w:hAnsi="宋体"/>
                <w:highlight w:val="none"/>
              </w:rPr>
              <w:t>□本项目中</w:t>
            </w:r>
            <w:r>
              <w:rPr>
                <w:rFonts w:hint="eastAsia" w:hAnsi="宋体"/>
                <w:highlight w:val="none"/>
              </w:rPr>
              <w:t>，</w:t>
            </w:r>
            <w:r>
              <w:rPr>
                <w:rFonts w:hint="eastAsia" w:hAnsi="宋体"/>
                <w:highlight w:val="none"/>
                <w:u w:val="single"/>
              </w:rPr>
              <w:t xml:space="preserve">            </w:t>
            </w:r>
            <w:r>
              <w:rPr>
                <w:rFonts w:hint="eastAsia" w:hAnsi="宋体"/>
                <w:highlight w:val="none"/>
              </w:rPr>
              <w:t>可以分包。</w:t>
            </w:r>
          </w:p>
        </w:tc>
      </w:tr>
      <w:tr w14:paraId="381F0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480" w:type="dxa"/>
            <w:vAlign w:val="center"/>
          </w:tcPr>
          <w:p w14:paraId="3721A415">
            <w:pPr>
              <w:pStyle w:val="16"/>
              <w:spacing w:line="300" w:lineRule="exact"/>
              <w:jc w:val="center"/>
              <w:rPr>
                <w:rFonts w:hAnsi="宋体"/>
                <w:szCs w:val="21"/>
                <w:highlight w:val="none"/>
              </w:rPr>
            </w:pPr>
            <w:r>
              <w:rPr>
                <w:rFonts w:hint="eastAsia" w:hAnsi="宋体"/>
                <w:szCs w:val="21"/>
                <w:highlight w:val="none"/>
              </w:rPr>
              <w:t>★</w:t>
            </w:r>
            <w:r>
              <w:rPr>
                <w:rFonts w:hAnsi="宋体"/>
                <w:szCs w:val="21"/>
                <w:highlight w:val="none"/>
              </w:rPr>
              <w:t>21</w:t>
            </w:r>
            <w:r>
              <w:rPr>
                <w:rFonts w:hint="eastAsia" w:hAnsi="宋体"/>
                <w:szCs w:val="21"/>
                <w:highlight w:val="none"/>
              </w:rPr>
              <w:t>.1</w:t>
            </w:r>
          </w:p>
        </w:tc>
        <w:tc>
          <w:tcPr>
            <w:tcW w:w="2723" w:type="dxa"/>
            <w:vAlign w:val="center"/>
          </w:tcPr>
          <w:p w14:paraId="4D87A167">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投标保证金</w:t>
            </w:r>
          </w:p>
        </w:tc>
        <w:tc>
          <w:tcPr>
            <w:tcW w:w="5953" w:type="dxa"/>
            <w:vAlign w:val="center"/>
          </w:tcPr>
          <w:p w14:paraId="50606515">
            <w:pPr>
              <w:keepNext w:val="0"/>
              <w:keepLines w:val="0"/>
              <w:pageBreakBefore w:val="0"/>
              <w:kinsoku/>
              <w:wordWrap/>
              <w:overflowPunct/>
              <w:topLinePunct w:val="0"/>
              <w:autoSpaceDE w:val="0"/>
              <w:autoSpaceDN w:val="0"/>
              <w:bidi w:val="0"/>
              <w:adjustRightInd/>
              <w:spacing w:line="360" w:lineRule="auto"/>
              <w:rPr>
                <w:rFonts w:ascii="宋体" w:hAnsi="宋体" w:cs="宋体"/>
                <w:kern w:val="0"/>
                <w:szCs w:val="21"/>
                <w:highlight w:val="none"/>
                <w:lang w:bidi="ar"/>
              </w:rPr>
            </w:pPr>
            <w:r>
              <w:rPr>
                <w:rFonts w:hint="eastAsia" w:ascii="宋体" w:hAnsi="宋体" w:cs="宋体"/>
                <w:kern w:val="0"/>
                <w:szCs w:val="21"/>
                <w:highlight w:val="none"/>
                <w:lang w:bidi="ar"/>
              </w:rPr>
              <w:t>一、缴纳方式：通过网银、电汇等形式打款至项目专项账户</w:t>
            </w:r>
          </w:p>
          <w:p w14:paraId="3BBA8E4A">
            <w:pPr>
              <w:keepNext w:val="0"/>
              <w:keepLines w:val="0"/>
              <w:pageBreakBefore w:val="0"/>
              <w:kinsoku/>
              <w:wordWrap/>
              <w:overflowPunct/>
              <w:topLinePunct w:val="0"/>
              <w:autoSpaceDE w:val="0"/>
              <w:autoSpaceDN w:val="0"/>
              <w:bidi w:val="0"/>
              <w:adjustRightInd/>
              <w:spacing w:line="360" w:lineRule="auto"/>
              <w:rPr>
                <w:rFonts w:ascii="宋体" w:hAnsi="宋体" w:cs="宋体"/>
                <w:b/>
                <w:kern w:val="0"/>
                <w:szCs w:val="21"/>
                <w:highlight w:val="none"/>
                <w:lang w:bidi="ar"/>
              </w:rPr>
            </w:pPr>
            <w:r>
              <w:rPr>
                <w:rFonts w:hint="eastAsia" w:ascii="宋体" w:hAnsi="宋体" w:cs="宋体"/>
                <w:b/>
                <w:kern w:val="0"/>
                <w:szCs w:val="21"/>
                <w:highlight w:val="none"/>
                <w:lang w:bidi="ar"/>
              </w:rPr>
              <w:t>1标段保证金金额：</w:t>
            </w:r>
            <w:r>
              <w:rPr>
                <w:rFonts w:hint="eastAsia" w:ascii="宋体" w:hAnsi="宋体" w:cs="宋体"/>
                <w:b/>
                <w:kern w:val="0"/>
                <w:szCs w:val="21"/>
                <w:highlight w:val="none"/>
                <w:lang w:val="en-US" w:eastAsia="zh-CN" w:bidi="ar"/>
              </w:rPr>
              <w:t>¥15000.00</w:t>
            </w:r>
            <w:r>
              <w:rPr>
                <w:rFonts w:hint="eastAsia" w:ascii="宋体" w:hAnsi="宋体" w:cs="宋体"/>
                <w:b/>
                <w:kern w:val="0"/>
                <w:szCs w:val="21"/>
                <w:highlight w:val="none"/>
                <w:lang w:bidi="ar"/>
              </w:rPr>
              <w:t>（人民币</w:t>
            </w:r>
            <w:r>
              <w:rPr>
                <w:rFonts w:hint="eastAsia" w:ascii="宋体" w:hAnsi="宋体" w:cs="宋体"/>
                <w:b/>
                <w:kern w:val="0"/>
                <w:szCs w:val="21"/>
                <w:highlight w:val="none"/>
                <w:lang w:val="en-US" w:eastAsia="zh-CN" w:bidi="ar"/>
              </w:rPr>
              <w:t>壹万伍仟</w:t>
            </w:r>
            <w:r>
              <w:rPr>
                <w:rFonts w:hint="eastAsia" w:ascii="宋体" w:hAnsi="宋体" w:cs="宋体"/>
                <w:b/>
                <w:kern w:val="0"/>
                <w:szCs w:val="21"/>
                <w:highlight w:val="none"/>
                <w:lang w:bidi="ar"/>
              </w:rPr>
              <w:t>元整）</w:t>
            </w:r>
          </w:p>
          <w:p w14:paraId="68B09CB6">
            <w:pPr>
              <w:keepNext w:val="0"/>
              <w:keepLines w:val="0"/>
              <w:pageBreakBefore w:val="0"/>
              <w:kinsoku/>
              <w:wordWrap/>
              <w:overflowPunct/>
              <w:topLinePunct w:val="0"/>
              <w:autoSpaceDE w:val="0"/>
              <w:autoSpaceDN w:val="0"/>
              <w:bidi w:val="0"/>
              <w:adjustRightInd/>
              <w:spacing w:line="360" w:lineRule="auto"/>
              <w:rPr>
                <w:highlight w:val="none"/>
              </w:rPr>
            </w:pPr>
            <w:r>
              <w:rPr>
                <w:rFonts w:hint="eastAsia" w:ascii="宋体" w:hAnsi="宋体" w:cs="宋体"/>
                <w:b/>
                <w:kern w:val="0"/>
                <w:szCs w:val="21"/>
                <w:highlight w:val="none"/>
                <w:lang w:bidi="ar"/>
              </w:rPr>
              <w:t>账号：8719 0671 3610 0092 6069 7000 1</w:t>
            </w:r>
          </w:p>
          <w:p w14:paraId="7B0E1F44">
            <w:pPr>
              <w:keepNext w:val="0"/>
              <w:keepLines w:val="0"/>
              <w:pageBreakBefore w:val="0"/>
              <w:kinsoku/>
              <w:wordWrap/>
              <w:overflowPunct/>
              <w:topLinePunct w:val="0"/>
              <w:autoSpaceDE w:val="0"/>
              <w:autoSpaceDN w:val="0"/>
              <w:bidi w:val="0"/>
              <w:adjustRightInd/>
              <w:spacing w:line="360" w:lineRule="auto"/>
              <w:rPr>
                <w:rFonts w:ascii="宋体" w:hAnsi="宋体" w:cs="宋体"/>
                <w:b/>
                <w:kern w:val="0"/>
                <w:szCs w:val="21"/>
                <w:highlight w:val="none"/>
                <w:lang w:bidi="ar"/>
              </w:rPr>
            </w:pPr>
            <w:r>
              <w:rPr>
                <w:rFonts w:hint="eastAsia" w:ascii="宋体" w:hAnsi="宋体" w:cs="宋体"/>
                <w:b/>
                <w:kern w:val="0"/>
                <w:szCs w:val="21"/>
                <w:highlight w:val="none"/>
                <w:lang w:bidi="ar"/>
              </w:rPr>
              <w:t>2标段保证金金额：</w:t>
            </w:r>
            <w:r>
              <w:rPr>
                <w:rFonts w:hint="eastAsia" w:ascii="宋体" w:hAnsi="宋体" w:cs="宋体"/>
                <w:b/>
                <w:kern w:val="0"/>
                <w:szCs w:val="21"/>
                <w:highlight w:val="none"/>
                <w:lang w:val="en-US" w:eastAsia="zh-CN" w:bidi="ar"/>
              </w:rPr>
              <w:t>¥7</w:t>
            </w:r>
            <w:r>
              <w:rPr>
                <w:rFonts w:hint="eastAsia" w:ascii="宋体" w:hAnsi="宋体" w:cs="宋体"/>
                <w:b/>
                <w:kern w:val="0"/>
                <w:szCs w:val="21"/>
                <w:highlight w:val="none"/>
                <w:lang w:bidi="ar"/>
              </w:rPr>
              <w:t>000</w:t>
            </w:r>
            <w:r>
              <w:rPr>
                <w:rFonts w:hint="eastAsia" w:ascii="宋体" w:hAnsi="宋体" w:cs="宋体"/>
                <w:b/>
                <w:kern w:val="0"/>
                <w:szCs w:val="21"/>
                <w:highlight w:val="none"/>
                <w:lang w:val="en-US" w:eastAsia="zh-CN" w:bidi="ar"/>
              </w:rPr>
              <w:t>.00</w:t>
            </w:r>
            <w:r>
              <w:rPr>
                <w:rFonts w:hint="eastAsia" w:ascii="宋体" w:hAnsi="宋体" w:cs="宋体"/>
                <w:b/>
                <w:kern w:val="0"/>
                <w:szCs w:val="21"/>
                <w:highlight w:val="none"/>
                <w:lang w:bidi="ar"/>
              </w:rPr>
              <w:t>（人民币</w:t>
            </w:r>
            <w:r>
              <w:rPr>
                <w:rFonts w:hint="eastAsia" w:ascii="宋体" w:hAnsi="宋体" w:cs="宋体"/>
                <w:b/>
                <w:kern w:val="0"/>
                <w:szCs w:val="21"/>
                <w:highlight w:val="none"/>
                <w:lang w:val="en-US" w:eastAsia="zh-CN" w:bidi="ar"/>
              </w:rPr>
              <w:t>柒</w:t>
            </w:r>
            <w:r>
              <w:rPr>
                <w:rFonts w:hint="eastAsia" w:ascii="宋体" w:hAnsi="宋体" w:cs="宋体"/>
                <w:b/>
                <w:kern w:val="0"/>
                <w:szCs w:val="21"/>
                <w:highlight w:val="none"/>
                <w:lang w:bidi="ar"/>
              </w:rPr>
              <w:t>仟元整）</w:t>
            </w:r>
          </w:p>
          <w:p w14:paraId="66D609DA">
            <w:pPr>
              <w:pStyle w:val="2"/>
              <w:keepNext w:val="0"/>
              <w:keepLines w:val="0"/>
              <w:pageBreakBefore w:val="0"/>
              <w:kinsoku/>
              <w:wordWrap/>
              <w:overflowPunct/>
              <w:topLinePunct w:val="0"/>
              <w:bidi w:val="0"/>
              <w:adjustRightInd/>
              <w:spacing w:line="360" w:lineRule="auto"/>
              <w:ind w:left="0" w:leftChars="0"/>
              <w:rPr>
                <w:rFonts w:hint="eastAsia" w:ascii="宋体" w:hAnsi="宋体" w:cs="宋体"/>
                <w:b/>
                <w:kern w:val="0"/>
                <w:szCs w:val="21"/>
                <w:highlight w:val="none"/>
                <w:lang w:bidi="ar"/>
              </w:rPr>
            </w:pPr>
            <w:r>
              <w:rPr>
                <w:rFonts w:hint="eastAsia" w:ascii="宋体" w:hAnsi="宋体" w:cs="宋体"/>
                <w:b/>
                <w:kern w:val="0"/>
                <w:szCs w:val="21"/>
                <w:highlight w:val="none"/>
                <w:lang w:bidi="ar"/>
              </w:rPr>
              <w:t>账号：8719 0671 3610 0092 6069 7000 2</w:t>
            </w:r>
          </w:p>
          <w:p w14:paraId="5354D08F">
            <w:pPr>
              <w:keepNext w:val="0"/>
              <w:keepLines w:val="0"/>
              <w:pageBreakBefore w:val="0"/>
              <w:kinsoku/>
              <w:wordWrap/>
              <w:overflowPunct/>
              <w:topLinePunct w:val="0"/>
              <w:autoSpaceDE w:val="0"/>
              <w:autoSpaceDN w:val="0"/>
              <w:bidi w:val="0"/>
              <w:adjustRightInd/>
              <w:spacing w:line="360" w:lineRule="auto"/>
              <w:rPr>
                <w:rFonts w:hint="eastAsia" w:ascii="宋体" w:hAnsi="宋体" w:cs="宋体"/>
                <w:b/>
                <w:kern w:val="0"/>
                <w:szCs w:val="21"/>
                <w:highlight w:val="none"/>
                <w:lang w:bidi="ar"/>
              </w:rPr>
            </w:pPr>
            <w:r>
              <w:rPr>
                <w:rFonts w:hint="eastAsia" w:ascii="宋体" w:hAnsi="宋体" w:cs="宋体"/>
                <w:b/>
                <w:kern w:val="0"/>
                <w:szCs w:val="21"/>
                <w:highlight w:val="none"/>
                <w:lang w:bidi="ar"/>
              </w:rPr>
              <w:t>3标段保证金金额：</w:t>
            </w:r>
            <w:r>
              <w:rPr>
                <w:rFonts w:hint="eastAsia" w:ascii="宋体" w:hAnsi="宋体" w:cs="宋体"/>
                <w:b/>
                <w:kern w:val="0"/>
                <w:szCs w:val="21"/>
                <w:highlight w:val="none"/>
                <w:lang w:val="en-US" w:eastAsia="zh-CN" w:bidi="ar"/>
              </w:rPr>
              <w:t>¥10000.00</w:t>
            </w:r>
            <w:r>
              <w:rPr>
                <w:rFonts w:hint="eastAsia" w:ascii="宋体" w:hAnsi="宋体" w:cs="宋体"/>
                <w:b/>
                <w:kern w:val="0"/>
                <w:szCs w:val="21"/>
                <w:highlight w:val="none"/>
                <w:lang w:bidi="ar"/>
              </w:rPr>
              <w:t>（人民币</w:t>
            </w:r>
            <w:r>
              <w:rPr>
                <w:rFonts w:hint="eastAsia" w:ascii="宋体" w:hAnsi="宋体" w:cs="宋体"/>
                <w:b/>
                <w:kern w:val="0"/>
                <w:szCs w:val="21"/>
                <w:highlight w:val="none"/>
                <w:lang w:val="en-US" w:eastAsia="zh-CN" w:bidi="ar"/>
              </w:rPr>
              <w:t>壹万</w:t>
            </w:r>
            <w:r>
              <w:rPr>
                <w:rFonts w:hint="eastAsia" w:ascii="宋体" w:hAnsi="宋体" w:cs="宋体"/>
                <w:b/>
                <w:kern w:val="0"/>
                <w:szCs w:val="21"/>
                <w:highlight w:val="none"/>
                <w:lang w:bidi="ar"/>
              </w:rPr>
              <w:t>元整）</w:t>
            </w:r>
          </w:p>
          <w:p w14:paraId="25632E98">
            <w:pPr>
              <w:keepNext w:val="0"/>
              <w:keepLines w:val="0"/>
              <w:pageBreakBefore w:val="0"/>
              <w:kinsoku/>
              <w:wordWrap/>
              <w:overflowPunct/>
              <w:topLinePunct w:val="0"/>
              <w:autoSpaceDE w:val="0"/>
              <w:autoSpaceDN w:val="0"/>
              <w:bidi w:val="0"/>
              <w:adjustRightInd/>
              <w:spacing w:line="360" w:lineRule="auto"/>
              <w:rPr>
                <w:highlight w:val="none"/>
              </w:rPr>
            </w:pPr>
            <w:r>
              <w:rPr>
                <w:rFonts w:hint="eastAsia" w:ascii="宋体" w:hAnsi="宋体" w:cs="宋体"/>
                <w:b/>
                <w:kern w:val="0"/>
                <w:szCs w:val="21"/>
                <w:highlight w:val="none"/>
                <w:lang w:bidi="ar"/>
              </w:rPr>
              <w:t>账号：8719 0671 3610 0092 6069 7000 3</w:t>
            </w:r>
          </w:p>
          <w:p w14:paraId="15A7EDEA">
            <w:pPr>
              <w:keepNext w:val="0"/>
              <w:keepLines w:val="0"/>
              <w:pageBreakBefore w:val="0"/>
              <w:kinsoku/>
              <w:wordWrap/>
              <w:overflowPunct/>
              <w:topLinePunct w:val="0"/>
              <w:autoSpaceDE w:val="0"/>
              <w:autoSpaceDN w:val="0"/>
              <w:bidi w:val="0"/>
              <w:adjustRightInd/>
              <w:spacing w:line="360" w:lineRule="auto"/>
              <w:rPr>
                <w:rFonts w:hint="default" w:eastAsia="宋体"/>
                <w:highlight w:val="none"/>
                <w:lang w:val="en-US" w:eastAsia="zh-CN"/>
              </w:rPr>
            </w:pPr>
            <w:r>
              <w:rPr>
                <w:rFonts w:hint="eastAsia" w:ascii="宋体" w:hAnsi="宋体" w:cs="宋体"/>
                <w:b/>
                <w:kern w:val="0"/>
                <w:szCs w:val="21"/>
                <w:highlight w:val="none"/>
                <w:lang w:bidi="ar"/>
              </w:rPr>
              <w:t>4标段保证金金额：</w:t>
            </w:r>
            <w:r>
              <w:rPr>
                <w:rFonts w:hint="eastAsia" w:ascii="宋体" w:hAnsi="宋体" w:cs="宋体"/>
                <w:b/>
                <w:kern w:val="0"/>
                <w:szCs w:val="21"/>
                <w:highlight w:val="none"/>
                <w:lang w:val="en-US" w:eastAsia="zh-CN" w:bidi="ar"/>
              </w:rPr>
              <w:t>¥50.00（人民币伍拾元整）</w:t>
            </w:r>
          </w:p>
          <w:p w14:paraId="2CC7B358">
            <w:pPr>
              <w:keepNext w:val="0"/>
              <w:keepLines w:val="0"/>
              <w:pageBreakBefore w:val="0"/>
              <w:kinsoku/>
              <w:wordWrap/>
              <w:overflowPunct/>
              <w:topLinePunct w:val="0"/>
              <w:autoSpaceDE w:val="0"/>
              <w:autoSpaceDN w:val="0"/>
              <w:bidi w:val="0"/>
              <w:adjustRightInd/>
              <w:spacing w:line="360" w:lineRule="auto"/>
              <w:rPr>
                <w:rFonts w:hint="eastAsia" w:eastAsia="宋体"/>
                <w:highlight w:val="none"/>
                <w:lang w:val="en-US" w:eastAsia="zh-CN"/>
              </w:rPr>
            </w:pPr>
            <w:r>
              <w:rPr>
                <w:rFonts w:hint="eastAsia" w:ascii="宋体" w:hAnsi="宋体" w:cs="宋体"/>
                <w:b/>
                <w:kern w:val="0"/>
                <w:szCs w:val="21"/>
                <w:highlight w:val="none"/>
                <w:lang w:bidi="ar"/>
              </w:rPr>
              <w:t xml:space="preserve">账号：8719 0671 3610 0092 6069 7000 </w:t>
            </w:r>
            <w:r>
              <w:rPr>
                <w:rFonts w:hint="eastAsia" w:ascii="宋体" w:hAnsi="宋体" w:cs="宋体"/>
                <w:b/>
                <w:kern w:val="0"/>
                <w:szCs w:val="21"/>
                <w:highlight w:val="none"/>
                <w:lang w:val="en-US" w:eastAsia="zh-CN" w:bidi="ar"/>
              </w:rPr>
              <w:t>4</w:t>
            </w:r>
          </w:p>
          <w:p w14:paraId="6738C26C">
            <w:pPr>
              <w:keepNext w:val="0"/>
              <w:keepLines w:val="0"/>
              <w:pageBreakBefore w:val="0"/>
              <w:kinsoku/>
              <w:wordWrap/>
              <w:overflowPunct/>
              <w:topLinePunct w:val="0"/>
              <w:autoSpaceDE w:val="0"/>
              <w:autoSpaceDN w:val="0"/>
              <w:bidi w:val="0"/>
              <w:adjustRightInd/>
              <w:spacing w:line="360" w:lineRule="auto"/>
              <w:rPr>
                <w:rFonts w:ascii="宋体" w:hAnsi="宋体" w:cs="宋体"/>
                <w:kern w:val="0"/>
                <w:szCs w:val="21"/>
                <w:highlight w:val="none"/>
                <w:lang w:bidi="ar"/>
              </w:rPr>
            </w:pPr>
            <w:r>
              <w:rPr>
                <w:rFonts w:hint="eastAsia" w:ascii="宋体" w:hAnsi="宋体" w:cs="宋体"/>
                <w:kern w:val="0"/>
                <w:szCs w:val="21"/>
                <w:highlight w:val="none"/>
                <w:lang w:bidi="ar"/>
              </w:rPr>
              <w:t>缴纳时间：到账截止时间为投标文件（响应文件）递交截止时间，到账时间以项目专项账户实际到账时间为准，未按时到账的保证金视为未提交。</w:t>
            </w:r>
          </w:p>
          <w:p w14:paraId="32933D8F">
            <w:pPr>
              <w:keepNext w:val="0"/>
              <w:keepLines w:val="0"/>
              <w:pageBreakBefore w:val="0"/>
              <w:kinsoku/>
              <w:wordWrap/>
              <w:overflowPunct/>
              <w:topLinePunct w:val="0"/>
              <w:autoSpaceDE w:val="0"/>
              <w:autoSpaceDN w:val="0"/>
              <w:bidi w:val="0"/>
              <w:adjustRightInd/>
              <w:spacing w:line="360" w:lineRule="auto"/>
              <w:rPr>
                <w:rFonts w:hint="eastAsia" w:ascii="宋体" w:hAnsi="宋体" w:cs="宋体"/>
                <w:kern w:val="0"/>
                <w:szCs w:val="21"/>
                <w:highlight w:val="none"/>
                <w:lang w:bidi="ar"/>
              </w:rPr>
            </w:pPr>
            <w:r>
              <w:rPr>
                <w:rFonts w:hint="eastAsia" w:ascii="微软雅黑" w:hAnsi="微软雅黑" w:eastAsia="微软雅黑" w:cs="微软雅黑"/>
                <w:kern w:val="0"/>
                <w:szCs w:val="21"/>
                <w:highlight w:val="none"/>
                <w:lang w:bidi="ar"/>
              </w:rPr>
              <w:t>【</w:t>
            </w:r>
            <w:r>
              <w:rPr>
                <w:rFonts w:hint="eastAsia" w:ascii="宋体" w:hAnsi="宋体" w:cs="宋体"/>
                <w:kern w:val="0"/>
                <w:szCs w:val="21"/>
                <w:highlight w:val="none"/>
                <w:lang w:bidi="ar"/>
              </w:rPr>
              <w:t>账户名称</w:t>
            </w:r>
            <w:r>
              <w:rPr>
                <w:rFonts w:hint="eastAsia" w:ascii="微软雅黑" w:hAnsi="微软雅黑" w:eastAsia="微软雅黑" w:cs="微软雅黑"/>
                <w:kern w:val="0"/>
                <w:szCs w:val="21"/>
                <w:highlight w:val="none"/>
                <w:lang w:bidi="ar"/>
              </w:rPr>
              <w:t>】</w:t>
            </w:r>
            <w:r>
              <w:rPr>
                <w:rFonts w:hint="eastAsia" w:ascii="宋体" w:hAnsi="宋体" w:cs="宋体"/>
                <w:kern w:val="0"/>
                <w:szCs w:val="21"/>
                <w:highlight w:val="none"/>
                <w:lang w:bidi="ar"/>
              </w:rPr>
              <w:t>：云南元大工程咨询有限责任公司</w:t>
            </w:r>
          </w:p>
          <w:p w14:paraId="2911E44D">
            <w:pPr>
              <w:keepNext w:val="0"/>
              <w:keepLines w:val="0"/>
              <w:pageBreakBefore w:val="0"/>
              <w:kinsoku/>
              <w:wordWrap/>
              <w:overflowPunct/>
              <w:topLinePunct w:val="0"/>
              <w:autoSpaceDE w:val="0"/>
              <w:autoSpaceDN w:val="0"/>
              <w:bidi w:val="0"/>
              <w:adjustRightInd/>
              <w:spacing w:line="360" w:lineRule="auto"/>
              <w:rPr>
                <w:rFonts w:hint="eastAsia" w:ascii="宋体" w:hAnsi="宋体" w:cs="宋体"/>
                <w:kern w:val="0"/>
                <w:szCs w:val="21"/>
                <w:highlight w:val="none"/>
                <w:lang w:bidi="ar"/>
              </w:rPr>
            </w:pPr>
            <w:r>
              <w:rPr>
                <w:rFonts w:hint="eastAsia" w:ascii="微软雅黑" w:hAnsi="微软雅黑" w:eastAsia="微软雅黑" w:cs="微软雅黑"/>
                <w:kern w:val="0"/>
                <w:szCs w:val="21"/>
                <w:highlight w:val="none"/>
                <w:lang w:bidi="ar"/>
              </w:rPr>
              <w:t>【</w:t>
            </w:r>
            <w:r>
              <w:rPr>
                <w:rFonts w:hint="eastAsia" w:ascii="宋体" w:hAnsi="宋体" w:cs="宋体"/>
                <w:kern w:val="0"/>
                <w:szCs w:val="21"/>
                <w:highlight w:val="none"/>
                <w:lang w:bidi="ar"/>
              </w:rPr>
              <w:t>开</w:t>
            </w:r>
            <w:r>
              <w:rPr>
                <w:rFonts w:hint="eastAsia" w:ascii="宋体" w:hAnsi="宋体" w:cs="宋体"/>
                <w:kern w:val="0"/>
                <w:szCs w:val="21"/>
                <w:highlight w:val="none"/>
                <w:lang w:val="en-US" w:eastAsia="zh-CN" w:bidi="ar"/>
              </w:rPr>
              <w:t xml:space="preserve"> </w:t>
            </w:r>
            <w:r>
              <w:rPr>
                <w:rFonts w:hint="eastAsia" w:ascii="宋体" w:hAnsi="宋体" w:cs="宋体"/>
                <w:kern w:val="0"/>
                <w:szCs w:val="21"/>
                <w:highlight w:val="none"/>
                <w:lang w:bidi="ar"/>
              </w:rPr>
              <w:t>户</w:t>
            </w:r>
            <w:r>
              <w:rPr>
                <w:rFonts w:hint="eastAsia" w:ascii="宋体" w:hAnsi="宋体" w:cs="宋体"/>
                <w:kern w:val="0"/>
                <w:szCs w:val="21"/>
                <w:highlight w:val="none"/>
                <w:lang w:val="en-US" w:eastAsia="zh-CN" w:bidi="ar"/>
              </w:rPr>
              <w:t xml:space="preserve"> </w:t>
            </w:r>
            <w:r>
              <w:rPr>
                <w:rFonts w:hint="eastAsia" w:ascii="宋体" w:hAnsi="宋体" w:cs="宋体"/>
                <w:kern w:val="0"/>
                <w:szCs w:val="21"/>
                <w:highlight w:val="none"/>
                <w:lang w:bidi="ar"/>
              </w:rPr>
              <w:t>行</w:t>
            </w:r>
            <w:r>
              <w:rPr>
                <w:rFonts w:hint="eastAsia" w:ascii="微软雅黑" w:hAnsi="微软雅黑" w:eastAsia="微软雅黑" w:cs="微软雅黑"/>
                <w:kern w:val="0"/>
                <w:szCs w:val="21"/>
                <w:highlight w:val="none"/>
                <w:lang w:bidi="ar"/>
              </w:rPr>
              <w:t>】</w:t>
            </w:r>
            <w:r>
              <w:rPr>
                <w:rFonts w:hint="eastAsia" w:ascii="宋体" w:hAnsi="宋体" w:cs="宋体"/>
                <w:kern w:val="0"/>
                <w:szCs w:val="21"/>
                <w:highlight w:val="none"/>
                <w:lang w:bidi="ar"/>
              </w:rPr>
              <w:t>：招商银行昆明联盟路支行</w:t>
            </w:r>
          </w:p>
          <w:p w14:paraId="536DE317">
            <w:pPr>
              <w:keepNext w:val="0"/>
              <w:keepLines w:val="0"/>
              <w:pageBreakBefore w:val="0"/>
              <w:kinsoku/>
              <w:wordWrap/>
              <w:overflowPunct/>
              <w:topLinePunct w:val="0"/>
              <w:autoSpaceDE w:val="0"/>
              <w:autoSpaceDN w:val="0"/>
              <w:bidi w:val="0"/>
              <w:adjustRightInd/>
              <w:spacing w:line="360" w:lineRule="auto"/>
              <w:rPr>
                <w:rFonts w:hint="eastAsia" w:ascii="宋体" w:hAnsi="宋体" w:cs="宋体"/>
                <w:kern w:val="0"/>
                <w:szCs w:val="21"/>
                <w:highlight w:val="none"/>
                <w:lang w:bidi="ar"/>
              </w:rPr>
            </w:pPr>
            <w:r>
              <w:rPr>
                <w:rFonts w:hint="eastAsia" w:ascii="微软雅黑" w:hAnsi="微软雅黑" w:eastAsia="微软雅黑" w:cs="微软雅黑"/>
                <w:kern w:val="0"/>
                <w:szCs w:val="21"/>
                <w:highlight w:val="none"/>
                <w:lang w:bidi="ar"/>
              </w:rPr>
              <w:t>【</w:t>
            </w:r>
            <w:r>
              <w:rPr>
                <w:rFonts w:hint="eastAsia" w:ascii="宋体" w:hAnsi="宋体" w:cs="宋体"/>
                <w:kern w:val="0"/>
                <w:szCs w:val="21"/>
                <w:highlight w:val="none"/>
                <w:lang w:bidi="ar"/>
              </w:rPr>
              <w:t>财务电话</w:t>
            </w:r>
            <w:r>
              <w:rPr>
                <w:rFonts w:hint="eastAsia" w:ascii="微软雅黑" w:hAnsi="微软雅黑" w:eastAsia="微软雅黑" w:cs="微软雅黑"/>
                <w:kern w:val="0"/>
                <w:szCs w:val="21"/>
                <w:highlight w:val="none"/>
                <w:lang w:bidi="ar"/>
              </w:rPr>
              <w:t>】</w:t>
            </w:r>
            <w:r>
              <w:rPr>
                <w:rFonts w:hint="eastAsia" w:ascii="宋体" w:hAnsi="宋体" w:cs="宋体"/>
                <w:kern w:val="0"/>
                <w:szCs w:val="21"/>
                <w:highlight w:val="none"/>
                <w:lang w:bidi="ar"/>
              </w:rPr>
              <w:t>：(0871</w:t>
            </w:r>
            <w:r>
              <w:rPr>
                <w:rFonts w:hint="eastAsia" w:ascii="宋体" w:hAnsi="宋体" w:cs="宋体"/>
                <w:kern w:val="0"/>
                <w:szCs w:val="21"/>
                <w:highlight w:val="none"/>
                <w:lang w:eastAsia="zh-CN" w:bidi="ar"/>
              </w:rPr>
              <w:t>)</w:t>
            </w:r>
            <w:r>
              <w:rPr>
                <w:rFonts w:hint="eastAsia" w:ascii="宋体" w:hAnsi="宋体" w:cs="宋体"/>
                <w:kern w:val="0"/>
                <w:szCs w:val="21"/>
                <w:highlight w:val="none"/>
                <w:lang w:bidi="ar"/>
              </w:rPr>
              <w:t>63338592</w:t>
            </w:r>
          </w:p>
          <w:p w14:paraId="547C2915">
            <w:pPr>
              <w:keepNext w:val="0"/>
              <w:keepLines w:val="0"/>
              <w:pageBreakBefore w:val="0"/>
              <w:kinsoku/>
              <w:wordWrap/>
              <w:overflowPunct/>
              <w:topLinePunct w:val="0"/>
              <w:autoSpaceDE w:val="0"/>
              <w:autoSpaceDN w:val="0"/>
              <w:bidi w:val="0"/>
              <w:adjustRightInd/>
              <w:spacing w:line="360" w:lineRule="auto"/>
              <w:rPr>
                <w:rFonts w:ascii="宋体" w:hAnsi="宋体" w:cs="宋体"/>
                <w:kern w:val="0"/>
                <w:szCs w:val="21"/>
                <w:highlight w:val="none"/>
                <w:lang w:bidi="ar"/>
              </w:rPr>
            </w:pPr>
            <w:r>
              <w:rPr>
                <w:rFonts w:hint="eastAsia" w:ascii="宋体" w:hAnsi="宋体" w:cs="宋体"/>
                <w:kern w:val="0"/>
                <w:szCs w:val="21"/>
                <w:highlight w:val="none"/>
                <w:lang w:bidi="ar"/>
              </w:rPr>
              <w:t>注：</w:t>
            </w:r>
          </w:p>
          <w:p w14:paraId="0389EE2B">
            <w:pPr>
              <w:keepNext w:val="0"/>
              <w:keepLines w:val="0"/>
              <w:pageBreakBefore w:val="0"/>
              <w:kinsoku/>
              <w:wordWrap/>
              <w:overflowPunct/>
              <w:topLinePunct w:val="0"/>
              <w:autoSpaceDE w:val="0"/>
              <w:autoSpaceDN w:val="0"/>
              <w:bidi w:val="0"/>
              <w:adjustRightInd/>
              <w:spacing w:line="360" w:lineRule="auto"/>
              <w:rPr>
                <w:rFonts w:ascii="宋体" w:hAnsi="宋体" w:cs="宋体"/>
                <w:kern w:val="0"/>
                <w:szCs w:val="21"/>
                <w:highlight w:val="none"/>
                <w:lang w:bidi="ar"/>
              </w:rPr>
            </w:pPr>
            <w:r>
              <w:rPr>
                <w:rFonts w:hint="eastAsia" w:ascii="宋体" w:hAnsi="宋体" w:cs="宋体"/>
                <w:kern w:val="0"/>
                <w:szCs w:val="21"/>
                <w:highlight w:val="none"/>
                <w:lang w:bidi="ar"/>
              </w:rPr>
              <w:t>1</w:t>
            </w:r>
            <w:r>
              <w:rPr>
                <w:rFonts w:hint="eastAsia" w:ascii="宋体" w:hAnsi="宋体" w:cs="宋体"/>
                <w:kern w:val="0"/>
                <w:szCs w:val="21"/>
                <w:highlight w:val="none"/>
                <w:lang w:val="en-US" w:eastAsia="zh-CN" w:bidi="ar"/>
              </w:rPr>
              <w:t>.</w:t>
            </w:r>
            <w:r>
              <w:rPr>
                <w:rFonts w:hint="eastAsia" w:ascii="宋体" w:hAnsi="宋体" w:cs="宋体"/>
                <w:kern w:val="0"/>
                <w:szCs w:val="21"/>
                <w:highlight w:val="none"/>
                <w:lang w:bidi="ar"/>
              </w:rPr>
              <w:t>保证金缴纳至上述银行账户中。</w:t>
            </w:r>
          </w:p>
          <w:p w14:paraId="0E2B517F">
            <w:pPr>
              <w:keepNext w:val="0"/>
              <w:keepLines w:val="0"/>
              <w:pageBreakBefore w:val="0"/>
              <w:kinsoku/>
              <w:wordWrap/>
              <w:overflowPunct/>
              <w:topLinePunct w:val="0"/>
              <w:autoSpaceDE w:val="0"/>
              <w:autoSpaceDN w:val="0"/>
              <w:bidi w:val="0"/>
              <w:adjustRightInd/>
              <w:spacing w:line="360" w:lineRule="auto"/>
              <w:rPr>
                <w:rFonts w:ascii="宋体" w:hAnsi="宋体" w:cs="宋体"/>
                <w:b/>
                <w:kern w:val="0"/>
                <w:szCs w:val="21"/>
                <w:highlight w:val="none"/>
                <w:lang w:bidi="ar"/>
              </w:rPr>
            </w:pPr>
            <w:r>
              <w:rPr>
                <w:rFonts w:hint="eastAsia" w:ascii="宋体" w:hAnsi="宋体" w:cs="宋体"/>
                <w:b/>
                <w:kern w:val="0"/>
                <w:szCs w:val="21"/>
                <w:highlight w:val="none"/>
                <w:lang w:bidi="ar"/>
              </w:rPr>
              <w:t>2</w:t>
            </w:r>
            <w:r>
              <w:rPr>
                <w:rFonts w:hint="eastAsia" w:ascii="宋体" w:hAnsi="宋体" w:cs="宋体"/>
                <w:b/>
                <w:kern w:val="0"/>
                <w:szCs w:val="21"/>
                <w:highlight w:val="none"/>
                <w:lang w:val="en-US" w:eastAsia="zh-CN" w:bidi="ar"/>
              </w:rPr>
              <w:t>.</w:t>
            </w:r>
            <w:r>
              <w:rPr>
                <w:rFonts w:hint="eastAsia" w:ascii="宋体" w:hAnsi="宋体" w:cs="宋体"/>
                <w:b/>
                <w:kern w:val="0"/>
                <w:szCs w:val="21"/>
                <w:highlight w:val="none"/>
                <w:lang w:bidi="ar"/>
              </w:rPr>
              <w:t>每项目、</w:t>
            </w:r>
            <w:r>
              <w:rPr>
                <w:rFonts w:hint="eastAsia" w:ascii="宋体" w:hAnsi="宋体" w:cs="宋体"/>
                <w:b/>
                <w:kern w:val="0"/>
                <w:szCs w:val="21"/>
                <w:highlight w:val="none"/>
                <w:lang w:val="en-US" w:eastAsia="zh-CN" w:bidi="ar"/>
              </w:rPr>
              <w:t>各</w:t>
            </w:r>
            <w:r>
              <w:rPr>
                <w:rFonts w:hint="eastAsia" w:ascii="宋体" w:hAnsi="宋体" w:cs="宋体"/>
                <w:b/>
                <w:kern w:val="0"/>
                <w:szCs w:val="21"/>
                <w:highlight w:val="none"/>
                <w:lang w:bidi="ar"/>
              </w:rPr>
              <w:t>标段的投标保证金均不相同，请缴纳保证金时注意。</w:t>
            </w:r>
          </w:p>
          <w:p w14:paraId="5D45F40E">
            <w:pPr>
              <w:keepNext w:val="0"/>
              <w:keepLines w:val="0"/>
              <w:pageBreakBefore w:val="0"/>
              <w:kinsoku/>
              <w:wordWrap/>
              <w:overflowPunct/>
              <w:topLinePunct w:val="0"/>
              <w:bidi w:val="0"/>
              <w:adjustRightInd/>
              <w:spacing w:line="360" w:lineRule="auto"/>
              <w:rPr>
                <w:rFonts w:ascii="宋体" w:hAnsi="宋体" w:cs="宋体"/>
                <w:kern w:val="0"/>
                <w:szCs w:val="21"/>
                <w:highlight w:val="none"/>
                <w:lang w:bidi="ar"/>
              </w:rPr>
            </w:pPr>
            <w:r>
              <w:rPr>
                <w:rFonts w:hint="eastAsia" w:ascii="宋体" w:hAnsi="宋体" w:cs="宋体"/>
                <w:kern w:val="0"/>
                <w:szCs w:val="21"/>
                <w:highlight w:val="none"/>
                <w:lang w:bidi="ar"/>
              </w:rPr>
              <w:t>3</w:t>
            </w:r>
            <w:r>
              <w:rPr>
                <w:rFonts w:hint="eastAsia" w:ascii="宋体" w:hAnsi="宋体" w:cs="宋体"/>
                <w:kern w:val="0"/>
                <w:szCs w:val="21"/>
                <w:highlight w:val="none"/>
                <w:lang w:val="en-US" w:eastAsia="zh-CN" w:bidi="ar"/>
              </w:rPr>
              <w:t>.</w:t>
            </w:r>
            <w:r>
              <w:rPr>
                <w:rFonts w:hint="eastAsia" w:ascii="宋体" w:hAnsi="宋体" w:cs="宋体"/>
                <w:kern w:val="0"/>
                <w:szCs w:val="21"/>
                <w:highlight w:val="none"/>
                <w:lang w:bidi="ar"/>
              </w:rPr>
              <w:t>请在汇款时按完整的银行账号进行汇款。</w:t>
            </w:r>
          </w:p>
          <w:p w14:paraId="4668DE8A">
            <w:pPr>
              <w:keepNext w:val="0"/>
              <w:keepLines w:val="0"/>
              <w:pageBreakBefore w:val="0"/>
              <w:widowControl/>
              <w:kinsoku/>
              <w:wordWrap/>
              <w:overflowPunct/>
              <w:topLinePunct w:val="0"/>
              <w:bidi w:val="0"/>
              <w:adjustRightInd/>
              <w:snapToGrid w:val="0"/>
              <w:spacing w:line="360" w:lineRule="auto"/>
              <w:jc w:val="left"/>
              <w:rPr>
                <w:rFonts w:ascii="宋体" w:hAnsi="宋体" w:cs="Arial"/>
                <w:b/>
                <w:kern w:val="0"/>
                <w:szCs w:val="21"/>
                <w:highlight w:val="none"/>
              </w:rPr>
            </w:pPr>
            <w:r>
              <w:rPr>
                <w:rFonts w:hint="eastAsia" w:ascii="宋体" w:hAnsi="宋体" w:cs="Arial"/>
                <w:b/>
                <w:kern w:val="0"/>
                <w:szCs w:val="21"/>
                <w:highlight w:val="none"/>
              </w:rPr>
              <w:t>二、允许投标人自主选择以</w:t>
            </w:r>
            <w:r>
              <w:rPr>
                <w:rFonts w:hint="eastAsia" w:ascii="宋体" w:hAnsi="宋体" w:cs="Arial"/>
                <w:b/>
                <w:kern w:val="0"/>
                <w:szCs w:val="21"/>
                <w:highlight w:val="none"/>
                <w:u w:val="single"/>
              </w:rPr>
              <w:t>支票、汇票、本票、保函、保险等非现金形式</w:t>
            </w:r>
            <w:r>
              <w:rPr>
                <w:rFonts w:hint="eastAsia" w:ascii="宋体" w:hAnsi="宋体" w:cs="Arial"/>
                <w:b/>
                <w:kern w:val="0"/>
                <w:szCs w:val="21"/>
                <w:highlight w:val="none"/>
              </w:rPr>
              <w:t>缴纳或提交保证金，到账截止时间应当与投标（响应）截止时间一致。</w:t>
            </w:r>
          </w:p>
          <w:p w14:paraId="05F579D8">
            <w:pPr>
              <w:keepNext w:val="0"/>
              <w:keepLines w:val="0"/>
              <w:pageBreakBefore w:val="0"/>
              <w:widowControl/>
              <w:kinsoku/>
              <w:wordWrap/>
              <w:overflowPunct/>
              <w:topLinePunct w:val="0"/>
              <w:bidi w:val="0"/>
              <w:adjustRightInd/>
              <w:snapToGrid w:val="0"/>
              <w:spacing w:line="360" w:lineRule="auto"/>
              <w:jc w:val="left"/>
              <w:rPr>
                <w:rFonts w:ascii="宋体" w:hAnsi="宋体" w:cs="Arial"/>
                <w:kern w:val="0"/>
                <w:szCs w:val="21"/>
                <w:highlight w:val="none"/>
              </w:rPr>
            </w:pPr>
            <w:r>
              <w:rPr>
                <w:rFonts w:hint="eastAsia" w:ascii="宋体" w:hAnsi="宋体" w:cs="Arial"/>
                <w:kern w:val="0"/>
                <w:szCs w:val="21"/>
                <w:highlight w:val="none"/>
              </w:rPr>
              <w:t>1.以支票方式提交的，出票人必须是供应商，支票收款人必须是采购人，支票必须正确填写收款人信息，用途须注明用于本项目（项目名称）的投标保证金。供应商必须保证支票有效，否则一切后果自负；</w:t>
            </w:r>
          </w:p>
          <w:p w14:paraId="44B9F827">
            <w:pPr>
              <w:keepNext w:val="0"/>
              <w:keepLines w:val="0"/>
              <w:pageBreakBefore w:val="0"/>
              <w:widowControl/>
              <w:kinsoku/>
              <w:wordWrap/>
              <w:overflowPunct/>
              <w:topLinePunct w:val="0"/>
              <w:bidi w:val="0"/>
              <w:adjustRightInd/>
              <w:snapToGrid w:val="0"/>
              <w:spacing w:line="360" w:lineRule="auto"/>
              <w:jc w:val="left"/>
              <w:rPr>
                <w:rFonts w:ascii="宋体" w:hAnsi="宋体" w:cs="Arial"/>
                <w:kern w:val="0"/>
                <w:szCs w:val="21"/>
                <w:highlight w:val="none"/>
              </w:rPr>
            </w:pPr>
            <w:r>
              <w:rPr>
                <w:rFonts w:hint="eastAsia" w:ascii="宋体" w:hAnsi="宋体" w:cs="Arial"/>
                <w:kern w:val="0"/>
                <w:szCs w:val="21"/>
                <w:highlight w:val="none"/>
              </w:rPr>
              <w:t>2.以汇票方式提交的，出票人必须是供应商，收款人必须是采购人。备注内必须注明用于本项目（项目名称）的投标保证金，供应商必须保证汇票有效，否则一切后果自负；</w:t>
            </w:r>
          </w:p>
          <w:p w14:paraId="584E3AE4">
            <w:pPr>
              <w:keepNext w:val="0"/>
              <w:keepLines w:val="0"/>
              <w:pageBreakBefore w:val="0"/>
              <w:widowControl/>
              <w:kinsoku/>
              <w:wordWrap/>
              <w:overflowPunct/>
              <w:topLinePunct w:val="0"/>
              <w:bidi w:val="0"/>
              <w:adjustRightInd/>
              <w:snapToGrid w:val="0"/>
              <w:spacing w:line="360" w:lineRule="auto"/>
              <w:jc w:val="left"/>
              <w:rPr>
                <w:rFonts w:ascii="宋体" w:hAnsi="宋体" w:cs="Arial"/>
                <w:kern w:val="0"/>
                <w:szCs w:val="21"/>
                <w:highlight w:val="none"/>
              </w:rPr>
            </w:pPr>
            <w:r>
              <w:rPr>
                <w:rFonts w:hint="eastAsia" w:ascii="宋体" w:hAnsi="宋体" w:cs="Arial"/>
                <w:kern w:val="0"/>
                <w:szCs w:val="21"/>
                <w:highlight w:val="none"/>
              </w:rPr>
              <w:t>3.以本票提交的，出票人必须是供应商，收款人必须是采购人。备注内必须注明用于本项目（项目名称）的投标保证金，供应商必须保证本票有效，否则一切后果自负；</w:t>
            </w:r>
          </w:p>
          <w:p w14:paraId="06F03C49">
            <w:pPr>
              <w:keepNext w:val="0"/>
              <w:keepLines w:val="0"/>
              <w:pageBreakBefore w:val="0"/>
              <w:kinsoku/>
              <w:wordWrap/>
              <w:overflowPunct/>
              <w:topLinePunct w:val="0"/>
              <w:bidi w:val="0"/>
              <w:adjustRightInd/>
              <w:spacing w:line="360" w:lineRule="auto"/>
              <w:rPr>
                <w:rFonts w:ascii="宋体" w:hAnsi="宋体" w:cs="Arial"/>
                <w:kern w:val="0"/>
                <w:szCs w:val="21"/>
                <w:highlight w:val="none"/>
              </w:rPr>
            </w:pPr>
            <w:r>
              <w:rPr>
                <w:rFonts w:hint="eastAsia" w:ascii="宋体" w:hAnsi="宋体" w:cs="Arial"/>
                <w:kern w:val="0"/>
                <w:szCs w:val="21"/>
                <w:highlight w:val="none"/>
              </w:rPr>
              <w:t>4.以银行保函或者保证保险方式提交的，申请人必须是供应商，受益人必须是采购人；必须正确填写受益人和申请人的全称，并与招标文件规定的名称相一致。有效期应当不小于投标有效期，以免造成投标无效。</w:t>
            </w:r>
          </w:p>
          <w:p w14:paraId="23321AAD">
            <w:pPr>
              <w:keepNext w:val="0"/>
              <w:keepLines w:val="0"/>
              <w:pageBreakBefore w:val="0"/>
              <w:kinsoku/>
              <w:wordWrap/>
              <w:overflowPunct/>
              <w:topLinePunct w:val="0"/>
              <w:bidi w:val="0"/>
              <w:adjustRightInd/>
              <w:spacing w:line="360" w:lineRule="auto"/>
              <w:rPr>
                <w:rFonts w:ascii="宋体" w:hAnsi="宋体" w:cs="宋体"/>
                <w:kern w:val="0"/>
                <w:szCs w:val="21"/>
                <w:highlight w:val="none"/>
                <w:lang w:bidi="ar"/>
              </w:rPr>
            </w:pPr>
            <w:r>
              <w:rPr>
                <w:rFonts w:hint="eastAsia"/>
                <w:b/>
                <w:highlight w:val="none"/>
              </w:rPr>
              <w:t>温馨提示：供应商可根据需要按照《昆明市财政局关于规范政府采购保证金管理及开展试点保证保险工作的通知》和《昆明市财政局关于推进政府采购合同融资工作的通知》使用“昆明市政府采购金融业务一站式服务平台”中的政府采购合同融资业务和保证保险业务。</w:t>
            </w:r>
          </w:p>
        </w:tc>
      </w:tr>
      <w:tr w14:paraId="7152A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0" w:type="dxa"/>
            <w:vAlign w:val="center"/>
          </w:tcPr>
          <w:p w14:paraId="3C638388">
            <w:pPr>
              <w:pStyle w:val="16"/>
              <w:spacing w:line="300" w:lineRule="exact"/>
              <w:jc w:val="center"/>
              <w:rPr>
                <w:rFonts w:hAnsi="宋体"/>
                <w:szCs w:val="21"/>
                <w:highlight w:val="none"/>
              </w:rPr>
            </w:pPr>
            <w:r>
              <w:rPr>
                <w:rFonts w:hint="eastAsia" w:hAnsi="宋体"/>
                <w:szCs w:val="21"/>
                <w:highlight w:val="none"/>
              </w:rPr>
              <w:t>★20</w:t>
            </w:r>
          </w:p>
          <w:p w14:paraId="4050B9F7">
            <w:pPr>
              <w:pStyle w:val="16"/>
              <w:spacing w:line="300" w:lineRule="exact"/>
              <w:jc w:val="center"/>
              <w:rPr>
                <w:rFonts w:hAnsi="宋体"/>
                <w:szCs w:val="21"/>
                <w:highlight w:val="none"/>
              </w:rPr>
            </w:pPr>
            <w:r>
              <w:rPr>
                <w:rFonts w:hAnsi="宋体"/>
                <w:szCs w:val="21"/>
                <w:highlight w:val="none"/>
              </w:rPr>
              <w:t>22</w:t>
            </w:r>
          </w:p>
        </w:tc>
        <w:tc>
          <w:tcPr>
            <w:tcW w:w="2723" w:type="dxa"/>
            <w:vAlign w:val="center"/>
          </w:tcPr>
          <w:p w14:paraId="62CCF3E5">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投标文件的编制</w:t>
            </w:r>
          </w:p>
        </w:tc>
        <w:tc>
          <w:tcPr>
            <w:tcW w:w="5953" w:type="dxa"/>
            <w:vAlign w:val="center"/>
          </w:tcPr>
          <w:p w14:paraId="2EAB5E58">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投标文件全部采用电子文档，供应商应安装客户端软件—“政采云电子交易客户端”，并按照招标文件和政采云电子交易平台的要求编制，编制后应进行电子签名及加密。</w:t>
            </w:r>
          </w:p>
        </w:tc>
      </w:tr>
      <w:tr w14:paraId="5435C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0" w:type="dxa"/>
            <w:vAlign w:val="center"/>
          </w:tcPr>
          <w:p w14:paraId="1B3979D1">
            <w:pPr>
              <w:pStyle w:val="16"/>
              <w:spacing w:line="300" w:lineRule="exact"/>
              <w:jc w:val="center"/>
              <w:rPr>
                <w:rFonts w:hAnsi="宋体"/>
                <w:szCs w:val="21"/>
                <w:highlight w:val="none"/>
              </w:rPr>
            </w:pPr>
            <w:r>
              <w:rPr>
                <w:rFonts w:hint="eastAsia" w:hAnsi="宋体"/>
                <w:szCs w:val="21"/>
                <w:highlight w:val="none"/>
              </w:rPr>
              <w:t>2</w:t>
            </w:r>
            <w:r>
              <w:rPr>
                <w:rFonts w:hAnsi="宋体"/>
                <w:szCs w:val="21"/>
                <w:highlight w:val="none"/>
              </w:rPr>
              <w:t>3</w:t>
            </w:r>
            <w:r>
              <w:rPr>
                <w:rFonts w:hint="eastAsia" w:hAnsi="宋体"/>
                <w:szCs w:val="21"/>
                <w:highlight w:val="none"/>
              </w:rPr>
              <w:t>.1</w:t>
            </w:r>
          </w:p>
        </w:tc>
        <w:tc>
          <w:tcPr>
            <w:tcW w:w="2723" w:type="dxa"/>
            <w:vAlign w:val="center"/>
          </w:tcPr>
          <w:p w14:paraId="30D4423C">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提交投标文件截止时间</w:t>
            </w:r>
          </w:p>
        </w:tc>
        <w:tc>
          <w:tcPr>
            <w:tcW w:w="5953" w:type="dxa"/>
            <w:vAlign w:val="center"/>
          </w:tcPr>
          <w:p w14:paraId="798260F3">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见第一章“招标公告”</w:t>
            </w:r>
          </w:p>
        </w:tc>
      </w:tr>
      <w:tr w14:paraId="1E724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0" w:type="dxa"/>
            <w:vAlign w:val="center"/>
          </w:tcPr>
          <w:p w14:paraId="33A28F9B">
            <w:pPr>
              <w:pStyle w:val="16"/>
              <w:spacing w:line="300" w:lineRule="exact"/>
              <w:jc w:val="center"/>
              <w:rPr>
                <w:rFonts w:hAnsi="宋体"/>
                <w:szCs w:val="21"/>
                <w:highlight w:val="none"/>
              </w:rPr>
            </w:pPr>
            <w:r>
              <w:rPr>
                <w:rFonts w:hint="eastAsia" w:hAnsi="宋体"/>
                <w:szCs w:val="21"/>
                <w:highlight w:val="none"/>
              </w:rPr>
              <w:t>2</w:t>
            </w:r>
            <w:r>
              <w:rPr>
                <w:rFonts w:hAnsi="宋体"/>
                <w:szCs w:val="21"/>
                <w:highlight w:val="none"/>
              </w:rPr>
              <w:t>3</w:t>
            </w:r>
            <w:r>
              <w:rPr>
                <w:rFonts w:hint="eastAsia" w:hAnsi="宋体"/>
                <w:szCs w:val="21"/>
                <w:highlight w:val="none"/>
              </w:rPr>
              <w:t>.2</w:t>
            </w:r>
          </w:p>
        </w:tc>
        <w:tc>
          <w:tcPr>
            <w:tcW w:w="2723" w:type="dxa"/>
            <w:vAlign w:val="center"/>
          </w:tcPr>
          <w:p w14:paraId="32AB65A9">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提交投标文件的地点</w:t>
            </w:r>
          </w:p>
        </w:tc>
        <w:tc>
          <w:tcPr>
            <w:tcW w:w="5953" w:type="dxa"/>
            <w:vAlign w:val="center"/>
          </w:tcPr>
          <w:p w14:paraId="388ED9B1">
            <w:pPr>
              <w:pStyle w:val="16"/>
              <w:keepNext w:val="0"/>
              <w:keepLines w:val="0"/>
              <w:pageBreakBefore w:val="0"/>
              <w:kinsoku/>
              <w:wordWrap/>
              <w:overflowPunct/>
              <w:topLinePunct w:val="0"/>
              <w:bidi w:val="0"/>
              <w:adjustRightInd/>
              <w:spacing w:line="360" w:lineRule="auto"/>
              <w:ind w:left="695" w:hanging="695" w:hangingChars="331"/>
              <w:rPr>
                <w:rFonts w:hAnsi="宋体"/>
                <w:szCs w:val="21"/>
                <w:highlight w:val="none"/>
                <w:u w:val="single"/>
              </w:rPr>
            </w:pPr>
            <w:r>
              <w:rPr>
                <w:rFonts w:hint="eastAsia" w:hAnsi="宋体"/>
                <w:szCs w:val="21"/>
                <w:highlight w:val="none"/>
              </w:rPr>
              <w:t>见第一章“招标公告”</w:t>
            </w:r>
          </w:p>
        </w:tc>
      </w:tr>
      <w:tr w14:paraId="6D730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0" w:type="dxa"/>
            <w:vAlign w:val="center"/>
          </w:tcPr>
          <w:p w14:paraId="5EC97D6C">
            <w:pPr>
              <w:pStyle w:val="16"/>
              <w:spacing w:line="300" w:lineRule="exact"/>
              <w:jc w:val="center"/>
              <w:rPr>
                <w:rFonts w:hAnsi="宋体"/>
                <w:szCs w:val="21"/>
                <w:highlight w:val="none"/>
              </w:rPr>
            </w:pPr>
            <w:r>
              <w:rPr>
                <w:rFonts w:hint="eastAsia" w:hAnsi="宋体"/>
                <w:szCs w:val="21"/>
                <w:highlight w:val="none"/>
              </w:rPr>
              <w:t>2</w:t>
            </w:r>
            <w:r>
              <w:rPr>
                <w:rFonts w:hAnsi="宋体"/>
                <w:szCs w:val="21"/>
                <w:highlight w:val="none"/>
              </w:rPr>
              <w:t>3</w:t>
            </w:r>
            <w:r>
              <w:rPr>
                <w:rFonts w:hint="eastAsia" w:hAnsi="宋体"/>
                <w:szCs w:val="21"/>
                <w:highlight w:val="none"/>
              </w:rPr>
              <w:t>.3</w:t>
            </w:r>
          </w:p>
        </w:tc>
        <w:tc>
          <w:tcPr>
            <w:tcW w:w="2723" w:type="dxa"/>
            <w:vAlign w:val="center"/>
          </w:tcPr>
          <w:p w14:paraId="0BE59B80">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投标文件的退还</w:t>
            </w:r>
          </w:p>
        </w:tc>
        <w:tc>
          <w:tcPr>
            <w:tcW w:w="5953" w:type="dxa"/>
            <w:vAlign w:val="center"/>
          </w:tcPr>
          <w:p w14:paraId="6C0C1CBB">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不予退还</w:t>
            </w:r>
          </w:p>
        </w:tc>
      </w:tr>
      <w:tr w14:paraId="42E00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0" w:type="dxa"/>
            <w:vAlign w:val="center"/>
          </w:tcPr>
          <w:p w14:paraId="3BD8AEFD">
            <w:pPr>
              <w:pStyle w:val="16"/>
              <w:spacing w:line="300" w:lineRule="exact"/>
              <w:jc w:val="center"/>
              <w:rPr>
                <w:rFonts w:hAnsi="宋体"/>
                <w:szCs w:val="21"/>
                <w:highlight w:val="none"/>
              </w:rPr>
            </w:pPr>
            <w:r>
              <w:rPr>
                <w:rFonts w:hint="eastAsia" w:hAnsi="宋体"/>
                <w:szCs w:val="21"/>
                <w:highlight w:val="none"/>
              </w:rPr>
              <w:t>2</w:t>
            </w:r>
            <w:r>
              <w:rPr>
                <w:rFonts w:hAnsi="宋体"/>
                <w:szCs w:val="21"/>
                <w:highlight w:val="none"/>
              </w:rPr>
              <w:t>4</w:t>
            </w:r>
            <w:r>
              <w:rPr>
                <w:rFonts w:hint="eastAsia" w:hAnsi="宋体"/>
                <w:szCs w:val="21"/>
                <w:highlight w:val="none"/>
              </w:rPr>
              <w:t>.1</w:t>
            </w:r>
          </w:p>
        </w:tc>
        <w:tc>
          <w:tcPr>
            <w:tcW w:w="2723" w:type="dxa"/>
            <w:vAlign w:val="center"/>
          </w:tcPr>
          <w:p w14:paraId="51C09263">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开标时间和地点</w:t>
            </w:r>
          </w:p>
        </w:tc>
        <w:tc>
          <w:tcPr>
            <w:tcW w:w="5953" w:type="dxa"/>
            <w:vAlign w:val="center"/>
          </w:tcPr>
          <w:p w14:paraId="2E818B2A">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 xml:space="preserve">同提交投标文件截止时间和地点  </w:t>
            </w:r>
          </w:p>
        </w:tc>
      </w:tr>
      <w:tr w14:paraId="2555A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0" w:type="dxa"/>
            <w:vAlign w:val="center"/>
          </w:tcPr>
          <w:p w14:paraId="7EA17904">
            <w:pPr>
              <w:pStyle w:val="16"/>
              <w:spacing w:line="300" w:lineRule="exact"/>
              <w:jc w:val="center"/>
              <w:rPr>
                <w:rFonts w:hAnsi="宋体"/>
                <w:szCs w:val="21"/>
                <w:highlight w:val="none"/>
              </w:rPr>
            </w:pPr>
            <w:r>
              <w:rPr>
                <w:rFonts w:hint="eastAsia" w:hAnsi="宋体"/>
                <w:szCs w:val="21"/>
                <w:highlight w:val="none"/>
              </w:rPr>
              <w:t>26.3</w:t>
            </w:r>
          </w:p>
        </w:tc>
        <w:tc>
          <w:tcPr>
            <w:tcW w:w="2723" w:type="dxa"/>
            <w:vAlign w:val="center"/>
          </w:tcPr>
          <w:p w14:paraId="230251C3">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评标方法</w:t>
            </w:r>
          </w:p>
        </w:tc>
        <w:tc>
          <w:tcPr>
            <w:tcW w:w="5953" w:type="dxa"/>
            <w:vAlign w:val="center"/>
          </w:tcPr>
          <w:p w14:paraId="279E7BD5">
            <w:pPr>
              <w:keepNext w:val="0"/>
              <w:keepLines w:val="0"/>
              <w:pageBreakBefore w:val="0"/>
              <w:kinsoku/>
              <w:wordWrap/>
              <w:overflowPunct/>
              <w:topLinePunct w:val="0"/>
              <w:bidi w:val="0"/>
              <w:adjustRightInd/>
              <w:spacing w:line="360" w:lineRule="auto"/>
              <w:rPr>
                <w:rFonts w:ascii="宋体" w:hAnsi="宋体"/>
                <w:szCs w:val="21"/>
                <w:highlight w:val="none"/>
              </w:rPr>
            </w:pPr>
            <w:r>
              <w:rPr>
                <w:rFonts w:hint="eastAsia" w:ascii="宋体" w:hAnsi="宋体"/>
                <w:szCs w:val="21"/>
                <w:highlight w:val="none"/>
              </w:rPr>
              <w:t>综合评分法</w:t>
            </w:r>
          </w:p>
        </w:tc>
      </w:tr>
      <w:tr w14:paraId="7D5EF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480" w:type="dxa"/>
            <w:vAlign w:val="center"/>
          </w:tcPr>
          <w:p w14:paraId="43519376">
            <w:pPr>
              <w:pStyle w:val="16"/>
              <w:spacing w:line="300" w:lineRule="exact"/>
              <w:jc w:val="center"/>
              <w:rPr>
                <w:rFonts w:hAnsi="宋体"/>
                <w:szCs w:val="21"/>
                <w:highlight w:val="none"/>
              </w:rPr>
            </w:pPr>
            <w:r>
              <w:rPr>
                <w:rFonts w:hAnsi="宋体"/>
                <w:szCs w:val="21"/>
                <w:highlight w:val="none"/>
              </w:rPr>
              <w:t>3</w:t>
            </w:r>
            <w:r>
              <w:rPr>
                <w:rFonts w:hint="eastAsia" w:hAnsi="宋体"/>
                <w:szCs w:val="21"/>
                <w:highlight w:val="none"/>
              </w:rPr>
              <w:t>1.1</w:t>
            </w:r>
          </w:p>
        </w:tc>
        <w:tc>
          <w:tcPr>
            <w:tcW w:w="2723" w:type="dxa"/>
            <w:vAlign w:val="center"/>
          </w:tcPr>
          <w:p w14:paraId="591CFA30">
            <w:pPr>
              <w:pStyle w:val="16"/>
              <w:keepNext w:val="0"/>
              <w:keepLines w:val="0"/>
              <w:pageBreakBefore w:val="0"/>
              <w:kinsoku/>
              <w:wordWrap/>
              <w:overflowPunct/>
              <w:topLinePunct w:val="0"/>
              <w:bidi w:val="0"/>
              <w:adjustRightInd/>
              <w:spacing w:line="360" w:lineRule="auto"/>
              <w:rPr>
                <w:rFonts w:hAnsi="宋体"/>
                <w:szCs w:val="21"/>
                <w:highlight w:val="none"/>
              </w:rPr>
            </w:pPr>
            <w:r>
              <w:rPr>
                <w:rFonts w:hAnsi="宋体"/>
                <w:bCs/>
                <w:szCs w:val="21"/>
                <w:highlight w:val="none"/>
              </w:rPr>
              <w:t>履约</w:t>
            </w:r>
            <w:r>
              <w:rPr>
                <w:rFonts w:hint="eastAsia" w:hAnsi="宋体"/>
                <w:bCs/>
                <w:szCs w:val="21"/>
                <w:highlight w:val="none"/>
              </w:rPr>
              <w:t>担保（履约保证金）</w:t>
            </w:r>
          </w:p>
        </w:tc>
        <w:tc>
          <w:tcPr>
            <w:tcW w:w="5953" w:type="dxa"/>
            <w:vAlign w:val="center"/>
          </w:tcPr>
          <w:p w14:paraId="2FA7E770">
            <w:pPr>
              <w:pStyle w:val="16"/>
              <w:keepNext w:val="0"/>
              <w:keepLines w:val="0"/>
              <w:pageBreakBefore w:val="0"/>
              <w:kinsoku/>
              <w:wordWrap/>
              <w:overflowPunct/>
              <w:topLinePunct w:val="0"/>
              <w:bidi w:val="0"/>
              <w:adjustRightInd/>
              <w:spacing w:line="360" w:lineRule="auto"/>
              <w:rPr>
                <w:rFonts w:hAnsi="宋体"/>
                <w:szCs w:val="21"/>
                <w:highlight w:val="none"/>
              </w:rPr>
            </w:pPr>
            <w:r>
              <w:rPr>
                <w:rFonts w:hint="eastAsia" w:hAnsi="宋体"/>
                <w:szCs w:val="21"/>
                <w:highlight w:val="none"/>
              </w:rPr>
              <w:t>无</w:t>
            </w:r>
          </w:p>
        </w:tc>
      </w:tr>
      <w:tr w14:paraId="4D909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480" w:type="dxa"/>
            <w:vAlign w:val="center"/>
          </w:tcPr>
          <w:p w14:paraId="389D4A69">
            <w:pPr>
              <w:pStyle w:val="16"/>
              <w:spacing w:line="300" w:lineRule="exact"/>
              <w:jc w:val="center"/>
              <w:rPr>
                <w:rFonts w:hAnsi="宋体"/>
                <w:szCs w:val="21"/>
                <w:highlight w:val="none"/>
              </w:rPr>
            </w:pPr>
            <w:r>
              <w:rPr>
                <w:rFonts w:hint="eastAsia" w:hAnsi="宋体"/>
                <w:szCs w:val="21"/>
                <w:highlight w:val="none"/>
              </w:rPr>
              <w:t>32.1</w:t>
            </w:r>
          </w:p>
        </w:tc>
        <w:tc>
          <w:tcPr>
            <w:tcW w:w="2723" w:type="dxa"/>
            <w:vAlign w:val="center"/>
          </w:tcPr>
          <w:p w14:paraId="7A0BCCA5">
            <w:pPr>
              <w:pStyle w:val="16"/>
              <w:keepNext w:val="0"/>
              <w:keepLines w:val="0"/>
              <w:pageBreakBefore w:val="0"/>
              <w:kinsoku/>
              <w:wordWrap/>
              <w:overflowPunct/>
              <w:topLinePunct w:val="0"/>
              <w:bidi w:val="0"/>
              <w:adjustRightInd/>
              <w:spacing w:line="360" w:lineRule="auto"/>
              <w:rPr>
                <w:rFonts w:hAnsi="宋体"/>
                <w:bCs/>
                <w:szCs w:val="21"/>
                <w:highlight w:val="none"/>
              </w:rPr>
            </w:pPr>
            <w:r>
              <w:rPr>
                <w:rFonts w:hint="eastAsia" w:hAnsi="宋体"/>
                <w:bCs/>
                <w:szCs w:val="21"/>
                <w:highlight w:val="none"/>
              </w:rPr>
              <w:t>采购代理服务费</w:t>
            </w:r>
          </w:p>
        </w:tc>
        <w:tc>
          <w:tcPr>
            <w:tcW w:w="5953" w:type="dxa"/>
            <w:vAlign w:val="center"/>
          </w:tcPr>
          <w:p w14:paraId="02221232">
            <w:pPr>
              <w:keepNext w:val="0"/>
              <w:keepLines w:val="0"/>
              <w:pageBreakBefore w:val="0"/>
              <w:kinsoku/>
              <w:wordWrap/>
              <w:overflowPunct/>
              <w:topLinePunct w:val="0"/>
              <w:bidi w:val="0"/>
              <w:adjustRightInd/>
              <w:spacing w:line="360" w:lineRule="auto"/>
              <w:rPr>
                <w:rFonts w:ascii="宋体" w:hAnsi="宋体"/>
                <w:highlight w:val="none"/>
              </w:rPr>
            </w:pPr>
            <w:r>
              <w:rPr>
                <w:rFonts w:hint="eastAsia" w:ascii="宋体" w:hAnsi="宋体"/>
                <w:highlight w:val="none"/>
              </w:rPr>
              <w:t>1.本项目采购代理服务费由中标供应商支付，中标供应商收到中标通知书的同时，应向采购代理机构缴付采购代理服务费；</w:t>
            </w:r>
          </w:p>
          <w:p w14:paraId="5DC5D414">
            <w:pPr>
              <w:keepNext w:val="0"/>
              <w:keepLines w:val="0"/>
              <w:pageBreakBefore w:val="0"/>
              <w:kinsoku/>
              <w:wordWrap/>
              <w:overflowPunct/>
              <w:topLinePunct w:val="0"/>
              <w:bidi w:val="0"/>
              <w:adjustRightInd/>
              <w:spacing w:line="360" w:lineRule="auto"/>
              <w:rPr>
                <w:rFonts w:ascii="宋体" w:hAnsi="宋体"/>
                <w:highlight w:val="none"/>
              </w:rPr>
            </w:pPr>
            <w:r>
              <w:rPr>
                <w:rFonts w:ascii="宋体" w:hAnsi="宋体"/>
                <w:highlight w:val="none"/>
              </w:rPr>
              <w:t>2</w:t>
            </w:r>
            <w:r>
              <w:rPr>
                <w:rFonts w:hint="eastAsia" w:ascii="宋体" w:hAnsi="宋体"/>
                <w:highlight w:val="none"/>
                <w:lang w:val="en-US" w:eastAsia="zh-CN"/>
              </w:rPr>
              <w:t>.</w:t>
            </w:r>
            <w:r>
              <w:rPr>
                <w:rFonts w:hint="eastAsia" w:ascii="宋体" w:hAnsi="宋体"/>
                <w:highlight w:val="none"/>
              </w:rPr>
              <w:t>采购代理服务费</w:t>
            </w:r>
            <w:r>
              <w:rPr>
                <w:rFonts w:hint="eastAsia" w:ascii="仿宋_GB2312" w:hAnsi="仿宋_GB2312" w:cs="仿宋_GB2312"/>
                <w:szCs w:val="32"/>
                <w:highlight w:val="none"/>
              </w:rPr>
              <w:t>根据云南省建设工程招标投标行业协会关于印发《云南省建设工程及政府采购代理服务收费参考意见》（云建招协〔2026〕11号）文件，下浮30%。采购代理服务费按差额定率累进法计算</w:t>
            </w:r>
            <w:r>
              <w:rPr>
                <w:rFonts w:hint="eastAsia" w:ascii="宋体" w:hAnsi="宋体"/>
                <w:highlight w:val="none"/>
              </w:rPr>
              <w:t>，以中标金额作为收费的计算基数，</w:t>
            </w:r>
            <w:r>
              <w:rPr>
                <w:rFonts w:hint="eastAsia" w:ascii="宋体" w:hAnsi="宋体"/>
                <w:highlight w:val="none"/>
                <w:lang w:val="en-US" w:eastAsia="zh-CN"/>
              </w:rPr>
              <w:t>采购代理机构</w:t>
            </w:r>
            <w:r>
              <w:rPr>
                <w:rFonts w:hint="eastAsia" w:ascii="宋体" w:hAnsi="宋体"/>
                <w:highlight w:val="none"/>
              </w:rPr>
              <w:t>向各标段中标供应商收取；</w:t>
            </w:r>
          </w:p>
          <w:p w14:paraId="654BB105">
            <w:pPr>
              <w:keepNext w:val="0"/>
              <w:keepLines w:val="0"/>
              <w:pageBreakBefore w:val="0"/>
              <w:kinsoku/>
              <w:wordWrap/>
              <w:overflowPunct/>
              <w:topLinePunct w:val="0"/>
              <w:bidi w:val="0"/>
              <w:adjustRightInd/>
              <w:spacing w:line="360" w:lineRule="auto"/>
              <w:rPr>
                <w:rFonts w:hint="eastAsia" w:ascii="宋体" w:hAnsi="宋体"/>
                <w:highlight w:val="none"/>
              </w:rPr>
            </w:pPr>
            <w:r>
              <w:rPr>
                <w:rFonts w:ascii="宋体" w:hAnsi="宋体"/>
                <w:highlight w:val="none"/>
              </w:rPr>
              <w:t>3</w:t>
            </w:r>
            <w:r>
              <w:rPr>
                <w:rFonts w:hint="eastAsia" w:ascii="宋体" w:hAnsi="宋体"/>
                <w:highlight w:val="none"/>
                <w:lang w:val="en-US" w:eastAsia="zh-CN"/>
              </w:rPr>
              <w:t>.采购</w:t>
            </w:r>
            <w:r>
              <w:rPr>
                <w:rFonts w:hint="eastAsia" w:ascii="宋体" w:hAnsi="宋体"/>
                <w:highlight w:val="none"/>
              </w:rPr>
              <w:t>代理服务费接受以下形式：现金</w:t>
            </w:r>
            <w:r>
              <w:rPr>
                <w:rFonts w:hint="eastAsia" w:ascii="宋体" w:hAnsi="宋体"/>
                <w:highlight w:val="none"/>
                <w:lang w:val="en-US" w:eastAsia="zh-CN"/>
              </w:rPr>
              <w:t>或</w:t>
            </w:r>
            <w:r>
              <w:rPr>
                <w:rFonts w:hint="eastAsia" w:ascii="宋体" w:hAnsi="宋体"/>
                <w:highlight w:val="none"/>
              </w:rPr>
              <w:t>银行电汇</w:t>
            </w:r>
          </w:p>
          <w:p w14:paraId="306CBED2">
            <w:pPr>
              <w:keepNext w:val="0"/>
              <w:keepLines w:val="0"/>
              <w:pageBreakBefore w:val="0"/>
              <w:kinsoku/>
              <w:wordWrap/>
              <w:overflowPunct/>
              <w:topLinePunct w:val="0"/>
              <w:bidi w:val="0"/>
              <w:adjustRightInd/>
              <w:spacing w:line="360" w:lineRule="auto"/>
              <w:rPr>
                <w:rFonts w:hint="eastAsia" w:ascii="宋体" w:hAnsi="宋体" w:eastAsia="宋体" w:cs="Times New Roman"/>
                <w:highlight w:val="none"/>
                <w:lang w:val="en-US" w:eastAsia="zh-CN"/>
              </w:rPr>
            </w:pPr>
            <w:r>
              <w:rPr>
                <w:rFonts w:hint="eastAsia" w:ascii="宋体" w:hAnsi="宋体" w:eastAsia="宋体" w:cs="Times New Roman"/>
                <w:highlight w:val="none"/>
              </w:rPr>
              <w:t>4</w:t>
            </w:r>
            <w:r>
              <w:rPr>
                <w:rFonts w:hint="eastAsia" w:ascii="宋体" w:hAnsi="宋体" w:eastAsia="宋体" w:cs="Times New Roman"/>
                <w:highlight w:val="none"/>
                <w:lang w:val="en-US" w:eastAsia="zh-CN"/>
              </w:rPr>
              <w:t>.</w:t>
            </w:r>
            <w:r>
              <w:rPr>
                <w:rFonts w:hint="eastAsia" w:ascii="宋体" w:hAnsi="宋体" w:eastAsia="宋体" w:cs="Times New Roman"/>
                <w:highlight w:val="none"/>
              </w:rPr>
              <w:t>代理服务费</w:t>
            </w:r>
            <w:r>
              <w:rPr>
                <w:rFonts w:hint="eastAsia" w:ascii="宋体" w:hAnsi="宋体" w:eastAsia="宋体" w:cs="Times New Roman"/>
                <w:highlight w:val="none"/>
                <w:lang w:val="en-US" w:eastAsia="zh-CN"/>
              </w:rPr>
              <w:t>收取：</w:t>
            </w:r>
          </w:p>
          <w:p w14:paraId="27E030BD">
            <w:pPr>
              <w:keepNext w:val="0"/>
              <w:keepLines w:val="0"/>
              <w:pageBreakBefore w:val="0"/>
              <w:kinsoku/>
              <w:wordWrap/>
              <w:overflowPunct/>
              <w:topLinePunct w:val="0"/>
              <w:bidi w:val="0"/>
              <w:adjustRightInd/>
              <w:spacing w:line="360" w:lineRule="auto"/>
              <w:rPr>
                <w:rFonts w:hint="eastAsia" w:ascii="宋体" w:hAnsi="宋体" w:eastAsia="宋体" w:cs="Times New Roman"/>
                <w:highlight w:val="none"/>
              </w:rPr>
            </w:pPr>
            <w:r>
              <w:rPr>
                <w:rFonts w:hint="eastAsia" w:ascii="宋体" w:hAnsi="宋体" w:eastAsia="宋体" w:cs="Times New Roman"/>
                <w:highlight w:val="none"/>
              </w:rPr>
              <w:t>(</w:t>
            </w:r>
            <w:r>
              <w:rPr>
                <w:rFonts w:hint="eastAsia" w:ascii="宋体" w:hAnsi="宋体" w:eastAsia="宋体" w:cs="Times New Roman"/>
                <w:highlight w:val="none"/>
                <w:lang w:val="en-US" w:eastAsia="zh-CN"/>
              </w:rPr>
              <w:t>1</w:t>
            </w:r>
            <w:r>
              <w:rPr>
                <w:rFonts w:hint="eastAsia" w:ascii="宋体" w:hAnsi="宋体" w:eastAsia="宋体" w:cs="Times New Roman"/>
                <w:highlight w:val="none"/>
              </w:rPr>
              <w:t>)账户名称：云南元大工程咨询有限责任公司</w:t>
            </w:r>
          </w:p>
          <w:p w14:paraId="0DFA33CA">
            <w:pPr>
              <w:keepNext w:val="0"/>
              <w:keepLines w:val="0"/>
              <w:pageBreakBefore w:val="0"/>
              <w:kinsoku/>
              <w:wordWrap/>
              <w:overflowPunct/>
              <w:topLinePunct w:val="0"/>
              <w:bidi w:val="0"/>
              <w:adjustRightInd/>
              <w:spacing w:line="360" w:lineRule="auto"/>
              <w:rPr>
                <w:rFonts w:hint="eastAsia" w:ascii="宋体" w:hAnsi="宋体" w:eastAsia="宋体" w:cs="Times New Roman"/>
                <w:highlight w:val="none"/>
              </w:rPr>
            </w:pPr>
            <w:r>
              <w:rPr>
                <w:rFonts w:hint="eastAsia" w:ascii="宋体" w:hAnsi="宋体" w:eastAsia="宋体" w:cs="Times New Roman"/>
                <w:highlight w:val="none"/>
              </w:rPr>
              <w:t>(</w:t>
            </w:r>
            <w:r>
              <w:rPr>
                <w:rFonts w:hint="eastAsia" w:ascii="宋体" w:hAnsi="宋体" w:eastAsia="宋体" w:cs="Times New Roman"/>
                <w:highlight w:val="none"/>
                <w:lang w:val="en-US" w:eastAsia="zh-CN"/>
              </w:rPr>
              <w:t>2</w:t>
            </w:r>
            <w:r>
              <w:rPr>
                <w:rFonts w:hint="eastAsia" w:ascii="宋体" w:hAnsi="宋体" w:eastAsia="宋体" w:cs="Times New Roman"/>
                <w:highlight w:val="none"/>
              </w:rPr>
              <w:t>)开户行：</w:t>
            </w:r>
            <w:r>
              <w:rPr>
                <w:rFonts w:hint="eastAsia" w:ascii="宋体" w:hAnsi="宋体" w:eastAsia="宋体" w:cs="Times New Roman"/>
                <w:highlight w:val="none"/>
                <w:lang w:eastAsia="zh-CN"/>
              </w:rPr>
              <w:t>中国工商银行股份有限公司昆明汇通支行</w:t>
            </w:r>
          </w:p>
          <w:p w14:paraId="7BE3C554">
            <w:pPr>
              <w:keepNext w:val="0"/>
              <w:keepLines w:val="0"/>
              <w:pageBreakBefore w:val="0"/>
              <w:kinsoku/>
              <w:wordWrap/>
              <w:overflowPunct/>
              <w:topLinePunct w:val="0"/>
              <w:bidi w:val="0"/>
              <w:adjustRightInd/>
              <w:spacing w:line="360" w:lineRule="auto"/>
              <w:rPr>
                <w:rFonts w:hAnsi="宋体"/>
                <w:szCs w:val="21"/>
                <w:highlight w:val="none"/>
              </w:rPr>
            </w:pPr>
            <w:r>
              <w:rPr>
                <w:rFonts w:hint="eastAsia" w:ascii="宋体" w:hAnsi="宋体" w:eastAsia="宋体" w:cs="Times New Roman"/>
                <w:highlight w:val="none"/>
              </w:rPr>
              <w:t>(</w:t>
            </w:r>
            <w:r>
              <w:rPr>
                <w:rFonts w:hint="eastAsia" w:ascii="宋体" w:hAnsi="宋体" w:eastAsia="宋体" w:cs="Times New Roman"/>
                <w:highlight w:val="none"/>
                <w:lang w:val="en-US" w:eastAsia="zh-CN"/>
              </w:rPr>
              <w:t>3</w:t>
            </w:r>
            <w:r>
              <w:rPr>
                <w:rFonts w:hint="eastAsia" w:ascii="宋体" w:hAnsi="宋体" w:eastAsia="宋体" w:cs="Times New Roman"/>
                <w:highlight w:val="none"/>
              </w:rPr>
              <w:t>)账号：2502038009024579141</w:t>
            </w:r>
          </w:p>
        </w:tc>
      </w:tr>
      <w:tr w14:paraId="3127A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480" w:type="dxa"/>
            <w:vAlign w:val="center"/>
          </w:tcPr>
          <w:p w14:paraId="18A56BD8">
            <w:pPr>
              <w:pStyle w:val="16"/>
              <w:spacing w:line="300" w:lineRule="exact"/>
              <w:jc w:val="center"/>
              <w:rPr>
                <w:rFonts w:hAnsi="宋体"/>
                <w:szCs w:val="21"/>
                <w:highlight w:val="none"/>
              </w:rPr>
            </w:pPr>
            <w:r>
              <w:rPr>
                <w:rFonts w:hint="eastAsia" w:hAnsi="宋体"/>
                <w:szCs w:val="21"/>
                <w:highlight w:val="none"/>
              </w:rPr>
              <w:t>34.2</w:t>
            </w:r>
          </w:p>
        </w:tc>
        <w:tc>
          <w:tcPr>
            <w:tcW w:w="8676" w:type="dxa"/>
            <w:gridSpan w:val="2"/>
            <w:vAlign w:val="bottom"/>
          </w:tcPr>
          <w:p w14:paraId="2EBE3C13">
            <w:pPr>
              <w:pStyle w:val="16"/>
              <w:keepNext w:val="0"/>
              <w:keepLines w:val="0"/>
              <w:pageBreakBefore w:val="0"/>
              <w:kinsoku/>
              <w:wordWrap/>
              <w:overflowPunct/>
              <w:topLinePunct w:val="0"/>
              <w:bidi w:val="0"/>
              <w:adjustRightInd/>
              <w:spacing w:line="360" w:lineRule="auto"/>
              <w:jc w:val="both"/>
              <w:rPr>
                <w:rFonts w:hAnsi="宋体"/>
                <w:szCs w:val="21"/>
                <w:highlight w:val="none"/>
              </w:rPr>
            </w:pPr>
            <w:r>
              <w:rPr>
                <w:rFonts w:hint="eastAsia" w:hAnsi="宋体"/>
                <w:szCs w:val="21"/>
                <w:highlight w:val="none"/>
              </w:rPr>
              <w:t>需要补充的其他内容</w:t>
            </w:r>
          </w:p>
        </w:tc>
      </w:tr>
      <w:tr w14:paraId="004B7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80" w:type="dxa"/>
            <w:vAlign w:val="center"/>
          </w:tcPr>
          <w:p w14:paraId="7F2533B1">
            <w:pPr>
              <w:pStyle w:val="16"/>
              <w:spacing w:line="300" w:lineRule="exact"/>
              <w:jc w:val="center"/>
              <w:rPr>
                <w:rFonts w:hAnsi="宋体"/>
                <w:szCs w:val="21"/>
                <w:highlight w:val="none"/>
              </w:rPr>
            </w:pPr>
            <w:r>
              <w:rPr>
                <w:rFonts w:hint="eastAsia" w:hAnsi="宋体"/>
                <w:szCs w:val="21"/>
                <w:highlight w:val="none"/>
              </w:rPr>
              <w:t>1）</w:t>
            </w:r>
          </w:p>
        </w:tc>
        <w:tc>
          <w:tcPr>
            <w:tcW w:w="8676" w:type="dxa"/>
            <w:gridSpan w:val="2"/>
            <w:vAlign w:val="center"/>
          </w:tcPr>
          <w:p w14:paraId="018D54AC">
            <w:pPr>
              <w:keepNext w:val="0"/>
              <w:keepLines w:val="0"/>
              <w:pageBreakBefore w:val="0"/>
              <w:kinsoku/>
              <w:wordWrap/>
              <w:overflowPunct/>
              <w:topLinePunct w:val="0"/>
              <w:bidi w:val="0"/>
              <w:adjustRightInd/>
              <w:spacing w:line="360" w:lineRule="auto"/>
              <w:rPr>
                <w:rFonts w:ascii="宋体" w:hAnsi="宋体"/>
                <w:szCs w:val="21"/>
                <w:highlight w:val="none"/>
              </w:rPr>
            </w:pPr>
            <w:r>
              <w:rPr>
                <w:rFonts w:hint="eastAsia" w:ascii="宋体" w:hAnsi="宋体"/>
                <w:szCs w:val="21"/>
                <w:highlight w:val="none"/>
              </w:rPr>
              <w:t>政府采购中标人须知：</w:t>
            </w:r>
          </w:p>
          <w:p w14:paraId="251BE389">
            <w:pPr>
              <w:keepNext w:val="0"/>
              <w:keepLines w:val="0"/>
              <w:pageBreakBefore w:val="0"/>
              <w:kinsoku/>
              <w:wordWrap/>
              <w:overflowPunct/>
              <w:topLinePunct w:val="0"/>
              <w:bidi w:val="0"/>
              <w:adjustRightInd/>
              <w:spacing w:line="360" w:lineRule="auto"/>
              <w:rPr>
                <w:rFonts w:ascii="宋体" w:hAnsi="宋体"/>
                <w:szCs w:val="21"/>
                <w:highlight w:val="none"/>
              </w:rPr>
            </w:pPr>
            <w:r>
              <w:rPr>
                <w:rFonts w:hint="eastAsia" w:ascii="宋体" w:hAnsi="宋体"/>
                <w:szCs w:val="21"/>
                <w:highlight w:val="none"/>
              </w:rPr>
              <w:t>中标人在《云南省政府采购网》查询到中标</w:t>
            </w:r>
            <w:r>
              <w:rPr>
                <w:rFonts w:hint="eastAsia" w:ascii="宋体" w:hAnsi="宋体"/>
                <w:szCs w:val="21"/>
                <w:highlight w:val="none"/>
                <w:lang w:val="en-US" w:eastAsia="zh-CN"/>
              </w:rPr>
              <w:t>结果公告</w:t>
            </w:r>
            <w:r>
              <w:rPr>
                <w:rFonts w:hint="eastAsia" w:ascii="宋体" w:hAnsi="宋体"/>
                <w:szCs w:val="21"/>
                <w:highlight w:val="none"/>
              </w:rPr>
              <w:t>后，需办理以下事宜：</w:t>
            </w:r>
          </w:p>
          <w:p w14:paraId="53636CDC">
            <w:pPr>
              <w:keepNext w:val="0"/>
              <w:keepLines w:val="0"/>
              <w:pageBreakBefore w:val="0"/>
              <w:kinsoku/>
              <w:wordWrap/>
              <w:overflowPunct/>
              <w:topLinePunct w:val="0"/>
              <w:bidi w:val="0"/>
              <w:adjustRightInd/>
              <w:spacing w:line="360" w:lineRule="auto"/>
              <w:rPr>
                <w:rFonts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w:t>
            </w:r>
            <w:r>
              <w:rPr>
                <w:rFonts w:hint="eastAsia" w:ascii="宋体" w:hAnsi="宋体"/>
                <w:szCs w:val="21"/>
                <w:highlight w:val="none"/>
              </w:rPr>
              <w:t>缴纳招标代理服务费。</w:t>
            </w:r>
          </w:p>
          <w:p w14:paraId="04B69A8F">
            <w:pPr>
              <w:keepNext w:val="0"/>
              <w:keepLines w:val="0"/>
              <w:pageBreakBefore w:val="0"/>
              <w:kinsoku/>
              <w:wordWrap/>
              <w:overflowPunct/>
              <w:topLinePunct w:val="0"/>
              <w:bidi w:val="0"/>
              <w:adjustRightInd/>
              <w:spacing w:line="360" w:lineRule="auto"/>
              <w:rPr>
                <w:rFonts w:ascii="宋体" w:hAnsi="宋体"/>
                <w:b/>
                <w:szCs w:val="21"/>
                <w:highlight w:val="none"/>
              </w:rPr>
            </w:pPr>
            <w:r>
              <w:rPr>
                <w:rFonts w:hint="eastAsia" w:ascii="宋体" w:hAnsi="宋体"/>
                <w:szCs w:val="21"/>
                <w:highlight w:val="none"/>
              </w:rPr>
              <w:t>2</w:t>
            </w:r>
            <w:r>
              <w:rPr>
                <w:rFonts w:hint="eastAsia" w:ascii="宋体" w:hAnsi="宋体"/>
                <w:szCs w:val="21"/>
                <w:highlight w:val="none"/>
                <w:lang w:val="en-US" w:eastAsia="zh-CN"/>
              </w:rPr>
              <w:t>.</w:t>
            </w:r>
            <w:r>
              <w:rPr>
                <w:rFonts w:hint="eastAsia" w:ascii="宋体" w:hAnsi="宋体"/>
                <w:szCs w:val="21"/>
                <w:highlight w:val="none"/>
              </w:rPr>
              <w:t>领取中标通知书，并与采购人联系、洽谈采购合同。</w:t>
            </w:r>
          </w:p>
        </w:tc>
      </w:tr>
      <w:tr w14:paraId="691D9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0" w:type="dxa"/>
            <w:vAlign w:val="center"/>
          </w:tcPr>
          <w:p w14:paraId="0CC61E35">
            <w:pPr>
              <w:pStyle w:val="16"/>
              <w:spacing w:line="300" w:lineRule="exact"/>
              <w:jc w:val="center"/>
              <w:rPr>
                <w:rFonts w:hAnsi="宋体"/>
                <w:szCs w:val="21"/>
                <w:highlight w:val="none"/>
              </w:rPr>
            </w:pPr>
            <w:r>
              <w:rPr>
                <w:rFonts w:hint="eastAsia" w:hAnsi="宋体"/>
                <w:szCs w:val="21"/>
                <w:highlight w:val="none"/>
                <w:lang w:val="en-US" w:eastAsia="zh-CN"/>
              </w:rPr>
              <w:t>2</w:t>
            </w:r>
            <w:r>
              <w:rPr>
                <w:rFonts w:hint="eastAsia" w:hAnsi="宋体"/>
                <w:szCs w:val="21"/>
                <w:highlight w:val="none"/>
              </w:rPr>
              <w:t>）</w:t>
            </w:r>
          </w:p>
        </w:tc>
        <w:tc>
          <w:tcPr>
            <w:tcW w:w="8676" w:type="dxa"/>
            <w:gridSpan w:val="2"/>
            <w:vAlign w:val="center"/>
          </w:tcPr>
          <w:p w14:paraId="30C62A88">
            <w:pPr>
              <w:pStyle w:val="16"/>
              <w:keepNext w:val="0"/>
              <w:keepLines w:val="0"/>
              <w:pageBreakBefore w:val="0"/>
              <w:kinsoku/>
              <w:wordWrap/>
              <w:overflowPunct/>
              <w:topLinePunct w:val="0"/>
              <w:bidi w:val="0"/>
              <w:adjustRightInd/>
              <w:spacing w:line="360" w:lineRule="auto"/>
              <w:rPr>
                <w:rFonts w:hAnsi="宋体"/>
                <w:b/>
                <w:highlight w:val="none"/>
              </w:rPr>
            </w:pPr>
            <w:r>
              <w:rPr>
                <w:rFonts w:hint="eastAsia" w:hAnsi="宋体"/>
                <w:b/>
                <w:highlight w:val="none"/>
              </w:rPr>
              <w:t>采购代理机构依托电子交易平台发起开始解密指令，投标人须使用加密时所用的 CA 锁按平台提示和招标文件的规定登录到</w:t>
            </w:r>
            <w:r>
              <w:rPr>
                <w:rFonts w:hint="eastAsia" w:hAnsi="宋体"/>
                <w:b/>
                <w:highlight w:val="none"/>
                <w:lang w:eastAsia="zh-CN"/>
              </w:rPr>
              <w:t>“政采云”</w:t>
            </w:r>
            <w:r>
              <w:rPr>
                <w:rFonts w:hint="eastAsia" w:hAnsi="宋体"/>
                <w:b/>
                <w:highlight w:val="none"/>
              </w:rPr>
              <w:t>平台电子开标大厅签到，并在发起解密指令之时起 60 分钟内完成对电子投标文件在线解密；投标文件未按时解密的，视为撤回投标文件。</w:t>
            </w:r>
          </w:p>
        </w:tc>
      </w:tr>
    </w:tbl>
    <w:p w14:paraId="5EB90CB4">
      <w:pPr>
        <w:pStyle w:val="5"/>
        <w:ind w:left="425"/>
        <w:jc w:val="center"/>
        <w:rPr>
          <w:rFonts w:ascii="宋体" w:hAnsi="宋体" w:eastAsia="宋体"/>
          <w:bCs/>
          <w:kern w:val="44"/>
          <w:szCs w:val="28"/>
          <w:highlight w:val="none"/>
        </w:rPr>
      </w:pPr>
      <w:r>
        <w:rPr>
          <w:rFonts w:ascii="宋体" w:hAnsi="宋体" w:eastAsia="宋体"/>
          <w:sz w:val="21"/>
          <w:szCs w:val="21"/>
          <w:highlight w:val="none"/>
        </w:rPr>
        <w:br w:type="page"/>
      </w:r>
      <w:bookmarkStart w:id="36" w:name="_Toc33095530"/>
      <w:bookmarkStart w:id="37" w:name="_Toc101004082"/>
      <w:bookmarkStart w:id="38" w:name="_Toc20889"/>
      <w:bookmarkStart w:id="39" w:name="_Toc4145"/>
      <w:r>
        <w:rPr>
          <w:rFonts w:hint="eastAsia" w:ascii="宋体" w:hAnsi="宋体" w:eastAsia="宋体"/>
          <w:bCs/>
          <w:szCs w:val="28"/>
          <w:highlight w:val="none"/>
        </w:rPr>
        <w:t>一</w:t>
      </w:r>
      <w:r>
        <w:rPr>
          <w:rFonts w:hint="eastAsia" w:ascii="宋体" w:hAnsi="宋体" w:eastAsia="宋体"/>
          <w:bCs/>
          <w:kern w:val="44"/>
          <w:szCs w:val="28"/>
          <w:highlight w:val="none"/>
        </w:rPr>
        <w:t>、总  则</w:t>
      </w:r>
      <w:bookmarkEnd w:id="36"/>
      <w:bookmarkEnd w:id="37"/>
      <w:bookmarkEnd w:id="38"/>
      <w:bookmarkEnd w:id="39"/>
    </w:p>
    <w:p w14:paraId="49589ADC">
      <w:pPr>
        <w:pStyle w:val="16"/>
        <w:spacing w:line="360" w:lineRule="auto"/>
        <w:ind w:left="242" w:hanging="242" w:hangingChars="101"/>
        <w:jc w:val="left"/>
        <w:rPr>
          <w:rFonts w:hAnsi="宋体"/>
          <w:sz w:val="24"/>
          <w:szCs w:val="24"/>
          <w:highlight w:val="none"/>
        </w:rPr>
      </w:pPr>
      <w:r>
        <w:rPr>
          <w:rFonts w:hint="eastAsia" w:hAnsi="宋体"/>
          <w:bCs/>
          <w:sz w:val="24"/>
          <w:szCs w:val="24"/>
          <w:highlight w:val="none"/>
        </w:rPr>
        <w:t>1. 采购人、采购代理机构、</w:t>
      </w:r>
      <w:r>
        <w:rPr>
          <w:rFonts w:hint="eastAsia" w:hAnsi="宋体"/>
          <w:sz w:val="24"/>
          <w:szCs w:val="24"/>
          <w:highlight w:val="none"/>
        </w:rPr>
        <w:t>项目名称及招标编号，详见招标文件“</w:t>
      </w:r>
      <w:r>
        <w:rPr>
          <w:rFonts w:hint="eastAsia" w:hAnsi="宋体"/>
          <w:b/>
          <w:sz w:val="24"/>
          <w:szCs w:val="24"/>
          <w:highlight w:val="none"/>
        </w:rPr>
        <w:t>投标人须知前附表</w:t>
      </w:r>
      <w:r>
        <w:rPr>
          <w:rFonts w:hint="eastAsia" w:hAnsi="宋体"/>
          <w:sz w:val="24"/>
          <w:szCs w:val="24"/>
          <w:highlight w:val="none"/>
        </w:rPr>
        <w:t>”。</w:t>
      </w:r>
    </w:p>
    <w:p w14:paraId="418A3F84">
      <w:pPr>
        <w:spacing w:line="360" w:lineRule="auto"/>
        <w:jc w:val="left"/>
        <w:rPr>
          <w:rFonts w:ascii="宋体" w:hAnsi="宋体"/>
          <w:b/>
          <w:sz w:val="24"/>
          <w:highlight w:val="none"/>
        </w:rPr>
      </w:pPr>
      <w:r>
        <w:rPr>
          <w:rFonts w:hint="eastAsia" w:ascii="宋体" w:hAnsi="宋体"/>
          <w:b/>
          <w:sz w:val="24"/>
          <w:highlight w:val="none"/>
        </w:rPr>
        <w:t>2. 资金来源</w:t>
      </w:r>
    </w:p>
    <w:p w14:paraId="5F3F48A2">
      <w:pPr>
        <w:spacing w:line="360" w:lineRule="auto"/>
        <w:jc w:val="left"/>
        <w:rPr>
          <w:rFonts w:ascii="宋体" w:hAnsi="宋体"/>
          <w:sz w:val="24"/>
          <w:highlight w:val="none"/>
        </w:rPr>
      </w:pPr>
      <w:r>
        <w:rPr>
          <w:rFonts w:hint="eastAsia" w:ascii="宋体" w:hAnsi="宋体"/>
          <w:sz w:val="24"/>
          <w:highlight w:val="none"/>
        </w:rPr>
        <w:t>2.1财政资金，用于采购“</w:t>
      </w:r>
      <w:r>
        <w:rPr>
          <w:rFonts w:hint="eastAsia" w:ascii="宋体" w:hAnsi="宋体"/>
          <w:b/>
          <w:sz w:val="24"/>
          <w:highlight w:val="none"/>
        </w:rPr>
        <w:t>货物需求及技术要求</w:t>
      </w:r>
      <w:r>
        <w:rPr>
          <w:rFonts w:hint="eastAsia" w:ascii="宋体" w:hAnsi="宋体"/>
          <w:sz w:val="24"/>
          <w:highlight w:val="none"/>
        </w:rPr>
        <w:t>”所列货物。</w:t>
      </w:r>
    </w:p>
    <w:p w14:paraId="2A334B5A">
      <w:pPr>
        <w:spacing w:line="360" w:lineRule="auto"/>
        <w:jc w:val="left"/>
        <w:rPr>
          <w:rFonts w:ascii="宋体" w:hAnsi="宋体"/>
          <w:b/>
          <w:sz w:val="24"/>
          <w:highlight w:val="none"/>
        </w:rPr>
      </w:pPr>
      <w:r>
        <w:rPr>
          <w:rFonts w:hint="eastAsia" w:ascii="宋体" w:hAnsi="宋体"/>
          <w:b/>
          <w:sz w:val="24"/>
          <w:highlight w:val="none"/>
        </w:rPr>
        <w:t>3. 招标范围</w:t>
      </w:r>
    </w:p>
    <w:p w14:paraId="08A34A42">
      <w:pPr>
        <w:spacing w:line="360" w:lineRule="auto"/>
        <w:jc w:val="left"/>
        <w:rPr>
          <w:rFonts w:ascii="宋体" w:hAnsi="宋体"/>
          <w:sz w:val="24"/>
          <w:highlight w:val="none"/>
        </w:rPr>
      </w:pPr>
      <w:r>
        <w:rPr>
          <w:rFonts w:hint="eastAsia" w:ascii="宋体" w:hAnsi="宋体"/>
          <w:sz w:val="24"/>
          <w:highlight w:val="none"/>
        </w:rPr>
        <w:t>3.1 本项目招标范围：见“</w:t>
      </w:r>
      <w:r>
        <w:rPr>
          <w:rFonts w:hint="eastAsia" w:ascii="宋体" w:hAnsi="宋体"/>
          <w:b/>
          <w:sz w:val="24"/>
          <w:highlight w:val="none"/>
        </w:rPr>
        <w:t>投标人须知前附表</w:t>
      </w:r>
      <w:r>
        <w:rPr>
          <w:rFonts w:hint="eastAsia" w:ascii="宋体" w:hAnsi="宋体"/>
          <w:sz w:val="24"/>
          <w:highlight w:val="none"/>
        </w:rPr>
        <w:t>”。</w:t>
      </w:r>
    </w:p>
    <w:p w14:paraId="240D6F32">
      <w:pPr>
        <w:spacing w:line="360" w:lineRule="auto"/>
        <w:jc w:val="left"/>
        <w:rPr>
          <w:rFonts w:ascii="宋体" w:hAnsi="宋体"/>
          <w:sz w:val="24"/>
          <w:highlight w:val="none"/>
        </w:rPr>
      </w:pPr>
      <w:r>
        <w:rPr>
          <w:rFonts w:hint="eastAsia" w:ascii="宋体" w:hAnsi="宋体"/>
          <w:sz w:val="24"/>
          <w:highlight w:val="none"/>
        </w:rPr>
        <w:t>3.2 本项目合同履行期限/交货期、交货地点、交货方式：见“</w:t>
      </w:r>
      <w:r>
        <w:rPr>
          <w:rFonts w:hint="eastAsia" w:ascii="宋体" w:hAnsi="宋体"/>
          <w:b/>
          <w:sz w:val="24"/>
          <w:highlight w:val="none"/>
        </w:rPr>
        <w:t>投标人须知前附表</w:t>
      </w:r>
      <w:r>
        <w:rPr>
          <w:rFonts w:hint="eastAsia" w:ascii="宋体" w:hAnsi="宋体"/>
          <w:sz w:val="24"/>
          <w:highlight w:val="none"/>
        </w:rPr>
        <w:t>”。</w:t>
      </w:r>
    </w:p>
    <w:p w14:paraId="0417DF66">
      <w:pPr>
        <w:spacing w:line="360" w:lineRule="auto"/>
        <w:jc w:val="left"/>
        <w:rPr>
          <w:rFonts w:ascii="宋体" w:hAnsi="宋体"/>
          <w:b/>
          <w:sz w:val="24"/>
          <w:highlight w:val="none"/>
        </w:rPr>
      </w:pPr>
      <w:r>
        <w:rPr>
          <w:rFonts w:hint="eastAsia" w:ascii="宋体" w:hAnsi="宋体"/>
          <w:b/>
          <w:sz w:val="24"/>
          <w:highlight w:val="none"/>
        </w:rPr>
        <w:t>4. 合格的投标人</w:t>
      </w:r>
    </w:p>
    <w:p w14:paraId="0A635A5C">
      <w:pPr>
        <w:spacing w:line="360" w:lineRule="auto"/>
        <w:jc w:val="left"/>
        <w:rPr>
          <w:rFonts w:ascii="宋体" w:hAnsi="宋体"/>
          <w:sz w:val="24"/>
          <w:highlight w:val="none"/>
        </w:rPr>
      </w:pPr>
      <w:r>
        <w:rPr>
          <w:rFonts w:hint="eastAsia" w:ascii="宋体" w:hAnsi="宋体"/>
          <w:sz w:val="24"/>
          <w:highlight w:val="none"/>
        </w:rPr>
        <w:t>4.1投标人应具备《中华人民共和国政府采购法》第二十二条规定的条件，并提供下列材料：</w:t>
      </w:r>
    </w:p>
    <w:p w14:paraId="63E12EB9">
      <w:pPr>
        <w:spacing w:line="360" w:lineRule="auto"/>
        <w:jc w:val="left"/>
        <w:rPr>
          <w:rFonts w:ascii="宋体" w:hAnsi="宋体"/>
          <w:sz w:val="24"/>
          <w:highlight w:val="none"/>
        </w:rPr>
      </w:pPr>
      <w:r>
        <w:rPr>
          <w:rFonts w:hint="eastAsia" w:ascii="宋体" w:hAnsi="宋体"/>
          <w:sz w:val="24"/>
          <w:highlight w:val="none"/>
        </w:rPr>
        <w:t>4.1.1投标人必须具备独立承担民事责任的能力，提供法人或者其他组织的营业执照等证明文件；投标人是自然人的，提供自然人身份证明（扫描件）；</w:t>
      </w:r>
    </w:p>
    <w:p w14:paraId="3D780DB4">
      <w:pPr>
        <w:spacing w:line="360" w:lineRule="auto"/>
        <w:jc w:val="left"/>
        <w:rPr>
          <w:rFonts w:ascii="宋体" w:hAnsi="宋体"/>
          <w:sz w:val="24"/>
          <w:highlight w:val="none"/>
        </w:rPr>
      </w:pPr>
      <w:r>
        <w:rPr>
          <w:rFonts w:hint="eastAsia" w:ascii="宋体" w:hAnsi="宋体"/>
          <w:sz w:val="24"/>
          <w:highlight w:val="none"/>
        </w:rPr>
        <w:t>4.1.2投标人财务状况证明材料，具体要求详见“投标人须知前附表”；</w:t>
      </w:r>
    </w:p>
    <w:p w14:paraId="64CF13F4">
      <w:pPr>
        <w:spacing w:line="360" w:lineRule="auto"/>
        <w:jc w:val="left"/>
        <w:rPr>
          <w:rFonts w:ascii="宋体" w:hAnsi="宋体"/>
          <w:sz w:val="24"/>
          <w:highlight w:val="none"/>
        </w:rPr>
      </w:pPr>
      <w:r>
        <w:rPr>
          <w:rFonts w:hint="eastAsia" w:ascii="宋体" w:hAnsi="宋体"/>
          <w:sz w:val="24"/>
          <w:highlight w:val="none"/>
        </w:rPr>
        <w:t>4.1.3投标人提供近期内（具体月份详见“</w:t>
      </w:r>
      <w:r>
        <w:rPr>
          <w:rFonts w:hint="eastAsia" w:ascii="宋体" w:hAnsi="宋体"/>
          <w:b/>
          <w:sz w:val="24"/>
          <w:highlight w:val="none"/>
        </w:rPr>
        <w:t>投标人须知前附表</w:t>
      </w:r>
      <w:r>
        <w:rPr>
          <w:rFonts w:hint="eastAsia" w:ascii="宋体" w:hAnsi="宋体"/>
          <w:sz w:val="24"/>
          <w:highlight w:val="none"/>
        </w:rPr>
        <w:t>”）的税务局税收通用缴款书</w:t>
      </w:r>
      <w:r>
        <w:rPr>
          <w:rFonts w:hint="eastAsia" w:ascii="宋体" w:hAnsi="宋体" w:cs="宋体"/>
          <w:sz w:val="24"/>
          <w:highlight w:val="none"/>
        </w:rPr>
        <w:t>扫描件</w:t>
      </w:r>
      <w:r>
        <w:rPr>
          <w:rFonts w:hint="eastAsia" w:ascii="宋体" w:hAnsi="宋体"/>
          <w:sz w:val="24"/>
          <w:highlight w:val="none"/>
        </w:rPr>
        <w:t>或银行电子缴税（费）凭证</w:t>
      </w:r>
      <w:r>
        <w:rPr>
          <w:rFonts w:hint="eastAsia" w:ascii="宋体" w:hAnsi="宋体" w:cs="宋体"/>
          <w:sz w:val="24"/>
          <w:highlight w:val="none"/>
        </w:rPr>
        <w:t>扫描件</w:t>
      </w:r>
      <w:r>
        <w:rPr>
          <w:rFonts w:hint="eastAsia" w:ascii="宋体" w:hAnsi="宋体"/>
          <w:sz w:val="24"/>
          <w:highlight w:val="none"/>
        </w:rPr>
        <w:t>或税务局出具纳税情况的相关证明</w:t>
      </w:r>
      <w:r>
        <w:rPr>
          <w:rFonts w:hint="eastAsia" w:ascii="宋体" w:hAnsi="宋体" w:cs="宋体"/>
          <w:sz w:val="24"/>
          <w:highlight w:val="none"/>
        </w:rPr>
        <w:t>扫描件</w:t>
      </w:r>
      <w:r>
        <w:rPr>
          <w:rFonts w:hint="eastAsia" w:ascii="宋体" w:hAnsi="宋体"/>
          <w:sz w:val="24"/>
          <w:highlight w:val="none"/>
        </w:rPr>
        <w:t>；依法免税的投标人，应提供相应文件证明其依法免税。</w:t>
      </w:r>
    </w:p>
    <w:p w14:paraId="56022482">
      <w:pPr>
        <w:spacing w:line="360" w:lineRule="auto"/>
        <w:jc w:val="left"/>
        <w:rPr>
          <w:rFonts w:ascii="宋体" w:hAnsi="宋体"/>
          <w:sz w:val="24"/>
          <w:highlight w:val="none"/>
        </w:rPr>
      </w:pPr>
      <w:r>
        <w:rPr>
          <w:rFonts w:hint="eastAsia" w:ascii="宋体" w:hAnsi="宋体"/>
          <w:sz w:val="24"/>
          <w:highlight w:val="none"/>
        </w:rPr>
        <w:t>4.1.4投标人提供近期内（具体月份详见“</w:t>
      </w:r>
      <w:r>
        <w:rPr>
          <w:rFonts w:hint="eastAsia" w:ascii="宋体" w:hAnsi="宋体"/>
          <w:b/>
          <w:sz w:val="24"/>
          <w:highlight w:val="none"/>
        </w:rPr>
        <w:t>投标人须知前附表</w:t>
      </w:r>
      <w:r>
        <w:rPr>
          <w:rFonts w:hint="eastAsia" w:ascii="宋体" w:hAnsi="宋体"/>
          <w:sz w:val="24"/>
          <w:highlight w:val="none"/>
        </w:rPr>
        <w:t>”）的社会保险费缴款书</w:t>
      </w:r>
      <w:r>
        <w:rPr>
          <w:rFonts w:hint="eastAsia" w:ascii="宋体" w:hAnsi="宋体" w:cs="宋体"/>
          <w:sz w:val="24"/>
          <w:highlight w:val="none"/>
        </w:rPr>
        <w:t>扫描件</w:t>
      </w:r>
      <w:r>
        <w:rPr>
          <w:rFonts w:hint="eastAsia" w:ascii="宋体" w:hAnsi="宋体"/>
          <w:sz w:val="24"/>
          <w:highlight w:val="none"/>
        </w:rPr>
        <w:t>或银行电子缴税（费）凭证</w:t>
      </w:r>
      <w:r>
        <w:rPr>
          <w:rFonts w:hint="eastAsia" w:ascii="宋体" w:hAnsi="宋体" w:cs="宋体"/>
          <w:sz w:val="24"/>
          <w:highlight w:val="none"/>
        </w:rPr>
        <w:t>扫描件</w:t>
      </w:r>
      <w:r>
        <w:rPr>
          <w:rFonts w:hint="eastAsia" w:ascii="宋体" w:hAnsi="宋体"/>
          <w:sz w:val="24"/>
          <w:highlight w:val="none"/>
        </w:rPr>
        <w:t>或社保管理部门出具的有效的缴款证明</w:t>
      </w:r>
      <w:r>
        <w:rPr>
          <w:rFonts w:hint="eastAsia" w:ascii="宋体" w:hAnsi="宋体" w:cs="宋体"/>
          <w:sz w:val="24"/>
          <w:highlight w:val="none"/>
        </w:rPr>
        <w:t>扫描件</w:t>
      </w:r>
      <w:r>
        <w:rPr>
          <w:rFonts w:hint="eastAsia" w:ascii="宋体" w:hAnsi="宋体"/>
          <w:sz w:val="24"/>
          <w:highlight w:val="none"/>
        </w:rPr>
        <w:t>；依法不需要缴纳社会保障资金的投标人，应提供相应文件证明其依法不需要缴纳社会保障资金。</w:t>
      </w:r>
    </w:p>
    <w:p w14:paraId="6F72B94F">
      <w:pPr>
        <w:spacing w:line="360" w:lineRule="auto"/>
        <w:jc w:val="left"/>
        <w:rPr>
          <w:rFonts w:ascii="宋体" w:hAnsi="宋体"/>
          <w:sz w:val="24"/>
          <w:highlight w:val="none"/>
        </w:rPr>
      </w:pPr>
      <w:r>
        <w:rPr>
          <w:rFonts w:hint="eastAsia" w:ascii="宋体" w:hAnsi="宋体"/>
          <w:sz w:val="24"/>
          <w:highlight w:val="none"/>
        </w:rPr>
        <w:t>4.1.5投标人须提供具备履行合同所必需的设备和专业技术能力的证明材料或承诺函；</w:t>
      </w:r>
    </w:p>
    <w:p w14:paraId="78053FA3">
      <w:pPr>
        <w:spacing w:line="360" w:lineRule="auto"/>
        <w:jc w:val="left"/>
        <w:rPr>
          <w:rFonts w:ascii="宋体" w:hAnsi="宋体"/>
          <w:sz w:val="24"/>
          <w:highlight w:val="none"/>
        </w:rPr>
      </w:pPr>
      <w:r>
        <w:rPr>
          <w:rFonts w:hint="eastAsia" w:ascii="宋体" w:hAnsi="宋体"/>
          <w:sz w:val="24"/>
          <w:highlight w:val="none"/>
        </w:rPr>
        <w:t>4.1.6投标人必须提供参加政府采购活动前3年内在经营活动中没有重大违法记录的书面声明（重大违法记录，是指供应商因违法经营受到刑事处罚或者责令停产停业、吊销许可证或者执照、较大数额罚款等行政处罚）；</w:t>
      </w:r>
    </w:p>
    <w:p w14:paraId="3A3ADF9A">
      <w:pPr>
        <w:spacing w:line="360" w:lineRule="auto"/>
        <w:jc w:val="left"/>
        <w:rPr>
          <w:rFonts w:ascii="宋体" w:hAnsi="宋体"/>
          <w:sz w:val="24"/>
          <w:highlight w:val="none"/>
        </w:rPr>
      </w:pPr>
      <w:r>
        <w:rPr>
          <w:rFonts w:hint="eastAsia" w:ascii="宋体" w:hAnsi="宋体"/>
          <w:sz w:val="24"/>
          <w:highlight w:val="none"/>
        </w:rPr>
        <w:t>4.2 投标人应符合采购人根据采购项目的特殊要求规定的特定条件。特定条件见 “投标人须知前附表”。</w:t>
      </w:r>
    </w:p>
    <w:p w14:paraId="4BEC9759">
      <w:pPr>
        <w:spacing w:line="360" w:lineRule="auto"/>
        <w:jc w:val="left"/>
        <w:rPr>
          <w:rFonts w:ascii="宋体" w:hAnsi="宋体"/>
          <w:sz w:val="24"/>
          <w:highlight w:val="none"/>
        </w:rPr>
      </w:pPr>
      <w:r>
        <w:rPr>
          <w:rFonts w:hint="eastAsia" w:ascii="宋体" w:hAnsi="宋体"/>
          <w:sz w:val="24"/>
          <w:highlight w:val="none"/>
        </w:rPr>
        <w:t>4.</w:t>
      </w:r>
      <w:r>
        <w:rPr>
          <w:rFonts w:ascii="宋体" w:hAnsi="宋体"/>
          <w:sz w:val="24"/>
          <w:highlight w:val="none"/>
        </w:rPr>
        <w:t>3</w:t>
      </w:r>
      <w:r>
        <w:rPr>
          <w:rFonts w:hint="eastAsia" w:ascii="宋体" w:hAnsi="宋体"/>
          <w:sz w:val="24"/>
          <w:highlight w:val="none"/>
        </w:rPr>
        <w:t>单位负责人为同一人或者存在直接控股、管理关系的不同供应商，不得参加同一合同项下的政府采购活动。为本项目提供整体设计、规范编制或者项目管理、监理、检测等服务的供应商，不得再参加本项目的采购活动。</w:t>
      </w:r>
    </w:p>
    <w:p w14:paraId="34701BEE">
      <w:pPr>
        <w:spacing w:line="360" w:lineRule="auto"/>
        <w:jc w:val="left"/>
        <w:rPr>
          <w:rFonts w:ascii="宋体" w:hAnsi="宋体"/>
          <w:sz w:val="24"/>
          <w:highlight w:val="none"/>
        </w:rPr>
      </w:pPr>
      <w:r>
        <w:rPr>
          <w:rFonts w:hint="eastAsia" w:ascii="宋体" w:hAnsi="宋体"/>
          <w:sz w:val="24"/>
          <w:highlight w:val="none"/>
        </w:rPr>
        <w:t>4.4</w:t>
      </w:r>
      <w:r>
        <w:rPr>
          <w:rFonts w:ascii="宋体" w:hAnsi="宋体"/>
          <w:sz w:val="24"/>
          <w:highlight w:val="none"/>
        </w:rPr>
        <w:t>信用记录查询及使用</w:t>
      </w:r>
      <w:r>
        <w:rPr>
          <w:rFonts w:hint="eastAsia" w:ascii="宋体" w:hAnsi="宋体"/>
          <w:sz w:val="24"/>
          <w:highlight w:val="none"/>
        </w:rPr>
        <w:t>。根据《财政部关于在政府采购活动中查询及使用信用记录有关问题的通知》的规定，对列入失信被执行人、重大税收违法失信主体、政府采购严重违法失信行为记录名单及其他不符合《中华人民共和国政府采购法》第二十二条规定条件的供应商，应当拒绝其参与政府采购活动。本项目信用记录查询及使用作如下规定：</w:t>
      </w:r>
    </w:p>
    <w:p w14:paraId="310EE8F2">
      <w:pPr>
        <w:spacing w:line="360" w:lineRule="auto"/>
        <w:jc w:val="left"/>
        <w:rPr>
          <w:rFonts w:ascii="宋体" w:hAnsi="宋体"/>
          <w:sz w:val="24"/>
          <w:highlight w:val="none"/>
        </w:rPr>
      </w:pPr>
      <w:r>
        <w:rPr>
          <w:rFonts w:hint="eastAsia" w:ascii="宋体" w:hAnsi="宋体"/>
          <w:sz w:val="24"/>
          <w:highlight w:val="none"/>
        </w:rPr>
        <w:t>4</w:t>
      </w:r>
      <w:r>
        <w:rPr>
          <w:rFonts w:ascii="宋体" w:hAnsi="宋体"/>
          <w:sz w:val="24"/>
          <w:highlight w:val="none"/>
        </w:rPr>
        <w:t>.4.1</w:t>
      </w:r>
      <w:r>
        <w:rPr>
          <w:rFonts w:hint="eastAsia" w:ascii="宋体" w:hAnsi="宋体"/>
          <w:sz w:val="24"/>
          <w:highlight w:val="none"/>
        </w:rPr>
        <w:t>信用信息查询的查询渠道：“信用中国”网站（www.creditchina.gov.cn）及中国政府采购网（www.ccgp.gov.cn）。</w:t>
      </w:r>
    </w:p>
    <w:p w14:paraId="55F978C6">
      <w:pPr>
        <w:spacing w:line="360" w:lineRule="auto"/>
        <w:jc w:val="left"/>
        <w:rPr>
          <w:rFonts w:ascii="宋体" w:hAnsi="宋体"/>
          <w:sz w:val="24"/>
          <w:highlight w:val="none"/>
        </w:rPr>
      </w:pPr>
      <w:r>
        <w:rPr>
          <w:rFonts w:ascii="宋体" w:hAnsi="宋体"/>
          <w:sz w:val="24"/>
          <w:highlight w:val="none"/>
        </w:rPr>
        <w:t>4.4.2</w:t>
      </w:r>
      <w:r>
        <w:rPr>
          <w:rFonts w:hint="eastAsia" w:ascii="宋体" w:hAnsi="宋体"/>
          <w:sz w:val="24"/>
          <w:highlight w:val="none"/>
        </w:rPr>
        <w:t>信用信息查询的截止时点：评标前。</w:t>
      </w:r>
    </w:p>
    <w:p w14:paraId="6157BE92">
      <w:pPr>
        <w:spacing w:line="360" w:lineRule="auto"/>
        <w:jc w:val="left"/>
        <w:rPr>
          <w:rFonts w:ascii="宋体" w:hAnsi="宋体"/>
          <w:sz w:val="24"/>
          <w:highlight w:val="none"/>
        </w:rPr>
      </w:pPr>
      <w:r>
        <w:rPr>
          <w:rFonts w:ascii="宋体" w:hAnsi="宋体"/>
          <w:sz w:val="24"/>
          <w:highlight w:val="none"/>
        </w:rPr>
        <w:t>4.4.3</w:t>
      </w:r>
      <w:r>
        <w:rPr>
          <w:rFonts w:hint="eastAsia" w:ascii="宋体" w:hAnsi="宋体"/>
          <w:sz w:val="24"/>
          <w:highlight w:val="none"/>
        </w:rPr>
        <w:t>信用信息查询记录和证据留存的具体方式：采购代理机构将于评标前在“信用中国”网站（www.creditchina.gov.cn）失信被执行人、重大税收违法失信主体及中国政府采购网（www.ccgp.gov.cn）“政府采购严重违法失信行为信息记录”对投标人进行信用信息查询。上述网站信用信息查询结果的网页截图或网页打印稿作为证据留存。</w:t>
      </w:r>
    </w:p>
    <w:p w14:paraId="4CFE7EB0">
      <w:pPr>
        <w:spacing w:line="360" w:lineRule="auto"/>
        <w:jc w:val="left"/>
        <w:rPr>
          <w:sz w:val="24"/>
          <w:highlight w:val="none"/>
        </w:rPr>
      </w:pPr>
      <w:r>
        <w:rPr>
          <w:rFonts w:hint="eastAsia" w:ascii="宋体" w:hAnsi="宋体"/>
          <w:sz w:val="24"/>
          <w:highlight w:val="none"/>
        </w:rPr>
        <w:t>4</w:t>
      </w:r>
      <w:r>
        <w:rPr>
          <w:rFonts w:ascii="宋体" w:hAnsi="宋体"/>
          <w:sz w:val="24"/>
          <w:highlight w:val="none"/>
        </w:rPr>
        <w:t>.4.4</w:t>
      </w:r>
      <w:r>
        <w:rPr>
          <w:rFonts w:hint="eastAsia" w:ascii="宋体" w:hAnsi="宋体"/>
          <w:sz w:val="24"/>
          <w:highlight w:val="none"/>
        </w:rPr>
        <w:t>信用信息的使用规则：投标人若被列入“信用中国”网站（www.creditchina.gov.cn）失信被执行人、重大税收违法失信主体及中国政府采购网（www.ccgp.gov.cn）“政府采购严重违法失信行为信息记录”之一的，资格审查不合格，不得参与政府采购活动。</w:t>
      </w:r>
    </w:p>
    <w:p w14:paraId="7653AA01">
      <w:pPr>
        <w:spacing w:line="360" w:lineRule="auto"/>
        <w:jc w:val="left"/>
        <w:rPr>
          <w:rFonts w:ascii="宋体" w:hAnsi="宋体"/>
          <w:sz w:val="24"/>
          <w:highlight w:val="none"/>
        </w:rPr>
      </w:pPr>
      <w:r>
        <w:rPr>
          <w:rFonts w:hint="eastAsia" w:ascii="宋体" w:hAnsi="宋体"/>
          <w:sz w:val="24"/>
          <w:highlight w:val="none"/>
        </w:rPr>
        <w:t>4.</w:t>
      </w:r>
      <w:r>
        <w:rPr>
          <w:rFonts w:ascii="宋体" w:hAnsi="宋体"/>
          <w:sz w:val="24"/>
          <w:highlight w:val="none"/>
        </w:rPr>
        <w:t>5</w:t>
      </w:r>
      <w:r>
        <w:rPr>
          <w:rFonts w:hint="eastAsia" w:ascii="宋体" w:hAnsi="宋体"/>
          <w:sz w:val="24"/>
          <w:highlight w:val="none"/>
        </w:rPr>
        <w:t>“</w:t>
      </w:r>
      <w:r>
        <w:rPr>
          <w:rFonts w:hint="eastAsia" w:ascii="宋体" w:hAnsi="宋体"/>
          <w:b/>
          <w:sz w:val="24"/>
          <w:highlight w:val="none"/>
        </w:rPr>
        <w:t>投标人须知前附表</w:t>
      </w:r>
      <w:r>
        <w:rPr>
          <w:rFonts w:hint="eastAsia" w:ascii="宋体" w:hAnsi="宋体"/>
          <w:sz w:val="24"/>
          <w:highlight w:val="none"/>
        </w:rPr>
        <w:t>”规定接受联合体投标的，除应符合本章第4.1-4.</w:t>
      </w:r>
      <w:r>
        <w:rPr>
          <w:rFonts w:ascii="宋体" w:hAnsi="宋体"/>
          <w:sz w:val="24"/>
          <w:highlight w:val="none"/>
        </w:rPr>
        <w:t>4</w:t>
      </w:r>
      <w:r>
        <w:rPr>
          <w:rFonts w:hint="eastAsia" w:ascii="宋体" w:hAnsi="宋体"/>
          <w:sz w:val="24"/>
          <w:highlight w:val="none"/>
        </w:rPr>
        <w:t>项和“</w:t>
      </w:r>
      <w:r>
        <w:rPr>
          <w:rFonts w:hint="eastAsia" w:ascii="宋体" w:hAnsi="宋体"/>
          <w:b/>
          <w:sz w:val="24"/>
          <w:highlight w:val="none"/>
        </w:rPr>
        <w:t>投标人须知前附表</w:t>
      </w:r>
      <w:r>
        <w:rPr>
          <w:rFonts w:hint="eastAsia" w:ascii="宋体" w:hAnsi="宋体"/>
          <w:sz w:val="24"/>
          <w:highlight w:val="none"/>
        </w:rPr>
        <w:t>”的要求外，还应遵守以下规定：</w:t>
      </w:r>
    </w:p>
    <w:p w14:paraId="5FB9CFE2">
      <w:pPr>
        <w:spacing w:line="360" w:lineRule="auto"/>
        <w:jc w:val="left"/>
        <w:rPr>
          <w:rFonts w:ascii="宋体" w:hAnsi="宋体"/>
          <w:sz w:val="24"/>
          <w:highlight w:val="none"/>
        </w:rPr>
      </w:pPr>
      <w:r>
        <w:rPr>
          <w:rFonts w:hint="eastAsia" w:ascii="宋体" w:hAnsi="宋体"/>
          <w:sz w:val="24"/>
          <w:highlight w:val="none"/>
        </w:rPr>
        <w:t>(1)</w:t>
      </w:r>
      <w:r>
        <w:rPr>
          <w:rFonts w:hint="eastAsia"/>
          <w:sz w:val="24"/>
          <w:highlight w:val="none"/>
        </w:rPr>
        <w:t xml:space="preserve"> </w:t>
      </w:r>
      <w:r>
        <w:rPr>
          <w:rFonts w:hint="eastAsia" w:ascii="宋体" w:hAnsi="宋体"/>
          <w:sz w:val="24"/>
          <w:highlight w:val="none"/>
        </w:rPr>
        <w:t>联合体中有同类资质的投标人按照联合体分工承担相同工作的，应当按照资质等级较低的投标人确定资质等级；</w:t>
      </w:r>
    </w:p>
    <w:p w14:paraId="050A8326">
      <w:pPr>
        <w:spacing w:line="360" w:lineRule="auto"/>
        <w:jc w:val="left"/>
        <w:rPr>
          <w:rFonts w:ascii="宋体" w:hAnsi="宋体"/>
          <w:sz w:val="24"/>
          <w:highlight w:val="none"/>
        </w:rPr>
      </w:pPr>
      <w:r>
        <w:rPr>
          <w:rFonts w:hint="eastAsia" w:ascii="宋体" w:hAnsi="宋体"/>
          <w:sz w:val="24"/>
          <w:highlight w:val="none"/>
        </w:rPr>
        <w:t>(2)联合体各方之间应当签订共同投标协议，明确约定联合体各方承担的工作和相应的责任；</w:t>
      </w:r>
    </w:p>
    <w:p w14:paraId="45D16F69">
      <w:pPr>
        <w:spacing w:line="360" w:lineRule="auto"/>
        <w:jc w:val="left"/>
        <w:rPr>
          <w:rFonts w:ascii="宋体" w:hAnsi="宋体"/>
          <w:sz w:val="24"/>
          <w:highlight w:val="none"/>
        </w:rPr>
      </w:pPr>
      <w:r>
        <w:rPr>
          <w:rFonts w:hint="eastAsia" w:ascii="宋体" w:hAnsi="宋体"/>
          <w:sz w:val="24"/>
          <w:highlight w:val="none"/>
        </w:rPr>
        <w:t>(3)以联合体形式参加政府采购活动的，联合体各方不得再单独参加或者与其他投标人另外组成联合体参加同一项目包下的政府采购活动。</w:t>
      </w:r>
    </w:p>
    <w:p w14:paraId="441C99E6">
      <w:pPr>
        <w:spacing w:line="360" w:lineRule="auto"/>
        <w:jc w:val="left"/>
        <w:rPr>
          <w:rFonts w:ascii="宋体" w:hAnsi="宋体"/>
          <w:b/>
          <w:sz w:val="24"/>
          <w:highlight w:val="none"/>
        </w:rPr>
      </w:pPr>
      <w:r>
        <w:rPr>
          <w:rFonts w:hint="eastAsia" w:ascii="宋体" w:hAnsi="宋体"/>
          <w:sz w:val="24"/>
          <w:highlight w:val="none"/>
        </w:rPr>
        <w:t>4.</w:t>
      </w:r>
      <w:r>
        <w:rPr>
          <w:rFonts w:ascii="宋体" w:hAnsi="宋体"/>
          <w:sz w:val="24"/>
          <w:highlight w:val="none"/>
        </w:rPr>
        <w:t xml:space="preserve">6 </w:t>
      </w:r>
      <w:r>
        <w:rPr>
          <w:rFonts w:hint="eastAsia" w:ascii="宋体" w:hAnsi="宋体"/>
          <w:sz w:val="24"/>
          <w:highlight w:val="none"/>
        </w:rPr>
        <w:t>符合上述条件的投标人应承担投标及履约中应承担的全部责任与义务。</w:t>
      </w:r>
      <w:r>
        <w:rPr>
          <w:rFonts w:hint="eastAsia" w:ascii="宋体" w:hAnsi="宋体"/>
          <w:sz w:val="24"/>
          <w:highlight w:val="none"/>
        </w:rPr>
        <w:cr/>
      </w:r>
      <w:r>
        <w:rPr>
          <w:rFonts w:hint="eastAsia" w:ascii="宋体" w:hAnsi="宋体"/>
          <w:b/>
          <w:sz w:val="24"/>
          <w:highlight w:val="none"/>
        </w:rPr>
        <w:t>5. 投标费用</w:t>
      </w:r>
    </w:p>
    <w:p w14:paraId="5B6BB57C">
      <w:pPr>
        <w:pStyle w:val="16"/>
        <w:spacing w:line="360" w:lineRule="auto"/>
        <w:rPr>
          <w:rFonts w:hAnsi="宋体"/>
          <w:sz w:val="24"/>
          <w:szCs w:val="24"/>
          <w:highlight w:val="none"/>
        </w:rPr>
      </w:pPr>
      <w:r>
        <w:rPr>
          <w:rFonts w:hint="eastAsia" w:hAnsi="宋体"/>
          <w:sz w:val="24"/>
          <w:szCs w:val="24"/>
          <w:highlight w:val="none"/>
        </w:rPr>
        <w:t>5.1不论投标结果如何，投标人均应自行承担</w:t>
      </w:r>
      <w:r>
        <w:rPr>
          <w:rFonts w:hAnsi="宋体"/>
          <w:sz w:val="24"/>
          <w:szCs w:val="24"/>
          <w:highlight w:val="none"/>
        </w:rPr>
        <w:t>所有与准备和参加投标活动有关的全部费用</w:t>
      </w:r>
      <w:r>
        <w:rPr>
          <w:rFonts w:hint="eastAsia" w:hAnsi="宋体"/>
          <w:sz w:val="24"/>
          <w:szCs w:val="24"/>
          <w:highlight w:val="none"/>
        </w:rPr>
        <w:t>。</w:t>
      </w:r>
    </w:p>
    <w:p w14:paraId="5A7CC4E5">
      <w:pPr>
        <w:spacing w:before="0" w:line="360" w:lineRule="auto"/>
        <w:jc w:val="left"/>
        <w:rPr>
          <w:rFonts w:hint="eastAsia" w:ascii="宋体" w:hAnsi="宋体" w:eastAsia="宋体"/>
          <w:b/>
          <w:sz w:val="24"/>
          <w:szCs w:val="24"/>
          <w:highlight w:val="none"/>
        </w:rPr>
      </w:pPr>
      <w:r>
        <w:rPr>
          <w:rFonts w:hint="eastAsia" w:ascii="宋体" w:hAnsi="宋体" w:eastAsia="宋体"/>
          <w:b/>
          <w:sz w:val="24"/>
          <w:szCs w:val="24"/>
          <w:highlight w:val="none"/>
        </w:rPr>
        <w:t>6.质疑</w:t>
      </w:r>
    </w:p>
    <w:p w14:paraId="347E9D17">
      <w:pPr>
        <w:spacing w:line="360" w:lineRule="auto"/>
        <w:jc w:val="left"/>
        <w:rPr>
          <w:rFonts w:ascii="宋体" w:hAnsi="宋体"/>
          <w:sz w:val="24"/>
          <w:highlight w:val="none"/>
        </w:rPr>
      </w:pPr>
      <w:r>
        <w:rPr>
          <w:rFonts w:ascii="宋体" w:hAnsi="宋体"/>
          <w:sz w:val="24"/>
          <w:highlight w:val="none"/>
        </w:rPr>
        <w:t xml:space="preserve">6.1 </w:t>
      </w:r>
      <w:r>
        <w:rPr>
          <w:rFonts w:hint="eastAsia" w:ascii="宋体" w:hAnsi="宋体"/>
          <w:sz w:val="24"/>
          <w:highlight w:val="none"/>
        </w:rPr>
        <w:t>投标人</w:t>
      </w:r>
      <w:r>
        <w:rPr>
          <w:rFonts w:ascii="宋体" w:hAnsi="宋体"/>
          <w:sz w:val="24"/>
          <w:highlight w:val="none"/>
        </w:rPr>
        <w:t>认为招标文件、招标过程和中标结果使自己的权益受到损害的，应当在知道或者应知其权益受到损害之日起</w:t>
      </w:r>
      <w:r>
        <w:rPr>
          <w:rFonts w:hint="eastAsia" w:ascii="宋体" w:hAnsi="宋体"/>
          <w:sz w:val="24"/>
          <w:highlight w:val="none"/>
        </w:rPr>
        <w:t>7</w:t>
      </w:r>
      <w:r>
        <w:rPr>
          <w:rFonts w:ascii="宋体" w:hAnsi="宋体"/>
          <w:sz w:val="24"/>
          <w:highlight w:val="none"/>
        </w:rPr>
        <w:t>个工作日内，以书面形式向</w:t>
      </w:r>
      <w:r>
        <w:rPr>
          <w:rFonts w:hint="eastAsia" w:ascii="宋体" w:hAnsi="宋体"/>
          <w:sz w:val="24"/>
          <w:highlight w:val="none"/>
        </w:rPr>
        <w:t>采购代理机构</w:t>
      </w:r>
      <w:r>
        <w:rPr>
          <w:rFonts w:ascii="宋体" w:hAnsi="宋体"/>
          <w:sz w:val="24"/>
          <w:highlight w:val="none"/>
        </w:rPr>
        <w:t>一次性提出针对同一采购程序环节的质疑。质疑内容不得含有虚假、恶意成分。当事人对自己提出的主张，有责任提供证据，提出质疑时</w:t>
      </w:r>
      <w:r>
        <w:rPr>
          <w:rFonts w:hint="eastAsia" w:ascii="宋体" w:hAnsi="宋体"/>
          <w:sz w:val="24"/>
          <w:highlight w:val="none"/>
        </w:rPr>
        <w:t>应</w:t>
      </w:r>
      <w:r>
        <w:rPr>
          <w:rFonts w:ascii="宋体" w:hAnsi="宋体"/>
          <w:sz w:val="24"/>
          <w:highlight w:val="none"/>
        </w:rPr>
        <w:t>同时提交相关证据材料和注明事实的确切来源。</w:t>
      </w:r>
    </w:p>
    <w:p w14:paraId="6CDCCB00">
      <w:pPr>
        <w:spacing w:line="360" w:lineRule="auto"/>
        <w:jc w:val="left"/>
        <w:rPr>
          <w:rFonts w:ascii="宋体" w:hAnsi="宋体"/>
          <w:sz w:val="24"/>
          <w:highlight w:val="none"/>
        </w:rPr>
      </w:pPr>
      <w:r>
        <w:rPr>
          <w:rFonts w:hint="eastAsia" w:ascii="宋体" w:hAnsi="宋体"/>
          <w:sz w:val="24"/>
          <w:highlight w:val="none"/>
        </w:rPr>
        <w:t>6.2供应商应知其权益受到损害之日，是指：</w:t>
      </w:r>
    </w:p>
    <w:p w14:paraId="791A6299">
      <w:pPr>
        <w:spacing w:line="360" w:lineRule="auto"/>
        <w:jc w:val="left"/>
        <w:rPr>
          <w:rFonts w:ascii="宋体" w:hAnsi="宋体"/>
          <w:sz w:val="24"/>
          <w:highlight w:val="none"/>
        </w:rPr>
      </w:pPr>
      <w:r>
        <w:rPr>
          <w:rFonts w:hint="eastAsia" w:ascii="宋体" w:hAnsi="宋体"/>
          <w:sz w:val="24"/>
          <w:highlight w:val="none"/>
        </w:rPr>
        <w:t>（1）对可以质疑的招标文件提出质疑的，为投标人从采购代理机构处获取招标文件之日；</w:t>
      </w:r>
    </w:p>
    <w:p w14:paraId="52007D0F">
      <w:pPr>
        <w:spacing w:line="360" w:lineRule="auto"/>
        <w:jc w:val="left"/>
        <w:rPr>
          <w:rFonts w:ascii="宋体" w:hAnsi="宋体"/>
          <w:sz w:val="24"/>
          <w:highlight w:val="none"/>
        </w:rPr>
      </w:pPr>
      <w:r>
        <w:rPr>
          <w:rFonts w:hint="eastAsia" w:ascii="宋体" w:hAnsi="宋体"/>
          <w:sz w:val="24"/>
          <w:highlight w:val="none"/>
        </w:rPr>
        <w:t>（2）对采购过程提出质疑的，为各采购程序环节结束之日；</w:t>
      </w:r>
    </w:p>
    <w:p w14:paraId="51838B47">
      <w:pPr>
        <w:spacing w:line="360" w:lineRule="auto"/>
        <w:jc w:val="left"/>
        <w:rPr>
          <w:rFonts w:ascii="宋体" w:hAnsi="宋体"/>
          <w:sz w:val="24"/>
          <w:highlight w:val="none"/>
        </w:rPr>
      </w:pPr>
      <w:r>
        <w:rPr>
          <w:rFonts w:hint="eastAsia" w:ascii="宋体" w:hAnsi="宋体"/>
          <w:sz w:val="24"/>
          <w:highlight w:val="none"/>
        </w:rPr>
        <w:t>（3）对中标结果提出质疑的，为中标结果公告期限届满之日。</w:t>
      </w:r>
    </w:p>
    <w:p w14:paraId="792B884D">
      <w:pPr>
        <w:spacing w:line="360" w:lineRule="auto"/>
        <w:jc w:val="left"/>
        <w:rPr>
          <w:rFonts w:ascii="宋体" w:hAnsi="宋体"/>
          <w:sz w:val="24"/>
          <w:highlight w:val="none"/>
        </w:rPr>
      </w:pPr>
      <w:r>
        <w:rPr>
          <w:rFonts w:hint="eastAsia" w:ascii="宋体" w:hAnsi="宋体"/>
          <w:b/>
          <w:bCs/>
          <w:sz w:val="24"/>
          <w:highlight w:val="none"/>
          <w:u w:val="single"/>
        </w:rPr>
        <w:t>6.</w:t>
      </w:r>
      <w:r>
        <w:rPr>
          <w:rFonts w:ascii="宋体" w:hAnsi="宋体"/>
          <w:b/>
          <w:bCs/>
          <w:sz w:val="24"/>
          <w:highlight w:val="none"/>
          <w:u w:val="single"/>
        </w:rPr>
        <w:t>3</w:t>
      </w:r>
      <w:r>
        <w:rPr>
          <w:rFonts w:hint="eastAsia" w:ascii="宋体" w:hAnsi="宋体"/>
          <w:b/>
          <w:bCs/>
          <w:sz w:val="24"/>
          <w:highlight w:val="none"/>
          <w:u w:val="single"/>
        </w:rPr>
        <w:t>投标人提出质疑应符合</w:t>
      </w:r>
      <w:r>
        <w:rPr>
          <w:rFonts w:ascii="宋体" w:hAnsi="宋体"/>
          <w:b/>
          <w:bCs/>
          <w:sz w:val="24"/>
          <w:highlight w:val="none"/>
          <w:u w:val="single"/>
        </w:rPr>
        <w:t>中华人民共和国财政部第94号令</w:t>
      </w:r>
      <w:r>
        <w:rPr>
          <w:rFonts w:hint="eastAsia" w:ascii="宋体" w:hAnsi="宋体"/>
          <w:b/>
          <w:bCs/>
          <w:sz w:val="24"/>
          <w:highlight w:val="none"/>
          <w:u w:val="single"/>
        </w:rPr>
        <w:t>《政府采购质疑和投诉办法》的规定。提出质疑应当提交质疑函和必要的证明材料。质疑函应当包括下列内容：</w:t>
      </w:r>
    </w:p>
    <w:p w14:paraId="1AA1245C">
      <w:pPr>
        <w:spacing w:line="360" w:lineRule="auto"/>
        <w:ind w:firstLine="480" w:firstLineChars="200"/>
        <w:jc w:val="left"/>
        <w:rPr>
          <w:rFonts w:ascii="宋体" w:hAnsi="宋体"/>
          <w:sz w:val="24"/>
          <w:highlight w:val="none"/>
        </w:rPr>
      </w:pPr>
      <w:r>
        <w:rPr>
          <w:rFonts w:hint="eastAsia" w:ascii="宋体" w:hAnsi="宋体"/>
          <w:sz w:val="24"/>
          <w:highlight w:val="none"/>
        </w:rPr>
        <w:t>（一）投标人名称、地址、邮编、联系人及联系电话；</w:t>
      </w:r>
    </w:p>
    <w:p w14:paraId="051912B0">
      <w:pPr>
        <w:spacing w:line="360" w:lineRule="auto"/>
        <w:ind w:firstLine="480" w:firstLineChars="200"/>
        <w:jc w:val="left"/>
        <w:rPr>
          <w:rFonts w:ascii="宋体" w:hAnsi="宋体"/>
          <w:sz w:val="24"/>
          <w:highlight w:val="none"/>
        </w:rPr>
      </w:pPr>
      <w:r>
        <w:rPr>
          <w:rFonts w:hint="eastAsia" w:ascii="宋体" w:hAnsi="宋体"/>
          <w:sz w:val="24"/>
          <w:highlight w:val="none"/>
        </w:rPr>
        <w:t>（二）质疑项目的名称、编号；</w:t>
      </w:r>
    </w:p>
    <w:p w14:paraId="5C2F55BD">
      <w:pPr>
        <w:spacing w:line="360" w:lineRule="auto"/>
        <w:ind w:firstLine="480" w:firstLineChars="200"/>
        <w:jc w:val="left"/>
        <w:rPr>
          <w:rFonts w:ascii="宋体" w:hAnsi="宋体"/>
          <w:sz w:val="24"/>
          <w:highlight w:val="none"/>
        </w:rPr>
      </w:pPr>
      <w:r>
        <w:rPr>
          <w:rFonts w:hint="eastAsia" w:ascii="宋体" w:hAnsi="宋体"/>
          <w:sz w:val="24"/>
          <w:highlight w:val="none"/>
        </w:rPr>
        <w:t>（三）具体、明确的质疑事项和与质疑事项相关的请求；</w:t>
      </w:r>
    </w:p>
    <w:p w14:paraId="77FEF06C">
      <w:pPr>
        <w:spacing w:line="360" w:lineRule="auto"/>
        <w:ind w:firstLine="480" w:firstLineChars="200"/>
        <w:jc w:val="left"/>
        <w:rPr>
          <w:rFonts w:ascii="宋体" w:hAnsi="宋体"/>
          <w:sz w:val="24"/>
          <w:highlight w:val="none"/>
        </w:rPr>
      </w:pPr>
      <w:r>
        <w:rPr>
          <w:rFonts w:hint="eastAsia" w:ascii="宋体" w:hAnsi="宋体"/>
          <w:sz w:val="24"/>
          <w:highlight w:val="none"/>
        </w:rPr>
        <w:t>（四）事实依据；</w:t>
      </w:r>
    </w:p>
    <w:p w14:paraId="3DE6AFD5">
      <w:pPr>
        <w:spacing w:line="360" w:lineRule="auto"/>
        <w:ind w:firstLine="480" w:firstLineChars="200"/>
        <w:jc w:val="left"/>
        <w:rPr>
          <w:rFonts w:ascii="宋体" w:hAnsi="宋体"/>
          <w:sz w:val="24"/>
          <w:highlight w:val="none"/>
        </w:rPr>
      </w:pPr>
      <w:r>
        <w:rPr>
          <w:rFonts w:hint="eastAsia" w:ascii="宋体" w:hAnsi="宋体"/>
          <w:sz w:val="24"/>
          <w:highlight w:val="none"/>
        </w:rPr>
        <w:t>（五）必要的法律依据；</w:t>
      </w:r>
    </w:p>
    <w:p w14:paraId="5DCE3F8E">
      <w:pPr>
        <w:spacing w:line="360" w:lineRule="auto"/>
        <w:ind w:firstLine="480"/>
        <w:jc w:val="left"/>
        <w:rPr>
          <w:rFonts w:ascii="宋体" w:hAnsi="宋体"/>
          <w:sz w:val="24"/>
          <w:highlight w:val="none"/>
        </w:rPr>
      </w:pPr>
      <w:r>
        <w:rPr>
          <w:rFonts w:hint="eastAsia" w:ascii="宋体" w:hAnsi="宋体"/>
          <w:sz w:val="24"/>
          <w:highlight w:val="none"/>
        </w:rPr>
        <w:t>（六）提出质疑的日期。</w:t>
      </w:r>
    </w:p>
    <w:p w14:paraId="51B529C5">
      <w:pPr>
        <w:spacing w:line="360" w:lineRule="auto"/>
        <w:jc w:val="left"/>
        <w:rPr>
          <w:rFonts w:ascii="宋体" w:hAnsi="宋体"/>
          <w:sz w:val="24"/>
          <w:highlight w:val="none"/>
        </w:rPr>
      </w:pPr>
      <w:r>
        <w:rPr>
          <w:rFonts w:hint="eastAsia" w:ascii="宋体" w:hAnsi="宋体"/>
          <w:sz w:val="24"/>
          <w:highlight w:val="none"/>
        </w:rPr>
        <w:t>6.4</w:t>
      </w:r>
      <w:r>
        <w:rPr>
          <w:rFonts w:ascii="宋体" w:hAnsi="宋体"/>
          <w:sz w:val="24"/>
          <w:highlight w:val="none"/>
        </w:rPr>
        <w:t>质疑函应当由投标人的法定代表人、主要负责人，或者其授权代表签字或者盖章，并加盖公章</w:t>
      </w:r>
      <w:r>
        <w:rPr>
          <w:rFonts w:hint="eastAsia" w:ascii="宋体" w:hAnsi="宋体"/>
          <w:sz w:val="24"/>
          <w:highlight w:val="none"/>
        </w:rPr>
        <w:t>。</w:t>
      </w:r>
      <w:r>
        <w:rPr>
          <w:rFonts w:ascii="宋体" w:hAnsi="宋体"/>
          <w:sz w:val="24"/>
          <w:highlight w:val="none"/>
        </w:rPr>
        <w:t>委托代理人进行质疑</w:t>
      </w:r>
      <w:r>
        <w:rPr>
          <w:rFonts w:hint="eastAsia" w:ascii="宋体" w:hAnsi="宋体"/>
          <w:sz w:val="24"/>
          <w:highlight w:val="none"/>
        </w:rPr>
        <w:t>的，</w:t>
      </w:r>
      <w:r>
        <w:rPr>
          <w:rFonts w:ascii="宋体" w:hAnsi="宋体"/>
          <w:sz w:val="24"/>
          <w:highlight w:val="none"/>
        </w:rPr>
        <w:t>应当提交</w:t>
      </w:r>
      <w:r>
        <w:rPr>
          <w:rFonts w:hint="eastAsia" w:ascii="宋体" w:hAnsi="宋体"/>
          <w:sz w:val="24"/>
          <w:highlight w:val="none"/>
        </w:rPr>
        <w:t>投标人</w:t>
      </w:r>
      <w:r>
        <w:rPr>
          <w:rFonts w:ascii="宋体" w:hAnsi="宋体"/>
          <w:sz w:val="24"/>
          <w:highlight w:val="none"/>
        </w:rPr>
        <w:t>的授权委托书。授权委托书应当载明代理人的姓名或者名称、代理事项、具体权限、期限和相关事项。</w:t>
      </w:r>
      <w:r>
        <w:rPr>
          <w:rFonts w:hint="eastAsia" w:ascii="宋体" w:hAnsi="宋体"/>
          <w:sz w:val="24"/>
          <w:highlight w:val="none"/>
        </w:rPr>
        <w:t>授权委托书</w:t>
      </w:r>
      <w:r>
        <w:rPr>
          <w:rFonts w:ascii="宋体" w:hAnsi="宋体"/>
          <w:sz w:val="24"/>
          <w:highlight w:val="none"/>
        </w:rPr>
        <w:t>应当由法定代表人、主要负责人签字或者盖章，并加盖公章。</w:t>
      </w:r>
    </w:p>
    <w:p w14:paraId="34F11731">
      <w:pPr>
        <w:spacing w:line="360" w:lineRule="auto"/>
        <w:jc w:val="left"/>
        <w:rPr>
          <w:rFonts w:ascii="宋体" w:hAnsi="宋体"/>
          <w:sz w:val="24"/>
          <w:highlight w:val="none"/>
        </w:rPr>
      </w:pPr>
      <w:r>
        <w:rPr>
          <w:rFonts w:ascii="宋体" w:hAnsi="宋体"/>
          <w:sz w:val="24"/>
          <w:highlight w:val="none"/>
        </w:rPr>
        <w:t>接收质疑函的方式</w:t>
      </w:r>
      <w:r>
        <w:rPr>
          <w:rFonts w:hint="eastAsia" w:ascii="宋体" w:hAnsi="宋体"/>
          <w:sz w:val="24"/>
          <w:highlight w:val="none"/>
        </w:rPr>
        <w:t>：以书面形式递交</w:t>
      </w:r>
      <w:r>
        <w:rPr>
          <w:rFonts w:ascii="宋体" w:hAnsi="宋体"/>
          <w:sz w:val="24"/>
          <w:highlight w:val="none"/>
        </w:rPr>
        <w:t>由法定代表人、主要负责人签字或者盖章，并加盖公章的质疑函</w:t>
      </w:r>
      <w:r>
        <w:rPr>
          <w:rFonts w:hint="eastAsia" w:ascii="宋体" w:hAnsi="宋体"/>
          <w:sz w:val="24"/>
          <w:highlight w:val="none"/>
        </w:rPr>
        <w:t>原件</w:t>
      </w:r>
      <w:r>
        <w:rPr>
          <w:rFonts w:ascii="宋体" w:hAnsi="宋体"/>
          <w:sz w:val="24"/>
          <w:highlight w:val="none"/>
        </w:rPr>
        <w:t>和</w:t>
      </w:r>
      <w:r>
        <w:rPr>
          <w:rFonts w:hint="eastAsia" w:ascii="宋体" w:hAnsi="宋体"/>
          <w:sz w:val="24"/>
          <w:highlight w:val="none"/>
        </w:rPr>
        <w:t>必要的证明材料；邮寄送达的以邮件交邮日期为准。</w:t>
      </w:r>
    </w:p>
    <w:p w14:paraId="17429912">
      <w:pPr>
        <w:spacing w:line="360" w:lineRule="auto"/>
        <w:jc w:val="left"/>
        <w:rPr>
          <w:rFonts w:hint="eastAsia" w:ascii="宋体" w:hAnsi="宋体"/>
          <w:sz w:val="24"/>
          <w:highlight w:val="none"/>
          <w:lang w:val="en-US" w:eastAsia="zh-CN"/>
        </w:rPr>
      </w:pPr>
      <w:r>
        <w:rPr>
          <w:rFonts w:ascii="宋体" w:hAnsi="宋体"/>
          <w:sz w:val="24"/>
          <w:highlight w:val="none"/>
        </w:rPr>
        <w:t>联系部门</w:t>
      </w:r>
      <w:r>
        <w:rPr>
          <w:rFonts w:hint="eastAsia" w:ascii="宋体" w:hAnsi="宋体"/>
          <w:sz w:val="24"/>
          <w:highlight w:val="none"/>
        </w:rPr>
        <w:t>：</w:t>
      </w:r>
      <w:r>
        <w:rPr>
          <w:rFonts w:hint="eastAsia" w:ascii="宋体" w:hAnsi="宋体"/>
          <w:sz w:val="24"/>
          <w:highlight w:val="none"/>
          <w:lang w:val="en-US" w:eastAsia="zh-CN"/>
        </w:rPr>
        <w:t>招标业务二部项目七组</w:t>
      </w:r>
    </w:p>
    <w:p w14:paraId="0A958015">
      <w:pPr>
        <w:spacing w:line="360" w:lineRule="auto"/>
        <w:jc w:val="left"/>
        <w:rPr>
          <w:rFonts w:hint="eastAsia" w:ascii="宋体" w:hAnsi="宋体"/>
          <w:sz w:val="24"/>
          <w:highlight w:val="none"/>
        </w:rPr>
      </w:pPr>
      <w:r>
        <w:rPr>
          <w:rFonts w:ascii="宋体" w:hAnsi="宋体"/>
          <w:sz w:val="24"/>
          <w:highlight w:val="none"/>
        </w:rPr>
        <w:t>联系电话</w:t>
      </w:r>
      <w:r>
        <w:rPr>
          <w:rFonts w:hint="eastAsia" w:ascii="宋体" w:hAnsi="宋体"/>
          <w:sz w:val="24"/>
          <w:highlight w:val="none"/>
        </w:rPr>
        <w:t>：0871-63335856</w:t>
      </w:r>
    </w:p>
    <w:p w14:paraId="02F39FF4">
      <w:pPr>
        <w:spacing w:line="360" w:lineRule="auto"/>
        <w:jc w:val="left"/>
        <w:rPr>
          <w:rFonts w:hint="eastAsia" w:ascii="宋体" w:hAnsi="宋体"/>
          <w:sz w:val="24"/>
          <w:highlight w:val="none"/>
        </w:rPr>
      </w:pPr>
      <w:r>
        <w:rPr>
          <w:rFonts w:ascii="宋体" w:hAnsi="宋体"/>
          <w:sz w:val="24"/>
          <w:highlight w:val="none"/>
        </w:rPr>
        <w:t>通讯地址</w:t>
      </w:r>
      <w:r>
        <w:rPr>
          <w:rFonts w:hint="eastAsia" w:ascii="宋体" w:hAnsi="宋体"/>
          <w:sz w:val="24"/>
          <w:highlight w:val="none"/>
        </w:rPr>
        <w:t>：云南省昆明市盘龙区万宏路奥斯迪商务中心B座15楼</w:t>
      </w:r>
    </w:p>
    <w:p w14:paraId="5E6D5E02">
      <w:pPr>
        <w:spacing w:line="360" w:lineRule="auto"/>
        <w:jc w:val="left"/>
        <w:rPr>
          <w:rFonts w:ascii="宋体" w:hAnsi="宋体"/>
          <w:bCs/>
          <w:sz w:val="24"/>
          <w:highlight w:val="none"/>
        </w:rPr>
      </w:pPr>
      <w:r>
        <w:rPr>
          <w:rFonts w:hint="eastAsia" w:ascii="宋体" w:hAnsi="宋体"/>
          <w:sz w:val="24"/>
          <w:highlight w:val="none"/>
        </w:rPr>
        <w:t>6.</w:t>
      </w:r>
      <w:r>
        <w:rPr>
          <w:rFonts w:ascii="宋体" w:hAnsi="宋体"/>
          <w:sz w:val="24"/>
          <w:highlight w:val="none"/>
        </w:rPr>
        <w:t>5采购代理机构将在收到</w:t>
      </w:r>
      <w:r>
        <w:rPr>
          <w:rFonts w:hint="eastAsia" w:ascii="宋体" w:hAnsi="宋体"/>
          <w:sz w:val="24"/>
          <w:highlight w:val="none"/>
        </w:rPr>
        <w:t>投标人</w:t>
      </w:r>
      <w:r>
        <w:rPr>
          <w:rFonts w:ascii="宋体" w:hAnsi="宋体"/>
          <w:sz w:val="24"/>
          <w:highlight w:val="none"/>
        </w:rPr>
        <w:t>的质疑函后</w:t>
      </w:r>
      <w:r>
        <w:rPr>
          <w:rFonts w:hint="eastAsia" w:ascii="宋体" w:hAnsi="宋体"/>
          <w:sz w:val="24"/>
          <w:highlight w:val="none"/>
        </w:rPr>
        <w:t>7</w:t>
      </w:r>
      <w:r>
        <w:rPr>
          <w:rFonts w:ascii="宋体" w:hAnsi="宋体"/>
          <w:sz w:val="24"/>
          <w:highlight w:val="none"/>
        </w:rPr>
        <w:t>个工作日内</w:t>
      </w:r>
      <w:r>
        <w:rPr>
          <w:rFonts w:hint="eastAsia" w:ascii="宋体" w:hAnsi="宋体"/>
          <w:sz w:val="24"/>
          <w:highlight w:val="none"/>
        </w:rPr>
        <w:t>作</w:t>
      </w:r>
      <w:r>
        <w:rPr>
          <w:rFonts w:ascii="宋体" w:hAnsi="宋体"/>
          <w:sz w:val="24"/>
          <w:highlight w:val="none"/>
        </w:rPr>
        <w:t>出答复，</w:t>
      </w:r>
      <w:r>
        <w:rPr>
          <w:rFonts w:hint="eastAsia" w:ascii="宋体" w:hAnsi="宋体"/>
          <w:sz w:val="24"/>
          <w:highlight w:val="none"/>
        </w:rPr>
        <w:t>并以书面形式通知质疑供应商和其他有关供应商。</w:t>
      </w:r>
    </w:p>
    <w:p w14:paraId="56678899">
      <w:pPr>
        <w:spacing w:before="0" w:line="360" w:lineRule="auto"/>
        <w:jc w:val="left"/>
        <w:rPr>
          <w:rFonts w:ascii="宋体" w:hAnsi="宋体" w:eastAsia="宋体"/>
          <w:b w:val="0"/>
          <w:kern w:val="2"/>
          <w:sz w:val="24"/>
          <w:szCs w:val="24"/>
          <w:highlight w:val="none"/>
        </w:rPr>
      </w:pPr>
      <w:r>
        <w:rPr>
          <w:rFonts w:hint="eastAsia" w:ascii="宋体" w:hAnsi="宋体" w:eastAsia="宋体"/>
          <w:b w:val="0"/>
          <w:kern w:val="2"/>
          <w:sz w:val="24"/>
          <w:szCs w:val="24"/>
          <w:highlight w:val="none"/>
        </w:rPr>
        <w:t>6</w:t>
      </w:r>
      <w:r>
        <w:rPr>
          <w:rFonts w:hint="default" w:ascii="宋体" w:hAnsi="宋体" w:eastAsia="宋体"/>
          <w:b w:val="0"/>
          <w:kern w:val="2"/>
          <w:sz w:val="24"/>
          <w:szCs w:val="24"/>
          <w:highlight w:val="none"/>
        </w:rPr>
        <w:t>.</w:t>
      </w:r>
      <w:r>
        <w:rPr>
          <w:rFonts w:ascii="宋体" w:hAnsi="宋体" w:eastAsia="宋体"/>
          <w:b w:val="0"/>
          <w:kern w:val="2"/>
          <w:sz w:val="24"/>
          <w:szCs w:val="24"/>
          <w:highlight w:val="none"/>
        </w:rPr>
        <w:t>6</w:t>
      </w:r>
      <w:r>
        <w:rPr>
          <w:rFonts w:hint="default" w:ascii="宋体" w:hAnsi="宋体" w:eastAsia="宋体"/>
          <w:b w:val="0"/>
          <w:kern w:val="2"/>
          <w:sz w:val="24"/>
          <w:szCs w:val="24"/>
          <w:highlight w:val="none"/>
        </w:rPr>
        <w:t>参与政府采购活动的投标人对评审过程或者中标结果提出质疑的，采购代理机构可以组织原评标委员会协助答复质疑。质疑答复导致中标结果改变的，采购代理机构应当将有关情况书面报告本级财政部门。</w:t>
      </w:r>
    </w:p>
    <w:p w14:paraId="6D588E19">
      <w:pPr>
        <w:spacing w:before="0"/>
        <w:jc w:val="left"/>
        <w:rPr>
          <w:rFonts w:ascii="宋体" w:hAnsi="宋体" w:eastAsia="宋体"/>
          <w:b/>
          <w:bCs/>
          <w:sz w:val="24"/>
          <w:szCs w:val="24"/>
          <w:highlight w:val="none"/>
        </w:rPr>
      </w:pPr>
      <w:bookmarkStart w:id="40" w:name="_Toc321836357"/>
      <w:r>
        <w:rPr>
          <w:rFonts w:hint="default" w:ascii="宋体" w:hAnsi="宋体" w:eastAsia="宋体"/>
          <w:b/>
          <w:bCs/>
          <w:sz w:val="24"/>
          <w:szCs w:val="24"/>
          <w:highlight w:val="none"/>
        </w:rPr>
        <w:t>7.</w:t>
      </w:r>
      <w:r>
        <w:rPr>
          <w:rFonts w:ascii="宋体" w:hAnsi="宋体" w:eastAsia="宋体"/>
          <w:b/>
          <w:bCs/>
          <w:sz w:val="24"/>
          <w:szCs w:val="24"/>
          <w:highlight w:val="none"/>
        </w:rPr>
        <w:t>投诉</w:t>
      </w:r>
      <w:bookmarkEnd w:id="40"/>
    </w:p>
    <w:p w14:paraId="43773FF7">
      <w:pPr>
        <w:pStyle w:val="16"/>
        <w:spacing w:line="360" w:lineRule="auto"/>
        <w:rPr>
          <w:rFonts w:hAnsi="宋体"/>
          <w:sz w:val="24"/>
          <w:szCs w:val="24"/>
          <w:highlight w:val="none"/>
        </w:rPr>
      </w:pPr>
      <w:r>
        <w:rPr>
          <w:rFonts w:hint="eastAsia" w:hAnsi="宋体"/>
          <w:sz w:val="24"/>
          <w:szCs w:val="24"/>
          <w:highlight w:val="none"/>
        </w:rPr>
        <w:t>7.1</w:t>
      </w:r>
      <w:r>
        <w:rPr>
          <w:rFonts w:hAnsi="宋体"/>
          <w:sz w:val="24"/>
          <w:szCs w:val="24"/>
          <w:highlight w:val="none"/>
        </w:rPr>
        <w:t>投诉必须首先经过质疑程序。质疑</w:t>
      </w:r>
      <w:r>
        <w:rPr>
          <w:rFonts w:hint="eastAsia" w:hAnsi="宋体"/>
          <w:sz w:val="24"/>
          <w:szCs w:val="24"/>
          <w:highlight w:val="none"/>
        </w:rPr>
        <w:t>人</w:t>
      </w:r>
      <w:r>
        <w:rPr>
          <w:rFonts w:hAnsi="宋体"/>
          <w:sz w:val="24"/>
          <w:szCs w:val="24"/>
          <w:highlight w:val="none"/>
        </w:rPr>
        <w:t>对采购人、采购代理机构的答复不满意，或者采购人、采购代理机构未在规定的时间</w:t>
      </w:r>
      <w:r>
        <w:rPr>
          <w:rFonts w:hint="eastAsia" w:hAnsi="宋体"/>
          <w:sz w:val="24"/>
          <w:szCs w:val="24"/>
          <w:highlight w:val="none"/>
          <w:lang w:eastAsia="zh-CN"/>
        </w:rPr>
        <w:t>内作出答复</w:t>
      </w:r>
      <w:r>
        <w:rPr>
          <w:rFonts w:hAnsi="宋体"/>
          <w:sz w:val="24"/>
          <w:szCs w:val="24"/>
          <w:highlight w:val="none"/>
        </w:rPr>
        <w:t>的，可以在答复期满后</w:t>
      </w:r>
      <w:r>
        <w:rPr>
          <w:rFonts w:hint="eastAsia" w:hAnsi="宋体"/>
          <w:sz w:val="24"/>
          <w:szCs w:val="24"/>
          <w:highlight w:val="none"/>
        </w:rPr>
        <w:t>1</w:t>
      </w:r>
      <w:r>
        <w:rPr>
          <w:rFonts w:hAnsi="宋体"/>
          <w:sz w:val="24"/>
          <w:szCs w:val="24"/>
          <w:highlight w:val="none"/>
        </w:rPr>
        <w:t>5个工作日内书面向</w:t>
      </w:r>
      <w:r>
        <w:rPr>
          <w:rFonts w:hint="eastAsia" w:hAnsi="宋体"/>
          <w:sz w:val="24"/>
          <w:szCs w:val="24"/>
          <w:highlight w:val="none"/>
        </w:rPr>
        <w:t>同</w:t>
      </w:r>
      <w:r>
        <w:rPr>
          <w:rFonts w:hAnsi="宋体"/>
          <w:sz w:val="24"/>
          <w:szCs w:val="24"/>
          <w:highlight w:val="none"/>
        </w:rPr>
        <w:t>级财政部门</w:t>
      </w:r>
      <w:r>
        <w:rPr>
          <w:rFonts w:hint="eastAsia" w:hAnsi="宋体"/>
          <w:sz w:val="24"/>
          <w:szCs w:val="24"/>
          <w:highlight w:val="none"/>
        </w:rPr>
        <w:t>提出</w:t>
      </w:r>
      <w:r>
        <w:rPr>
          <w:rFonts w:hAnsi="宋体"/>
          <w:sz w:val="24"/>
          <w:szCs w:val="24"/>
          <w:highlight w:val="none"/>
        </w:rPr>
        <w:t>投诉。</w:t>
      </w:r>
    </w:p>
    <w:p w14:paraId="47E0D498">
      <w:pPr>
        <w:pStyle w:val="5"/>
        <w:ind w:left="425"/>
        <w:jc w:val="center"/>
        <w:rPr>
          <w:rFonts w:ascii="宋体" w:hAnsi="宋体" w:eastAsia="宋体"/>
          <w:sz w:val="24"/>
          <w:szCs w:val="24"/>
          <w:highlight w:val="none"/>
        </w:rPr>
      </w:pPr>
      <w:bookmarkStart w:id="41" w:name="_Toc101004083"/>
      <w:bookmarkStart w:id="42" w:name="_Toc33095531"/>
      <w:bookmarkStart w:id="43" w:name="_Toc26550"/>
      <w:bookmarkStart w:id="44" w:name="_Toc3348"/>
      <w:bookmarkStart w:id="45" w:name="_Toc33095532"/>
      <w:bookmarkStart w:id="46" w:name="_Toc101004084"/>
      <w:r>
        <w:rPr>
          <w:rFonts w:hint="eastAsia" w:ascii="宋体" w:hAnsi="宋体" w:eastAsia="宋体"/>
          <w:sz w:val="24"/>
          <w:szCs w:val="24"/>
          <w:highlight w:val="none"/>
        </w:rPr>
        <w:t>二、招标文件</w:t>
      </w:r>
      <w:bookmarkEnd w:id="41"/>
      <w:bookmarkEnd w:id="42"/>
      <w:bookmarkEnd w:id="43"/>
      <w:bookmarkEnd w:id="44"/>
    </w:p>
    <w:p w14:paraId="45AD9838">
      <w:pPr>
        <w:pStyle w:val="16"/>
        <w:spacing w:line="360" w:lineRule="auto"/>
        <w:rPr>
          <w:rFonts w:hAnsi="宋体"/>
          <w:b/>
          <w:bCs/>
          <w:sz w:val="24"/>
          <w:szCs w:val="24"/>
          <w:highlight w:val="none"/>
        </w:rPr>
      </w:pPr>
      <w:r>
        <w:rPr>
          <w:rFonts w:hint="eastAsia" w:hAnsi="宋体"/>
          <w:b/>
          <w:bCs/>
          <w:sz w:val="24"/>
          <w:szCs w:val="24"/>
          <w:highlight w:val="none"/>
        </w:rPr>
        <w:t>8. 招标文件构成</w:t>
      </w:r>
    </w:p>
    <w:p w14:paraId="1B79909B">
      <w:pPr>
        <w:spacing w:line="360" w:lineRule="auto"/>
        <w:jc w:val="left"/>
        <w:rPr>
          <w:rFonts w:ascii="宋体" w:hAnsi="宋体"/>
          <w:sz w:val="24"/>
          <w:highlight w:val="none"/>
        </w:rPr>
      </w:pPr>
      <w:r>
        <w:rPr>
          <w:rFonts w:hint="eastAsia" w:ascii="宋体" w:hAnsi="宋体"/>
          <w:sz w:val="24"/>
          <w:highlight w:val="none"/>
        </w:rPr>
        <w:t>8.1要求提供的货物、采购过程及合同条款在招标文件中均有说明，招标文件共七章，各章的内容如下：</w:t>
      </w:r>
    </w:p>
    <w:p w14:paraId="4FD6D232">
      <w:pPr>
        <w:spacing w:line="360" w:lineRule="auto"/>
        <w:ind w:firstLine="720" w:firstLineChars="300"/>
        <w:jc w:val="left"/>
        <w:rPr>
          <w:rFonts w:ascii="宋体" w:hAnsi="宋体"/>
          <w:sz w:val="24"/>
          <w:highlight w:val="none"/>
        </w:rPr>
      </w:pPr>
      <w:r>
        <w:rPr>
          <w:rFonts w:hint="eastAsia" w:ascii="宋体" w:hAnsi="宋体"/>
          <w:sz w:val="24"/>
          <w:highlight w:val="none"/>
        </w:rPr>
        <w:t>第一章  公开招标公告</w:t>
      </w:r>
    </w:p>
    <w:p w14:paraId="31A23E05">
      <w:pPr>
        <w:pStyle w:val="16"/>
        <w:spacing w:line="360" w:lineRule="auto"/>
        <w:rPr>
          <w:rFonts w:hAnsi="宋体"/>
          <w:sz w:val="24"/>
          <w:szCs w:val="24"/>
          <w:highlight w:val="none"/>
        </w:rPr>
      </w:pPr>
      <w:r>
        <w:rPr>
          <w:rFonts w:hint="eastAsia" w:hAnsi="宋体"/>
          <w:sz w:val="24"/>
          <w:szCs w:val="24"/>
          <w:highlight w:val="none"/>
        </w:rPr>
        <w:t xml:space="preserve">      第二章  投标人须知</w:t>
      </w:r>
    </w:p>
    <w:p w14:paraId="171EC2FC">
      <w:pPr>
        <w:pStyle w:val="16"/>
        <w:spacing w:line="360" w:lineRule="auto"/>
        <w:rPr>
          <w:rFonts w:hAnsi="宋体"/>
          <w:sz w:val="24"/>
          <w:szCs w:val="24"/>
          <w:highlight w:val="none"/>
        </w:rPr>
      </w:pPr>
      <w:r>
        <w:rPr>
          <w:rFonts w:hint="eastAsia" w:hAnsi="宋体"/>
          <w:sz w:val="24"/>
          <w:szCs w:val="24"/>
          <w:highlight w:val="none"/>
        </w:rPr>
        <w:t xml:space="preserve">      第三章  合同书样式及主要条款</w:t>
      </w:r>
    </w:p>
    <w:p w14:paraId="6ABC1453">
      <w:pPr>
        <w:pStyle w:val="16"/>
        <w:spacing w:line="360" w:lineRule="auto"/>
        <w:ind w:firstLine="720" w:firstLineChars="300"/>
        <w:rPr>
          <w:rFonts w:hAnsi="宋体"/>
          <w:sz w:val="24"/>
          <w:szCs w:val="24"/>
          <w:highlight w:val="none"/>
        </w:rPr>
      </w:pPr>
      <w:r>
        <w:rPr>
          <w:rFonts w:hint="eastAsia" w:hAnsi="宋体"/>
          <w:sz w:val="24"/>
          <w:szCs w:val="24"/>
          <w:highlight w:val="none"/>
        </w:rPr>
        <w:t>第四章  投标文件格式</w:t>
      </w:r>
    </w:p>
    <w:p w14:paraId="673BE24D">
      <w:pPr>
        <w:pStyle w:val="16"/>
        <w:spacing w:line="360" w:lineRule="auto"/>
        <w:rPr>
          <w:rFonts w:hAnsi="宋体"/>
          <w:sz w:val="24"/>
          <w:szCs w:val="24"/>
          <w:highlight w:val="none"/>
        </w:rPr>
      </w:pPr>
      <w:r>
        <w:rPr>
          <w:rFonts w:hint="eastAsia" w:hAnsi="宋体"/>
          <w:sz w:val="24"/>
          <w:szCs w:val="24"/>
          <w:highlight w:val="none"/>
        </w:rPr>
        <w:t xml:space="preserve">      第五章  货物需求及技术要求</w:t>
      </w:r>
    </w:p>
    <w:p w14:paraId="424281D4">
      <w:pPr>
        <w:pStyle w:val="16"/>
        <w:spacing w:line="360" w:lineRule="auto"/>
        <w:ind w:firstLine="720" w:firstLineChars="300"/>
        <w:rPr>
          <w:rFonts w:hAnsi="宋体"/>
          <w:sz w:val="24"/>
          <w:szCs w:val="24"/>
          <w:highlight w:val="none"/>
        </w:rPr>
      </w:pPr>
      <w:r>
        <w:rPr>
          <w:rFonts w:hint="eastAsia" w:hAnsi="宋体"/>
          <w:sz w:val="24"/>
          <w:szCs w:val="24"/>
          <w:highlight w:val="none"/>
        </w:rPr>
        <w:t xml:space="preserve">第六章 </w:t>
      </w:r>
      <w:r>
        <w:rPr>
          <w:rFonts w:hint="eastAsia" w:hAnsi="宋体"/>
          <w:sz w:val="24"/>
          <w:szCs w:val="24"/>
          <w:highlight w:val="none"/>
          <w:lang w:val="en-US" w:eastAsia="zh-CN"/>
        </w:rPr>
        <w:t xml:space="preserve"> </w:t>
      </w:r>
      <w:r>
        <w:rPr>
          <w:rFonts w:hint="eastAsia" w:hAnsi="宋体"/>
          <w:sz w:val="24"/>
          <w:szCs w:val="24"/>
          <w:highlight w:val="none"/>
        </w:rPr>
        <w:t>资格评审标准</w:t>
      </w:r>
    </w:p>
    <w:p w14:paraId="3CEA8F7D">
      <w:pPr>
        <w:pStyle w:val="16"/>
        <w:spacing w:line="360" w:lineRule="auto"/>
        <w:ind w:firstLine="720" w:firstLineChars="300"/>
        <w:rPr>
          <w:rFonts w:hint="eastAsia" w:hAnsi="宋体" w:eastAsia="宋体"/>
          <w:sz w:val="24"/>
          <w:szCs w:val="24"/>
          <w:highlight w:val="none"/>
          <w:lang w:eastAsia="zh-CN"/>
        </w:rPr>
      </w:pPr>
      <w:r>
        <w:rPr>
          <w:rFonts w:hint="eastAsia" w:hAnsi="宋体"/>
          <w:sz w:val="24"/>
          <w:szCs w:val="24"/>
          <w:highlight w:val="none"/>
        </w:rPr>
        <w:t>第七章  评标方法</w:t>
      </w:r>
      <w:r>
        <w:rPr>
          <w:rFonts w:hint="eastAsia" w:hAnsi="宋体"/>
          <w:sz w:val="24"/>
          <w:szCs w:val="24"/>
          <w:highlight w:val="none"/>
          <w:lang w:eastAsia="zh-CN"/>
        </w:rPr>
        <w:t>（</w:t>
      </w:r>
      <w:r>
        <w:rPr>
          <w:rFonts w:hint="eastAsia" w:hAnsi="宋体"/>
          <w:sz w:val="24"/>
          <w:szCs w:val="24"/>
          <w:highlight w:val="none"/>
          <w:lang w:val="en-US" w:eastAsia="zh-CN"/>
        </w:rPr>
        <w:t>综合评分法</w:t>
      </w:r>
      <w:r>
        <w:rPr>
          <w:rFonts w:hint="eastAsia" w:hAnsi="宋体"/>
          <w:sz w:val="24"/>
          <w:szCs w:val="24"/>
          <w:highlight w:val="none"/>
          <w:lang w:eastAsia="zh-CN"/>
        </w:rPr>
        <w:t>）</w:t>
      </w:r>
    </w:p>
    <w:p w14:paraId="77190AE5">
      <w:pPr>
        <w:pStyle w:val="16"/>
        <w:spacing w:line="360" w:lineRule="auto"/>
        <w:rPr>
          <w:rFonts w:hAnsi="宋体"/>
          <w:b/>
          <w:bCs/>
          <w:sz w:val="24"/>
          <w:szCs w:val="24"/>
          <w:highlight w:val="none"/>
        </w:rPr>
      </w:pPr>
      <w:r>
        <w:rPr>
          <w:rFonts w:hint="eastAsia" w:hAnsi="宋体"/>
          <w:b/>
          <w:bCs/>
          <w:sz w:val="24"/>
          <w:szCs w:val="24"/>
          <w:highlight w:val="none"/>
        </w:rPr>
        <w:t>9. 招标文件的澄清</w:t>
      </w:r>
    </w:p>
    <w:p w14:paraId="20692F11">
      <w:pPr>
        <w:spacing w:line="360" w:lineRule="auto"/>
        <w:jc w:val="left"/>
        <w:rPr>
          <w:rFonts w:ascii="宋体" w:hAnsi="宋体"/>
          <w:sz w:val="24"/>
          <w:highlight w:val="none"/>
        </w:rPr>
      </w:pPr>
      <w:r>
        <w:rPr>
          <w:rFonts w:hint="eastAsia" w:ascii="宋体" w:hAnsi="宋体"/>
          <w:sz w:val="24"/>
          <w:highlight w:val="none"/>
        </w:rPr>
        <w:t>9.1投标人应认真核查招标文件，如有疑问的，投标人可以在 “投标人须知前附表”规定截止时间前以在线不署名提交要求采购人澄清，截止时间后送达的澄清要求不予接受。所有获取了采购文件的潜在投标人凭企业数字证书（CA）登录</w:t>
      </w:r>
      <w:r>
        <w:rPr>
          <w:rFonts w:hint="eastAsia" w:ascii="宋体" w:hAnsi="宋体"/>
          <w:sz w:val="24"/>
          <w:highlight w:val="none"/>
          <w:lang w:eastAsia="zh-CN"/>
        </w:rPr>
        <w:t>“政采云”</w:t>
      </w:r>
      <w:r>
        <w:rPr>
          <w:rFonts w:hint="eastAsia" w:ascii="宋体" w:hAnsi="宋体"/>
          <w:sz w:val="24"/>
          <w:highlight w:val="none"/>
        </w:rPr>
        <w:t>平台，通过在线方式进行不署名提问。</w:t>
      </w:r>
    </w:p>
    <w:p w14:paraId="54B517BF">
      <w:pPr>
        <w:spacing w:line="360" w:lineRule="auto"/>
        <w:jc w:val="left"/>
        <w:rPr>
          <w:rFonts w:ascii="宋体" w:hAnsi="宋体"/>
          <w:sz w:val="24"/>
          <w:highlight w:val="none"/>
        </w:rPr>
      </w:pPr>
      <w:r>
        <w:rPr>
          <w:rFonts w:hint="eastAsia" w:ascii="宋体" w:hAnsi="宋体"/>
          <w:sz w:val="24"/>
          <w:highlight w:val="none"/>
        </w:rPr>
        <w:t>9.2采购代理机构将通过电子文件形式答复所有获取招标文件的投标人（答复中不包含问题的来源）要求澄清的问题，其他澄清方式为无效。</w:t>
      </w:r>
    </w:p>
    <w:p w14:paraId="2A453287">
      <w:pPr>
        <w:pStyle w:val="16"/>
        <w:spacing w:line="360" w:lineRule="auto"/>
        <w:rPr>
          <w:rFonts w:hAnsi="宋体"/>
          <w:b/>
          <w:bCs/>
          <w:sz w:val="24"/>
          <w:szCs w:val="24"/>
          <w:highlight w:val="none"/>
        </w:rPr>
      </w:pPr>
      <w:r>
        <w:rPr>
          <w:rFonts w:hint="eastAsia" w:hAnsi="宋体"/>
          <w:b/>
          <w:bCs/>
          <w:sz w:val="24"/>
          <w:szCs w:val="24"/>
          <w:highlight w:val="none"/>
        </w:rPr>
        <w:t>10. 招标文件的澄清或者修改</w:t>
      </w:r>
    </w:p>
    <w:p w14:paraId="0DBB99F5">
      <w:pPr>
        <w:spacing w:line="360" w:lineRule="auto"/>
        <w:jc w:val="left"/>
        <w:rPr>
          <w:rFonts w:ascii="宋体" w:hAnsi="宋体"/>
          <w:sz w:val="24"/>
          <w:highlight w:val="none"/>
        </w:rPr>
      </w:pPr>
      <w:r>
        <w:rPr>
          <w:rFonts w:hint="eastAsia" w:ascii="宋体" w:hAnsi="宋体"/>
          <w:sz w:val="24"/>
          <w:highlight w:val="none"/>
        </w:rPr>
        <w:t>10.1 采购代理机构对已发出的招标文件进行必要澄清或者修改的，于招标文件要求提交投标文件截止时间15日前，在财政部门指定的政府采购信息发布媒体上发布更正公告。该澄清或者修改的内容为招标文件的组成部分。</w:t>
      </w:r>
    </w:p>
    <w:p w14:paraId="47DC8707">
      <w:pPr>
        <w:spacing w:line="360" w:lineRule="auto"/>
        <w:jc w:val="left"/>
        <w:rPr>
          <w:rFonts w:ascii="宋体" w:hAnsi="宋体"/>
          <w:sz w:val="24"/>
          <w:highlight w:val="none"/>
        </w:rPr>
      </w:pPr>
      <w:r>
        <w:rPr>
          <w:rFonts w:hint="eastAsia" w:ascii="宋体" w:hAnsi="宋体"/>
          <w:sz w:val="24"/>
          <w:highlight w:val="none"/>
        </w:rPr>
        <w:t>10.2 采购代理机构和采购单位可以视采购具体情况，延长投标截止时间和开标时间，但至少在招标文件要求提交投标文件的截止时间前，将变更时间通知所有获取招标文件的投标人，并在财政部门指定的政府采购信息发布媒体上发布变更公告。</w:t>
      </w:r>
    </w:p>
    <w:p w14:paraId="609F55DE">
      <w:pPr>
        <w:spacing w:line="360" w:lineRule="auto"/>
        <w:jc w:val="left"/>
        <w:rPr>
          <w:rFonts w:ascii="宋体" w:hAnsi="宋体"/>
          <w:sz w:val="24"/>
          <w:highlight w:val="none"/>
        </w:rPr>
      </w:pPr>
      <w:r>
        <w:rPr>
          <w:rFonts w:hint="eastAsia" w:ascii="宋体" w:hAnsi="宋体"/>
          <w:sz w:val="24"/>
          <w:highlight w:val="none"/>
        </w:rPr>
        <w:t>10.3采购人对采购文件中的涉及评标办法、评审项目等重要评审内容做出变更，将同时发布补遗文件进行说明以保证各投标人都能重新下载并用于编制电子投标文件。</w:t>
      </w:r>
    </w:p>
    <w:p w14:paraId="23FF83EB">
      <w:pPr>
        <w:spacing w:line="360" w:lineRule="auto"/>
        <w:jc w:val="left"/>
        <w:rPr>
          <w:rFonts w:ascii="宋体" w:hAnsi="宋体"/>
          <w:sz w:val="24"/>
          <w:highlight w:val="none"/>
        </w:rPr>
      </w:pPr>
      <w:r>
        <w:rPr>
          <w:rFonts w:hint="eastAsia" w:ascii="宋体" w:hAnsi="宋体"/>
          <w:sz w:val="24"/>
          <w:highlight w:val="none"/>
        </w:rPr>
        <w:t>10.4投标人应在投标截止时间前及时登录政府采购云平台（https://www.zcygov.cn/）中查看有关招标文件的答疑、补遗内容。否则，后果自负。</w:t>
      </w:r>
    </w:p>
    <w:p w14:paraId="209E9947">
      <w:pPr>
        <w:spacing w:line="360" w:lineRule="auto"/>
        <w:jc w:val="left"/>
        <w:rPr>
          <w:rFonts w:ascii="宋体" w:hAnsi="宋体"/>
          <w:sz w:val="24"/>
          <w:highlight w:val="none"/>
        </w:rPr>
      </w:pPr>
      <w:r>
        <w:rPr>
          <w:rFonts w:hint="eastAsia" w:ascii="宋体" w:hAnsi="宋体"/>
          <w:sz w:val="24"/>
          <w:highlight w:val="none"/>
        </w:rPr>
        <w:t>10.5招标文件澄清、招标文件修改文件内容均以网上电子文件为准，当招标文件、招标文件澄清、招标文件修改文件内容后前相互矛盾时，以最后发出的为准。</w:t>
      </w:r>
    </w:p>
    <w:p w14:paraId="3DA8756C">
      <w:pPr>
        <w:pStyle w:val="5"/>
        <w:ind w:left="425"/>
        <w:jc w:val="center"/>
        <w:rPr>
          <w:rFonts w:ascii="宋体" w:hAnsi="宋体" w:eastAsia="宋体"/>
          <w:sz w:val="24"/>
          <w:szCs w:val="24"/>
          <w:highlight w:val="none"/>
        </w:rPr>
      </w:pPr>
      <w:bookmarkStart w:id="47" w:name="_Toc23025"/>
      <w:bookmarkStart w:id="48" w:name="_Toc4102"/>
      <w:r>
        <w:rPr>
          <w:rFonts w:hint="eastAsia" w:ascii="宋体" w:hAnsi="宋体" w:eastAsia="宋体"/>
          <w:sz w:val="24"/>
          <w:szCs w:val="24"/>
          <w:highlight w:val="none"/>
        </w:rPr>
        <w:t>三、投标文件</w:t>
      </w:r>
      <w:bookmarkEnd w:id="45"/>
      <w:bookmarkEnd w:id="46"/>
      <w:bookmarkEnd w:id="47"/>
      <w:bookmarkEnd w:id="48"/>
    </w:p>
    <w:p w14:paraId="062B8233">
      <w:pPr>
        <w:spacing w:line="360" w:lineRule="auto"/>
        <w:jc w:val="left"/>
        <w:rPr>
          <w:rFonts w:ascii="宋体" w:hAnsi="宋体"/>
          <w:b/>
          <w:sz w:val="24"/>
          <w:highlight w:val="none"/>
        </w:rPr>
      </w:pPr>
      <w:r>
        <w:rPr>
          <w:rFonts w:hint="eastAsia" w:ascii="宋体" w:hAnsi="宋体"/>
          <w:b/>
          <w:sz w:val="24"/>
          <w:highlight w:val="none"/>
        </w:rPr>
        <w:t>11. 投标文件编写注意事项</w:t>
      </w:r>
    </w:p>
    <w:p w14:paraId="17B547DB">
      <w:pPr>
        <w:spacing w:line="360" w:lineRule="auto"/>
        <w:jc w:val="left"/>
        <w:rPr>
          <w:rFonts w:ascii="宋体" w:hAnsi="宋体"/>
          <w:sz w:val="24"/>
          <w:highlight w:val="none"/>
        </w:rPr>
      </w:pPr>
      <w:r>
        <w:rPr>
          <w:rFonts w:hint="eastAsia" w:ascii="宋体" w:hAnsi="宋体"/>
          <w:sz w:val="24"/>
          <w:highlight w:val="none"/>
        </w:rPr>
        <w:t>11.1投标人应仔细阅读招标文件，在完全了解采购的内容、技术性能要求(详见“</w:t>
      </w:r>
      <w:r>
        <w:rPr>
          <w:rFonts w:hint="eastAsia" w:ascii="宋体" w:hAnsi="宋体"/>
          <w:b/>
          <w:sz w:val="24"/>
          <w:highlight w:val="none"/>
        </w:rPr>
        <w:t>货物需求及技术要求”</w:t>
      </w:r>
      <w:r>
        <w:rPr>
          <w:rFonts w:hint="eastAsia" w:ascii="宋体" w:hAnsi="宋体"/>
          <w:sz w:val="24"/>
          <w:highlight w:val="none"/>
        </w:rPr>
        <w:t>)和商务条件后，编写投标文件。招标文件中标注★号的条款为实质性要求和条件，投标文件必须响应招标文件的实质性要求和条件，不满足任何一条将导致投标无效。</w:t>
      </w:r>
    </w:p>
    <w:p w14:paraId="4FCAF1CB">
      <w:pPr>
        <w:spacing w:line="360" w:lineRule="auto"/>
        <w:jc w:val="left"/>
        <w:rPr>
          <w:rFonts w:ascii="宋体" w:hAnsi="宋体"/>
          <w:sz w:val="24"/>
          <w:highlight w:val="none"/>
        </w:rPr>
      </w:pPr>
      <w:r>
        <w:rPr>
          <w:rFonts w:hint="eastAsia" w:ascii="宋体" w:hAnsi="宋体"/>
          <w:sz w:val="24"/>
          <w:highlight w:val="none"/>
        </w:rPr>
        <w:t>11.2 对招标文件提出的实质性要求和条件作出响应是指：投标人必须对招标文件中的实质性要求和条件的内容作出满足或者优于原要求和条件的承诺，并提供相应的证明材料。</w:t>
      </w:r>
    </w:p>
    <w:p w14:paraId="717444AE">
      <w:pPr>
        <w:spacing w:line="360" w:lineRule="auto"/>
        <w:jc w:val="left"/>
        <w:rPr>
          <w:rFonts w:ascii="宋体" w:hAnsi="宋体"/>
          <w:b/>
          <w:sz w:val="24"/>
          <w:highlight w:val="none"/>
        </w:rPr>
      </w:pPr>
      <w:r>
        <w:rPr>
          <w:rFonts w:hint="eastAsia" w:ascii="宋体" w:hAnsi="宋体"/>
          <w:b/>
          <w:sz w:val="24"/>
          <w:highlight w:val="none"/>
        </w:rPr>
        <w:t>12. 投标的语言及计量单位</w:t>
      </w:r>
    </w:p>
    <w:p w14:paraId="6D58A0AE">
      <w:pPr>
        <w:spacing w:line="360" w:lineRule="auto"/>
        <w:jc w:val="left"/>
        <w:rPr>
          <w:rFonts w:ascii="宋体" w:hAnsi="宋体"/>
          <w:sz w:val="24"/>
          <w:highlight w:val="none"/>
        </w:rPr>
      </w:pPr>
      <w:r>
        <w:rPr>
          <w:rFonts w:hint="eastAsia" w:ascii="宋体" w:hAnsi="宋体"/>
          <w:sz w:val="24"/>
          <w:highlight w:val="none"/>
        </w:rPr>
        <w:t>12.1投标人的投标文件以及投标人与采购代理机构就有关投标的所有来往函电统一使用中文（特别规定除外）。</w:t>
      </w:r>
    </w:p>
    <w:p w14:paraId="46E00F5D">
      <w:pPr>
        <w:spacing w:line="360" w:lineRule="auto"/>
        <w:jc w:val="left"/>
        <w:rPr>
          <w:rFonts w:ascii="宋体" w:hAnsi="宋体"/>
          <w:sz w:val="24"/>
          <w:highlight w:val="none"/>
        </w:rPr>
      </w:pPr>
      <w:r>
        <w:rPr>
          <w:rFonts w:hint="eastAsia" w:ascii="宋体" w:hAnsi="宋体"/>
          <w:sz w:val="24"/>
          <w:highlight w:val="none"/>
        </w:rPr>
        <w:t>12.2投标文件中使用的计量单位除招标文件中有特殊规定外，一律使用中国法定计量单位。</w:t>
      </w:r>
    </w:p>
    <w:p w14:paraId="55960C1C">
      <w:pPr>
        <w:spacing w:line="360" w:lineRule="auto"/>
        <w:jc w:val="left"/>
        <w:rPr>
          <w:rFonts w:ascii="宋体" w:hAnsi="宋体"/>
          <w:b/>
          <w:sz w:val="24"/>
          <w:highlight w:val="none"/>
        </w:rPr>
      </w:pPr>
      <w:r>
        <w:rPr>
          <w:rFonts w:hint="eastAsia" w:ascii="宋体" w:hAnsi="宋体"/>
          <w:b/>
          <w:sz w:val="24"/>
          <w:highlight w:val="none"/>
        </w:rPr>
        <w:t>13. 投标文件构成</w:t>
      </w:r>
    </w:p>
    <w:p w14:paraId="4D211677">
      <w:pPr>
        <w:spacing w:line="360" w:lineRule="auto"/>
        <w:jc w:val="left"/>
        <w:rPr>
          <w:rFonts w:ascii="宋体" w:hAnsi="宋体"/>
          <w:sz w:val="24"/>
          <w:highlight w:val="none"/>
        </w:rPr>
      </w:pPr>
      <w:r>
        <w:rPr>
          <w:rFonts w:hint="eastAsia" w:ascii="宋体" w:hAnsi="宋体"/>
          <w:sz w:val="24"/>
          <w:highlight w:val="none"/>
        </w:rPr>
        <w:t>13.1投标人编写的投标文件应由下列部分构成，并按第四章“投标文件格式”要求填写。</w:t>
      </w:r>
    </w:p>
    <w:p w14:paraId="62F459A6">
      <w:pPr>
        <w:spacing w:line="360" w:lineRule="auto"/>
        <w:ind w:firstLine="410" w:firstLineChars="171"/>
        <w:jc w:val="left"/>
        <w:rPr>
          <w:rFonts w:ascii="宋体" w:hAnsi="宋体"/>
          <w:sz w:val="24"/>
          <w:highlight w:val="none"/>
        </w:rPr>
      </w:pPr>
      <w:r>
        <w:rPr>
          <w:rFonts w:hint="eastAsia" w:ascii="宋体" w:hAnsi="宋体"/>
          <w:sz w:val="24"/>
          <w:highlight w:val="none"/>
        </w:rPr>
        <w:t>13.1.1</w:t>
      </w:r>
      <w:r>
        <w:rPr>
          <w:rFonts w:ascii="宋体" w:hAnsi="宋体"/>
          <w:sz w:val="24"/>
          <w:highlight w:val="none"/>
        </w:rPr>
        <w:t>开标一览表</w:t>
      </w:r>
      <w:r>
        <w:rPr>
          <w:rFonts w:hint="eastAsia" w:ascii="宋体" w:hAnsi="宋体"/>
          <w:sz w:val="24"/>
          <w:highlight w:val="none"/>
        </w:rPr>
        <w:t>；</w:t>
      </w:r>
    </w:p>
    <w:p w14:paraId="408C6441">
      <w:pPr>
        <w:spacing w:line="360" w:lineRule="auto"/>
        <w:ind w:firstLine="410" w:firstLineChars="171"/>
        <w:jc w:val="left"/>
        <w:rPr>
          <w:rFonts w:ascii="宋体" w:hAnsi="宋体"/>
          <w:sz w:val="24"/>
          <w:highlight w:val="none"/>
        </w:rPr>
      </w:pPr>
      <w:r>
        <w:rPr>
          <w:rFonts w:hint="eastAsia" w:ascii="宋体" w:hAnsi="宋体"/>
          <w:sz w:val="24"/>
          <w:highlight w:val="none"/>
        </w:rPr>
        <w:t>13.1.2资格证明文件；</w:t>
      </w:r>
    </w:p>
    <w:p w14:paraId="38A09640">
      <w:pPr>
        <w:spacing w:line="360" w:lineRule="auto"/>
        <w:ind w:firstLine="410" w:firstLineChars="171"/>
        <w:jc w:val="left"/>
        <w:rPr>
          <w:rFonts w:ascii="宋体" w:hAnsi="宋体"/>
          <w:sz w:val="24"/>
          <w:highlight w:val="none"/>
        </w:rPr>
      </w:pPr>
      <w:r>
        <w:rPr>
          <w:rFonts w:hint="eastAsia" w:ascii="宋体" w:hAnsi="宋体"/>
          <w:sz w:val="24"/>
          <w:highlight w:val="none"/>
        </w:rPr>
        <w:t>本章第</w:t>
      </w:r>
      <w:r>
        <w:rPr>
          <w:rFonts w:hint="eastAsia" w:ascii="宋体" w:hAnsi="宋体"/>
          <w:b/>
          <w:sz w:val="24"/>
          <w:highlight w:val="none"/>
        </w:rPr>
        <w:t>4款“ 合格的投标人”</w:t>
      </w:r>
      <w:r>
        <w:rPr>
          <w:rFonts w:hint="eastAsia" w:ascii="宋体" w:hAnsi="宋体"/>
          <w:sz w:val="24"/>
          <w:highlight w:val="none"/>
        </w:rPr>
        <w:t>中要求提供的资格证明文件。</w:t>
      </w:r>
    </w:p>
    <w:p w14:paraId="12880F48">
      <w:pPr>
        <w:spacing w:line="360" w:lineRule="auto"/>
        <w:ind w:firstLine="410" w:firstLineChars="171"/>
        <w:jc w:val="left"/>
        <w:rPr>
          <w:rFonts w:ascii="宋体" w:hAnsi="宋体"/>
          <w:sz w:val="24"/>
          <w:highlight w:val="none"/>
        </w:rPr>
      </w:pPr>
      <w:r>
        <w:rPr>
          <w:rFonts w:hint="eastAsia" w:ascii="宋体" w:hAnsi="宋体"/>
          <w:sz w:val="24"/>
          <w:highlight w:val="none"/>
        </w:rPr>
        <w:t>13.1.3投标文件商务部分</w:t>
      </w:r>
    </w:p>
    <w:p w14:paraId="04538402">
      <w:pPr>
        <w:spacing w:line="360" w:lineRule="auto"/>
        <w:ind w:firstLine="410" w:firstLineChars="171"/>
        <w:jc w:val="left"/>
        <w:rPr>
          <w:rFonts w:ascii="宋体" w:hAnsi="宋体"/>
          <w:sz w:val="24"/>
          <w:highlight w:val="none"/>
        </w:rPr>
      </w:pPr>
      <w:r>
        <w:rPr>
          <w:rFonts w:hint="eastAsia" w:ascii="宋体" w:hAnsi="宋体"/>
          <w:sz w:val="24"/>
          <w:highlight w:val="none"/>
        </w:rPr>
        <w:t>13.1.4投标文件技术部分</w:t>
      </w:r>
    </w:p>
    <w:p w14:paraId="59F88615">
      <w:pPr>
        <w:spacing w:line="360" w:lineRule="auto"/>
        <w:jc w:val="left"/>
        <w:rPr>
          <w:rFonts w:ascii="宋体" w:hAnsi="宋体"/>
          <w:sz w:val="24"/>
          <w:highlight w:val="none"/>
        </w:rPr>
      </w:pPr>
      <w:r>
        <w:rPr>
          <w:rFonts w:hint="eastAsia" w:ascii="宋体" w:hAnsi="宋体"/>
          <w:sz w:val="24"/>
          <w:highlight w:val="none"/>
        </w:rPr>
        <w:t>13.2投标人同时投多个包（</w:t>
      </w:r>
      <w:r>
        <w:rPr>
          <w:rFonts w:hint="eastAsia" w:ascii="宋体" w:hAnsi="宋体"/>
          <w:b/>
          <w:sz w:val="24"/>
          <w:highlight w:val="none"/>
        </w:rPr>
        <w:t>若分包时</w:t>
      </w:r>
      <w:r>
        <w:rPr>
          <w:rFonts w:hint="eastAsia" w:ascii="宋体" w:hAnsi="宋体"/>
          <w:sz w:val="24"/>
          <w:highlight w:val="none"/>
        </w:rPr>
        <w:t>）的，投标文件应按包分别编制，单独成册。</w:t>
      </w:r>
    </w:p>
    <w:p w14:paraId="126DB1D8">
      <w:pPr>
        <w:spacing w:line="360" w:lineRule="auto"/>
        <w:jc w:val="left"/>
        <w:rPr>
          <w:rFonts w:ascii="宋体" w:hAnsi="宋体"/>
          <w:b/>
          <w:sz w:val="24"/>
          <w:highlight w:val="none"/>
        </w:rPr>
      </w:pPr>
      <w:r>
        <w:rPr>
          <w:rFonts w:hint="eastAsia" w:ascii="宋体" w:hAnsi="宋体"/>
          <w:b/>
          <w:sz w:val="24"/>
          <w:highlight w:val="none"/>
        </w:rPr>
        <w:t>14. 投标文件的格式要求</w:t>
      </w:r>
    </w:p>
    <w:p w14:paraId="250A5456">
      <w:pPr>
        <w:pStyle w:val="16"/>
        <w:tabs>
          <w:tab w:val="left" w:pos="3030"/>
        </w:tabs>
        <w:spacing w:line="360" w:lineRule="auto"/>
        <w:rPr>
          <w:rFonts w:hAnsi="宋体"/>
          <w:bCs/>
          <w:sz w:val="24"/>
          <w:szCs w:val="24"/>
          <w:highlight w:val="none"/>
        </w:rPr>
      </w:pPr>
      <w:r>
        <w:rPr>
          <w:rFonts w:hint="eastAsia" w:hAnsi="宋体"/>
          <w:sz w:val="24"/>
          <w:szCs w:val="24"/>
          <w:highlight w:val="none"/>
        </w:rPr>
        <w:t>14.1投标人应按第四章“</w:t>
      </w:r>
      <w:r>
        <w:rPr>
          <w:rFonts w:hint="eastAsia" w:hAnsi="宋体"/>
          <w:b/>
          <w:sz w:val="24"/>
          <w:szCs w:val="24"/>
          <w:highlight w:val="none"/>
        </w:rPr>
        <w:t>投标文件格式</w:t>
      </w:r>
      <w:r>
        <w:rPr>
          <w:rFonts w:hint="eastAsia" w:hAnsi="宋体"/>
          <w:sz w:val="24"/>
          <w:szCs w:val="24"/>
          <w:highlight w:val="none"/>
        </w:rPr>
        <w:t>”提供的格式完整地填写。</w:t>
      </w:r>
    </w:p>
    <w:p w14:paraId="754637B6">
      <w:pPr>
        <w:spacing w:line="360" w:lineRule="auto"/>
        <w:jc w:val="left"/>
        <w:rPr>
          <w:rFonts w:ascii="宋体" w:hAnsi="宋体"/>
          <w:b/>
          <w:sz w:val="24"/>
          <w:highlight w:val="none"/>
        </w:rPr>
      </w:pPr>
      <w:r>
        <w:rPr>
          <w:rFonts w:hint="eastAsia" w:ascii="宋体" w:hAnsi="宋体"/>
          <w:b/>
          <w:sz w:val="24"/>
          <w:highlight w:val="none"/>
        </w:rPr>
        <w:t>15. 投标报价</w:t>
      </w:r>
    </w:p>
    <w:p w14:paraId="4E152E8D">
      <w:pPr>
        <w:pStyle w:val="16"/>
        <w:spacing w:line="360" w:lineRule="auto"/>
        <w:rPr>
          <w:rFonts w:hAnsi="宋体"/>
          <w:sz w:val="24"/>
          <w:szCs w:val="24"/>
          <w:highlight w:val="none"/>
        </w:rPr>
      </w:pPr>
      <w:r>
        <w:rPr>
          <w:rFonts w:hint="eastAsia" w:hAnsi="宋体"/>
          <w:b/>
          <w:sz w:val="24"/>
          <w:szCs w:val="24"/>
          <w:highlight w:val="none"/>
        </w:rPr>
        <w:t>★</w:t>
      </w:r>
      <w:r>
        <w:rPr>
          <w:rFonts w:hint="eastAsia" w:hAnsi="宋体"/>
          <w:sz w:val="24"/>
          <w:szCs w:val="24"/>
          <w:highlight w:val="none"/>
        </w:rPr>
        <w:t>15.1本项目预算金额及最高限价见“</w:t>
      </w:r>
      <w:r>
        <w:rPr>
          <w:rFonts w:hint="eastAsia" w:hAnsi="宋体"/>
          <w:b/>
          <w:bCs/>
          <w:sz w:val="24"/>
          <w:szCs w:val="24"/>
          <w:highlight w:val="none"/>
        </w:rPr>
        <w:t>投标人须知前附表</w:t>
      </w:r>
      <w:r>
        <w:rPr>
          <w:rFonts w:hint="eastAsia" w:hAnsi="宋体"/>
          <w:sz w:val="24"/>
          <w:szCs w:val="24"/>
          <w:highlight w:val="none"/>
        </w:rPr>
        <w:t>”，若投标人的投标报价超过最高限价，</w:t>
      </w:r>
      <w:r>
        <w:rPr>
          <w:rFonts w:hint="eastAsia" w:hAnsi="宋体"/>
          <w:bCs/>
          <w:sz w:val="24"/>
          <w:szCs w:val="24"/>
          <w:highlight w:val="none"/>
        </w:rPr>
        <w:t>按不实质性响应招标文件要求处理</w:t>
      </w:r>
      <w:r>
        <w:rPr>
          <w:rFonts w:hint="eastAsia" w:hAnsi="宋体"/>
          <w:sz w:val="24"/>
          <w:szCs w:val="24"/>
          <w:highlight w:val="none"/>
        </w:rPr>
        <w:t>。</w:t>
      </w:r>
    </w:p>
    <w:p w14:paraId="37CC12C1">
      <w:pPr>
        <w:pStyle w:val="16"/>
        <w:spacing w:line="360" w:lineRule="auto"/>
        <w:rPr>
          <w:rFonts w:hAnsi="宋体"/>
          <w:sz w:val="24"/>
          <w:szCs w:val="24"/>
          <w:highlight w:val="none"/>
        </w:rPr>
      </w:pPr>
      <w:r>
        <w:rPr>
          <w:rFonts w:hint="eastAsia" w:hAnsi="宋体"/>
          <w:sz w:val="24"/>
          <w:szCs w:val="24"/>
          <w:highlight w:val="none"/>
        </w:rPr>
        <w:t>15.2投标人须就“</w:t>
      </w:r>
      <w:r>
        <w:rPr>
          <w:rFonts w:hint="eastAsia" w:hAnsi="宋体"/>
          <w:b/>
          <w:sz w:val="24"/>
          <w:szCs w:val="24"/>
          <w:highlight w:val="none"/>
        </w:rPr>
        <w:t>货物需求及技术要求</w:t>
      </w:r>
      <w:r>
        <w:rPr>
          <w:rFonts w:hint="eastAsia" w:hAnsi="宋体"/>
          <w:sz w:val="24"/>
          <w:szCs w:val="24"/>
          <w:highlight w:val="none"/>
        </w:rPr>
        <w:t>”中的</w:t>
      </w:r>
      <w:r>
        <w:rPr>
          <w:rFonts w:hint="eastAsia" w:hAnsi="宋体"/>
          <w:b/>
          <w:bCs/>
          <w:sz w:val="24"/>
          <w:szCs w:val="24"/>
          <w:highlight w:val="none"/>
        </w:rPr>
        <w:t>所投包货物内容作完整唯一报价</w:t>
      </w:r>
      <w:r>
        <w:rPr>
          <w:rFonts w:hint="eastAsia" w:hAnsi="宋体"/>
          <w:sz w:val="24"/>
          <w:szCs w:val="24"/>
          <w:highlight w:val="none"/>
        </w:rPr>
        <w:t>。</w:t>
      </w:r>
    </w:p>
    <w:p w14:paraId="2F581CE2">
      <w:pPr>
        <w:pStyle w:val="16"/>
        <w:spacing w:line="360" w:lineRule="auto"/>
        <w:rPr>
          <w:rFonts w:hAnsi="宋体"/>
          <w:sz w:val="24"/>
          <w:szCs w:val="24"/>
          <w:highlight w:val="none"/>
        </w:rPr>
      </w:pPr>
      <w:r>
        <w:rPr>
          <w:rFonts w:hint="eastAsia" w:hAnsi="宋体"/>
          <w:sz w:val="24"/>
          <w:szCs w:val="24"/>
          <w:highlight w:val="none"/>
        </w:rPr>
        <w:t>15.3</w:t>
      </w:r>
      <w:r>
        <w:rPr>
          <w:rFonts w:hAnsi="宋体"/>
          <w:sz w:val="24"/>
          <w:szCs w:val="24"/>
          <w:highlight w:val="none"/>
        </w:rPr>
        <w:t>投标人应依据招标文件的要求及有关资料，按国家或行业现行技术经济标准、定额及规范，自行测算出满足招标要求的投标货物的竞争性报价。</w:t>
      </w:r>
      <w:r>
        <w:rPr>
          <w:rFonts w:hAnsi="宋体"/>
          <w:b/>
          <w:sz w:val="24"/>
          <w:szCs w:val="24"/>
          <w:highlight w:val="none"/>
        </w:rPr>
        <w:t>投标报价</w:t>
      </w:r>
      <w:r>
        <w:rPr>
          <w:rFonts w:hAnsi="宋体"/>
          <w:sz w:val="24"/>
          <w:szCs w:val="24"/>
          <w:highlight w:val="none"/>
        </w:rPr>
        <w:t>包括但不仅限于</w:t>
      </w:r>
      <w:r>
        <w:rPr>
          <w:rFonts w:hint="eastAsia" w:hAnsi="宋体"/>
          <w:sz w:val="24"/>
          <w:szCs w:val="24"/>
          <w:highlight w:val="none"/>
        </w:rPr>
        <w:t>包含但不限于设备（含选购件）价款、安装、运输、保险、调试、培训、质保、税金等全部费用。</w:t>
      </w:r>
      <w:r>
        <w:rPr>
          <w:rFonts w:hAnsi="宋体"/>
          <w:sz w:val="24"/>
          <w:szCs w:val="24"/>
          <w:highlight w:val="none"/>
        </w:rPr>
        <w:t>该报价应</w:t>
      </w:r>
      <w:r>
        <w:rPr>
          <w:rFonts w:hint="eastAsia" w:hAnsi="宋体"/>
          <w:sz w:val="24"/>
          <w:szCs w:val="24"/>
          <w:highlight w:val="none"/>
        </w:rPr>
        <w:t>考虑市场风险、政策性风险、汇率风险等因素，</w:t>
      </w:r>
      <w:r>
        <w:rPr>
          <w:rFonts w:hAnsi="宋体"/>
          <w:sz w:val="24"/>
          <w:szCs w:val="24"/>
          <w:highlight w:val="none"/>
        </w:rPr>
        <w:t>并能保证投标人完成履行合同所需的</w:t>
      </w:r>
      <w:r>
        <w:rPr>
          <w:rFonts w:hint="eastAsia" w:hAnsi="宋体"/>
          <w:sz w:val="24"/>
          <w:szCs w:val="24"/>
          <w:highlight w:val="none"/>
        </w:rPr>
        <w:t>全部</w:t>
      </w:r>
      <w:r>
        <w:rPr>
          <w:rFonts w:hAnsi="宋体"/>
          <w:sz w:val="24"/>
          <w:szCs w:val="24"/>
          <w:highlight w:val="none"/>
        </w:rPr>
        <w:t>工作</w:t>
      </w:r>
      <w:r>
        <w:rPr>
          <w:rFonts w:hint="eastAsia" w:hAnsi="宋体"/>
          <w:sz w:val="24"/>
          <w:szCs w:val="24"/>
          <w:highlight w:val="none"/>
        </w:rPr>
        <w:t>，</w:t>
      </w:r>
      <w:r>
        <w:rPr>
          <w:rFonts w:hAnsi="宋体"/>
          <w:sz w:val="24"/>
          <w:szCs w:val="24"/>
          <w:highlight w:val="none"/>
        </w:rPr>
        <w:t>此价格在合同</w:t>
      </w:r>
      <w:r>
        <w:rPr>
          <w:rFonts w:hint="eastAsia" w:hAnsi="宋体"/>
          <w:sz w:val="24"/>
          <w:szCs w:val="24"/>
          <w:highlight w:val="none"/>
        </w:rPr>
        <w:t>签订后</w:t>
      </w:r>
      <w:r>
        <w:rPr>
          <w:rFonts w:hAnsi="宋体"/>
          <w:sz w:val="24"/>
          <w:szCs w:val="24"/>
          <w:highlight w:val="none"/>
        </w:rPr>
        <w:t>将不</w:t>
      </w:r>
      <w:r>
        <w:rPr>
          <w:rFonts w:hint="eastAsia" w:hAnsi="宋体"/>
          <w:sz w:val="24"/>
          <w:szCs w:val="24"/>
          <w:highlight w:val="none"/>
        </w:rPr>
        <w:t>作</w:t>
      </w:r>
      <w:r>
        <w:rPr>
          <w:rFonts w:hAnsi="宋体"/>
          <w:sz w:val="24"/>
          <w:szCs w:val="24"/>
          <w:highlight w:val="none"/>
        </w:rPr>
        <w:t>调整。</w:t>
      </w:r>
    </w:p>
    <w:p w14:paraId="0C05E349">
      <w:pPr>
        <w:pStyle w:val="16"/>
        <w:spacing w:line="360" w:lineRule="auto"/>
        <w:rPr>
          <w:rFonts w:hAnsi="宋体"/>
          <w:sz w:val="24"/>
          <w:szCs w:val="24"/>
          <w:highlight w:val="none"/>
        </w:rPr>
      </w:pPr>
      <w:r>
        <w:rPr>
          <w:rFonts w:hAnsi="宋体"/>
          <w:sz w:val="24"/>
          <w:szCs w:val="24"/>
          <w:highlight w:val="none"/>
        </w:rPr>
        <w:t>1</w:t>
      </w:r>
      <w:r>
        <w:rPr>
          <w:rFonts w:hint="eastAsia" w:hAnsi="宋体"/>
          <w:sz w:val="24"/>
          <w:szCs w:val="24"/>
          <w:highlight w:val="none"/>
        </w:rPr>
        <w:t>5</w:t>
      </w:r>
      <w:r>
        <w:rPr>
          <w:rFonts w:hAnsi="宋体"/>
          <w:sz w:val="24"/>
          <w:szCs w:val="24"/>
          <w:highlight w:val="none"/>
        </w:rPr>
        <w:t>.</w:t>
      </w:r>
      <w:r>
        <w:rPr>
          <w:rFonts w:hint="eastAsia" w:hAnsi="宋体"/>
          <w:sz w:val="24"/>
          <w:szCs w:val="24"/>
          <w:highlight w:val="none"/>
        </w:rPr>
        <w:t>4投标产品</w:t>
      </w:r>
      <w:r>
        <w:rPr>
          <w:rFonts w:hAnsi="宋体"/>
          <w:sz w:val="24"/>
          <w:szCs w:val="24"/>
          <w:highlight w:val="none"/>
        </w:rPr>
        <w:t>的</w:t>
      </w:r>
      <w:r>
        <w:rPr>
          <w:rFonts w:hAnsi="宋体"/>
          <w:b/>
          <w:sz w:val="24"/>
          <w:szCs w:val="24"/>
          <w:highlight w:val="none"/>
        </w:rPr>
        <w:t>出厂价</w:t>
      </w:r>
      <w:r>
        <w:rPr>
          <w:rFonts w:hAnsi="宋体"/>
          <w:sz w:val="24"/>
          <w:szCs w:val="24"/>
          <w:highlight w:val="none"/>
        </w:rPr>
        <w:t>指制造厂生产的，满足招标要求及符合国家质量检测标准的</w:t>
      </w:r>
      <w:r>
        <w:rPr>
          <w:rFonts w:hint="eastAsia" w:hAnsi="宋体"/>
          <w:sz w:val="24"/>
          <w:szCs w:val="24"/>
          <w:highlight w:val="none"/>
        </w:rPr>
        <w:t>软件产品</w:t>
      </w:r>
      <w:r>
        <w:rPr>
          <w:rFonts w:hAnsi="宋体"/>
          <w:sz w:val="24"/>
          <w:szCs w:val="24"/>
          <w:highlight w:val="none"/>
        </w:rPr>
        <w:t>的价格。包括但不仅限于产品的设计费、投标人为取得生产制造投标</w:t>
      </w:r>
      <w:r>
        <w:rPr>
          <w:rFonts w:hint="eastAsia" w:hAnsi="宋体"/>
          <w:sz w:val="24"/>
          <w:szCs w:val="24"/>
          <w:highlight w:val="none"/>
        </w:rPr>
        <w:t>产品</w:t>
      </w:r>
      <w:r>
        <w:rPr>
          <w:rFonts w:hAnsi="宋体"/>
          <w:sz w:val="24"/>
          <w:szCs w:val="24"/>
          <w:highlight w:val="none"/>
        </w:rPr>
        <w:t>所需的</w:t>
      </w:r>
      <w:r>
        <w:rPr>
          <w:rFonts w:hint="eastAsia" w:hAnsi="宋体"/>
          <w:sz w:val="24"/>
          <w:szCs w:val="24"/>
          <w:highlight w:val="none"/>
        </w:rPr>
        <w:t>软硬件产品</w:t>
      </w:r>
      <w:r>
        <w:rPr>
          <w:rFonts w:hAnsi="宋体"/>
          <w:sz w:val="24"/>
          <w:szCs w:val="24"/>
          <w:highlight w:val="none"/>
        </w:rPr>
        <w:t>和技术资料的费用、</w:t>
      </w:r>
      <w:r>
        <w:rPr>
          <w:rFonts w:hint="eastAsia" w:hAnsi="宋体"/>
          <w:sz w:val="24"/>
          <w:szCs w:val="24"/>
          <w:highlight w:val="none"/>
        </w:rPr>
        <w:t>人工费、</w:t>
      </w:r>
      <w:r>
        <w:rPr>
          <w:rFonts w:hAnsi="宋体"/>
          <w:sz w:val="24"/>
          <w:szCs w:val="24"/>
          <w:highlight w:val="none"/>
        </w:rPr>
        <w:t>包装费、利润和税金等费用。</w:t>
      </w:r>
    </w:p>
    <w:p w14:paraId="743B6DE2">
      <w:pPr>
        <w:pStyle w:val="16"/>
        <w:spacing w:line="360" w:lineRule="auto"/>
        <w:rPr>
          <w:rFonts w:hAnsi="宋体"/>
          <w:sz w:val="24"/>
          <w:szCs w:val="24"/>
          <w:highlight w:val="none"/>
        </w:rPr>
      </w:pPr>
      <w:r>
        <w:rPr>
          <w:rFonts w:hAnsi="宋体"/>
          <w:sz w:val="24"/>
          <w:szCs w:val="24"/>
          <w:highlight w:val="none"/>
        </w:rPr>
        <w:t>1</w:t>
      </w:r>
      <w:r>
        <w:rPr>
          <w:rFonts w:hint="eastAsia" w:hAnsi="宋体"/>
          <w:sz w:val="24"/>
          <w:szCs w:val="24"/>
          <w:highlight w:val="none"/>
        </w:rPr>
        <w:t>5</w:t>
      </w:r>
      <w:r>
        <w:rPr>
          <w:rFonts w:hAnsi="宋体"/>
          <w:sz w:val="24"/>
          <w:szCs w:val="24"/>
          <w:highlight w:val="none"/>
        </w:rPr>
        <w:t>.</w:t>
      </w:r>
      <w:r>
        <w:rPr>
          <w:rFonts w:hint="eastAsia" w:hAnsi="宋体"/>
          <w:sz w:val="24"/>
          <w:szCs w:val="24"/>
          <w:highlight w:val="none"/>
        </w:rPr>
        <w:t>5</w:t>
      </w:r>
      <w:r>
        <w:rPr>
          <w:rFonts w:hAnsi="宋体"/>
          <w:sz w:val="24"/>
          <w:szCs w:val="24"/>
          <w:highlight w:val="none"/>
        </w:rPr>
        <w:t>项目特别要求的备品备件，指按“</w:t>
      </w:r>
      <w:r>
        <w:rPr>
          <w:rFonts w:hAnsi="宋体"/>
          <w:b/>
          <w:sz w:val="24"/>
          <w:szCs w:val="24"/>
          <w:highlight w:val="none"/>
        </w:rPr>
        <w:t>投标人须知前附表</w:t>
      </w:r>
      <w:r>
        <w:rPr>
          <w:rFonts w:hAnsi="宋体"/>
          <w:sz w:val="24"/>
          <w:szCs w:val="24"/>
          <w:highlight w:val="none"/>
        </w:rPr>
        <w:t>”</w:t>
      </w:r>
      <w:r>
        <w:rPr>
          <w:rFonts w:hAnsi="宋体"/>
          <w:bCs/>
          <w:sz w:val="24"/>
          <w:szCs w:val="24"/>
          <w:highlight w:val="none"/>
        </w:rPr>
        <w:t>的要求</w:t>
      </w:r>
      <w:r>
        <w:rPr>
          <w:rFonts w:hAnsi="宋体"/>
          <w:sz w:val="24"/>
          <w:szCs w:val="24"/>
          <w:highlight w:val="none"/>
        </w:rPr>
        <w:t>提供规定</w:t>
      </w:r>
      <w:r>
        <w:rPr>
          <w:rFonts w:hint="eastAsia" w:hAnsi="宋体"/>
          <w:sz w:val="24"/>
          <w:szCs w:val="24"/>
          <w:highlight w:val="none"/>
        </w:rPr>
        <w:t>时间</w:t>
      </w:r>
      <w:r>
        <w:rPr>
          <w:rFonts w:hAnsi="宋体"/>
          <w:sz w:val="24"/>
          <w:szCs w:val="24"/>
          <w:highlight w:val="none"/>
        </w:rPr>
        <w:t>内所需的备品备件清单和报价。</w:t>
      </w:r>
    </w:p>
    <w:p w14:paraId="221DEEFC">
      <w:pPr>
        <w:pStyle w:val="16"/>
        <w:spacing w:line="360" w:lineRule="auto"/>
        <w:rPr>
          <w:rFonts w:hAnsi="宋体"/>
          <w:b w:val="0"/>
          <w:bCs w:val="0"/>
          <w:sz w:val="24"/>
          <w:szCs w:val="24"/>
          <w:highlight w:val="none"/>
        </w:rPr>
      </w:pPr>
      <w:r>
        <w:rPr>
          <w:rFonts w:hAnsi="宋体"/>
          <w:sz w:val="24"/>
          <w:szCs w:val="24"/>
          <w:highlight w:val="none"/>
        </w:rPr>
        <w:t>1</w:t>
      </w:r>
      <w:r>
        <w:rPr>
          <w:rFonts w:hint="eastAsia" w:hAnsi="宋体"/>
          <w:sz w:val="24"/>
          <w:szCs w:val="24"/>
          <w:highlight w:val="none"/>
        </w:rPr>
        <w:t>5</w:t>
      </w:r>
      <w:r>
        <w:rPr>
          <w:rFonts w:hAnsi="宋体"/>
          <w:sz w:val="24"/>
          <w:szCs w:val="24"/>
          <w:highlight w:val="none"/>
        </w:rPr>
        <w:t>.</w:t>
      </w:r>
      <w:r>
        <w:rPr>
          <w:rFonts w:hint="eastAsia" w:hAnsi="宋体"/>
          <w:sz w:val="24"/>
          <w:szCs w:val="24"/>
          <w:highlight w:val="none"/>
        </w:rPr>
        <w:t>6</w:t>
      </w:r>
      <w:r>
        <w:rPr>
          <w:rFonts w:hAnsi="宋体"/>
          <w:sz w:val="24"/>
          <w:szCs w:val="24"/>
          <w:highlight w:val="none"/>
        </w:rPr>
        <w:t>进口组部件、元器件或全进口产品的全部费用须折合成人民币报价，并注明进口件的原</w:t>
      </w:r>
      <w:r>
        <w:rPr>
          <w:rFonts w:hAnsi="宋体"/>
          <w:b w:val="0"/>
          <w:bCs w:val="0"/>
          <w:sz w:val="24"/>
          <w:szCs w:val="24"/>
          <w:highlight w:val="none"/>
        </w:rPr>
        <w:t>产地，交货时需提供商检证明。汇率风险由投标人自行承担。</w:t>
      </w:r>
    </w:p>
    <w:p w14:paraId="5158A436">
      <w:pPr>
        <w:pStyle w:val="16"/>
        <w:spacing w:line="360" w:lineRule="auto"/>
        <w:rPr>
          <w:rFonts w:hAnsi="宋体"/>
          <w:b w:val="0"/>
          <w:bCs w:val="0"/>
          <w:sz w:val="24"/>
          <w:szCs w:val="24"/>
          <w:highlight w:val="none"/>
        </w:rPr>
      </w:pPr>
      <w:r>
        <w:rPr>
          <w:rFonts w:hAnsi="宋体"/>
          <w:b w:val="0"/>
          <w:bCs w:val="0"/>
          <w:sz w:val="24"/>
          <w:szCs w:val="24"/>
          <w:highlight w:val="none"/>
        </w:rPr>
        <w:t>1</w:t>
      </w:r>
      <w:r>
        <w:rPr>
          <w:rFonts w:hint="eastAsia" w:hAnsi="宋体"/>
          <w:b w:val="0"/>
          <w:bCs w:val="0"/>
          <w:sz w:val="24"/>
          <w:szCs w:val="24"/>
          <w:highlight w:val="none"/>
        </w:rPr>
        <w:t>5</w:t>
      </w:r>
      <w:r>
        <w:rPr>
          <w:rFonts w:hAnsi="宋体"/>
          <w:b w:val="0"/>
          <w:bCs w:val="0"/>
          <w:sz w:val="24"/>
          <w:szCs w:val="24"/>
          <w:highlight w:val="none"/>
        </w:rPr>
        <w:t>.</w:t>
      </w:r>
      <w:r>
        <w:rPr>
          <w:rFonts w:hint="eastAsia" w:hAnsi="宋体"/>
          <w:b w:val="0"/>
          <w:bCs w:val="0"/>
          <w:sz w:val="24"/>
          <w:szCs w:val="24"/>
          <w:highlight w:val="none"/>
        </w:rPr>
        <w:t>7</w:t>
      </w:r>
      <w:r>
        <w:rPr>
          <w:rFonts w:hAnsi="宋体"/>
          <w:b w:val="0"/>
          <w:bCs w:val="0"/>
          <w:sz w:val="24"/>
          <w:szCs w:val="24"/>
          <w:highlight w:val="none"/>
        </w:rPr>
        <w:t>运杂费用：即投标货物到项目地点前的所有费用，包括铁路或公路运费、提货及转运费用、短途运费、包装费、装卸费用、加固费用、保险费等。</w:t>
      </w:r>
    </w:p>
    <w:p w14:paraId="588F300A">
      <w:pPr>
        <w:pStyle w:val="16"/>
        <w:spacing w:line="360" w:lineRule="auto"/>
        <w:rPr>
          <w:rFonts w:hAnsi="宋体"/>
          <w:sz w:val="24"/>
          <w:szCs w:val="24"/>
          <w:highlight w:val="none"/>
        </w:rPr>
      </w:pPr>
      <w:r>
        <w:rPr>
          <w:rFonts w:hAnsi="宋体"/>
          <w:b w:val="0"/>
          <w:bCs w:val="0"/>
          <w:sz w:val="24"/>
          <w:szCs w:val="24"/>
          <w:highlight w:val="none"/>
        </w:rPr>
        <w:t>1</w:t>
      </w:r>
      <w:r>
        <w:rPr>
          <w:rFonts w:hint="eastAsia" w:hAnsi="宋体"/>
          <w:b w:val="0"/>
          <w:bCs w:val="0"/>
          <w:sz w:val="24"/>
          <w:szCs w:val="24"/>
          <w:highlight w:val="none"/>
        </w:rPr>
        <w:t>5</w:t>
      </w:r>
      <w:r>
        <w:rPr>
          <w:rFonts w:hAnsi="宋体"/>
          <w:b w:val="0"/>
          <w:bCs w:val="0"/>
          <w:sz w:val="24"/>
          <w:szCs w:val="24"/>
          <w:highlight w:val="none"/>
        </w:rPr>
        <w:t>.</w:t>
      </w:r>
      <w:r>
        <w:rPr>
          <w:rFonts w:hint="eastAsia" w:hAnsi="宋体"/>
          <w:b w:val="0"/>
          <w:bCs w:val="0"/>
          <w:sz w:val="24"/>
          <w:szCs w:val="24"/>
          <w:highlight w:val="none"/>
        </w:rPr>
        <w:t>8</w:t>
      </w:r>
      <w:r>
        <w:rPr>
          <w:rFonts w:hAnsi="宋体"/>
          <w:b w:val="0"/>
          <w:bCs w:val="0"/>
          <w:sz w:val="24"/>
          <w:szCs w:val="24"/>
          <w:highlight w:val="none"/>
        </w:rPr>
        <w:t>技术服务费用包括</w:t>
      </w:r>
      <w:r>
        <w:rPr>
          <w:rFonts w:hAnsi="宋体"/>
          <w:sz w:val="24"/>
          <w:szCs w:val="24"/>
          <w:highlight w:val="none"/>
        </w:rPr>
        <w:t>：设计联络费用</w:t>
      </w:r>
      <w:r>
        <w:rPr>
          <w:rFonts w:hint="eastAsia" w:hAnsi="宋体"/>
          <w:sz w:val="24"/>
          <w:szCs w:val="24"/>
          <w:highlight w:val="none"/>
        </w:rPr>
        <w:t>（若有）</w:t>
      </w:r>
      <w:r>
        <w:rPr>
          <w:rFonts w:hAnsi="宋体"/>
          <w:sz w:val="24"/>
          <w:szCs w:val="24"/>
          <w:highlight w:val="none"/>
        </w:rPr>
        <w:t>、现场服务（包括指导安装和调试费用）和人员培训的费用</w:t>
      </w:r>
      <w:r>
        <w:rPr>
          <w:rFonts w:hint="eastAsia" w:hAnsi="宋体"/>
          <w:sz w:val="24"/>
          <w:szCs w:val="24"/>
          <w:highlight w:val="none"/>
        </w:rPr>
        <w:t>、技术资料费</w:t>
      </w:r>
      <w:r>
        <w:rPr>
          <w:rFonts w:hAnsi="宋体"/>
          <w:sz w:val="24"/>
          <w:szCs w:val="24"/>
          <w:highlight w:val="none"/>
        </w:rPr>
        <w:t>以及技术咨询协调费用等。技术服务费用应单独列报，按“</w:t>
      </w:r>
      <w:r>
        <w:rPr>
          <w:rFonts w:hAnsi="宋体"/>
          <w:b/>
          <w:sz w:val="24"/>
          <w:szCs w:val="24"/>
          <w:highlight w:val="none"/>
        </w:rPr>
        <w:t>投标人须知前附表</w:t>
      </w:r>
      <w:r>
        <w:rPr>
          <w:rFonts w:hAnsi="宋体"/>
          <w:sz w:val="24"/>
          <w:szCs w:val="24"/>
          <w:highlight w:val="none"/>
        </w:rPr>
        <w:t>”</w:t>
      </w:r>
      <w:r>
        <w:rPr>
          <w:rFonts w:hAnsi="宋体"/>
          <w:bCs/>
          <w:sz w:val="24"/>
          <w:szCs w:val="24"/>
          <w:highlight w:val="none"/>
        </w:rPr>
        <w:t>的要求报价</w:t>
      </w:r>
      <w:r>
        <w:rPr>
          <w:rFonts w:hAnsi="宋体"/>
          <w:sz w:val="24"/>
          <w:szCs w:val="24"/>
          <w:highlight w:val="none"/>
        </w:rPr>
        <w:t>。</w:t>
      </w:r>
    </w:p>
    <w:p w14:paraId="0C147CC1">
      <w:pPr>
        <w:spacing w:line="360" w:lineRule="auto"/>
        <w:jc w:val="left"/>
        <w:rPr>
          <w:rFonts w:ascii="宋体" w:hAnsi="宋体"/>
          <w:b/>
          <w:sz w:val="24"/>
          <w:highlight w:val="none"/>
        </w:rPr>
      </w:pPr>
      <w:r>
        <w:rPr>
          <w:rFonts w:hint="eastAsia" w:ascii="宋体" w:hAnsi="宋体"/>
          <w:b/>
          <w:sz w:val="24"/>
          <w:highlight w:val="none"/>
        </w:rPr>
        <w:t>16. 投标货币</w:t>
      </w:r>
    </w:p>
    <w:p w14:paraId="56381B45">
      <w:pPr>
        <w:pStyle w:val="16"/>
        <w:spacing w:line="360" w:lineRule="auto"/>
        <w:rPr>
          <w:rFonts w:hAnsi="宋体"/>
          <w:bCs/>
          <w:sz w:val="24"/>
          <w:szCs w:val="24"/>
          <w:highlight w:val="none"/>
        </w:rPr>
      </w:pPr>
      <w:r>
        <w:rPr>
          <w:rFonts w:hint="eastAsia" w:hAnsi="宋体"/>
          <w:sz w:val="24"/>
          <w:szCs w:val="24"/>
          <w:highlight w:val="none"/>
        </w:rPr>
        <w:t>投标以人民币报价。</w:t>
      </w:r>
    </w:p>
    <w:p w14:paraId="613D68AA">
      <w:pPr>
        <w:spacing w:line="360" w:lineRule="auto"/>
        <w:jc w:val="left"/>
        <w:rPr>
          <w:rFonts w:ascii="宋体" w:hAnsi="宋体"/>
          <w:b/>
          <w:sz w:val="24"/>
          <w:highlight w:val="none"/>
        </w:rPr>
      </w:pPr>
      <w:r>
        <w:rPr>
          <w:rFonts w:hint="eastAsia" w:ascii="宋体" w:hAnsi="宋体"/>
          <w:b/>
          <w:sz w:val="24"/>
          <w:highlight w:val="none"/>
        </w:rPr>
        <w:t>17. 投标文件有效期</w:t>
      </w:r>
    </w:p>
    <w:p w14:paraId="48FBC597">
      <w:pPr>
        <w:pStyle w:val="16"/>
        <w:spacing w:line="360" w:lineRule="auto"/>
        <w:jc w:val="left"/>
        <w:rPr>
          <w:rFonts w:hAnsi="宋体"/>
          <w:sz w:val="24"/>
          <w:szCs w:val="24"/>
          <w:highlight w:val="none"/>
        </w:rPr>
      </w:pPr>
      <w:r>
        <w:rPr>
          <w:rFonts w:hint="eastAsia" w:hAnsi="宋体"/>
          <w:sz w:val="24"/>
          <w:szCs w:val="24"/>
          <w:highlight w:val="none"/>
        </w:rPr>
        <w:t>17.1</w:t>
      </w:r>
      <w:r>
        <w:rPr>
          <w:rFonts w:hAnsi="宋体"/>
          <w:sz w:val="24"/>
          <w:szCs w:val="24"/>
          <w:highlight w:val="none"/>
        </w:rPr>
        <w:t>在“</w:t>
      </w:r>
      <w:r>
        <w:rPr>
          <w:rFonts w:hAnsi="宋体"/>
          <w:b/>
          <w:bCs/>
          <w:sz w:val="24"/>
          <w:szCs w:val="24"/>
          <w:highlight w:val="none"/>
        </w:rPr>
        <w:t>投标人须知前附表</w:t>
      </w:r>
      <w:r>
        <w:rPr>
          <w:rFonts w:hAnsi="宋体"/>
          <w:sz w:val="24"/>
          <w:szCs w:val="24"/>
          <w:highlight w:val="none"/>
        </w:rPr>
        <w:t>”规定的投标有效期内，投标人不得要求撤销或修改其投标文件。</w:t>
      </w:r>
    </w:p>
    <w:p w14:paraId="55970A1E">
      <w:pPr>
        <w:spacing w:line="360" w:lineRule="auto"/>
        <w:jc w:val="left"/>
        <w:rPr>
          <w:rFonts w:ascii="宋体" w:hAnsi="宋体"/>
          <w:sz w:val="24"/>
          <w:highlight w:val="none"/>
        </w:rPr>
      </w:pPr>
      <w:r>
        <w:rPr>
          <w:rFonts w:hint="eastAsia" w:hAnsi="宋体"/>
          <w:b/>
          <w:sz w:val="24"/>
          <w:highlight w:val="none"/>
        </w:rPr>
        <w:t>★</w:t>
      </w:r>
      <w:r>
        <w:rPr>
          <w:rFonts w:hint="eastAsia" w:ascii="宋体" w:hAnsi="宋体"/>
          <w:sz w:val="24"/>
          <w:highlight w:val="none"/>
        </w:rPr>
        <w:t>17.2投标有效期从提交投标文件的截止之日起算。投标文件中承诺的投标有效期应当不少于招标文件中载明的投标有效期。投标有效期内投标人撤销投标文件的，采购代理机构可以不退还投标保证金。</w:t>
      </w:r>
    </w:p>
    <w:p w14:paraId="78C38FDB">
      <w:pPr>
        <w:spacing w:line="360" w:lineRule="auto"/>
        <w:jc w:val="left"/>
        <w:rPr>
          <w:rFonts w:ascii="宋体" w:hAnsi="宋体"/>
          <w:sz w:val="24"/>
          <w:highlight w:val="none"/>
        </w:rPr>
      </w:pPr>
      <w:r>
        <w:rPr>
          <w:rFonts w:hint="eastAsia" w:ascii="宋体" w:hAnsi="宋体"/>
          <w:sz w:val="24"/>
          <w:highlight w:val="none"/>
        </w:rPr>
        <w:t>17.3在</w:t>
      </w:r>
      <w:r>
        <w:rPr>
          <w:rFonts w:ascii="宋体" w:hAnsi="宋体"/>
          <w:sz w:val="24"/>
          <w:highlight w:val="none"/>
        </w:rPr>
        <w:t>特殊情况需要延长投标有效期的，</w:t>
      </w:r>
      <w:r>
        <w:rPr>
          <w:rFonts w:hint="eastAsia" w:ascii="宋体" w:hAnsi="宋体"/>
          <w:sz w:val="24"/>
          <w:highlight w:val="none"/>
        </w:rPr>
        <w:t>采购人</w:t>
      </w:r>
      <w:r>
        <w:rPr>
          <w:rFonts w:ascii="宋体" w:hAnsi="宋体"/>
          <w:sz w:val="24"/>
          <w:highlight w:val="none"/>
        </w:rPr>
        <w:t>以书面形式通知所有投标人延长投标有效期。投标人同意延长的，应相应延长其投标保证金的有效期，但不得要求或被允许修改或撤销其投标文件；投标人拒绝延长的，其投标</w:t>
      </w:r>
      <w:r>
        <w:rPr>
          <w:rFonts w:hint="eastAsia" w:ascii="宋体" w:hAnsi="宋体"/>
          <w:sz w:val="24"/>
          <w:highlight w:val="none"/>
        </w:rPr>
        <w:t>文件</w:t>
      </w:r>
      <w:r>
        <w:rPr>
          <w:rFonts w:ascii="宋体" w:hAnsi="宋体"/>
          <w:sz w:val="24"/>
          <w:highlight w:val="none"/>
        </w:rPr>
        <w:t>失效，但投标人有权收回其投标保证金。</w:t>
      </w:r>
    </w:p>
    <w:p w14:paraId="49437BBF">
      <w:pPr>
        <w:spacing w:line="360" w:lineRule="auto"/>
        <w:jc w:val="left"/>
        <w:rPr>
          <w:rFonts w:ascii="宋体" w:hAnsi="宋体"/>
          <w:b/>
          <w:sz w:val="24"/>
          <w:highlight w:val="none"/>
        </w:rPr>
      </w:pPr>
      <w:r>
        <w:rPr>
          <w:rFonts w:hint="eastAsia" w:ascii="宋体" w:hAnsi="宋体"/>
          <w:b/>
          <w:sz w:val="24"/>
          <w:highlight w:val="none"/>
        </w:rPr>
        <w:t>1</w:t>
      </w:r>
      <w:r>
        <w:rPr>
          <w:rFonts w:ascii="宋体" w:hAnsi="宋体"/>
          <w:b/>
          <w:sz w:val="24"/>
          <w:highlight w:val="none"/>
        </w:rPr>
        <w:t>8</w:t>
      </w:r>
      <w:r>
        <w:rPr>
          <w:rFonts w:hint="eastAsia" w:ascii="宋体" w:hAnsi="宋体"/>
          <w:b/>
          <w:sz w:val="24"/>
          <w:highlight w:val="none"/>
        </w:rPr>
        <w:t>.分包</w:t>
      </w:r>
    </w:p>
    <w:p w14:paraId="55D5D4C2">
      <w:pPr>
        <w:spacing w:line="360" w:lineRule="auto"/>
        <w:jc w:val="left"/>
        <w:rPr>
          <w:rFonts w:ascii="inherit" w:hAnsi="inherit" w:cs="宋体"/>
          <w:kern w:val="0"/>
          <w:sz w:val="24"/>
          <w:highlight w:val="none"/>
        </w:rPr>
      </w:pPr>
      <w:r>
        <w:rPr>
          <w:rFonts w:hint="eastAsia" w:ascii="宋体" w:hAnsi="宋体"/>
          <w:sz w:val="24"/>
          <w:highlight w:val="none"/>
        </w:rPr>
        <w:t>1</w:t>
      </w:r>
      <w:r>
        <w:rPr>
          <w:rFonts w:ascii="宋体" w:hAnsi="宋体"/>
          <w:sz w:val="24"/>
          <w:highlight w:val="none"/>
        </w:rPr>
        <w:t>8</w:t>
      </w:r>
      <w:r>
        <w:rPr>
          <w:rFonts w:hint="eastAsia" w:ascii="宋体" w:hAnsi="宋体"/>
          <w:sz w:val="24"/>
          <w:highlight w:val="none"/>
        </w:rPr>
        <w:t>.1</w:t>
      </w:r>
      <w:r>
        <w:rPr>
          <w:rFonts w:hAnsi="宋体"/>
          <w:sz w:val="24"/>
          <w:highlight w:val="none"/>
        </w:rPr>
        <w:t>“投标人须知前附表”规定</w:t>
      </w:r>
      <w:r>
        <w:rPr>
          <w:rFonts w:hint="eastAsia" w:hAnsi="宋体"/>
          <w:sz w:val="24"/>
          <w:highlight w:val="none"/>
        </w:rPr>
        <w:t>允许分包的项目，投标人在中标后只能将项目的非主体、</w:t>
      </w:r>
      <w:r>
        <w:rPr>
          <w:rFonts w:ascii="inherit" w:hAnsi="inherit" w:cs="宋体"/>
          <w:kern w:val="0"/>
          <w:sz w:val="24"/>
          <w:highlight w:val="none"/>
        </w:rPr>
        <w:t>非关键性工作分包</w:t>
      </w:r>
      <w:r>
        <w:rPr>
          <w:rFonts w:hint="eastAsia" w:ascii="inherit" w:hAnsi="inherit" w:cs="宋体"/>
          <w:kern w:val="0"/>
          <w:sz w:val="24"/>
          <w:highlight w:val="none"/>
        </w:rPr>
        <w:t>。投标人</w:t>
      </w:r>
      <w:r>
        <w:rPr>
          <w:rFonts w:ascii="inherit" w:hAnsi="inherit" w:cs="宋体"/>
          <w:kern w:val="0"/>
          <w:sz w:val="24"/>
          <w:highlight w:val="none"/>
        </w:rPr>
        <w:t>应当在投标文件中载明分包承担主体，分包承担主体应当具备相应资质条件且不得再次分包。</w:t>
      </w:r>
    </w:p>
    <w:p w14:paraId="2B24B1F5">
      <w:pPr>
        <w:spacing w:line="360" w:lineRule="auto"/>
        <w:jc w:val="left"/>
        <w:rPr>
          <w:rFonts w:hAnsi="宋体"/>
          <w:sz w:val="24"/>
          <w:highlight w:val="none"/>
        </w:rPr>
      </w:pPr>
      <w:r>
        <w:rPr>
          <w:rFonts w:hint="eastAsia" w:ascii="宋体" w:hAnsi="宋体"/>
          <w:b/>
          <w:sz w:val="24"/>
          <w:highlight w:val="none"/>
        </w:rPr>
        <w:t xml:space="preserve">19. </w:t>
      </w:r>
      <w:r>
        <w:rPr>
          <w:rFonts w:ascii="宋体" w:hAnsi="宋体"/>
          <w:b/>
          <w:sz w:val="24"/>
          <w:highlight w:val="none"/>
        </w:rPr>
        <w:t>投标人应当遵循公平竞争的原则，不得恶意串通，不得妨碍其他投标人的竞争行为，不得损害采购人或者其他投标人的合法权益。</w:t>
      </w:r>
    </w:p>
    <w:p w14:paraId="3EF6AD43">
      <w:pPr>
        <w:spacing w:line="360" w:lineRule="auto"/>
        <w:jc w:val="left"/>
        <w:rPr>
          <w:rFonts w:ascii="宋体" w:hAnsi="宋体"/>
          <w:b/>
          <w:sz w:val="24"/>
          <w:highlight w:val="none"/>
        </w:rPr>
      </w:pPr>
      <w:r>
        <w:rPr>
          <w:rFonts w:ascii="宋体" w:hAnsi="宋体"/>
          <w:b/>
          <w:sz w:val="24"/>
          <w:highlight w:val="none"/>
        </w:rPr>
        <w:t>20</w:t>
      </w:r>
      <w:r>
        <w:rPr>
          <w:rFonts w:hint="eastAsia" w:ascii="宋体" w:hAnsi="宋体"/>
          <w:b/>
          <w:sz w:val="24"/>
          <w:highlight w:val="none"/>
        </w:rPr>
        <w:t>. 投标文件的编制</w:t>
      </w:r>
    </w:p>
    <w:p w14:paraId="68F32E59">
      <w:pPr>
        <w:pStyle w:val="16"/>
        <w:spacing w:line="360" w:lineRule="auto"/>
        <w:rPr>
          <w:rFonts w:hAnsi="宋体"/>
          <w:sz w:val="24"/>
          <w:szCs w:val="24"/>
          <w:highlight w:val="none"/>
        </w:rPr>
      </w:pPr>
      <w:r>
        <w:rPr>
          <w:rFonts w:hint="eastAsia" w:hAnsi="宋体"/>
          <w:sz w:val="24"/>
          <w:szCs w:val="24"/>
          <w:highlight w:val="none"/>
        </w:rPr>
        <w:t>20.1投标文件全部采用电子文档，投标人应安装客户端软件—“政采云电子交易客户端”，并按照招标文件和政采云电子交易平台的要求编制，编制后应进行电子签名及加密。</w:t>
      </w:r>
    </w:p>
    <w:p w14:paraId="515C3B66">
      <w:pPr>
        <w:pStyle w:val="16"/>
        <w:spacing w:line="360" w:lineRule="auto"/>
        <w:rPr>
          <w:rFonts w:hAnsi="宋体"/>
          <w:sz w:val="24"/>
          <w:szCs w:val="24"/>
          <w:highlight w:val="none"/>
        </w:rPr>
      </w:pPr>
      <w:r>
        <w:rPr>
          <w:rFonts w:hint="eastAsia" w:hAnsi="宋体"/>
          <w:sz w:val="24"/>
          <w:szCs w:val="24"/>
          <w:highlight w:val="none"/>
        </w:rPr>
        <w:t>★20.2如投标人提交的电子标书不符合20.1要求或开标时无法读取导入或解密，其投标文件将不予受理。</w:t>
      </w:r>
    </w:p>
    <w:p w14:paraId="3B839351">
      <w:pPr>
        <w:pStyle w:val="16"/>
        <w:spacing w:line="360" w:lineRule="auto"/>
        <w:rPr>
          <w:rFonts w:hAnsi="宋体"/>
          <w:sz w:val="24"/>
          <w:szCs w:val="24"/>
          <w:highlight w:val="none"/>
        </w:rPr>
      </w:pPr>
      <w:r>
        <w:rPr>
          <w:rFonts w:hint="eastAsia" w:hAnsi="宋体"/>
          <w:sz w:val="24"/>
          <w:szCs w:val="24"/>
          <w:highlight w:val="none"/>
        </w:rPr>
        <w:t>20.3投标文件应尽量避免涂改、行间插字或删除。如果出现上述情况，改动之处应加盖单</w:t>
      </w:r>
      <w:r>
        <w:rPr>
          <w:rFonts w:hint="eastAsia" w:hAnsi="宋体"/>
          <w:sz w:val="24"/>
          <w:szCs w:val="24"/>
          <w:highlight w:val="none"/>
          <w:lang w:eastAsia="zh-CN"/>
        </w:rPr>
        <w:t>位公</w:t>
      </w:r>
      <w:r>
        <w:rPr>
          <w:rFonts w:hint="eastAsia" w:hAnsi="宋体"/>
          <w:sz w:val="24"/>
          <w:szCs w:val="24"/>
          <w:highlight w:val="none"/>
        </w:rPr>
        <w:t>章或由投标人的法定代表人/单位负责人（签名或盖章）确认。</w:t>
      </w:r>
    </w:p>
    <w:p w14:paraId="5DF6D0E5">
      <w:pPr>
        <w:spacing w:line="360" w:lineRule="auto"/>
        <w:jc w:val="left"/>
        <w:rPr>
          <w:rFonts w:ascii="宋体" w:hAnsi="宋体"/>
          <w:sz w:val="24"/>
          <w:highlight w:val="none"/>
        </w:rPr>
      </w:pPr>
      <w:r>
        <w:rPr>
          <w:rFonts w:hint="eastAsia" w:ascii="宋体" w:hAnsi="宋体"/>
          <w:b/>
          <w:sz w:val="24"/>
          <w:highlight w:val="none"/>
        </w:rPr>
        <w:t>★</w:t>
      </w:r>
      <w:r>
        <w:rPr>
          <w:rFonts w:ascii="宋体" w:hAnsi="宋体"/>
          <w:sz w:val="24"/>
          <w:highlight w:val="none"/>
        </w:rPr>
        <w:t>20</w:t>
      </w:r>
      <w:r>
        <w:rPr>
          <w:rFonts w:hint="eastAsia" w:ascii="宋体" w:hAnsi="宋体"/>
          <w:sz w:val="24"/>
          <w:highlight w:val="none"/>
        </w:rPr>
        <w:t>.4关键内容字迹潦草、表达不清、未按要求填写而导致非唯一理解，视为未实质性响应招标文件的投标文件。</w:t>
      </w:r>
    </w:p>
    <w:p w14:paraId="01AF5ADF">
      <w:pPr>
        <w:spacing w:line="360" w:lineRule="auto"/>
        <w:jc w:val="left"/>
        <w:rPr>
          <w:rFonts w:ascii="宋体" w:hAnsi="宋体"/>
          <w:bCs/>
          <w:sz w:val="24"/>
          <w:highlight w:val="none"/>
        </w:rPr>
      </w:pPr>
      <w:r>
        <w:rPr>
          <w:rFonts w:ascii="宋体" w:hAnsi="宋体"/>
          <w:sz w:val="24"/>
          <w:highlight w:val="none"/>
        </w:rPr>
        <w:t>20</w:t>
      </w:r>
      <w:r>
        <w:rPr>
          <w:rFonts w:hint="eastAsia" w:ascii="宋体" w:hAnsi="宋体"/>
          <w:sz w:val="24"/>
          <w:highlight w:val="none"/>
        </w:rPr>
        <w:t>.5投标文件中提</w:t>
      </w:r>
      <w:r>
        <w:rPr>
          <w:rFonts w:hint="eastAsia" w:ascii="宋体" w:hAnsi="宋体"/>
          <w:bCs/>
          <w:sz w:val="24"/>
          <w:highlight w:val="none"/>
        </w:rPr>
        <w:t>供的资料（扫描件），内容必须清晰可辨，若内容模糊，无法辨识，均视为未提供。</w:t>
      </w:r>
    </w:p>
    <w:p w14:paraId="1828B7E2">
      <w:pPr>
        <w:spacing w:line="360" w:lineRule="auto"/>
        <w:jc w:val="left"/>
        <w:rPr>
          <w:rFonts w:ascii="宋体" w:hAnsi="宋体"/>
          <w:bCs/>
          <w:sz w:val="24"/>
          <w:highlight w:val="none"/>
        </w:rPr>
      </w:pPr>
      <w:r>
        <w:rPr>
          <w:rFonts w:hint="eastAsia" w:ascii="宋体" w:hAnsi="宋体"/>
          <w:b/>
          <w:sz w:val="24"/>
          <w:highlight w:val="none"/>
        </w:rPr>
        <w:t>★</w:t>
      </w:r>
      <w:r>
        <w:rPr>
          <w:rFonts w:ascii="宋体" w:hAnsi="宋体"/>
          <w:bCs/>
          <w:sz w:val="24"/>
          <w:highlight w:val="none"/>
        </w:rPr>
        <w:t>20</w:t>
      </w:r>
      <w:r>
        <w:rPr>
          <w:rFonts w:hint="eastAsia" w:ascii="宋体" w:hAnsi="宋体"/>
          <w:bCs/>
          <w:sz w:val="24"/>
          <w:highlight w:val="none"/>
        </w:rPr>
        <w:t>.6投标文件中对招标文件商务条款及技术要求的应答出现完全或绝大部分复制招标文件要求的，视为未实质性响应招标文件的投标文件。</w:t>
      </w:r>
    </w:p>
    <w:p w14:paraId="328EE14B">
      <w:pPr>
        <w:pStyle w:val="16"/>
        <w:spacing w:line="360" w:lineRule="auto"/>
        <w:rPr>
          <w:rFonts w:hAnsi="宋体"/>
          <w:sz w:val="24"/>
          <w:szCs w:val="24"/>
          <w:highlight w:val="none"/>
        </w:rPr>
      </w:pPr>
      <w:r>
        <w:rPr>
          <w:rFonts w:hAnsi="宋体"/>
          <w:sz w:val="24"/>
          <w:szCs w:val="24"/>
          <w:highlight w:val="none"/>
        </w:rPr>
        <w:t>20</w:t>
      </w:r>
      <w:r>
        <w:rPr>
          <w:rFonts w:hint="eastAsia" w:hAnsi="宋体"/>
          <w:sz w:val="24"/>
          <w:szCs w:val="24"/>
          <w:highlight w:val="none"/>
        </w:rPr>
        <w:t>.7投标文件应由法定代表人/单位负责人在凡规定（电子签名）处逐一电子签名（电子签名或电子签章），要求盖章处应盖单位章（电子签章）。</w:t>
      </w:r>
    </w:p>
    <w:p w14:paraId="2180C12F">
      <w:pPr>
        <w:spacing w:line="360" w:lineRule="auto"/>
        <w:jc w:val="left"/>
        <w:rPr>
          <w:rFonts w:ascii="宋体" w:hAnsi="宋体"/>
          <w:b/>
          <w:sz w:val="24"/>
          <w:highlight w:val="none"/>
        </w:rPr>
      </w:pPr>
      <w:r>
        <w:rPr>
          <w:rFonts w:ascii="宋体" w:hAnsi="宋体"/>
          <w:b/>
          <w:sz w:val="24"/>
          <w:highlight w:val="none"/>
        </w:rPr>
        <w:t>21</w:t>
      </w:r>
      <w:r>
        <w:rPr>
          <w:rFonts w:hint="eastAsia" w:ascii="宋体" w:hAnsi="宋体"/>
          <w:b/>
          <w:sz w:val="24"/>
          <w:highlight w:val="none"/>
        </w:rPr>
        <w:t>. 投标保证金</w:t>
      </w:r>
    </w:p>
    <w:p w14:paraId="3F2DADE1">
      <w:pPr>
        <w:pStyle w:val="16"/>
        <w:tabs>
          <w:tab w:val="left" w:pos="710"/>
        </w:tabs>
        <w:spacing w:line="360" w:lineRule="auto"/>
        <w:rPr>
          <w:rFonts w:hAnsi="宋体"/>
          <w:sz w:val="24"/>
          <w:szCs w:val="24"/>
          <w:highlight w:val="none"/>
        </w:rPr>
      </w:pPr>
      <w:r>
        <w:rPr>
          <w:rFonts w:hAnsi="宋体"/>
          <w:sz w:val="24"/>
          <w:szCs w:val="24"/>
          <w:highlight w:val="none"/>
        </w:rPr>
        <w:t>21</w:t>
      </w:r>
      <w:r>
        <w:rPr>
          <w:rFonts w:hint="eastAsia" w:hAnsi="宋体"/>
          <w:sz w:val="24"/>
          <w:szCs w:val="24"/>
          <w:highlight w:val="none"/>
        </w:rPr>
        <w:t>.1投标保证金为人民币。投标人应在提交投标文件截止时间以前按“</w:t>
      </w:r>
      <w:r>
        <w:rPr>
          <w:rFonts w:hint="eastAsia" w:hAnsi="宋体"/>
          <w:b/>
          <w:sz w:val="24"/>
          <w:szCs w:val="24"/>
          <w:highlight w:val="none"/>
        </w:rPr>
        <w:t>投标人须知前附表</w:t>
      </w:r>
      <w:r>
        <w:rPr>
          <w:rFonts w:hint="eastAsia" w:hAnsi="宋体"/>
          <w:sz w:val="24"/>
          <w:szCs w:val="24"/>
          <w:highlight w:val="none"/>
        </w:rPr>
        <w:t>”的规定提交，并在规定的时间内保持有效。</w:t>
      </w:r>
    </w:p>
    <w:p w14:paraId="60F9178F">
      <w:pPr>
        <w:pStyle w:val="16"/>
        <w:spacing w:line="360" w:lineRule="auto"/>
        <w:rPr>
          <w:rFonts w:hAnsi="宋体"/>
          <w:sz w:val="24"/>
          <w:szCs w:val="24"/>
          <w:highlight w:val="none"/>
        </w:rPr>
      </w:pPr>
      <w:r>
        <w:rPr>
          <w:rFonts w:hAnsi="宋体"/>
          <w:sz w:val="24"/>
          <w:szCs w:val="24"/>
          <w:highlight w:val="none"/>
        </w:rPr>
        <w:t>21</w:t>
      </w:r>
      <w:r>
        <w:rPr>
          <w:rFonts w:hint="eastAsia" w:hAnsi="宋体"/>
          <w:sz w:val="24"/>
          <w:szCs w:val="24"/>
          <w:highlight w:val="none"/>
        </w:rPr>
        <w:t>.2</w:t>
      </w:r>
      <w:r>
        <w:rPr>
          <w:rFonts w:ascii="inherit" w:hAnsi="inherit" w:cs="宋体"/>
          <w:kern w:val="0"/>
          <w:sz w:val="24"/>
          <w:szCs w:val="24"/>
          <w:highlight w:val="none"/>
        </w:rPr>
        <w:t>投标人在投标截止时间前撤回已提交的投标文件的，采购代理机构</w:t>
      </w:r>
      <w:r>
        <w:rPr>
          <w:rFonts w:hint="eastAsia" w:ascii="inherit" w:hAnsi="inherit" w:cs="宋体"/>
          <w:kern w:val="0"/>
          <w:sz w:val="24"/>
          <w:szCs w:val="24"/>
          <w:highlight w:val="none"/>
        </w:rPr>
        <w:t>将</w:t>
      </w:r>
      <w:r>
        <w:rPr>
          <w:rFonts w:ascii="inherit" w:hAnsi="inherit" w:cs="宋体"/>
          <w:kern w:val="0"/>
          <w:sz w:val="24"/>
          <w:szCs w:val="24"/>
          <w:highlight w:val="none"/>
        </w:rPr>
        <w:t>在自收到投标人书面撤回通知之日起５个工作日内，退还已收取的投标保证金，但因投标人自身原因导致无法及时退还的除外</w:t>
      </w:r>
      <w:r>
        <w:rPr>
          <w:rFonts w:hint="eastAsia" w:hAnsi="宋体"/>
          <w:sz w:val="24"/>
          <w:szCs w:val="24"/>
          <w:highlight w:val="none"/>
        </w:rPr>
        <w:t>。</w:t>
      </w:r>
    </w:p>
    <w:p w14:paraId="50B49543">
      <w:pPr>
        <w:pStyle w:val="16"/>
        <w:spacing w:line="360" w:lineRule="auto"/>
        <w:rPr>
          <w:rFonts w:hAnsi="宋体"/>
          <w:sz w:val="24"/>
          <w:szCs w:val="24"/>
          <w:highlight w:val="none"/>
        </w:rPr>
      </w:pPr>
      <w:r>
        <w:rPr>
          <w:rFonts w:hAnsi="宋体"/>
          <w:sz w:val="24"/>
          <w:szCs w:val="24"/>
          <w:highlight w:val="none"/>
        </w:rPr>
        <w:t>21</w:t>
      </w:r>
      <w:r>
        <w:rPr>
          <w:rFonts w:hint="eastAsia" w:hAnsi="宋体"/>
          <w:sz w:val="24"/>
          <w:szCs w:val="24"/>
          <w:highlight w:val="none"/>
        </w:rPr>
        <w:t>.3未中标人的投标保证金将在中标</w:t>
      </w:r>
      <w:r>
        <w:rPr>
          <w:rFonts w:hint="eastAsia" w:hAnsi="宋体"/>
          <w:sz w:val="24"/>
          <w:szCs w:val="24"/>
          <w:highlight w:val="none"/>
          <w:lang w:val="en-US" w:eastAsia="zh-CN"/>
        </w:rPr>
        <w:t>结果</w:t>
      </w:r>
      <w:r>
        <w:rPr>
          <w:rFonts w:hint="eastAsia" w:hAnsi="宋体"/>
          <w:sz w:val="24"/>
          <w:szCs w:val="24"/>
          <w:highlight w:val="none"/>
        </w:rPr>
        <w:t>公告发出后5个工作日退还；中标人的投标保证金将在</w:t>
      </w:r>
      <w:r>
        <w:rPr>
          <w:rFonts w:ascii="inherit" w:hAnsi="inherit" w:cs="宋体"/>
          <w:kern w:val="0"/>
          <w:sz w:val="24"/>
          <w:szCs w:val="24"/>
          <w:highlight w:val="none"/>
        </w:rPr>
        <w:t>采购合同签订之日</w:t>
      </w:r>
      <w:r>
        <w:rPr>
          <w:rFonts w:hint="eastAsia" w:ascii="宋体" w:hAnsi="宋体" w:eastAsia="宋体" w:cs="Times New Roman"/>
          <w:sz w:val="24"/>
          <w:szCs w:val="24"/>
          <w:highlight w:val="none"/>
        </w:rPr>
        <w:t>起5个</w:t>
      </w:r>
      <w:r>
        <w:rPr>
          <w:rFonts w:ascii="inherit" w:hAnsi="inherit" w:cs="宋体"/>
          <w:kern w:val="0"/>
          <w:sz w:val="24"/>
          <w:szCs w:val="24"/>
          <w:highlight w:val="none"/>
        </w:rPr>
        <w:t>工作日内退还</w:t>
      </w:r>
      <w:r>
        <w:rPr>
          <w:rFonts w:hint="eastAsia" w:hAnsi="宋体"/>
          <w:sz w:val="24"/>
          <w:szCs w:val="24"/>
          <w:highlight w:val="none"/>
        </w:rPr>
        <w:t>。</w:t>
      </w:r>
    </w:p>
    <w:p w14:paraId="087DE1A0">
      <w:pPr>
        <w:pStyle w:val="16"/>
        <w:spacing w:line="360" w:lineRule="auto"/>
        <w:rPr>
          <w:rFonts w:hint="eastAsia" w:hAnsi="宋体"/>
          <w:sz w:val="24"/>
          <w:szCs w:val="24"/>
          <w:highlight w:val="none"/>
        </w:rPr>
      </w:pPr>
      <w:r>
        <w:rPr>
          <w:rFonts w:hAnsi="宋体"/>
          <w:sz w:val="24"/>
          <w:szCs w:val="24"/>
          <w:highlight w:val="none"/>
        </w:rPr>
        <w:t>21</w:t>
      </w:r>
      <w:r>
        <w:rPr>
          <w:rFonts w:hint="eastAsia" w:hAnsi="宋体"/>
          <w:sz w:val="24"/>
          <w:szCs w:val="24"/>
          <w:highlight w:val="none"/>
        </w:rPr>
        <w:t>.4投标保证金的退回方式：</w:t>
      </w:r>
    </w:p>
    <w:p w14:paraId="434CBB76">
      <w:pPr>
        <w:pStyle w:val="16"/>
        <w:spacing w:line="360" w:lineRule="auto"/>
        <w:rPr>
          <w:rFonts w:hAnsi="宋体"/>
          <w:sz w:val="24"/>
          <w:szCs w:val="24"/>
          <w:highlight w:val="none"/>
        </w:rPr>
      </w:pPr>
      <w:r>
        <w:rPr>
          <w:rFonts w:hint="eastAsia" w:hAnsi="宋体"/>
          <w:sz w:val="24"/>
          <w:szCs w:val="24"/>
          <w:highlight w:val="none"/>
        </w:rPr>
        <w:t>1）以电汇、网银、转账方式缴纳的保证金，以网银对公转账的方式退还到投标人打款账户；2）以支票、汇票及本票等票据方式缴纳的保证金，经财务查账确认后以对公转账的方式退还到投标人开户账户；3）以银行保函或者保证保险方式缴纳的保证金由投标人自行联系出函机构。</w:t>
      </w:r>
    </w:p>
    <w:p w14:paraId="7A7DBFDE">
      <w:pPr>
        <w:pStyle w:val="16"/>
        <w:spacing w:line="360" w:lineRule="auto"/>
        <w:rPr>
          <w:rFonts w:hAnsi="宋体"/>
          <w:sz w:val="24"/>
          <w:szCs w:val="24"/>
          <w:highlight w:val="none"/>
        </w:rPr>
      </w:pPr>
      <w:r>
        <w:rPr>
          <w:rFonts w:hAnsi="宋体"/>
          <w:sz w:val="24"/>
          <w:szCs w:val="24"/>
          <w:highlight w:val="none"/>
        </w:rPr>
        <w:t>21.5</w:t>
      </w:r>
      <w:r>
        <w:rPr>
          <w:rFonts w:ascii="inherit" w:hAnsi="inherit" w:cs="宋体"/>
          <w:kern w:val="0"/>
          <w:sz w:val="24"/>
          <w:szCs w:val="24"/>
          <w:highlight w:val="none"/>
        </w:rPr>
        <w:t>采购代理机构逾期退还投标保证金的，除退还投标保证金本金外，还</w:t>
      </w:r>
      <w:r>
        <w:rPr>
          <w:rFonts w:hint="eastAsia" w:ascii="inherit" w:hAnsi="inherit" w:cs="宋体"/>
          <w:kern w:val="0"/>
          <w:sz w:val="24"/>
          <w:szCs w:val="24"/>
          <w:highlight w:val="none"/>
        </w:rPr>
        <w:t>将</w:t>
      </w:r>
      <w:r>
        <w:rPr>
          <w:rFonts w:ascii="inherit" w:hAnsi="inherit" w:cs="宋体"/>
          <w:kern w:val="0"/>
          <w:sz w:val="24"/>
          <w:szCs w:val="24"/>
          <w:highlight w:val="none"/>
        </w:rPr>
        <w:t>按中国人民银行同期贷款基准利率</w:t>
      </w:r>
      <w:r>
        <w:rPr>
          <w:rFonts w:hint="eastAsia" w:ascii="宋体" w:hAnsi="宋体" w:eastAsia="宋体" w:cs="Times New Roman"/>
          <w:sz w:val="24"/>
          <w:szCs w:val="24"/>
          <w:highlight w:val="none"/>
        </w:rPr>
        <w:t>上浮20％后</w:t>
      </w:r>
      <w:r>
        <w:rPr>
          <w:rFonts w:ascii="inherit" w:hAnsi="inherit" w:cs="宋体"/>
          <w:kern w:val="0"/>
          <w:sz w:val="24"/>
          <w:szCs w:val="24"/>
          <w:highlight w:val="none"/>
        </w:rPr>
        <w:t>的利率支付超期资金占用费，但因投标人自身原因导致无法及时退还的除外。</w:t>
      </w:r>
    </w:p>
    <w:p w14:paraId="09BC3EB1">
      <w:pPr>
        <w:pStyle w:val="16"/>
        <w:spacing w:line="360" w:lineRule="auto"/>
        <w:rPr>
          <w:rFonts w:hAnsi="宋体"/>
          <w:sz w:val="24"/>
          <w:szCs w:val="24"/>
          <w:highlight w:val="none"/>
        </w:rPr>
      </w:pPr>
      <w:r>
        <w:rPr>
          <w:rFonts w:hAnsi="宋体"/>
          <w:sz w:val="24"/>
          <w:szCs w:val="24"/>
          <w:highlight w:val="none"/>
        </w:rPr>
        <w:t>21</w:t>
      </w:r>
      <w:r>
        <w:rPr>
          <w:rFonts w:hint="eastAsia" w:hAnsi="宋体"/>
          <w:sz w:val="24"/>
          <w:szCs w:val="24"/>
          <w:highlight w:val="none"/>
        </w:rPr>
        <w:t>.6下列情况发生时，投标保证金将不予退还</w:t>
      </w:r>
    </w:p>
    <w:p w14:paraId="33CDE5A5">
      <w:pPr>
        <w:pStyle w:val="16"/>
        <w:spacing w:line="360" w:lineRule="auto"/>
        <w:ind w:left="359" w:leftChars="171"/>
        <w:rPr>
          <w:rFonts w:hAnsi="宋体"/>
          <w:sz w:val="24"/>
          <w:szCs w:val="24"/>
          <w:highlight w:val="none"/>
        </w:rPr>
      </w:pPr>
      <w:r>
        <w:rPr>
          <w:rFonts w:hint="eastAsia" w:hAnsi="宋体"/>
          <w:sz w:val="24"/>
          <w:szCs w:val="24"/>
          <w:highlight w:val="none"/>
        </w:rPr>
        <w:t>（1）投标人在投标有效期内要求撤回投标的；</w:t>
      </w:r>
    </w:p>
    <w:p w14:paraId="27E92E5A">
      <w:pPr>
        <w:spacing w:line="360" w:lineRule="auto"/>
        <w:ind w:firstLine="360" w:firstLineChars="150"/>
        <w:rPr>
          <w:rFonts w:ascii="宋体" w:hAnsi="宋体"/>
          <w:sz w:val="24"/>
          <w:highlight w:val="none"/>
        </w:rPr>
      </w:pPr>
      <w:r>
        <w:rPr>
          <w:rFonts w:hint="eastAsia" w:ascii="宋体" w:hAnsi="宋体"/>
          <w:sz w:val="24"/>
          <w:highlight w:val="none"/>
        </w:rPr>
        <w:t>（2）中标人中标后无正当理由不与采购人签订合同的；</w:t>
      </w:r>
    </w:p>
    <w:p w14:paraId="26A9DC98">
      <w:pPr>
        <w:spacing w:line="360" w:lineRule="auto"/>
        <w:ind w:firstLine="360" w:firstLineChars="150"/>
        <w:rPr>
          <w:rFonts w:ascii="宋体" w:hAnsi="宋体"/>
          <w:sz w:val="24"/>
          <w:highlight w:val="none"/>
        </w:rPr>
      </w:pPr>
      <w:r>
        <w:rPr>
          <w:rFonts w:hint="eastAsia" w:ascii="宋体" w:hAnsi="宋体"/>
          <w:sz w:val="24"/>
          <w:highlight w:val="none"/>
        </w:rPr>
        <w:t>（3）中标人将中标项目转让给他人，或者在投标文件中未说明，且未经采购人同意，将中标项目分包给他人的；</w:t>
      </w:r>
    </w:p>
    <w:p w14:paraId="75BD8590">
      <w:pPr>
        <w:pStyle w:val="16"/>
        <w:spacing w:line="360" w:lineRule="auto"/>
        <w:ind w:left="359" w:leftChars="171"/>
        <w:rPr>
          <w:rFonts w:hAnsi="宋体"/>
          <w:sz w:val="24"/>
          <w:szCs w:val="24"/>
          <w:highlight w:val="none"/>
        </w:rPr>
      </w:pPr>
      <w:r>
        <w:rPr>
          <w:rFonts w:hint="eastAsia" w:hAnsi="宋体"/>
          <w:sz w:val="24"/>
          <w:szCs w:val="24"/>
          <w:highlight w:val="none"/>
        </w:rPr>
        <w:t>（4）中标人拒绝履行合同义务的。</w:t>
      </w:r>
    </w:p>
    <w:p w14:paraId="6977C5F2">
      <w:pPr>
        <w:pStyle w:val="16"/>
        <w:spacing w:line="360" w:lineRule="auto"/>
        <w:rPr>
          <w:rFonts w:hAnsi="宋体"/>
          <w:sz w:val="24"/>
          <w:szCs w:val="24"/>
          <w:highlight w:val="none"/>
        </w:rPr>
      </w:pPr>
    </w:p>
    <w:p w14:paraId="15973636">
      <w:pPr>
        <w:pStyle w:val="5"/>
        <w:ind w:left="425"/>
        <w:jc w:val="center"/>
        <w:rPr>
          <w:rFonts w:ascii="宋体" w:hAnsi="宋体" w:eastAsia="宋体"/>
          <w:sz w:val="24"/>
          <w:szCs w:val="24"/>
          <w:highlight w:val="none"/>
        </w:rPr>
      </w:pPr>
      <w:bookmarkStart w:id="49" w:name="_Toc33095533"/>
      <w:bookmarkStart w:id="50" w:name="_Toc101004085"/>
      <w:bookmarkStart w:id="51" w:name="_Toc29050"/>
      <w:bookmarkStart w:id="52" w:name="_Toc32721"/>
      <w:r>
        <w:rPr>
          <w:rFonts w:hint="eastAsia" w:ascii="宋体" w:hAnsi="宋体" w:eastAsia="宋体"/>
          <w:sz w:val="24"/>
          <w:szCs w:val="24"/>
          <w:highlight w:val="none"/>
        </w:rPr>
        <w:t>四、投标文件的提交</w:t>
      </w:r>
      <w:bookmarkEnd w:id="49"/>
      <w:bookmarkEnd w:id="50"/>
      <w:bookmarkEnd w:id="51"/>
      <w:bookmarkEnd w:id="52"/>
    </w:p>
    <w:p w14:paraId="6EE068D9">
      <w:pPr>
        <w:pStyle w:val="16"/>
        <w:spacing w:line="360" w:lineRule="auto"/>
        <w:rPr>
          <w:rFonts w:hAnsi="宋体"/>
          <w:b/>
          <w:bCs/>
          <w:sz w:val="24"/>
          <w:szCs w:val="24"/>
          <w:highlight w:val="none"/>
        </w:rPr>
      </w:pPr>
      <w:r>
        <w:rPr>
          <w:rFonts w:hint="eastAsia" w:hAnsi="宋体"/>
          <w:b/>
          <w:bCs/>
          <w:sz w:val="24"/>
          <w:szCs w:val="24"/>
          <w:highlight w:val="none"/>
        </w:rPr>
        <w:t>2</w:t>
      </w:r>
      <w:r>
        <w:rPr>
          <w:rFonts w:hAnsi="宋体"/>
          <w:b/>
          <w:bCs/>
          <w:sz w:val="24"/>
          <w:szCs w:val="24"/>
          <w:highlight w:val="none"/>
        </w:rPr>
        <w:t>2</w:t>
      </w:r>
      <w:r>
        <w:rPr>
          <w:rFonts w:hint="eastAsia" w:hAnsi="宋体"/>
          <w:b/>
          <w:bCs/>
          <w:sz w:val="24"/>
          <w:szCs w:val="24"/>
          <w:highlight w:val="none"/>
        </w:rPr>
        <w:t>. 投标文件的密封与标记</w:t>
      </w:r>
    </w:p>
    <w:p w14:paraId="244F3697">
      <w:pPr>
        <w:pStyle w:val="16"/>
        <w:spacing w:line="360" w:lineRule="auto"/>
        <w:rPr>
          <w:rFonts w:hAnsi="宋体"/>
          <w:b/>
          <w:bCs/>
          <w:sz w:val="24"/>
          <w:szCs w:val="24"/>
          <w:highlight w:val="none"/>
          <w:u w:val="single"/>
        </w:rPr>
      </w:pPr>
      <w:r>
        <w:rPr>
          <w:rFonts w:hint="eastAsia" w:hAnsi="宋体"/>
          <w:sz w:val="24"/>
          <w:szCs w:val="24"/>
          <w:highlight w:val="none"/>
        </w:rPr>
        <w:t>2</w:t>
      </w:r>
      <w:r>
        <w:rPr>
          <w:rFonts w:hAnsi="宋体"/>
          <w:sz w:val="24"/>
          <w:szCs w:val="24"/>
          <w:highlight w:val="none"/>
        </w:rPr>
        <w:t>2</w:t>
      </w:r>
      <w:r>
        <w:rPr>
          <w:rFonts w:hint="eastAsia" w:hAnsi="宋体"/>
          <w:sz w:val="24"/>
          <w:szCs w:val="24"/>
          <w:highlight w:val="none"/>
        </w:rPr>
        <w:t>.1投标人进行电子交易应安装客户端软件—“政采云电子交易客户端”，并按照招标文件和电子交易平台的要求编制并加密投标文件。投标人未按规定加密的投标文件，电子交易平台将拒收并提示。</w:t>
      </w:r>
    </w:p>
    <w:p w14:paraId="1F42B640">
      <w:pPr>
        <w:pStyle w:val="16"/>
        <w:spacing w:line="360" w:lineRule="auto"/>
        <w:rPr>
          <w:rFonts w:hAnsi="宋体"/>
          <w:sz w:val="24"/>
          <w:szCs w:val="24"/>
          <w:highlight w:val="none"/>
        </w:rPr>
      </w:pPr>
      <w:r>
        <w:rPr>
          <w:rFonts w:hint="eastAsia" w:hAnsi="宋体"/>
          <w:sz w:val="24"/>
          <w:szCs w:val="24"/>
          <w:highlight w:val="none"/>
        </w:rPr>
        <w:t>2</w:t>
      </w:r>
      <w:r>
        <w:rPr>
          <w:rFonts w:hAnsi="宋体"/>
          <w:sz w:val="24"/>
          <w:szCs w:val="24"/>
          <w:highlight w:val="none"/>
        </w:rPr>
        <w:t>2</w:t>
      </w:r>
      <w:r>
        <w:rPr>
          <w:rFonts w:hint="eastAsia" w:hAnsi="宋体"/>
          <w:sz w:val="24"/>
          <w:szCs w:val="24"/>
          <w:highlight w:val="none"/>
        </w:rPr>
        <w:t>.2使用“政采云电子交易客户端”需要提前申领 CA 数字证书，申领流程见该项目采购公告。</w:t>
      </w:r>
    </w:p>
    <w:p w14:paraId="0134A3F1">
      <w:pPr>
        <w:pStyle w:val="16"/>
        <w:spacing w:line="360" w:lineRule="auto"/>
        <w:ind w:left="1"/>
        <w:rPr>
          <w:rFonts w:hAnsi="宋体"/>
          <w:sz w:val="24"/>
          <w:szCs w:val="24"/>
          <w:highlight w:val="none"/>
        </w:rPr>
      </w:pPr>
      <w:r>
        <w:rPr>
          <w:rFonts w:hint="eastAsia" w:hAnsi="宋体"/>
          <w:sz w:val="24"/>
          <w:szCs w:val="24"/>
          <w:highlight w:val="none"/>
        </w:rPr>
        <w:t>2</w:t>
      </w:r>
      <w:r>
        <w:rPr>
          <w:rFonts w:hAnsi="宋体"/>
          <w:sz w:val="24"/>
          <w:szCs w:val="24"/>
          <w:highlight w:val="none"/>
        </w:rPr>
        <w:t>2</w:t>
      </w:r>
      <w:r>
        <w:rPr>
          <w:rFonts w:hint="eastAsia" w:hAnsi="宋体"/>
          <w:sz w:val="24"/>
          <w:szCs w:val="24"/>
          <w:highlight w:val="none"/>
        </w:rPr>
        <w:t>.3为确保网上操作合法、有效和安全，供应商应当在投标文件提交截止时间前完成在 “政府采购云平台”的身份认证，确保在电子交易过程中能够对相关数据电文进行加密和使用电子签名。</w:t>
      </w:r>
    </w:p>
    <w:p w14:paraId="141F8DF0">
      <w:pPr>
        <w:spacing w:line="360" w:lineRule="auto"/>
        <w:jc w:val="left"/>
        <w:rPr>
          <w:rFonts w:ascii="宋体" w:hAnsi="宋体"/>
          <w:b/>
          <w:sz w:val="24"/>
          <w:highlight w:val="none"/>
        </w:rPr>
      </w:pPr>
      <w:r>
        <w:rPr>
          <w:rFonts w:hint="eastAsia" w:ascii="宋体" w:hAnsi="宋体"/>
          <w:b/>
          <w:sz w:val="24"/>
          <w:highlight w:val="none"/>
        </w:rPr>
        <w:t>2</w:t>
      </w:r>
      <w:r>
        <w:rPr>
          <w:rFonts w:ascii="宋体" w:hAnsi="宋体"/>
          <w:b/>
          <w:sz w:val="24"/>
          <w:highlight w:val="none"/>
        </w:rPr>
        <w:t>3</w:t>
      </w:r>
      <w:r>
        <w:rPr>
          <w:rFonts w:hint="eastAsia" w:ascii="宋体" w:hAnsi="宋体"/>
          <w:b/>
          <w:sz w:val="24"/>
          <w:highlight w:val="none"/>
        </w:rPr>
        <w:t>. 提交投标文件截止时间和地点</w:t>
      </w:r>
    </w:p>
    <w:p w14:paraId="5AFBB514">
      <w:pPr>
        <w:pStyle w:val="16"/>
        <w:spacing w:line="360" w:lineRule="auto"/>
        <w:ind w:leftChars="-5" w:hanging="9" w:hangingChars="4"/>
        <w:rPr>
          <w:rFonts w:hAnsi="宋体"/>
          <w:b/>
          <w:sz w:val="24"/>
          <w:szCs w:val="24"/>
          <w:highlight w:val="none"/>
        </w:rPr>
      </w:pPr>
      <w:r>
        <w:rPr>
          <w:rFonts w:hint="eastAsia" w:hAnsi="宋体"/>
          <w:sz w:val="24"/>
          <w:szCs w:val="24"/>
          <w:highlight w:val="none"/>
        </w:rPr>
        <w:t>2</w:t>
      </w:r>
      <w:r>
        <w:rPr>
          <w:rFonts w:hAnsi="宋体"/>
          <w:sz w:val="24"/>
          <w:szCs w:val="24"/>
          <w:highlight w:val="none"/>
        </w:rPr>
        <w:t>3</w:t>
      </w:r>
      <w:r>
        <w:rPr>
          <w:rFonts w:hint="eastAsia" w:hAnsi="宋体"/>
          <w:sz w:val="24"/>
          <w:szCs w:val="24"/>
          <w:highlight w:val="none"/>
        </w:rPr>
        <w:t>.1投标文件的递交/上传不得迟于“投标人须知前附表”规定的递交投标文件截止时间。逾期送达/上传的投标文件，采购人不予接收。</w:t>
      </w:r>
    </w:p>
    <w:p w14:paraId="6FE5226B">
      <w:pPr>
        <w:pStyle w:val="16"/>
        <w:spacing w:line="360" w:lineRule="auto"/>
        <w:ind w:left="720" w:hanging="720" w:hangingChars="300"/>
        <w:rPr>
          <w:rFonts w:hAnsi="宋体"/>
          <w:sz w:val="24"/>
          <w:szCs w:val="24"/>
          <w:highlight w:val="none"/>
        </w:rPr>
      </w:pPr>
      <w:r>
        <w:rPr>
          <w:rFonts w:hint="eastAsia" w:hAnsi="宋体"/>
          <w:sz w:val="24"/>
          <w:szCs w:val="24"/>
          <w:highlight w:val="none"/>
        </w:rPr>
        <w:t>2</w:t>
      </w:r>
      <w:r>
        <w:rPr>
          <w:rFonts w:hAnsi="宋体"/>
          <w:sz w:val="24"/>
          <w:szCs w:val="24"/>
          <w:highlight w:val="none"/>
        </w:rPr>
        <w:t>3</w:t>
      </w:r>
      <w:r>
        <w:rPr>
          <w:rFonts w:hint="eastAsia" w:hAnsi="宋体"/>
          <w:sz w:val="24"/>
          <w:szCs w:val="24"/>
          <w:highlight w:val="none"/>
        </w:rPr>
        <w:t>.2投标人必须在规定时间内将投标文件递交/上传到“投标人须知前附表”规定的地点。</w:t>
      </w:r>
    </w:p>
    <w:p w14:paraId="40D9D3AD">
      <w:pPr>
        <w:spacing w:line="360" w:lineRule="auto"/>
        <w:jc w:val="left"/>
        <w:rPr>
          <w:rFonts w:ascii="宋体" w:hAnsi="宋体"/>
          <w:sz w:val="24"/>
          <w:highlight w:val="none"/>
        </w:rPr>
      </w:pPr>
      <w:r>
        <w:rPr>
          <w:rFonts w:hint="eastAsia" w:ascii="宋体" w:hAnsi="宋体"/>
          <w:sz w:val="24"/>
          <w:highlight w:val="none"/>
        </w:rPr>
        <w:t>2</w:t>
      </w:r>
      <w:r>
        <w:rPr>
          <w:rFonts w:ascii="宋体" w:hAnsi="宋体"/>
          <w:sz w:val="24"/>
          <w:highlight w:val="none"/>
        </w:rPr>
        <w:t>3.3</w:t>
      </w:r>
      <w:r>
        <w:rPr>
          <w:rFonts w:hint="eastAsia" w:ascii="宋体" w:hAnsi="宋体"/>
          <w:sz w:val="24"/>
          <w:highlight w:val="none"/>
        </w:rPr>
        <w:t>除“</w:t>
      </w:r>
      <w:r>
        <w:rPr>
          <w:rFonts w:hint="eastAsia" w:hAnsi="宋体"/>
          <w:sz w:val="24"/>
          <w:highlight w:val="none"/>
        </w:rPr>
        <w:t>投标人</w:t>
      </w:r>
      <w:r>
        <w:rPr>
          <w:rFonts w:hint="eastAsia" w:ascii="宋体" w:hAnsi="宋体"/>
          <w:sz w:val="24"/>
          <w:highlight w:val="none"/>
        </w:rPr>
        <w:t>须知前附表”另有规定外，投标人所递交的投标文件不予退还。</w:t>
      </w:r>
    </w:p>
    <w:p w14:paraId="5C1A52C6">
      <w:pPr>
        <w:spacing w:line="360" w:lineRule="auto"/>
        <w:jc w:val="left"/>
        <w:rPr>
          <w:rFonts w:ascii="宋体" w:hAnsi="宋体"/>
          <w:sz w:val="24"/>
          <w:highlight w:val="none"/>
        </w:rPr>
      </w:pPr>
      <w:r>
        <w:rPr>
          <w:rFonts w:hint="eastAsia" w:ascii="宋体" w:hAnsi="宋体"/>
          <w:sz w:val="24"/>
          <w:highlight w:val="none"/>
        </w:rPr>
        <w:t>23.4在投标截止时间前，投标人可以撤回在网上已递交的投标文件，修改后重新上传，无须书面形式通知采购人。</w:t>
      </w:r>
    </w:p>
    <w:p w14:paraId="6AD99AE0">
      <w:pPr>
        <w:spacing w:line="360" w:lineRule="auto"/>
        <w:jc w:val="left"/>
        <w:rPr>
          <w:rFonts w:ascii="宋体" w:hAnsi="宋体"/>
          <w:sz w:val="24"/>
          <w:highlight w:val="none"/>
        </w:rPr>
      </w:pPr>
      <w:r>
        <w:rPr>
          <w:rFonts w:hint="eastAsia" w:ascii="宋体" w:hAnsi="宋体"/>
          <w:sz w:val="24"/>
          <w:highlight w:val="none"/>
        </w:rPr>
        <w:t>23.5修改的投标文件应按照本章第20款、第22款的要求进行重新编制、加密和递交。</w:t>
      </w:r>
    </w:p>
    <w:p w14:paraId="5655CD80">
      <w:pPr>
        <w:spacing w:line="360" w:lineRule="auto"/>
        <w:jc w:val="left"/>
        <w:rPr>
          <w:rFonts w:ascii="宋体" w:hAnsi="宋体"/>
          <w:sz w:val="24"/>
          <w:highlight w:val="none"/>
        </w:rPr>
      </w:pPr>
      <w:r>
        <w:rPr>
          <w:rFonts w:hint="eastAsia" w:ascii="宋体" w:hAnsi="宋体"/>
          <w:sz w:val="24"/>
          <w:highlight w:val="none"/>
        </w:rPr>
        <w:t>23.6在投标截止时间后递交的投标文件不予撤回。</w:t>
      </w:r>
    </w:p>
    <w:p w14:paraId="30C3346E">
      <w:pPr>
        <w:pStyle w:val="16"/>
        <w:spacing w:line="360" w:lineRule="auto"/>
        <w:ind w:left="720" w:hanging="720" w:hangingChars="300"/>
        <w:rPr>
          <w:rFonts w:hAnsi="宋体"/>
          <w:sz w:val="24"/>
          <w:szCs w:val="24"/>
          <w:highlight w:val="none"/>
        </w:rPr>
      </w:pPr>
    </w:p>
    <w:p w14:paraId="64B3A060">
      <w:pPr>
        <w:pStyle w:val="5"/>
        <w:ind w:left="425"/>
        <w:jc w:val="center"/>
        <w:rPr>
          <w:rFonts w:ascii="宋体" w:hAnsi="宋体" w:eastAsia="宋体"/>
          <w:sz w:val="24"/>
          <w:szCs w:val="24"/>
          <w:highlight w:val="none"/>
        </w:rPr>
      </w:pPr>
      <w:bookmarkStart w:id="53" w:name="_Toc33095534"/>
      <w:bookmarkStart w:id="54" w:name="_Toc101004086"/>
      <w:bookmarkStart w:id="55" w:name="_Toc31843"/>
      <w:bookmarkStart w:id="56" w:name="_Toc22077"/>
      <w:r>
        <w:rPr>
          <w:rFonts w:hint="eastAsia" w:ascii="宋体" w:hAnsi="宋体" w:eastAsia="宋体"/>
          <w:sz w:val="24"/>
          <w:szCs w:val="24"/>
          <w:highlight w:val="none"/>
        </w:rPr>
        <w:t>五、开标与评标</w:t>
      </w:r>
      <w:bookmarkEnd w:id="53"/>
      <w:bookmarkEnd w:id="54"/>
      <w:bookmarkEnd w:id="55"/>
      <w:bookmarkEnd w:id="56"/>
    </w:p>
    <w:p w14:paraId="3ED65ACA">
      <w:pPr>
        <w:spacing w:line="360" w:lineRule="auto"/>
        <w:jc w:val="left"/>
        <w:rPr>
          <w:rFonts w:ascii="宋体" w:hAnsi="宋体"/>
          <w:b/>
          <w:sz w:val="24"/>
          <w:highlight w:val="none"/>
        </w:rPr>
      </w:pPr>
      <w:r>
        <w:rPr>
          <w:rFonts w:hint="eastAsia" w:ascii="宋体" w:hAnsi="宋体"/>
          <w:b/>
          <w:sz w:val="24"/>
          <w:highlight w:val="none"/>
        </w:rPr>
        <w:t>2</w:t>
      </w:r>
      <w:r>
        <w:rPr>
          <w:rFonts w:ascii="宋体" w:hAnsi="宋体"/>
          <w:b/>
          <w:sz w:val="24"/>
          <w:highlight w:val="none"/>
        </w:rPr>
        <w:t>4</w:t>
      </w:r>
      <w:r>
        <w:rPr>
          <w:rFonts w:hint="eastAsia" w:ascii="宋体" w:hAnsi="宋体"/>
          <w:b/>
          <w:sz w:val="24"/>
          <w:highlight w:val="none"/>
        </w:rPr>
        <w:t>. 开标</w:t>
      </w:r>
    </w:p>
    <w:p w14:paraId="46C9935A">
      <w:pPr>
        <w:pStyle w:val="16"/>
        <w:spacing w:line="360" w:lineRule="auto"/>
        <w:rPr>
          <w:rFonts w:hAnsi="宋体"/>
          <w:sz w:val="24"/>
          <w:szCs w:val="24"/>
          <w:highlight w:val="none"/>
        </w:rPr>
      </w:pPr>
      <w:r>
        <w:rPr>
          <w:rFonts w:hint="eastAsia" w:hAnsi="宋体"/>
          <w:sz w:val="24"/>
          <w:szCs w:val="24"/>
          <w:highlight w:val="none"/>
        </w:rPr>
        <w:t>2</w:t>
      </w:r>
      <w:r>
        <w:rPr>
          <w:rFonts w:hAnsi="宋体"/>
          <w:sz w:val="24"/>
          <w:szCs w:val="24"/>
          <w:highlight w:val="none"/>
        </w:rPr>
        <w:t>4</w:t>
      </w:r>
      <w:r>
        <w:rPr>
          <w:rFonts w:hint="eastAsia" w:hAnsi="宋体"/>
          <w:sz w:val="24"/>
          <w:szCs w:val="24"/>
          <w:highlight w:val="none"/>
        </w:rPr>
        <w:t>.1采购代理机构将在“投标人须知前附表”规定的时间和地点进行开标，请各投标人代表准时参加线上开标会。</w:t>
      </w:r>
      <w:r>
        <w:rPr>
          <w:rFonts w:hint="eastAsia" w:hAnsi="宋体"/>
          <w:b/>
          <w:bCs/>
          <w:sz w:val="24"/>
          <w:szCs w:val="24"/>
          <w:highlight w:val="none"/>
        </w:rPr>
        <w:t>如投标人未参加开标的，视同认可开标结果</w:t>
      </w:r>
      <w:r>
        <w:rPr>
          <w:rFonts w:hint="eastAsia" w:hAnsi="宋体"/>
          <w:sz w:val="24"/>
          <w:szCs w:val="24"/>
          <w:highlight w:val="none"/>
        </w:rPr>
        <w:t>。</w:t>
      </w:r>
    </w:p>
    <w:p w14:paraId="34E598FD">
      <w:pPr>
        <w:spacing w:line="360" w:lineRule="auto"/>
        <w:jc w:val="left"/>
        <w:rPr>
          <w:rFonts w:ascii="宋体" w:hAnsi="宋体"/>
          <w:sz w:val="24"/>
          <w:highlight w:val="none"/>
        </w:rPr>
      </w:pPr>
      <w:r>
        <w:rPr>
          <w:rFonts w:hint="eastAsia" w:ascii="宋体" w:hAnsi="宋体"/>
          <w:sz w:val="24"/>
          <w:highlight w:val="none"/>
        </w:rPr>
        <w:t>2</w:t>
      </w:r>
      <w:r>
        <w:rPr>
          <w:rFonts w:ascii="宋体" w:hAnsi="宋体"/>
          <w:sz w:val="24"/>
          <w:highlight w:val="none"/>
        </w:rPr>
        <w:t>4</w:t>
      </w:r>
      <w:r>
        <w:rPr>
          <w:rFonts w:hint="eastAsia" w:ascii="宋体" w:hAnsi="宋体"/>
          <w:sz w:val="24"/>
          <w:highlight w:val="none"/>
        </w:rPr>
        <w:t>.2投标截止后投标人不足3家的，不得开标。</w:t>
      </w:r>
    </w:p>
    <w:p w14:paraId="402D4660">
      <w:pPr>
        <w:pStyle w:val="16"/>
        <w:spacing w:line="360" w:lineRule="auto"/>
        <w:ind w:left="2"/>
        <w:jc w:val="left"/>
        <w:rPr>
          <w:rFonts w:hAnsi="宋体"/>
          <w:sz w:val="24"/>
          <w:szCs w:val="24"/>
          <w:highlight w:val="none"/>
        </w:rPr>
      </w:pPr>
      <w:r>
        <w:rPr>
          <w:rFonts w:hint="eastAsia" w:hAnsi="宋体"/>
          <w:sz w:val="24"/>
          <w:szCs w:val="24"/>
          <w:highlight w:val="none"/>
        </w:rPr>
        <w:t>24.3开标会：开标会由采购代理机构主持，具体流程如下：</w:t>
      </w:r>
    </w:p>
    <w:p w14:paraId="02297C72">
      <w:pPr>
        <w:pStyle w:val="16"/>
        <w:spacing w:line="360" w:lineRule="auto"/>
        <w:ind w:left="2"/>
        <w:jc w:val="left"/>
        <w:rPr>
          <w:rFonts w:hAnsi="宋体"/>
          <w:sz w:val="24"/>
          <w:szCs w:val="24"/>
          <w:highlight w:val="none"/>
        </w:rPr>
      </w:pPr>
      <w:r>
        <w:rPr>
          <w:rFonts w:hint="eastAsia" w:hAnsi="宋体"/>
          <w:sz w:val="24"/>
          <w:szCs w:val="24"/>
          <w:highlight w:val="none"/>
        </w:rPr>
        <w:t>（1）采购代理机构依托电子交易平台发起开始解密指令，投标人须使用加密时所用的 CA 锁按平台提示和招标文件的规定登录到</w:t>
      </w:r>
      <w:r>
        <w:rPr>
          <w:rFonts w:hint="eastAsia" w:hAnsi="宋体"/>
          <w:sz w:val="24"/>
          <w:szCs w:val="24"/>
          <w:highlight w:val="none"/>
          <w:lang w:eastAsia="zh-CN"/>
        </w:rPr>
        <w:t>“政采云”</w:t>
      </w:r>
      <w:r>
        <w:rPr>
          <w:rFonts w:hint="eastAsia" w:hAnsi="宋体"/>
          <w:sz w:val="24"/>
          <w:szCs w:val="24"/>
          <w:highlight w:val="none"/>
        </w:rPr>
        <w:t>平台电子开标大厅签到，并在发起解密指令之时起 60 分钟内完成对电子投标文件在线解密；投标文件未按时解密的，视为撤回投标文件。</w:t>
      </w:r>
    </w:p>
    <w:p w14:paraId="2E3D320E">
      <w:pPr>
        <w:pStyle w:val="16"/>
        <w:spacing w:line="360" w:lineRule="auto"/>
        <w:ind w:left="2"/>
        <w:jc w:val="left"/>
        <w:rPr>
          <w:rFonts w:hAnsi="宋体"/>
          <w:sz w:val="24"/>
          <w:szCs w:val="24"/>
          <w:highlight w:val="none"/>
        </w:rPr>
      </w:pPr>
      <w:r>
        <w:rPr>
          <w:rFonts w:hint="eastAsia" w:hAnsi="宋体"/>
          <w:sz w:val="24"/>
          <w:szCs w:val="24"/>
          <w:highlight w:val="none"/>
        </w:rPr>
        <w:t>（2）发起解密指令之时起 5 分钟内投标人还未进行解密的，代理机构可通知投标人，投标人未预留联系方式或预留联系方式无效，导致代理机构无法联系到投标人，所产生的后果由投标人自行承担。</w:t>
      </w:r>
    </w:p>
    <w:p w14:paraId="03D0BB21">
      <w:pPr>
        <w:pStyle w:val="16"/>
        <w:spacing w:line="360" w:lineRule="auto"/>
        <w:ind w:left="2"/>
        <w:jc w:val="left"/>
        <w:rPr>
          <w:rFonts w:hAnsi="宋体"/>
          <w:sz w:val="24"/>
          <w:szCs w:val="24"/>
          <w:highlight w:val="none"/>
        </w:rPr>
      </w:pPr>
      <w:r>
        <w:rPr>
          <w:rFonts w:hint="eastAsia" w:hAnsi="宋体"/>
          <w:sz w:val="24"/>
          <w:szCs w:val="24"/>
          <w:highlight w:val="none"/>
        </w:rPr>
        <w:t>（解密异常情况处理：详见本章 27.2电子交易活动的中止） 如投标人成功解密投标文件，但未在</w:t>
      </w:r>
      <w:r>
        <w:rPr>
          <w:rFonts w:hint="eastAsia" w:hAnsi="宋体"/>
          <w:sz w:val="24"/>
          <w:szCs w:val="24"/>
          <w:highlight w:val="none"/>
          <w:lang w:eastAsia="zh-CN"/>
        </w:rPr>
        <w:t>“政采云”</w:t>
      </w:r>
      <w:r>
        <w:rPr>
          <w:rFonts w:hint="eastAsia" w:hAnsi="宋体"/>
          <w:sz w:val="24"/>
          <w:szCs w:val="24"/>
          <w:highlight w:val="none"/>
        </w:rPr>
        <w:t>电子开标大厅参加开标的，视同认可开标过程和结果，由此产生的后果由投标人自行负责。</w:t>
      </w:r>
    </w:p>
    <w:p w14:paraId="49545341">
      <w:pPr>
        <w:pStyle w:val="16"/>
        <w:spacing w:line="360" w:lineRule="auto"/>
        <w:ind w:left="2"/>
        <w:jc w:val="left"/>
        <w:rPr>
          <w:rFonts w:hAnsi="宋体"/>
          <w:sz w:val="24"/>
          <w:szCs w:val="24"/>
          <w:highlight w:val="none"/>
        </w:rPr>
      </w:pPr>
      <w:r>
        <w:rPr>
          <w:rFonts w:hint="eastAsia" w:hAnsi="宋体"/>
          <w:sz w:val="24"/>
          <w:szCs w:val="24"/>
          <w:highlight w:val="none"/>
        </w:rPr>
        <w:t>24.4 开标工作人员将做开标记录。</w:t>
      </w:r>
    </w:p>
    <w:p w14:paraId="76362334">
      <w:pPr>
        <w:pStyle w:val="16"/>
        <w:spacing w:line="360" w:lineRule="auto"/>
        <w:ind w:left="2"/>
        <w:jc w:val="left"/>
        <w:rPr>
          <w:rFonts w:hAnsi="宋体"/>
          <w:sz w:val="24"/>
          <w:szCs w:val="24"/>
          <w:highlight w:val="none"/>
        </w:rPr>
      </w:pPr>
      <w:r>
        <w:rPr>
          <w:rFonts w:hint="eastAsia" w:hAnsi="宋体"/>
          <w:sz w:val="24"/>
          <w:szCs w:val="24"/>
          <w:highlight w:val="none"/>
        </w:rPr>
        <w:t>24.5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6159E894">
      <w:pPr>
        <w:pStyle w:val="16"/>
        <w:spacing w:line="360" w:lineRule="auto"/>
        <w:ind w:left="2"/>
        <w:jc w:val="left"/>
        <w:rPr>
          <w:rFonts w:hAnsi="宋体"/>
          <w:b/>
          <w:sz w:val="24"/>
          <w:szCs w:val="24"/>
          <w:highlight w:val="none"/>
        </w:rPr>
      </w:pPr>
      <w:r>
        <w:rPr>
          <w:rFonts w:hint="eastAsia" w:hAnsi="宋体"/>
          <w:b/>
          <w:sz w:val="24"/>
          <w:szCs w:val="24"/>
          <w:highlight w:val="none"/>
        </w:rPr>
        <w:t>25.</w:t>
      </w:r>
      <w:r>
        <w:rPr>
          <w:rFonts w:hAnsi="宋体"/>
          <w:b/>
          <w:sz w:val="24"/>
          <w:szCs w:val="24"/>
          <w:highlight w:val="none"/>
        </w:rPr>
        <w:t xml:space="preserve"> </w:t>
      </w:r>
      <w:r>
        <w:rPr>
          <w:rFonts w:hint="eastAsia" w:hAnsi="宋体"/>
          <w:b/>
          <w:sz w:val="24"/>
          <w:szCs w:val="24"/>
          <w:highlight w:val="none"/>
        </w:rPr>
        <w:t>资格审查</w:t>
      </w:r>
    </w:p>
    <w:p w14:paraId="57F4D3DC">
      <w:pPr>
        <w:pStyle w:val="16"/>
        <w:spacing w:line="360" w:lineRule="auto"/>
        <w:ind w:left="2"/>
        <w:jc w:val="left"/>
        <w:rPr>
          <w:rFonts w:hAnsi="宋体"/>
          <w:sz w:val="24"/>
          <w:szCs w:val="24"/>
          <w:highlight w:val="none"/>
        </w:rPr>
      </w:pPr>
      <w:r>
        <w:rPr>
          <w:rFonts w:hint="eastAsia" w:hAnsi="宋体"/>
          <w:sz w:val="24"/>
          <w:szCs w:val="24"/>
          <w:highlight w:val="none"/>
        </w:rPr>
        <w:t>开标结束后，采购人或者采购代理机构应当按照“第六章 资格评审标准”依法对投标人的资格进行审查，合格投标人不足3家的，不得评标。</w:t>
      </w:r>
    </w:p>
    <w:p w14:paraId="09B4E04C">
      <w:pPr>
        <w:spacing w:line="360" w:lineRule="auto"/>
        <w:jc w:val="left"/>
        <w:rPr>
          <w:rFonts w:ascii="宋体" w:hAnsi="宋体"/>
          <w:b/>
          <w:sz w:val="24"/>
          <w:highlight w:val="none"/>
        </w:rPr>
      </w:pPr>
      <w:r>
        <w:rPr>
          <w:rFonts w:hint="eastAsia" w:ascii="宋体" w:hAnsi="宋体"/>
          <w:b/>
          <w:sz w:val="24"/>
          <w:highlight w:val="none"/>
        </w:rPr>
        <w:t>26. 评标</w:t>
      </w:r>
    </w:p>
    <w:p w14:paraId="4FE103F2">
      <w:pPr>
        <w:spacing w:line="360" w:lineRule="auto"/>
        <w:jc w:val="left"/>
        <w:rPr>
          <w:rFonts w:ascii="宋体" w:hAnsi="宋体"/>
          <w:sz w:val="24"/>
          <w:highlight w:val="none"/>
        </w:rPr>
      </w:pPr>
      <w:r>
        <w:rPr>
          <w:rFonts w:hint="eastAsia" w:ascii="宋体" w:hAnsi="宋体"/>
          <w:sz w:val="24"/>
          <w:highlight w:val="none"/>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采购人委派代表参加评标委员会的，要向采购代理机构出具授权函。</w:t>
      </w:r>
    </w:p>
    <w:p w14:paraId="676B2048">
      <w:pPr>
        <w:pStyle w:val="16"/>
        <w:spacing w:line="360" w:lineRule="auto"/>
        <w:rPr>
          <w:rFonts w:hAnsi="宋体"/>
          <w:bCs/>
          <w:sz w:val="24"/>
          <w:szCs w:val="24"/>
          <w:highlight w:val="none"/>
        </w:rPr>
      </w:pPr>
      <w:bookmarkStart w:id="57" w:name="_Toc191374422"/>
      <w:r>
        <w:rPr>
          <w:rFonts w:hint="eastAsia" w:hAnsi="宋体"/>
          <w:bCs/>
          <w:sz w:val="24"/>
          <w:szCs w:val="24"/>
          <w:highlight w:val="none"/>
        </w:rPr>
        <w:t>26.2评标原则</w:t>
      </w:r>
      <w:bookmarkEnd w:id="57"/>
      <w:r>
        <w:rPr>
          <w:rFonts w:hint="eastAsia" w:hAnsi="宋体"/>
          <w:bCs/>
          <w:sz w:val="24"/>
          <w:szCs w:val="24"/>
          <w:highlight w:val="none"/>
        </w:rPr>
        <w:t>及方法</w:t>
      </w:r>
    </w:p>
    <w:p w14:paraId="01AEE71F">
      <w:pPr>
        <w:spacing w:line="360" w:lineRule="auto"/>
        <w:jc w:val="left"/>
        <w:rPr>
          <w:rFonts w:ascii="宋体" w:hAnsi="宋体"/>
          <w:sz w:val="24"/>
          <w:highlight w:val="none"/>
        </w:rPr>
      </w:pPr>
      <w:r>
        <w:rPr>
          <w:rFonts w:hint="eastAsia" w:ascii="宋体" w:hAnsi="宋体"/>
          <w:sz w:val="24"/>
          <w:highlight w:val="none"/>
        </w:rPr>
        <w:t>评标活动遵循公平、公正、科学和择优的原则。</w:t>
      </w:r>
    </w:p>
    <w:p w14:paraId="5912B521">
      <w:pPr>
        <w:pStyle w:val="16"/>
        <w:spacing w:line="360" w:lineRule="auto"/>
        <w:ind w:left="720" w:hanging="720" w:hangingChars="300"/>
        <w:rPr>
          <w:rFonts w:hAnsi="宋体"/>
          <w:bCs/>
          <w:sz w:val="24"/>
          <w:szCs w:val="24"/>
          <w:highlight w:val="none"/>
        </w:rPr>
      </w:pPr>
      <w:r>
        <w:rPr>
          <w:rFonts w:hint="eastAsia" w:hAnsi="宋体"/>
          <w:sz w:val="24"/>
          <w:szCs w:val="24"/>
          <w:highlight w:val="none"/>
        </w:rPr>
        <w:t>26.3</w:t>
      </w:r>
      <w:r>
        <w:rPr>
          <w:rFonts w:hint="eastAsia" w:hAnsi="宋体"/>
          <w:bCs/>
          <w:sz w:val="24"/>
          <w:szCs w:val="24"/>
          <w:highlight w:val="none"/>
        </w:rPr>
        <w:t>评标方法</w:t>
      </w:r>
    </w:p>
    <w:p w14:paraId="55ECE012">
      <w:pPr>
        <w:spacing w:line="360" w:lineRule="auto"/>
        <w:jc w:val="left"/>
        <w:rPr>
          <w:rFonts w:ascii="宋体" w:hAnsi="宋体"/>
          <w:sz w:val="24"/>
          <w:highlight w:val="none"/>
        </w:rPr>
      </w:pPr>
      <w:r>
        <w:rPr>
          <w:rFonts w:hint="eastAsia" w:ascii="宋体" w:hAnsi="宋体"/>
          <w:sz w:val="24"/>
          <w:highlight w:val="none"/>
        </w:rPr>
        <w:t>本项目按“</w:t>
      </w:r>
      <w:r>
        <w:rPr>
          <w:rFonts w:hint="eastAsia" w:ascii="宋体" w:hAnsi="宋体"/>
          <w:b/>
          <w:bCs/>
          <w:sz w:val="24"/>
          <w:highlight w:val="none"/>
        </w:rPr>
        <w:t>投标人须知前附表</w:t>
      </w:r>
      <w:r>
        <w:rPr>
          <w:rFonts w:hint="eastAsia" w:ascii="宋体" w:hAnsi="宋体"/>
          <w:sz w:val="24"/>
          <w:highlight w:val="none"/>
        </w:rPr>
        <w:t>”规定的评标方法评标。在评标中，不得改变招标文件中规定的评标标准、方法和中标条件。第七章“</w:t>
      </w:r>
      <w:r>
        <w:rPr>
          <w:rFonts w:hint="eastAsia" w:ascii="宋体" w:hAnsi="宋体"/>
          <w:b/>
          <w:sz w:val="24"/>
          <w:highlight w:val="none"/>
        </w:rPr>
        <w:t>评标方法</w:t>
      </w:r>
      <w:r>
        <w:rPr>
          <w:rFonts w:hint="eastAsia" w:ascii="宋体" w:hAnsi="宋体"/>
          <w:sz w:val="24"/>
          <w:highlight w:val="none"/>
        </w:rPr>
        <w:t>”没有规定的评审因素和标准，不作为评标依据。</w:t>
      </w:r>
    </w:p>
    <w:p w14:paraId="41EEA68C">
      <w:pPr>
        <w:spacing w:line="360" w:lineRule="auto"/>
        <w:rPr>
          <w:rFonts w:ascii="宋体" w:hAnsi="宋体"/>
          <w:sz w:val="24"/>
          <w:highlight w:val="none"/>
        </w:rPr>
      </w:pPr>
      <w:r>
        <w:rPr>
          <w:rFonts w:hint="eastAsia" w:ascii="宋体" w:hAnsi="宋体"/>
          <w:sz w:val="24"/>
          <w:highlight w:val="none"/>
        </w:rPr>
        <w:t>26.4评标应当在严格保密的情况下进行。</w:t>
      </w:r>
      <w:r>
        <w:rPr>
          <w:rFonts w:ascii="宋体" w:hAnsi="宋体"/>
          <w:sz w:val="24"/>
          <w:highlight w:val="none"/>
        </w:rPr>
        <w:t xml:space="preserve"> </w:t>
      </w:r>
      <w:r>
        <w:rPr>
          <w:rFonts w:hint="eastAsia" w:ascii="宋体" w:hAnsi="宋体"/>
          <w:sz w:val="24"/>
          <w:highlight w:val="none"/>
        </w:rPr>
        <w:t>任何单位和个人不得非法干预、影响评标办法的确定，以及评标过程和结果。</w:t>
      </w:r>
      <w:r>
        <w:rPr>
          <w:rFonts w:ascii="宋体" w:hAnsi="宋体"/>
          <w:sz w:val="24"/>
          <w:highlight w:val="none"/>
        </w:rPr>
        <w:t>评标委员会成员和与评标活动有关的人员</w:t>
      </w:r>
      <w:r>
        <w:rPr>
          <w:rFonts w:hint="eastAsia" w:ascii="宋体" w:hAnsi="宋体"/>
          <w:sz w:val="24"/>
          <w:highlight w:val="none"/>
        </w:rPr>
        <w:t>在政府采购活动中应严格遵守政府采购评审工作纪律，不得向外界泄露评审情况。</w:t>
      </w:r>
    </w:p>
    <w:p w14:paraId="354E5ED7">
      <w:pPr>
        <w:spacing w:line="360" w:lineRule="auto"/>
        <w:rPr>
          <w:rFonts w:ascii="inherit" w:hAnsi="inherit" w:cs="宋体"/>
          <w:kern w:val="0"/>
          <w:sz w:val="24"/>
          <w:highlight w:val="none"/>
        </w:rPr>
      </w:pPr>
      <w:r>
        <w:rPr>
          <w:rFonts w:ascii="宋体" w:hAnsi="宋体"/>
          <w:sz w:val="24"/>
          <w:highlight w:val="none"/>
        </w:rPr>
        <w:t>★</w:t>
      </w:r>
      <w:r>
        <w:rPr>
          <w:rFonts w:hint="eastAsia" w:ascii="宋体" w:hAnsi="宋体"/>
          <w:sz w:val="24"/>
          <w:highlight w:val="none"/>
        </w:rPr>
        <w:t>26.5</w:t>
      </w:r>
      <w:r>
        <w:rPr>
          <w:rFonts w:ascii="inherit" w:hAnsi="inherit" w:cs="宋体"/>
          <w:kern w:val="0"/>
          <w:sz w:val="24"/>
          <w:highlight w:val="none"/>
        </w:rPr>
        <w:t>在评标过程中</w:t>
      </w:r>
      <w:r>
        <w:rPr>
          <w:rFonts w:hint="eastAsia" w:ascii="inherit" w:hAnsi="inherit" w:cs="宋体"/>
          <w:kern w:val="0"/>
          <w:sz w:val="24"/>
          <w:highlight w:val="none"/>
        </w:rPr>
        <w:t>，</w:t>
      </w:r>
      <w:r>
        <w:rPr>
          <w:rFonts w:ascii="inherit" w:hAnsi="inherit" w:cs="宋体"/>
          <w:kern w:val="0"/>
          <w:sz w:val="24"/>
          <w:highlight w:val="none"/>
        </w:rPr>
        <w:t>评标委员会发现投</w:t>
      </w:r>
      <w:r>
        <w:rPr>
          <w:rFonts w:ascii="宋体" w:hAnsi="宋体" w:eastAsia="宋体" w:cs="Times New Roman"/>
          <w:sz w:val="24"/>
          <w:highlight w:val="none"/>
        </w:rPr>
        <w:t>标人有</w:t>
      </w:r>
      <w:r>
        <w:rPr>
          <w:rFonts w:hint="eastAsia" w:ascii="宋体" w:hAnsi="宋体" w:eastAsia="宋体" w:cs="Times New Roman"/>
          <w:sz w:val="24"/>
          <w:highlight w:val="none"/>
        </w:rPr>
        <w:t>本须知19条款</w:t>
      </w:r>
      <w:r>
        <w:rPr>
          <w:rFonts w:hint="eastAsia" w:ascii="inherit" w:hAnsi="inherit" w:cs="宋体"/>
          <w:kern w:val="0"/>
          <w:sz w:val="24"/>
          <w:highlight w:val="none"/>
        </w:rPr>
        <w:t>规定的情形</w:t>
      </w:r>
      <w:r>
        <w:rPr>
          <w:rFonts w:ascii="inherit" w:hAnsi="inherit" w:cs="宋体"/>
          <w:kern w:val="0"/>
          <w:sz w:val="24"/>
          <w:highlight w:val="none"/>
        </w:rPr>
        <w:t>，应当认定其投标无效，并书面报告本级财政部门。</w:t>
      </w:r>
    </w:p>
    <w:p w14:paraId="69EAF568">
      <w:pPr>
        <w:spacing w:line="360" w:lineRule="auto"/>
        <w:rPr>
          <w:rFonts w:ascii="inherit" w:hAnsi="inherit" w:cs="宋体"/>
          <w:kern w:val="0"/>
          <w:sz w:val="24"/>
          <w:highlight w:val="none"/>
        </w:rPr>
      </w:pPr>
      <w:r>
        <w:rPr>
          <w:rFonts w:ascii="inherit" w:hAnsi="inherit" w:cs="宋体"/>
          <w:kern w:val="0"/>
          <w:sz w:val="24"/>
          <w:highlight w:val="none"/>
        </w:rPr>
        <w:t>★</w:t>
      </w:r>
      <w:r>
        <w:rPr>
          <w:rFonts w:hint="eastAsia" w:ascii="宋体" w:hAnsi="宋体" w:cs="宋体"/>
          <w:kern w:val="0"/>
          <w:sz w:val="24"/>
          <w:highlight w:val="none"/>
        </w:rPr>
        <w:t>26.6</w:t>
      </w:r>
      <w:r>
        <w:rPr>
          <w:rFonts w:ascii="inherit" w:hAnsi="inherit" w:cs="宋体"/>
          <w:kern w:val="0"/>
          <w:sz w:val="24"/>
          <w:highlight w:val="none"/>
        </w:rPr>
        <w:t>有下列情形之一的，视为投标人串通投标，其投标无效：</w:t>
      </w:r>
    </w:p>
    <w:p w14:paraId="35EE82D0">
      <w:pPr>
        <w:widowControl/>
        <w:spacing w:line="360" w:lineRule="auto"/>
        <w:jc w:val="left"/>
        <w:textAlignment w:val="baseline"/>
        <w:rPr>
          <w:rFonts w:ascii="inherit" w:hAnsi="inherit" w:cs="宋体"/>
          <w:kern w:val="0"/>
          <w:sz w:val="24"/>
          <w:highlight w:val="none"/>
        </w:rPr>
      </w:pPr>
      <w:r>
        <w:rPr>
          <w:rFonts w:ascii="inherit" w:hAnsi="inherit" w:cs="宋体"/>
          <w:kern w:val="0"/>
          <w:sz w:val="24"/>
          <w:highlight w:val="none"/>
        </w:rPr>
        <w:t>（一）不同投标人的投标文件由同一单位或者个人编制；</w:t>
      </w:r>
    </w:p>
    <w:p w14:paraId="42E3A568">
      <w:pPr>
        <w:widowControl/>
        <w:spacing w:line="360" w:lineRule="auto"/>
        <w:jc w:val="left"/>
        <w:textAlignment w:val="baseline"/>
        <w:rPr>
          <w:rFonts w:ascii="inherit" w:hAnsi="inherit" w:cs="宋体"/>
          <w:kern w:val="0"/>
          <w:sz w:val="24"/>
          <w:highlight w:val="none"/>
        </w:rPr>
      </w:pPr>
      <w:r>
        <w:rPr>
          <w:rFonts w:ascii="inherit" w:hAnsi="inherit" w:cs="宋体"/>
          <w:kern w:val="0"/>
          <w:sz w:val="24"/>
          <w:highlight w:val="none"/>
        </w:rPr>
        <w:t>（二）不同投标人委托同一单位或者个人办理投标事宜；</w:t>
      </w:r>
    </w:p>
    <w:p w14:paraId="49D8CA96">
      <w:pPr>
        <w:widowControl/>
        <w:spacing w:line="360" w:lineRule="auto"/>
        <w:jc w:val="left"/>
        <w:textAlignment w:val="baseline"/>
        <w:rPr>
          <w:rFonts w:ascii="inherit" w:hAnsi="inherit" w:cs="宋体"/>
          <w:kern w:val="0"/>
          <w:sz w:val="24"/>
          <w:highlight w:val="none"/>
        </w:rPr>
      </w:pPr>
      <w:r>
        <w:rPr>
          <w:rFonts w:ascii="inherit" w:hAnsi="inherit" w:cs="宋体"/>
          <w:kern w:val="0"/>
          <w:sz w:val="24"/>
          <w:highlight w:val="none"/>
        </w:rPr>
        <w:t>（三）不同投标人的投标文件载明的项目管理成员或者联系人员为同一人；</w:t>
      </w:r>
    </w:p>
    <w:p w14:paraId="5C5BA0A6">
      <w:pPr>
        <w:widowControl/>
        <w:spacing w:line="360" w:lineRule="auto"/>
        <w:jc w:val="left"/>
        <w:textAlignment w:val="baseline"/>
        <w:rPr>
          <w:rFonts w:ascii="inherit" w:hAnsi="inherit" w:cs="宋体"/>
          <w:kern w:val="0"/>
          <w:sz w:val="24"/>
          <w:highlight w:val="none"/>
        </w:rPr>
      </w:pPr>
      <w:r>
        <w:rPr>
          <w:rFonts w:ascii="inherit" w:hAnsi="inherit" w:cs="宋体"/>
          <w:kern w:val="0"/>
          <w:sz w:val="24"/>
          <w:highlight w:val="none"/>
        </w:rPr>
        <w:t>（四）不同投标人的投标文件异常一致或者投标报价呈规律性差异；</w:t>
      </w:r>
    </w:p>
    <w:p w14:paraId="5AD37F80">
      <w:pPr>
        <w:widowControl/>
        <w:spacing w:line="360" w:lineRule="auto"/>
        <w:jc w:val="left"/>
        <w:textAlignment w:val="baseline"/>
        <w:rPr>
          <w:rFonts w:ascii="inherit" w:hAnsi="inherit" w:cs="宋体"/>
          <w:kern w:val="0"/>
          <w:sz w:val="24"/>
          <w:highlight w:val="none"/>
        </w:rPr>
      </w:pPr>
      <w:r>
        <w:rPr>
          <w:rFonts w:ascii="inherit" w:hAnsi="inherit" w:cs="宋体"/>
          <w:kern w:val="0"/>
          <w:sz w:val="24"/>
          <w:highlight w:val="none"/>
        </w:rPr>
        <w:t>（五）不同投标人的投标文件相互混装；</w:t>
      </w:r>
    </w:p>
    <w:p w14:paraId="6D0CB7AE">
      <w:pPr>
        <w:widowControl/>
        <w:spacing w:line="360" w:lineRule="auto"/>
        <w:jc w:val="left"/>
        <w:textAlignment w:val="baseline"/>
        <w:rPr>
          <w:rFonts w:ascii="inherit" w:hAnsi="inherit" w:cs="宋体"/>
          <w:kern w:val="0"/>
          <w:sz w:val="24"/>
          <w:highlight w:val="none"/>
        </w:rPr>
      </w:pPr>
      <w:r>
        <w:rPr>
          <w:rFonts w:ascii="inherit" w:hAnsi="inherit" w:cs="宋体"/>
          <w:kern w:val="0"/>
          <w:sz w:val="24"/>
          <w:highlight w:val="none"/>
        </w:rPr>
        <w:t>（六）不同投标人的投标保证金从同一单位或者个人的账户转出。</w:t>
      </w:r>
    </w:p>
    <w:p w14:paraId="18C2E050">
      <w:pPr>
        <w:spacing w:line="360" w:lineRule="auto"/>
        <w:jc w:val="left"/>
        <w:rPr>
          <w:rFonts w:ascii="宋体" w:hAnsi="宋体" w:cs="宋体"/>
          <w:kern w:val="0"/>
          <w:sz w:val="24"/>
          <w:highlight w:val="none"/>
        </w:rPr>
      </w:pPr>
      <w:r>
        <w:rPr>
          <w:rFonts w:ascii="宋体" w:hAnsi="宋体"/>
          <w:sz w:val="24"/>
          <w:highlight w:val="none"/>
        </w:rPr>
        <w:t>★26.7</w:t>
      </w:r>
      <w:r>
        <w:rPr>
          <w:rFonts w:ascii="宋体" w:hAnsi="宋体" w:cs="宋体"/>
          <w:kern w:val="0"/>
          <w:sz w:val="24"/>
          <w:highlight w:val="none"/>
        </w:rPr>
        <w:t>提供相同品牌产品且通过资格审查、符合性审查的不同投标人参加同一</w:t>
      </w:r>
      <w:r>
        <w:rPr>
          <w:rFonts w:hint="eastAsia" w:ascii="宋体" w:hAnsi="宋体" w:cs="宋体"/>
          <w:kern w:val="0"/>
          <w:sz w:val="24"/>
          <w:highlight w:val="none"/>
        </w:rPr>
        <w:t>招标项目包</w:t>
      </w:r>
      <w:r>
        <w:rPr>
          <w:rFonts w:ascii="宋体" w:hAnsi="宋体" w:cs="宋体"/>
          <w:kern w:val="0"/>
          <w:sz w:val="24"/>
          <w:highlight w:val="none"/>
        </w:rPr>
        <w:t>投标的，按一家投标人计算，评审后得分最高的同品牌投标人获得中标人推荐资格；评审得分相同的，评标委员会</w:t>
      </w:r>
      <w:r>
        <w:rPr>
          <w:rFonts w:hint="eastAsia" w:ascii="宋体" w:hAnsi="宋体" w:cs="宋体"/>
          <w:kern w:val="0"/>
          <w:sz w:val="24"/>
          <w:highlight w:val="none"/>
        </w:rPr>
        <w:t>将依次按价格部分得分高优先、技术部分得分高优先、商务部分得分高优先的顺序确定；所有得分均相等的，主要技术指标高优先、质保期长优先、交货时间短优先、故障到达时间短优先的顺序</w:t>
      </w:r>
      <w:r>
        <w:rPr>
          <w:rFonts w:ascii="宋体" w:hAnsi="宋体" w:cs="宋体"/>
          <w:kern w:val="0"/>
          <w:sz w:val="24"/>
          <w:highlight w:val="none"/>
        </w:rPr>
        <w:t>确定一个投标人获得中标人推荐资格，其他同品牌投标人不作为中标候选人。</w:t>
      </w:r>
    </w:p>
    <w:p w14:paraId="1098BD34">
      <w:pPr>
        <w:spacing w:line="360" w:lineRule="auto"/>
        <w:jc w:val="left"/>
        <w:rPr>
          <w:rFonts w:ascii="宋体" w:hAnsi="宋体" w:cs="宋体"/>
          <w:kern w:val="0"/>
          <w:sz w:val="24"/>
          <w:highlight w:val="none"/>
        </w:rPr>
      </w:pPr>
      <w:r>
        <w:rPr>
          <w:rFonts w:hint="eastAsia" w:ascii="宋体" w:hAnsi="宋体" w:cs="宋体"/>
          <w:kern w:val="0"/>
          <w:sz w:val="24"/>
          <w:highlight w:val="none"/>
        </w:rPr>
        <w:t>2</w:t>
      </w:r>
      <w:r>
        <w:rPr>
          <w:rFonts w:ascii="宋体" w:hAnsi="宋体" w:cs="宋体"/>
          <w:kern w:val="0"/>
          <w:sz w:val="24"/>
          <w:highlight w:val="none"/>
        </w:rPr>
        <w:t>6</w:t>
      </w:r>
      <w:r>
        <w:rPr>
          <w:rFonts w:hint="eastAsia" w:ascii="宋体" w:hAnsi="宋体" w:cs="宋体"/>
          <w:kern w:val="0"/>
          <w:sz w:val="24"/>
          <w:highlight w:val="none"/>
        </w:rPr>
        <w:t>.</w:t>
      </w:r>
      <w:r>
        <w:rPr>
          <w:rFonts w:ascii="宋体" w:hAnsi="宋体" w:cs="宋体"/>
          <w:kern w:val="0"/>
          <w:sz w:val="24"/>
          <w:highlight w:val="none"/>
        </w:rPr>
        <w:t>8</w:t>
      </w:r>
      <w:r>
        <w:rPr>
          <w:rFonts w:hint="eastAsia" w:ascii="宋体" w:hAnsi="宋体" w:cs="宋体"/>
          <w:kern w:val="0"/>
          <w:sz w:val="24"/>
          <w:highlight w:val="none"/>
        </w:rPr>
        <w:t>若单个项目包为</w:t>
      </w:r>
      <w:r>
        <w:rPr>
          <w:rFonts w:ascii="宋体" w:hAnsi="宋体" w:cs="宋体"/>
          <w:kern w:val="0"/>
          <w:sz w:val="24"/>
          <w:highlight w:val="none"/>
        </w:rPr>
        <w:t>非单一产品采购项目，</w:t>
      </w:r>
      <w:r>
        <w:rPr>
          <w:rFonts w:hint="eastAsia" w:ascii="宋体" w:hAnsi="宋体" w:cs="宋体"/>
          <w:kern w:val="0"/>
          <w:sz w:val="24"/>
          <w:highlight w:val="none"/>
        </w:rPr>
        <w:t>对于招标文件</w:t>
      </w:r>
      <w:r>
        <w:rPr>
          <w:rFonts w:ascii="宋体" w:hAnsi="宋体" w:cs="宋体"/>
          <w:kern w:val="0"/>
          <w:sz w:val="24"/>
          <w:highlight w:val="none"/>
        </w:rPr>
        <w:t>第五章</w:t>
      </w:r>
      <w:r>
        <w:rPr>
          <w:rFonts w:hint="eastAsia" w:ascii="宋体" w:hAnsi="宋体" w:cs="宋体"/>
          <w:kern w:val="0"/>
          <w:sz w:val="24"/>
          <w:highlight w:val="none"/>
        </w:rPr>
        <w:t>规定</w:t>
      </w:r>
      <w:r>
        <w:rPr>
          <w:rFonts w:ascii="宋体" w:hAnsi="宋体" w:cs="宋体"/>
          <w:kern w:val="0"/>
          <w:sz w:val="24"/>
          <w:highlight w:val="none"/>
        </w:rPr>
        <w:t>核心产品，多家投标人提供的核心产品品牌有一项品牌相同的，按</w:t>
      </w:r>
      <w:r>
        <w:rPr>
          <w:rFonts w:hint="eastAsia" w:ascii="宋体" w:hAnsi="宋体" w:cs="宋体"/>
          <w:kern w:val="0"/>
          <w:sz w:val="24"/>
          <w:highlight w:val="none"/>
        </w:rPr>
        <w:t>2</w:t>
      </w:r>
      <w:r>
        <w:rPr>
          <w:rFonts w:ascii="宋体" w:hAnsi="宋体" w:cs="宋体"/>
          <w:kern w:val="0"/>
          <w:sz w:val="24"/>
          <w:highlight w:val="none"/>
        </w:rPr>
        <w:t>6.7款规定处理。</w:t>
      </w:r>
    </w:p>
    <w:p w14:paraId="293EF92E">
      <w:pPr>
        <w:spacing w:line="360" w:lineRule="auto"/>
        <w:jc w:val="left"/>
        <w:rPr>
          <w:rFonts w:ascii="inherit" w:hAnsi="inherit" w:cs="宋体"/>
          <w:kern w:val="0"/>
          <w:sz w:val="24"/>
          <w:highlight w:val="none"/>
        </w:rPr>
      </w:pPr>
      <w:r>
        <w:rPr>
          <w:rFonts w:hint="eastAsia" w:ascii="宋体" w:hAnsi="宋体" w:cs="宋体"/>
          <w:kern w:val="0"/>
          <w:sz w:val="24"/>
          <w:highlight w:val="none"/>
        </w:rPr>
        <w:t>★2</w:t>
      </w:r>
      <w:r>
        <w:rPr>
          <w:rFonts w:ascii="宋体" w:hAnsi="宋体" w:cs="宋体"/>
          <w:kern w:val="0"/>
          <w:sz w:val="24"/>
          <w:highlight w:val="none"/>
        </w:rPr>
        <w:t>6</w:t>
      </w:r>
      <w:r>
        <w:rPr>
          <w:rFonts w:hint="eastAsia" w:ascii="宋体" w:hAnsi="宋体" w:cs="宋体"/>
          <w:kern w:val="0"/>
          <w:sz w:val="24"/>
          <w:highlight w:val="none"/>
        </w:rPr>
        <w:t>.9按上述条款执行后，投标人不足3家的，本项目应予废标。</w:t>
      </w:r>
    </w:p>
    <w:p w14:paraId="535726F0">
      <w:pPr>
        <w:pStyle w:val="16"/>
        <w:spacing w:line="360" w:lineRule="auto"/>
        <w:rPr>
          <w:rFonts w:hAnsi="宋体"/>
          <w:bCs/>
          <w:sz w:val="24"/>
          <w:szCs w:val="24"/>
          <w:highlight w:val="none"/>
        </w:rPr>
      </w:pPr>
      <w:r>
        <w:rPr>
          <w:rFonts w:hAnsi="宋体"/>
          <w:bCs/>
          <w:sz w:val="24"/>
          <w:szCs w:val="24"/>
          <w:highlight w:val="none"/>
        </w:rPr>
        <w:t>2</w:t>
      </w:r>
      <w:r>
        <w:rPr>
          <w:rFonts w:hint="eastAsia" w:hAnsi="宋体"/>
          <w:bCs/>
          <w:sz w:val="24"/>
          <w:szCs w:val="24"/>
          <w:highlight w:val="none"/>
        </w:rPr>
        <w:t xml:space="preserve">7.1 </w:t>
      </w:r>
      <w:r>
        <w:rPr>
          <w:rFonts w:hint="eastAsia" w:hAnsi="宋体"/>
          <w:b/>
          <w:sz w:val="24"/>
          <w:szCs w:val="24"/>
          <w:highlight w:val="none"/>
        </w:rPr>
        <w:t>在招标采购中，出现下列情形之一的，应予废标：</w:t>
      </w:r>
    </w:p>
    <w:p w14:paraId="0E94EA06">
      <w:pPr>
        <w:pStyle w:val="16"/>
        <w:spacing w:line="360" w:lineRule="auto"/>
        <w:ind w:left="719" w:leftChars="342" w:hanging="1"/>
        <w:rPr>
          <w:rFonts w:hAnsi="宋体"/>
          <w:b/>
          <w:sz w:val="24"/>
          <w:szCs w:val="24"/>
          <w:highlight w:val="none"/>
        </w:rPr>
      </w:pPr>
      <w:r>
        <w:rPr>
          <w:rFonts w:hint="eastAsia" w:hAnsi="宋体"/>
          <w:b/>
          <w:sz w:val="24"/>
          <w:szCs w:val="24"/>
          <w:highlight w:val="none"/>
        </w:rPr>
        <w:t>(1)符合专业条件的投标人或者对招标文件作实质响应的投标人不足3家的；</w:t>
      </w:r>
    </w:p>
    <w:p w14:paraId="2E9EB742">
      <w:pPr>
        <w:pStyle w:val="16"/>
        <w:spacing w:line="360" w:lineRule="auto"/>
        <w:ind w:left="719" w:leftChars="342" w:hanging="1"/>
        <w:rPr>
          <w:rFonts w:hAnsi="宋体"/>
          <w:b/>
          <w:sz w:val="24"/>
          <w:szCs w:val="24"/>
          <w:highlight w:val="none"/>
        </w:rPr>
      </w:pPr>
      <w:r>
        <w:rPr>
          <w:rFonts w:hint="eastAsia" w:hAnsi="宋体"/>
          <w:b/>
          <w:sz w:val="24"/>
          <w:szCs w:val="24"/>
          <w:highlight w:val="none"/>
        </w:rPr>
        <w:t>(2)出现影响采购公正的违法、违规行为的；</w:t>
      </w:r>
    </w:p>
    <w:p w14:paraId="0BAB03D3">
      <w:pPr>
        <w:pStyle w:val="16"/>
        <w:spacing w:line="360" w:lineRule="auto"/>
        <w:ind w:left="719" w:leftChars="342" w:hanging="1"/>
        <w:rPr>
          <w:rFonts w:hAnsi="宋体"/>
          <w:b/>
          <w:sz w:val="24"/>
          <w:szCs w:val="24"/>
          <w:highlight w:val="none"/>
        </w:rPr>
      </w:pPr>
      <w:r>
        <w:rPr>
          <w:rFonts w:hint="eastAsia" w:hAnsi="宋体"/>
          <w:b/>
          <w:sz w:val="24"/>
          <w:szCs w:val="24"/>
          <w:highlight w:val="none"/>
        </w:rPr>
        <w:t>(3)投标人的报价均超过了采购预算，采购人不能支付的；</w:t>
      </w:r>
    </w:p>
    <w:p w14:paraId="3651FFC0">
      <w:pPr>
        <w:pStyle w:val="16"/>
        <w:spacing w:line="360" w:lineRule="auto"/>
        <w:ind w:left="719" w:leftChars="342" w:hanging="1"/>
        <w:rPr>
          <w:rFonts w:hAnsi="宋体"/>
          <w:b/>
          <w:sz w:val="24"/>
          <w:szCs w:val="24"/>
          <w:highlight w:val="none"/>
        </w:rPr>
      </w:pPr>
      <w:r>
        <w:rPr>
          <w:rFonts w:hint="eastAsia" w:hAnsi="宋体"/>
          <w:b/>
          <w:sz w:val="24"/>
          <w:szCs w:val="24"/>
          <w:highlight w:val="none"/>
        </w:rPr>
        <w:t>(4)因重大变故，采购任务取消的。</w:t>
      </w:r>
    </w:p>
    <w:p w14:paraId="5F4BC983">
      <w:pPr>
        <w:spacing w:line="360" w:lineRule="auto"/>
        <w:ind w:firstLine="542" w:firstLineChars="225"/>
        <w:jc w:val="left"/>
        <w:rPr>
          <w:rFonts w:hAnsi="宋体"/>
          <w:b/>
          <w:sz w:val="24"/>
          <w:highlight w:val="none"/>
        </w:rPr>
      </w:pPr>
      <w:r>
        <w:rPr>
          <w:rFonts w:hint="eastAsia" w:hAnsi="宋体"/>
          <w:b/>
          <w:sz w:val="24"/>
          <w:highlight w:val="none"/>
        </w:rPr>
        <w:t>废标后，采购人应当将废标理由通知所有投标人。</w:t>
      </w:r>
    </w:p>
    <w:p w14:paraId="1B8D10F5">
      <w:pPr>
        <w:spacing w:line="360" w:lineRule="auto"/>
        <w:jc w:val="left"/>
        <w:rPr>
          <w:rFonts w:hAnsi="宋体"/>
          <w:sz w:val="24"/>
          <w:highlight w:val="none"/>
        </w:rPr>
      </w:pPr>
      <w:r>
        <w:rPr>
          <w:rFonts w:hint="eastAsia" w:ascii="宋体" w:hAnsi="宋体"/>
          <w:bCs/>
          <w:sz w:val="24"/>
          <w:highlight w:val="none"/>
        </w:rPr>
        <w:t>27.2电子交易活动的中止</w:t>
      </w:r>
    </w:p>
    <w:p w14:paraId="372BCDCE">
      <w:pPr>
        <w:spacing w:line="360" w:lineRule="auto"/>
        <w:ind w:firstLine="540" w:firstLineChars="225"/>
        <w:jc w:val="left"/>
        <w:rPr>
          <w:rFonts w:hAnsi="宋体"/>
          <w:sz w:val="24"/>
          <w:highlight w:val="none"/>
        </w:rPr>
      </w:pPr>
      <w:r>
        <w:rPr>
          <w:rFonts w:hint="eastAsia" w:hAnsi="宋体"/>
          <w:sz w:val="24"/>
          <w:highlight w:val="none"/>
        </w:rPr>
        <w:t>采购过程中出现以下情形，导致电子交易平台无法正常运行，或者无法保证电子交易的公平、公正和安全时，采购代理机构可中止电子交易活动：</w:t>
      </w:r>
    </w:p>
    <w:p w14:paraId="0F2E7AC3">
      <w:pPr>
        <w:spacing w:line="360" w:lineRule="auto"/>
        <w:ind w:firstLine="540" w:firstLineChars="225"/>
        <w:jc w:val="left"/>
        <w:rPr>
          <w:rFonts w:hAnsi="宋体"/>
          <w:sz w:val="24"/>
          <w:highlight w:val="none"/>
        </w:rPr>
      </w:pPr>
      <w:r>
        <w:rPr>
          <w:rFonts w:hint="eastAsia" w:hAnsi="宋体"/>
          <w:sz w:val="24"/>
          <w:highlight w:val="none"/>
        </w:rPr>
        <w:t>（1）电子交易平台发生故障而无法登录访问的；</w:t>
      </w:r>
    </w:p>
    <w:p w14:paraId="7FCFD279">
      <w:pPr>
        <w:spacing w:line="360" w:lineRule="auto"/>
        <w:ind w:firstLine="540" w:firstLineChars="225"/>
        <w:jc w:val="left"/>
        <w:rPr>
          <w:rFonts w:hAnsi="宋体"/>
          <w:sz w:val="24"/>
          <w:highlight w:val="none"/>
        </w:rPr>
      </w:pPr>
      <w:r>
        <w:rPr>
          <w:rFonts w:hint="eastAsia" w:hAnsi="宋体"/>
          <w:sz w:val="24"/>
          <w:highlight w:val="none"/>
        </w:rPr>
        <w:t>（2）电子交易平台应用或数据库出现错误，不能进行正常操作的；</w:t>
      </w:r>
    </w:p>
    <w:p w14:paraId="1647C3FD">
      <w:pPr>
        <w:spacing w:line="360" w:lineRule="auto"/>
        <w:ind w:firstLine="540" w:firstLineChars="225"/>
        <w:jc w:val="left"/>
        <w:rPr>
          <w:rFonts w:hAnsi="宋体"/>
          <w:sz w:val="24"/>
          <w:highlight w:val="none"/>
        </w:rPr>
      </w:pPr>
      <w:r>
        <w:rPr>
          <w:rFonts w:hint="eastAsia" w:hAnsi="宋体"/>
          <w:sz w:val="24"/>
          <w:highlight w:val="none"/>
        </w:rPr>
        <w:t>（3）电子交易平台发现严重安全漏洞，有潜在泄密危险的；</w:t>
      </w:r>
    </w:p>
    <w:p w14:paraId="1ED62235">
      <w:pPr>
        <w:spacing w:line="360" w:lineRule="auto"/>
        <w:ind w:firstLine="540" w:firstLineChars="225"/>
        <w:jc w:val="left"/>
        <w:rPr>
          <w:rFonts w:hAnsi="宋体"/>
          <w:sz w:val="24"/>
          <w:highlight w:val="none"/>
        </w:rPr>
      </w:pPr>
      <w:r>
        <w:rPr>
          <w:rFonts w:hint="eastAsia" w:hAnsi="宋体"/>
          <w:sz w:val="24"/>
          <w:highlight w:val="none"/>
        </w:rPr>
        <w:t>（4）病毒发作导致不能进行正常操作的；</w:t>
      </w:r>
    </w:p>
    <w:p w14:paraId="495550D5">
      <w:pPr>
        <w:spacing w:line="360" w:lineRule="auto"/>
        <w:ind w:firstLine="540" w:firstLineChars="225"/>
        <w:jc w:val="left"/>
        <w:rPr>
          <w:rFonts w:hAnsi="宋体"/>
          <w:sz w:val="24"/>
          <w:highlight w:val="none"/>
        </w:rPr>
      </w:pPr>
      <w:r>
        <w:rPr>
          <w:rFonts w:hint="eastAsia" w:hAnsi="宋体"/>
          <w:sz w:val="24"/>
          <w:highlight w:val="none"/>
        </w:rPr>
        <w:t>（5）其他无法保证电子交易的公平、公正和安全的情况。</w:t>
      </w:r>
    </w:p>
    <w:p w14:paraId="3DBAD16F">
      <w:pPr>
        <w:spacing w:line="360" w:lineRule="auto"/>
        <w:jc w:val="lef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27.3出现27.2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00CE1F0A">
      <w:pPr>
        <w:pStyle w:val="5"/>
        <w:ind w:left="425"/>
        <w:jc w:val="center"/>
        <w:rPr>
          <w:rFonts w:ascii="宋体" w:hAnsi="宋体" w:eastAsia="宋体"/>
          <w:sz w:val="24"/>
          <w:szCs w:val="24"/>
          <w:highlight w:val="none"/>
        </w:rPr>
      </w:pPr>
      <w:bookmarkStart w:id="58" w:name="_Toc33095535"/>
      <w:bookmarkStart w:id="59" w:name="_Toc101004087"/>
      <w:bookmarkStart w:id="60" w:name="_Toc21131"/>
      <w:bookmarkStart w:id="61" w:name="_Toc29307"/>
      <w:r>
        <w:rPr>
          <w:rFonts w:hint="eastAsia" w:ascii="宋体" w:hAnsi="宋体" w:eastAsia="宋体"/>
          <w:sz w:val="24"/>
          <w:szCs w:val="24"/>
          <w:highlight w:val="none"/>
        </w:rPr>
        <w:t>六、中标结果</w:t>
      </w:r>
      <w:bookmarkEnd w:id="58"/>
      <w:bookmarkEnd w:id="59"/>
      <w:bookmarkEnd w:id="60"/>
      <w:bookmarkEnd w:id="61"/>
    </w:p>
    <w:p w14:paraId="46F073A1">
      <w:pPr>
        <w:pStyle w:val="16"/>
        <w:spacing w:line="360" w:lineRule="auto"/>
        <w:rPr>
          <w:rFonts w:hAnsi="宋体"/>
          <w:b/>
          <w:sz w:val="24"/>
          <w:szCs w:val="24"/>
          <w:highlight w:val="none"/>
        </w:rPr>
      </w:pPr>
      <w:r>
        <w:rPr>
          <w:rFonts w:hint="eastAsia" w:hAnsi="宋体"/>
          <w:b/>
          <w:sz w:val="24"/>
          <w:szCs w:val="24"/>
          <w:highlight w:val="none"/>
        </w:rPr>
        <w:t>28. 中标人的确定</w:t>
      </w:r>
    </w:p>
    <w:p w14:paraId="5B4F83D1">
      <w:pPr>
        <w:spacing w:line="360" w:lineRule="auto"/>
        <w:rPr>
          <w:rFonts w:ascii="宋体" w:hAnsi="宋体"/>
          <w:sz w:val="24"/>
          <w:highlight w:val="none"/>
        </w:rPr>
      </w:pPr>
      <w:r>
        <w:rPr>
          <w:rFonts w:hint="eastAsia" w:ascii="宋体" w:hAnsi="宋体"/>
          <w:sz w:val="24"/>
          <w:highlight w:val="none"/>
        </w:rPr>
        <w:t>28.1采购代理机构应当在评标结束之日起2个工作日内将评标报告送采购人确认。</w:t>
      </w:r>
    </w:p>
    <w:p w14:paraId="70E1E339">
      <w:pPr>
        <w:pStyle w:val="16"/>
        <w:spacing w:line="360" w:lineRule="auto"/>
        <w:rPr>
          <w:rFonts w:hAnsi="宋体"/>
          <w:sz w:val="24"/>
          <w:szCs w:val="24"/>
          <w:highlight w:val="none"/>
        </w:rPr>
      </w:pPr>
      <w:r>
        <w:rPr>
          <w:rFonts w:hint="eastAsia" w:hAnsi="宋体"/>
          <w:sz w:val="24"/>
          <w:szCs w:val="24"/>
          <w:highlight w:val="none"/>
        </w:rPr>
        <w:t>28.2采购人应当在收到评标报告之日起5个工作日内，在评标报告中推荐的中标候选人中按顺序确定中标人。</w:t>
      </w:r>
    </w:p>
    <w:p w14:paraId="7E108E79">
      <w:pPr>
        <w:pStyle w:val="16"/>
        <w:spacing w:line="360" w:lineRule="auto"/>
        <w:rPr>
          <w:rFonts w:hAnsi="宋体"/>
          <w:b/>
          <w:bCs/>
          <w:sz w:val="24"/>
          <w:szCs w:val="24"/>
          <w:highlight w:val="none"/>
        </w:rPr>
      </w:pPr>
      <w:r>
        <w:rPr>
          <w:rFonts w:hint="eastAsia" w:hAnsi="宋体"/>
          <w:b/>
          <w:bCs/>
          <w:sz w:val="24"/>
          <w:szCs w:val="24"/>
          <w:highlight w:val="none"/>
        </w:rPr>
        <w:t>29. 中标通知书</w:t>
      </w:r>
    </w:p>
    <w:p w14:paraId="56990BDB">
      <w:pPr>
        <w:pStyle w:val="16"/>
        <w:spacing w:line="360" w:lineRule="auto"/>
        <w:rPr>
          <w:rFonts w:hAnsi="宋体"/>
          <w:sz w:val="24"/>
          <w:szCs w:val="24"/>
          <w:highlight w:val="none"/>
        </w:rPr>
      </w:pPr>
      <w:r>
        <w:rPr>
          <w:rFonts w:hint="eastAsia" w:hAnsi="宋体"/>
          <w:sz w:val="24"/>
          <w:szCs w:val="24"/>
          <w:highlight w:val="none"/>
        </w:rPr>
        <w:t>29.1中标人确定之日起2个工作日内，采购代理机构在省级以上财政部门指定的媒体上公告中标结果，中标公告期限为1个工作日，同时向中标人发出中标通知书，向未中标人发出招标结果通知书。</w:t>
      </w:r>
    </w:p>
    <w:p w14:paraId="769B5604">
      <w:pPr>
        <w:pStyle w:val="16"/>
        <w:spacing w:line="360" w:lineRule="auto"/>
        <w:rPr>
          <w:rFonts w:hAnsi="宋体"/>
          <w:sz w:val="24"/>
          <w:szCs w:val="24"/>
          <w:highlight w:val="none"/>
        </w:rPr>
      </w:pPr>
      <w:r>
        <w:rPr>
          <w:rFonts w:hint="eastAsia" w:hAnsi="宋体"/>
          <w:sz w:val="24"/>
          <w:szCs w:val="24"/>
          <w:highlight w:val="none"/>
        </w:rPr>
        <w:t>29.2中标通知书是合同的一个组成部分。</w:t>
      </w:r>
    </w:p>
    <w:p w14:paraId="0940662A">
      <w:pPr>
        <w:pStyle w:val="16"/>
        <w:spacing w:line="360" w:lineRule="auto"/>
        <w:rPr>
          <w:rFonts w:hAnsi="宋体"/>
          <w:b/>
          <w:bCs/>
          <w:sz w:val="24"/>
          <w:szCs w:val="24"/>
          <w:highlight w:val="none"/>
        </w:rPr>
      </w:pPr>
      <w:r>
        <w:rPr>
          <w:rFonts w:hint="eastAsia" w:hAnsi="宋体"/>
          <w:b/>
          <w:bCs/>
          <w:sz w:val="24"/>
          <w:szCs w:val="24"/>
          <w:highlight w:val="none"/>
        </w:rPr>
        <w:t>30. 签订合同</w:t>
      </w:r>
    </w:p>
    <w:p w14:paraId="784A98E2">
      <w:pPr>
        <w:pStyle w:val="16"/>
        <w:spacing w:line="360" w:lineRule="auto"/>
        <w:rPr>
          <w:rFonts w:hAnsi="宋体"/>
          <w:sz w:val="24"/>
          <w:szCs w:val="24"/>
          <w:highlight w:val="none"/>
        </w:rPr>
      </w:pPr>
      <w:r>
        <w:rPr>
          <w:rFonts w:hint="eastAsia" w:hAnsi="宋体"/>
          <w:sz w:val="24"/>
          <w:szCs w:val="24"/>
          <w:highlight w:val="none"/>
        </w:rPr>
        <w:t>30.1</w:t>
      </w:r>
      <w:r>
        <w:rPr>
          <w:rFonts w:hAnsi="宋体"/>
          <w:sz w:val="24"/>
          <w:szCs w:val="24"/>
          <w:highlight w:val="none"/>
        </w:rPr>
        <w:t>采购人与中标</w:t>
      </w:r>
      <w:r>
        <w:rPr>
          <w:rFonts w:hint="eastAsia" w:hAnsi="宋体"/>
          <w:sz w:val="24"/>
          <w:szCs w:val="24"/>
          <w:highlight w:val="none"/>
        </w:rPr>
        <w:t>人</w:t>
      </w:r>
      <w:r>
        <w:rPr>
          <w:rFonts w:hAnsi="宋体"/>
          <w:sz w:val="24"/>
          <w:szCs w:val="24"/>
          <w:highlight w:val="none"/>
        </w:rPr>
        <w:t>应当在中标通知书发出之日起</w:t>
      </w:r>
      <w:r>
        <w:rPr>
          <w:rFonts w:hint="eastAsia" w:hAnsi="宋体"/>
          <w:sz w:val="24"/>
          <w:szCs w:val="24"/>
          <w:highlight w:val="none"/>
        </w:rPr>
        <w:t>3</w:t>
      </w:r>
      <w:r>
        <w:rPr>
          <w:rFonts w:hAnsi="宋体"/>
          <w:sz w:val="24"/>
          <w:szCs w:val="24"/>
          <w:highlight w:val="none"/>
        </w:rPr>
        <w:t>0日内，按照</w:t>
      </w:r>
      <w:r>
        <w:rPr>
          <w:rFonts w:hint="eastAsia" w:hAnsi="宋体"/>
          <w:sz w:val="24"/>
          <w:szCs w:val="24"/>
          <w:highlight w:val="none"/>
        </w:rPr>
        <w:t>招标</w:t>
      </w:r>
      <w:r>
        <w:rPr>
          <w:rFonts w:hAnsi="宋体"/>
          <w:sz w:val="24"/>
          <w:szCs w:val="24"/>
          <w:highlight w:val="none"/>
        </w:rPr>
        <w:t>文件和中标人投标文件的规定签订政府采购合同。</w:t>
      </w:r>
    </w:p>
    <w:p w14:paraId="286C9071">
      <w:pPr>
        <w:pStyle w:val="16"/>
        <w:spacing w:line="360" w:lineRule="auto"/>
        <w:rPr>
          <w:rFonts w:hAnsi="宋体"/>
          <w:sz w:val="24"/>
          <w:szCs w:val="24"/>
          <w:highlight w:val="none"/>
        </w:rPr>
      </w:pPr>
      <w:r>
        <w:rPr>
          <w:rFonts w:hint="eastAsia" w:hAnsi="宋体"/>
          <w:sz w:val="24"/>
          <w:szCs w:val="24"/>
          <w:highlight w:val="none"/>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20FE6D4F">
      <w:pPr>
        <w:pStyle w:val="16"/>
        <w:spacing w:line="360" w:lineRule="auto"/>
        <w:rPr>
          <w:rFonts w:hAnsi="宋体"/>
          <w:sz w:val="24"/>
          <w:szCs w:val="24"/>
          <w:highlight w:val="none"/>
        </w:rPr>
      </w:pPr>
      <w:r>
        <w:rPr>
          <w:rFonts w:hint="eastAsia" w:hAnsi="宋体"/>
          <w:sz w:val="24"/>
          <w:szCs w:val="24"/>
          <w:highlight w:val="none"/>
        </w:rPr>
        <w:t>30.3政府采购合同履行中，采购人需追加与合同标的相同的货物的，在不改变合同其他条款的前提下，可以与中标人协商签订补充合同，但所有补充合同的采购金额不得超过原合同采购金额的百分之十。</w:t>
      </w:r>
    </w:p>
    <w:p w14:paraId="6E7CDFCE">
      <w:pPr>
        <w:pStyle w:val="16"/>
        <w:spacing w:line="360" w:lineRule="auto"/>
        <w:rPr>
          <w:rFonts w:hAnsi="宋体"/>
          <w:b/>
          <w:bCs/>
          <w:sz w:val="24"/>
          <w:szCs w:val="24"/>
          <w:highlight w:val="none"/>
        </w:rPr>
      </w:pPr>
      <w:r>
        <w:rPr>
          <w:rFonts w:hAnsi="宋体"/>
          <w:b/>
          <w:bCs/>
          <w:sz w:val="24"/>
          <w:szCs w:val="24"/>
          <w:highlight w:val="none"/>
        </w:rPr>
        <w:t>3</w:t>
      </w:r>
      <w:r>
        <w:rPr>
          <w:rFonts w:hint="eastAsia" w:hAnsi="宋体"/>
          <w:b/>
          <w:bCs/>
          <w:sz w:val="24"/>
          <w:szCs w:val="24"/>
          <w:highlight w:val="none"/>
        </w:rPr>
        <w:t>1. 履约担保</w:t>
      </w:r>
    </w:p>
    <w:p w14:paraId="56A3C5D0">
      <w:pPr>
        <w:pStyle w:val="16"/>
        <w:tabs>
          <w:tab w:val="left" w:pos="710"/>
        </w:tabs>
        <w:spacing w:line="360" w:lineRule="auto"/>
        <w:rPr>
          <w:rFonts w:hAnsi="宋体"/>
          <w:sz w:val="24"/>
          <w:szCs w:val="24"/>
          <w:highlight w:val="none"/>
        </w:rPr>
      </w:pPr>
      <w:r>
        <w:rPr>
          <w:rFonts w:hAnsi="宋体"/>
          <w:sz w:val="24"/>
          <w:szCs w:val="24"/>
          <w:highlight w:val="none"/>
        </w:rPr>
        <w:t>3</w:t>
      </w:r>
      <w:r>
        <w:rPr>
          <w:rFonts w:hint="eastAsia" w:hAnsi="宋体"/>
          <w:sz w:val="24"/>
          <w:szCs w:val="24"/>
          <w:highlight w:val="none"/>
        </w:rPr>
        <w:t>1.1签订合同前，中标人应按“</w:t>
      </w:r>
      <w:r>
        <w:rPr>
          <w:rFonts w:hint="eastAsia" w:hAnsi="宋体"/>
          <w:b/>
          <w:sz w:val="24"/>
          <w:szCs w:val="24"/>
          <w:highlight w:val="none"/>
        </w:rPr>
        <w:t>投标人须知前附表</w:t>
      </w:r>
      <w:r>
        <w:rPr>
          <w:rFonts w:hint="eastAsia" w:hAnsi="宋体"/>
          <w:sz w:val="24"/>
          <w:szCs w:val="24"/>
          <w:highlight w:val="none"/>
        </w:rPr>
        <w:t>”上确定的履约担保的金额及形式，向采购人提交履约担保，</w:t>
      </w:r>
      <w:r>
        <w:rPr>
          <w:rFonts w:hAnsi="宋体"/>
          <w:sz w:val="24"/>
          <w:szCs w:val="24"/>
          <w:highlight w:val="none"/>
        </w:rPr>
        <w:t>联合体中标的，其履约担保由牵头人递交</w:t>
      </w:r>
      <w:r>
        <w:rPr>
          <w:rFonts w:hint="eastAsia" w:hAnsi="宋体"/>
          <w:sz w:val="24"/>
          <w:szCs w:val="24"/>
          <w:highlight w:val="none"/>
        </w:rPr>
        <w:t>。否则，视为放弃中标项目，投标保证金将不予退还。</w:t>
      </w:r>
    </w:p>
    <w:p w14:paraId="1B3896C2">
      <w:pPr>
        <w:pStyle w:val="16"/>
        <w:spacing w:line="360" w:lineRule="auto"/>
        <w:rPr>
          <w:rFonts w:hAnsi="宋体"/>
          <w:sz w:val="24"/>
          <w:szCs w:val="24"/>
          <w:highlight w:val="none"/>
        </w:rPr>
      </w:pPr>
      <w:r>
        <w:rPr>
          <w:rFonts w:hAnsi="宋体"/>
          <w:sz w:val="24"/>
          <w:szCs w:val="24"/>
          <w:highlight w:val="none"/>
        </w:rPr>
        <w:t>3</w:t>
      </w:r>
      <w:r>
        <w:rPr>
          <w:rFonts w:hint="eastAsia" w:hAnsi="宋体"/>
          <w:sz w:val="24"/>
          <w:szCs w:val="24"/>
          <w:highlight w:val="none"/>
        </w:rPr>
        <w:t>1.2签订合同后，如中标人不按双方签订合同约定履约，则没收其全部履约保证金，履约保证金不足以赔偿损失的，按实际损失赔偿。</w:t>
      </w:r>
    </w:p>
    <w:p w14:paraId="13F0FC0E">
      <w:pPr>
        <w:pStyle w:val="5"/>
        <w:ind w:left="425"/>
        <w:jc w:val="center"/>
        <w:rPr>
          <w:rFonts w:ascii="宋体" w:hAnsi="宋体" w:eastAsia="宋体"/>
          <w:sz w:val="24"/>
          <w:szCs w:val="24"/>
          <w:highlight w:val="none"/>
        </w:rPr>
      </w:pPr>
      <w:bookmarkStart w:id="62" w:name="_Toc101004088"/>
      <w:bookmarkStart w:id="63" w:name="_Toc33095536"/>
      <w:bookmarkStart w:id="64" w:name="_Toc26904"/>
      <w:bookmarkStart w:id="65" w:name="_Toc19565"/>
      <w:r>
        <w:rPr>
          <w:rFonts w:hint="eastAsia" w:ascii="宋体" w:hAnsi="宋体" w:eastAsia="宋体"/>
          <w:sz w:val="24"/>
          <w:szCs w:val="24"/>
          <w:highlight w:val="none"/>
        </w:rPr>
        <w:t>七、其他事项</w:t>
      </w:r>
      <w:bookmarkEnd w:id="62"/>
      <w:bookmarkEnd w:id="63"/>
      <w:bookmarkEnd w:id="64"/>
      <w:bookmarkEnd w:id="65"/>
    </w:p>
    <w:p w14:paraId="03F8465E">
      <w:pPr>
        <w:pStyle w:val="16"/>
        <w:spacing w:line="360" w:lineRule="auto"/>
        <w:rPr>
          <w:rFonts w:hAnsi="宋体"/>
          <w:b/>
          <w:bCs/>
          <w:sz w:val="24"/>
          <w:szCs w:val="24"/>
          <w:highlight w:val="none"/>
        </w:rPr>
      </w:pPr>
      <w:r>
        <w:rPr>
          <w:rFonts w:hAnsi="宋体"/>
          <w:b/>
          <w:bCs/>
          <w:sz w:val="24"/>
          <w:szCs w:val="24"/>
          <w:highlight w:val="none"/>
        </w:rPr>
        <w:t>3</w:t>
      </w:r>
      <w:r>
        <w:rPr>
          <w:rFonts w:hint="eastAsia" w:hAnsi="宋体"/>
          <w:b/>
          <w:bCs/>
          <w:sz w:val="24"/>
          <w:szCs w:val="24"/>
          <w:highlight w:val="none"/>
        </w:rPr>
        <w:t>2.采购代理服务费</w:t>
      </w:r>
    </w:p>
    <w:p w14:paraId="77A7E7AC">
      <w:pPr>
        <w:pStyle w:val="16"/>
        <w:spacing w:line="360" w:lineRule="auto"/>
        <w:rPr>
          <w:rFonts w:hAnsi="宋体"/>
          <w:bCs/>
          <w:sz w:val="24"/>
          <w:szCs w:val="24"/>
          <w:highlight w:val="none"/>
        </w:rPr>
      </w:pPr>
      <w:r>
        <w:rPr>
          <w:rFonts w:hint="eastAsia" w:hAnsi="宋体"/>
          <w:bCs/>
          <w:sz w:val="24"/>
          <w:szCs w:val="24"/>
          <w:highlight w:val="none"/>
        </w:rPr>
        <w:t>32.1采购代理机构按“投标人须知前附表”中的收费标准向中标人收取招标代理服务费；</w:t>
      </w:r>
    </w:p>
    <w:p w14:paraId="5CE00711">
      <w:pPr>
        <w:pStyle w:val="16"/>
        <w:spacing w:line="360" w:lineRule="auto"/>
        <w:rPr>
          <w:rFonts w:hAnsi="宋体"/>
          <w:sz w:val="24"/>
          <w:szCs w:val="24"/>
          <w:highlight w:val="none"/>
        </w:rPr>
      </w:pPr>
      <w:r>
        <w:rPr>
          <w:rFonts w:hint="eastAsia" w:hAnsi="宋体"/>
          <w:bCs/>
          <w:sz w:val="24"/>
          <w:szCs w:val="24"/>
          <w:highlight w:val="none"/>
        </w:rPr>
        <w:t>32.2中标人应在接受“中标通知书”前向采购代理机构一次付清代理服务费。</w:t>
      </w:r>
    </w:p>
    <w:p w14:paraId="497EA4FD">
      <w:pPr>
        <w:pStyle w:val="16"/>
        <w:spacing w:line="360" w:lineRule="auto"/>
        <w:rPr>
          <w:rFonts w:hAnsi="宋体"/>
          <w:b/>
          <w:bCs/>
          <w:sz w:val="24"/>
          <w:szCs w:val="24"/>
          <w:highlight w:val="none"/>
        </w:rPr>
      </w:pPr>
      <w:r>
        <w:rPr>
          <w:rFonts w:hint="eastAsia" w:hAnsi="宋体"/>
          <w:b/>
          <w:bCs/>
          <w:sz w:val="24"/>
          <w:szCs w:val="24"/>
          <w:highlight w:val="none"/>
        </w:rPr>
        <w:t>33.招标文件编制依据</w:t>
      </w:r>
    </w:p>
    <w:p w14:paraId="54B70655">
      <w:pPr>
        <w:pStyle w:val="16"/>
        <w:spacing w:line="360" w:lineRule="auto"/>
        <w:rPr>
          <w:rFonts w:hAnsi="宋体"/>
          <w:sz w:val="24"/>
          <w:szCs w:val="24"/>
          <w:highlight w:val="none"/>
        </w:rPr>
      </w:pPr>
      <w:r>
        <w:rPr>
          <w:rFonts w:hint="eastAsia" w:hAnsi="宋体"/>
          <w:sz w:val="24"/>
          <w:szCs w:val="24"/>
          <w:highlight w:val="none"/>
        </w:rPr>
        <w:t>33.1本招标文件根据《中华人民共和国政府采购法》及相关法律法规编制。</w:t>
      </w:r>
    </w:p>
    <w:p w14:paraId="7A193397">
      <w:pPr>
        <w:pStyle w:val="16"/>
        <w:spacing w:line="360" w:lineRule="auto"/>
        <w:rPr>
          <w:rFonts w:hAnsi="宋体"/>
          <w:b/>
          <w:bCs/>
          <w:sz w:val="24"/>
          <w:szCs w:val="24"/>
          <w:highlight w:val="none"/>
        </w:rPr>
      </w:pPr>
      <w:r>
        <w:rPr>
          <w:rFonts w:hint="eastAsia" w:hAnsi="宋体"/>
          <w:b/>
          <w:bCs/>
          <w:sz w:val="24"/>
          <w:szCs w:val="24"/>
          <w:highlight w:val="none"/>
        </w:rPr>
        <w:t>34.</w:t>
      </w:r>
      <w:r>
        <w:rPr>
          <w:rFonts w:hint="eastAsia" w:hAnsi="宋体"/>
          <w:b/>
          <w:sz w:val="24"/>
          <w:szCs w:val="24"/>
          <w:highlight w:val="none"/>
        </w:rPr>
        <w:t>需要补充的其他内容</w:t>
      </w:r>
    </w:p>
    <w:p w14:paraId="7B779C3B">
      <w:pPr>
        <w:pStyle w:val="16"/>
        <w:spacing w:line="360" w:lineRule="auto"/>
        <w:rPr>
          <w:rFonts w:hAnsi="宋体"/>
          <w:sz w:val="24"/>
          <w:szCs w:val="24"/>
          <w:highlight w:val="none"/>
        </w:rPr>
      </w:pPr>
      <w:r>
        <w:rPr>
          <w:rFonts w:hAnsi="宋体"/>
          <w:sz w:val="24"/>
          <w:szCs w:val="24"/>
          <w:highlight w:val="none"/>
        </w:rPr>
        <w:t>3</w:t>
      </w:r>
      <w:r>
        <w:rPr>
          <w:rFonts w:hint="eastAsia" w:hAnsi="宋体"/>
          <w:sz w:val="24"/>
          <w:szCs w:val="24"/>
          <w:highlight w:val="none"/>
        </w:rPr>
        <w:t>4</w:t>
      </w:r>
      <w:r>
        <w:rPr>
          <w:rFonts w:hAnsi="宋体"/>
          <w:sz w:val="24"/>
          <w:szCs w:val="24"/>
          <w:highlight w:val="none"/>
        </w:rPr>
        <w:t>.1“</w:t>
      </w:r>
      <w:r>
        <w:rPr>
          <w:rFonts w:hAnsi="宋体"/>
          <w:b/>
          <w:sz w:val="24"/>
          <w:szCs w:val="24"/>
          <w:highlight w:val="none"/>
        </w:rPr>
        <w:t>投标人须知前附表</w:t>
      </w:r>
      <w:r>
        <w:rPr>
          <w:rFonts w:hAnsi="宋体"/>
          <w:sz w:val="24"/>
          <w:szCs w:val="24"/>
          <w:highlight w:val="none"/>
        </w:rPr>
        <w:t>”</w:t>
      </w:r>
      <w:r>
        <w:rPr>
          <w:rFonts w:hint="eastAsia" w:hAnsi="宋体"/>
          <w:sz w:val="24"/>
          <w:szCs w:val="24"/>
          <w:highlight w:val="none"/>
        </w:rPr>
        <w:t>中若</w:t>
      </w:r>
      <w:r>
        <w:rPr>
          <w:rFonts w:hAnsi="宋体"/>
          <w:sz w:val="24"/>
          <w:szCs w:val="24"/>
          <w:highlight w:val="none"/>
        </w:rPr>
        <w:t>规定</w:t>
      </w:r>
      <w:r>
        <w:rPr>
          <w:rFonts w:hint="eastAsia" w:hAnsi="宋体"/>
          <w:sz w:val="24"/>
          <w:szCs w:val="24"/>
          <w:highlight w:val="none"/>
        </w:rPr>
        <w:t>可以接受</w:t>
      </w:r>
      <w:r>
        <w:rPr>
          <w:rFonts w:hAnsi="宋体"/>
          <w:sz w:val="24"/>
          <w:szCs w:val="24"/>
          <w:highlight w:val="none"/>
        </w:rPr>
        <w:t>备选方案</w:t>
      </w:r>
      <w:r>
        <w:rPr>
          <w:rFonts w:hint="eastAsia" w:hAnsi="宋体"/>
          <w:sz w:val="24"/>
          <w:szCs w:val="24"/>
          <w:highlight w:val="none"/>
        </w:rPr>
        <w:t>的，投标人在投标文件中只能提供一个备选方案，并注明主选方案，且备选方案的投标价格不得高于主选方案。凡提供两个以上备选方案或未注明主选方案的，该投标将被视为未实质性响应招标文件要求。</w:t>
      </w:r>
    </w:p>
    <w:p w14:paraId="1FE9173B">
      <w:pPr>
        <w:pStyle w:val="16"/>
        <w:spacing w:line="360" w:lineRule="auto"/>
        <w:ind w:firstLine="480" w:firstLineChars="200"/>
        <w:rPr>
          <w:rFonts w:hAnsi="宋体"/>
          <w:sz w:val="24"/>
          <w:szCs w:val="24"/>
          <w:highlight w:val="none"/>
        </w:rPr>
      </w:pPr>
      <w:r>
        <w:rPr>
          <w:rFonts w:hint="eastAsia" w:hAnsi="宋体"/>
          <w:sz w:val="24"/>
          <w:szCs w:val="24"/>
          <w:highlight w:val="none"/>
        </w:rPr>
        <w:t>评标委员会在对有备选方案的投标人进行评审时，应当以</w:t>
      </w:r>
      <w:r>
        <w:rPr>
          <w:rFonts w:hAnsi="宋体"/>
          <w:sz w:val="24"/>
          <w:szCs w:val="24"/>
          <w:highlight w:val="none"/>
        </w:rPr>
        <w:t>主选方案</w:t>
      </w:r>
      <w:r>
        <w:rPr>
          <w:rFonts w:hint="eastAsia" w:hAnsi="宋体"/>
          <w:sz w:val="24"/>
          <w:szCs w:val="24"/>
          <w:highlight w:val="none"/>
        </w:rPr>
        <w:t>为准进行</w:t>
      </w:r>
      <w:r>
        <w:rPr>
          <w:rFonts w:hAnsi="宋体"/>
          <w:sz w:val="24"/>
          <w:szCs w:val="24"/>
          <w:highlight w:val="none"/>
        </w:rPr>
        <w:t>评</w:t>
      </w:r>
      <w:r>
        <w:rPr>
          <w:rFonts w:hint="eastAsia" w:hAnsi="宋体"/>
          <w:sz w:val="24"/>
          <w:szCs w:val="24"/>
          <w:highlight w:val="none"/>
        </w:rPr>
        <w:t>审，如考虑备选方案的，备选方案必须实质性响应招标文件要求</w:t>
      </w:r>
      <w:r>
        <w:rPr>
          <w:rFonts w:hAnsi="宋体"/>
          <w:sz w:val="24"/>
          <w:szCs w:val="24"/>
          <w:highlight w:val="none"/>
        </w:rPr>
        <w:t>。</w:t>
      </w:r>
    </w:p>
    <w:p w14:paraId="5CB45F00">
      <w:pPr>
        <w:pStyle w:val="16"/>
        <w:spacing w:line="360" w:lineRule="auto"/>
        <w:rPr>
          <w:rFonts w:hAnsi="宋体"/>
          <w:sz w:val="24"/>
          <w:szCs w:val="24"/>
          <w:highlight w:val="none"/>
        </w:rPr>
      </w:pPr>
      <w:r>
        <w:rPr>
          <w:rFonts w:hint="eastAsia" w:hAnsi="宋体"/>
          <w:sz w:val="24"/>
          <w:szCs w:val="24"/>
          <w:highlight w:val="none"/>
        </w:rPr>
        <w:t>34.2</w:t>
      </w:r>
      <w:r>
        <w:rPr>
          <w:rFonts w:hint="eastAsia" w:hAnsi="宋体"/>
          <w:sz w:val="24"/>
          <w:szCs w:val="24"/>
          <w:highlight w:val="none"/>
          <w:lang w:eastAsia="zh-CN"/>
        </w:rPr>
        <w:t>其他</w:t>
      </w:r>
      <w:r>
        <w:rPr>
          <w:rFonts w:hint="eastAsia" w:hAnsi="宋体"/>
          <w:sz w:val="24"/>
          <w:szCs w:val="24"/>
          <w:highlight w:val="none"/>
        </w:rPr>
        <w:t>需要补充的其他内容：见“</w:t>
      </w:r>
      <w:r>
        <w:rPr>
          <w:rFonts w:hint="eastAsia" w:hAnsi="宋体"/>
          <w:b/>
          <w:sz w:val="24"/>
          <w:szCs w:val="24"/>
          <w:highlight w:val="none"/>
        </w:rPr>
        <w:t>投标人须知前附表</w:t>
      </w:r>
      <w:r>
        <w:rPr>
          <w:rFonts w:hint="eastAsia" w:hAnsi="宋体"/>
          <w:sz w:val="24"/>
          <w:szCs w:val="24"/>
          <w:highlight w:val="none"/>
        </w:rPr>
        <w:t>”。</w:t>
      </w:r>
    </w:p>
    <w:p w14:paraId="4DD54993">
      <w:pPr>
        <w:pStyle w:val="16"/>
        <w:spacing w:line="360" w:lineRule="auto"/>
        <w:rPr>
          <w:rFonts w:hAnsi="宋体"/>
          <w:sz w:val="24"/>
          <w:szCs w:val="24"/>
          <w:highlight w:val="none"/>
        </w:rPr>
      </w:pPr>
      <w:r>
        <w:rPr>
          <w:rFonts w:hAnsi="宋体"/>
          <w:sz w:val="24"/>
          <w:szCs w:val="24"/>
          <w:highlight w:val="none"/>
        </w:rPr>
        <w:br w:type="page"/>
      </w:r>
    </w:p>
    <w:p w14:paraId="3084089B">
      <w:pPr>
        <w:pStyle w:val="4"/>
        <w:jc w:val="center"/>
        <w:rPr>
          <w:rFonts w:ascii="宋体" w:hAnsi="宋体" w:eastAsia="宋体"/>
          <w:bCs/>
          <w:sz w:val="36"/>
          <w:szCs w:val="36"/>
          <w:highlight w:val="none"/>
        </w:rPr>
      </w:pPr>
      <w:bookmarkStart w:id="66" w:name="_Toc213141090"/>
      <w:bookmarkStart w:id="67" w:name="_Toc19204"/>
      <w:r>
        <w:rPr>
          <w:rFonts w:hint="eastAsia" w:ascii="宋体" w:hAnsi="宋体" w:eastAsia="宋体"/>
          <w:bCs/>
          <w:sz w:val="36"/>
          <w:szCs w:val="36"/>
          <w:highlight w:val="none"/>
        </w:rPr>
        <w:t>第三章 合同书样式及主要条款</w:t>
      </w:r>
      <w:bookmarkEnd w:id="66"/>
      <w:bookmarkEnd w:id="67"/>
    </w:p>
    <w:p w14:paraId="19B15B69">
      <w:pPr>
        <w:pStyle w:val="5"/>
        <w:jc w:val="center"/>
        <w:rPr>
          <w:rFonts w:ascii="宋体" w:hAnsi="宋体" w:eastAsia="宋体"/>
          <w:bCs/>
          <w:sz w:val="36"/>
          <w:szCs w:val="36"/>
          <w:highlight w:val="none"/>
        </w:rPr>
      </w:pPr>
      <w:bookmarkStart w:id="68" w:name="_Toc33095538"/>
      <w:bookmarkStart w:id="69" w:name="_Toc213141091"/>
      <w:bookmarkStart w:id="70" w:name="_Toc101004090"/>
      <w:bookmarkStart w:id="71" w:name="_Toc8359"/>
      <w:r>
        <w:rPr>
          <w:rFonts w:hint="eastAsia" w:ascii="宋体" w:hAnsi="宋体" w:eastAsia="宋体"/>
          <w:bCs/>
          <w:sz w:val="36"/>
          <w:szCs w:val="36"/>
          <w:highlight w:val="none"/>
        </w:rPr>
        <w:t>合同条款前附表</w:t>
      </w:r>
      <w:bookmarkEnd w:id="68"/>
      <w:bookmarkEnd w:id="69"/>
      <w:bookmarkEnd w:id="70"/>
      <w:bookmarkEnd w:id="71"/>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14:paraId="7ABFF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122" w:type="dxa"/>
            <w:vAlign w:val="center"/>
          </w:tcPr>
          <w:p w14:paraId="01201A84">
            <w:pPr>
              <w:pStyle w:val="16"/>
              <w:ind w:firstLine="241" w:firstLineChars="100"/>
              <w:rPr>
                <w:rFonts w:hAnsi="宋体"/>
                <w:b/>
                <w:bCs/>
                <w:sz w:val="24"/>
                <w:szCs w:val="24"/>
                <w:highlight w:val="none"/>
              </w:rPr>
            </w:pPr>
            <w:r>
              <w:rPr>
                <w:rFonts w:hint="eastAsia" w:hAnsi="宋体"/>
                <w:b/>
                <w:bCs/>
                <w:sz w:val="24"/>
                <w:szCs w:val="24"/>
                <w:highlight w:val="none"/>
              </w:rPr>
              <w:t>序号</w:t>
            </w:r>
          </w:p>
        </w:tc>
        <w:tc>
          <w:tcPr>
            <w:tcW w:w="7819" w:type="dxa"/>
            <w:vAlign w:val="center"/>
          </w:tcPr>
          <w:p w14:paraId="7BBBA2CE">
            <w:pPr>
              <w:pStyle w:val="16"/>
              <w:ind w:firstLine="241" w:firstLineChars="100"/>
              <w:jc w:val="center"/>
              <w:rPr>
                <w:rFonts w:hAnsi="宋体"/>
                <w:b/>
                <w:bCs/>
                <w:sz w:val="24"/>
                <w:szCs w:val="24"/>
                <w:highlight w:val="none"/>
              </w:rPr>
            </w:pPr>
            <w:r>
              <w:rPr>
                <w:rFonts w:hint="eastAsia" w:hAnsi="宋体"/>
                <w:b/>
                <w:bCs/>
                <w:sz w:val="24"/>
                <w:szCs w:val="24"/>
                <w:highlight w:val="none"/>
              </w:rPr>
              <w:t>内      容</w:t>
            </w:r>
          </w:p>
        </w:tc>
      </w:tr>
      <w:tr w14:paraId="529E4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0" w:hRule="atLeast"/>
          <w:jc w:val="center"/>
        </w:trPr>
        <w:tc>
          <w:tcPr>
            <w:tcW w:w="1122" w:type="dxa"/>
            <w:vAlign w:val="center"/>
          </w:tcPr>
          <w:p w14:paraId="5AAC4615">
            <w:pPr>
              <w:pStyle w:val="16"/>
              <w:ind w:firstLine="240" w:firstLineChars="100"/>
              <w:jc w:val="center"/>
              <w:rPr>
                <w:rFonts w:hAnsi="宋体"/>
                <w:sz w:val="24"/>
                <w:szCs w:val="24"/>
                <w:highlight w:val="none"/>
              </w:rPr>
            </w:pPr>
            <w:r>
              <w:rPr>
                <w:rFonts w:hint="eastAsia" w:hAnsi="宋体"/>
                <w:sz w:val="24"/>
                <w:szCs w:val="24"/>
                <w:highlight w:val="none"/>
              </w:rPr>
              <w:t>1</w:t>
            </w:r>
          </w:p>
        </w:tc>
        <w:tc>
          <w:tcPr>
            <w:tcW w:w="7819" w:type="dxa"/>
            <w:vAlign w:val="center"/>
          </w:tcPr>
          <w:p w14:paraId="176C995A">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sz w:val="24"/>
                <w:szCs w:val="24"/>
                <w:highlight w:val="none"/>
              </w:rPr>
            </w:pPr>
            <w:r>
              <w:rPr>
                <w:rFonts w:hint="eastAsia" w:hAnsi="宋体"/>
                <w:sz w:val="24"/>
                <w:szCs w:val="24"/>
                <w:highlight w:val="none"/>
              </w:rPr>
              <w:t>交货期、交货地点及交货方式</w:t>
            </w:r>
          </w:p>
          <w:p w14:paraId="5622BF13">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sz w:val="24"/>
                <w:szCs w:val="24"/>
                <w:highlight w:val="none"/>
              </w:rPr>
            </w:pPr>
            <w:r>
              <w:rPr>
                <w:rFonts w:hint="eastAsia" w:hAnsi="宋体"/>
                <w:sz w:val="24"/>
                <w:szCs w:val="24"/>
                <w:highlight w:val="none"/>
                <w:lang w:eastAsia="zh-CN"/>
              </w:rPr>
              <w:t>（</w:t>
            </w:r>
            <w:r>
              <w:rPr>
                <w:rFonts w:hint="eastAsia" w:hAnsi="宋体"/>
                <w:sz w:val="24"/>
                <w:szCs w:val="24"/>
                <w:highlight w:val="none"/>
              </w:rPr>
              <w:t>1）合同履行期限/交货期：自合同签订之日起30个日历日内完成设备的供货及安装调试，确保一次性验收合格，具体以合同签订为准。</w:t>
            </w:r>
          </w:p>
          <w:p w14:paraId="38C4960C">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sz w:val="24"/>
                <w:szCs w:val="24"/>
                <w:highlight w:val="none"/>
              </w:rPr>
            </w:pPr>
            <w:r>
              <w:rPr>
                <w:rFonts w:hint="eastAsia" w:hAnsi="宋体"/>
                <w:sz w:val="24"/>
                <w:szCs w:val="24"/>
                <w:highlight w:val="none"/>
                <w:lang w:eastAsia="zh-CN"/>
              </w:rPr>
              <w:t>（</w:t>
            </w:r>
            <w:r>
              <w:rPr>
                <w:rFonts w:hAnsi="宋体"/>
                <w:sz w:val="24"/>
                <w:szCs w:val="24"/>
                <w:highlight w:val="none"/>
              </w:rPr>
              <w:t>2</w:t>
            </w:r>
            <w:r>
              <w:rPr>
                <w:rFonts w:hint="eastAsia" w:hAnsi="宋体"/>
                <w:sz w:val="24"/>
                <w:szCs w:val="24"/>
                <w:highlight w:val="none"/>
              </w:rPr>
              <w:t>）交货地点：昆明市妇幼保健院，采购人指定地点。</w:t>
            </w:r>
          </w:p>
          <w:p w14:paraId="5B6C2003">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sz w:val="24"/>
                <w:szCs w:val="24"/>
                <w:highlight w:val="none"/>
              </w:rPr>
            </w:pPr>
            <w:r>
              <w:rPr>
                <w:rFonts w:hint="eastAsia" w:hAnsi="宋体"/>
                <w:sz w:val="24"/>
                <w:szCs w:val="24"/>
                <w:highlight w:val="none"/>
                <w:lang w:eastAsia="zh-CN"/>
              </w:rPr>
              <w:t>（</w:t>
            </w:r>
            <w:r>
              <w:rPr>
                <w:rFonts w:hint="eastAsia" w:ascii="宋体" w:hAnsi="宋体" w:eastAsia="宋体" w:cs="Times New Roman"/>
                <w:sz w:val="24"/>
                <w:szCs w:val="24"/>
                <w:highlight w:val="none"/>
              </w:rPr>
              <w:t>3）交货方式：原则上所交设备为出厂日期3个月内产品</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安装调试并验收合格。</w:t>
            </w:r>
          </w:p>
        </w:tc>
      </w:tr>
      <w:tr w14:paraId="7E01A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1122" w:type="dxa"/>
            <w:vAlign w:val="center"/>
          </w:tcPr>
          <w:p w14:paraId="1B58FBFE">
            <w:pPr>
              <w:pStyle w:val="16"/>
              <w:ind w:firstLine="240" w:firstLineChars="100"/>
              <w:jc w:val="center"/>
              <w:rPr>
                <w:rFonts w:hAnsi="宋体"/>
                <w:sz w:val="24"/>
                <w:szCs w:val="24"/>
                <w:highlight w:val="none"/>
              </w:rPr>
            </w:pPr>
            <w:r>
              <w:rPr>
                <w:rFonts w:hint="eastAsia" w:hAnsi="宋体"/>
                <w:sz w:val="24"/>
                <w:szCs w:val="24"/>
                <w:highlight w:val="none"/>
              </w:rPr>
              <w:t>2</w:t>
            </w:r>
          </w:p>
        </w:tc>
        <w:tc>
          <w:tcPr>
            <w:tcW w:w="7819" w:type="dxa"/>
            <w:shd w:val="clear" w:color="auto" w:fill="auto"/>
            <w:vAlign w:val="center"/>
          </w:tcPr>
          <w:p w14:paraId="0BC6F59A">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sz w:val="24"/>
                <w:szCs w:val="24"/>
                <w:highlight w:val="none"/>
              </w:rPr>
            </w:pPr>
            <w:r>
              <w:rPr>
                <w:rFonts w:hint="eastAsia" w:hAnsi="宋体"/>
                <w:sz w:val="24"/>
                <w:szCs w:val="24"/>
                <w:highlight w:val="none"/>
              </w:rPr>
              <w:t>1.付款方式：</w:t>
            </w:r>
          </w:p>
          <w:p w14:paraId="547CC5E5">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sz w:val="24"/>
                <w:szCs w:val="24"/>
                <w:highlight w:val="none"/>
              </w:rPr>
            </w:pPr>
            <w:r>
              <w:rPr>
                <w:rFonts w:hint="eastAsia" w:hAnsi="宋体"/>
                <w:sz w:val="24"/>
                <w:szCs w:val="24"/>
                <w:highlight w:val="none"/>
              </w:rPr>
              <w:t>（1</w:t>
            </w:r>
            <w:r>
              <w:rPr>
                <w:rFonts w:hAnsi="宋体"/>
                <w:sz w:val="24"/>
                <w:szCs w:val="24"/>
                <w:highlight w:val="none"/>
              </w:rPr>
              <w:t>）</w:t>
            </w:r>
            <w:r>
              <w:rPr>
                <w:rFonts w:hint="eastAsia" w:hAnsi="宋体"/>
                <w:sz w:val="24"/>
                <w:szCs w:val="24"/>
                <w:highlight w:val="none"/>
                <w:lang w:eastAsia="zh-CN"/>
              </w:rPr>
              <w:t>－</w:t>
            </w:r>
            <w:r>
              <w:rPr>
                <w:rFonts w:hint="eastAsia" w:hAnsi="宋体"/>
                <w:sz w:val="24"/>
                <w:szCs w:val="24"/>
                <w:highlight w:val="none"/>
              </w:rPr>
              <w:t>设备到货进场、安装调试、使用培训、验收合格支付50%合同款项；</w:t>
            </w:r>
          </w:p>
          <w:p w14:paraId="7CA6948A">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sz w:val="24"/>
                <w:szCs w:val="24"/>
                <w:highlight w:val="none"/>
              </w:rPr>
            </w:pPr>
            <w:r>
              <w:rPr>
                <w:rFonts w:hint="eastAsia" w:hAnsi="宋体"/>
                <w:sz w:val="24"/>
                <w:szCs w:val="24"/>
                <w:highlight w:val="none"/>
              </w:rPr>
              <w:t>（2</w:t>
            </w:r>
            <w:r>
              <w:rPr>
                <w:rFonts w:hAnsi="宋体"/>
                <w:sz w:val="24"/>
                <w:szCs w:val="24"/>
                <w:highlight w:val="none"/>
              </w:rPr>
              <w:t>）</w:t>
            </w:r>
            <w:r>
              <w:rPr>
                <w:rFonts w:hint="eastAsia" w:hAnsi="宋体"/>
                <w:sz w:val="24"/>
                <w:szCs w:val="24"/>
                <w:highlight w:val="none"/>
                <w:lang w:eastAsia="zh-CN"/>
              </w:rPr>
              <w:t>－</w:t>
            </w:r>
            <w:r>
              <w:rPr>
                <w:rFonts w:hint="eastAsia" w:hAnsi="宋体"/>
                <w:sz w:val="24"/>
                <w:szCs w:val="24"/>
                <w:highlight w:val="none"/>
              </w:rPr>
              <w:t>自本合同标的验收合格之日起满12个月、乙方履行期间阶段维护保养等义务且设备运行正常的支付20%合同款项；</w:t>
            </w:r>
          </w:p>
          <w:p w14:paraId="5B898C71">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sz w:val="24"/>
                <w:szCs w:val="24"/>
                <w:highlight w:val="none"/>
              </w:rPr>
            </w:pPr>
            <w:r>
              <w:rPr>
                <w:rFonts w:hint="eastAsia" w:hAnsi="宋体"/>
                <w:sz w:val="24"/>
                <w:szCs w:val="24"/>
                <w:highlight w:val="none"/>
              </w:rPr>
              <w:t>（3</w:t>
            </w:r>
            <w:r>
              <w:rPr>
                <w:rFonts w:hAnsi="宋体"/>
                <w:sz w:val="24"/>
                <w:szCs w:val="24"/>
                <w:highlight w:val="none"/>
              </w:rPr>
              <w:t>）</w:t>
            </w:r>
            <w:r>
              <w:rPr>
                <w:rFonts w:hint="eastAsia" w:hAnsi="宋体"/>
                <w:sz w:val="24"/>
                <w:szCs w:val="24"/>
                <w:highlight w:val="none"/>
                <w:lang w:eastAsia="zh-CN"/>
              </w:rPr>
              <w:t>－</w:t>
            </w:r>
            <w:r>
              <w:rPr>
                <w:rFonts w:hint="eastAsia" w:hAnsi="宋体"/>
                <w:sz w:val="24"/>
                <w:szCs w:val="24"/>
                <w:highlight w:val="none"/>
              </w:rPr>
              <w:t>自本合同标的验收合格之日起满24个月、乙方履行期间阶段维护保养等义务且设备运行正常的支付20%合同款项；</w:t>
            </w:r>
          </w:p>
          <w:p w14:paraId="3C9975EA">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sz w:val="24"/>
                <w:szCs w:val="24"/>
                <w:highlight w:val="none"/>
              </w:rPr>
            </w:pPr>
            <w:r>
              <w:rPr>
                <w:rFonts w:hint="eastAsia" w:hAnsi="宋体"/>
                <w:sz w:val="24"/>
                <w:szCs w:val="24"/>
                <w:highlight w:val="none"/>
              </w:rPr>
              <w:t>（4</w:t>
            </w:r>
            <w:r>
              <w:rPr>
                <w:rFonts w:hAnsi="宋体"/>
                <w:sz w:val="24"/>
                <w:szCs w:val="24"/>
                <w:highlight w:val="none"/>
              </w:rPr>
              <w:t>）</w:t>
            </w:r>
            <w:r>
              <w:rPr>
                <w:rFonts w:hint="eastAsia" w:hAnsi="宋体"/>
                <w:sz w:val="24"/>
                <w:szCs w:val="24"/>
                <w:highlight w:val="none"/>
                <w:lang w:eastAsia="zh-CN"/>
              </w:rPr>
              <w:t>－</w:t>
            </w:r>
            <w:r>
              <w:rPr>
                <w:rFonts w:hint="eastAsia" w:hAnsi="宋体"/>
                <w:sz w:val="24"/>
                <w:szCs w:val="24"/>
                <w:highlight w:val="none"/>
              </w:rPr>
              <w:t>自本合同标的验收合格之日起满36个月、乙方履行期间阶段维护保养等义务且设备运行正常的支付10%合同款项。</w:t>
            </w:r>
          </w:p>
          <w:p w14:paraId="353B290C">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sz w:val="24"/>
                <w:szCs w:val="24"/>
                <w:highlight w:val="none"/>
              </w:rPr>
            </w:pPr>
            <w:r>
              <w:rPr>
                <w:rFonts w:hint="eastAsia" w:hAnsi="宋体"/>
                <w:sz w:val="24"/>
                <w:szCs w:val="24"/>
                <w:highlight w:val="none"/>
              </w:rPr>
              <w:t>2</w:t>
            </w:r>
            <w:r>
              <w:rPr>
                <w:rFonts w:hint="eastAsia" w:hAnsi="宋体"/>
                <w:sz w:val="24"/>
                <w:szCs w:val="24"/>
                <w:highlight w:val="none"/>
                <w:lang w:val="en-US" w:eastAsia="zh-CN"/>
              </w:rPr>
              <w:t>.</w:t>
            </w:r>
            <w:r>
              <w:rPr>
                <w:rFonts w:hint="eastAsia" w:hAnsi="宋体"/>
                <w:sz w:val="24"/>
                <w:szCs w:val="24"/>
                <w:highlight w:val="none"/>
              </w:rPr>
              <w:t>乙方应在申请付款时向甲方提供税务机构合规正式发票且对所开具发票的真实合法性承担其相应责任，并按照甲方验收及财务管理规定提供相应资料。</w:t>
            </w:r>
          </w:p>
        </w:tc>
      </w:tr>
    </w:tbl>
    <w:p w14:paraId="57CB1B85">
      <w:pPr>
        <w:rPr>
          <w:rFonts w:ascii="宋体" w:hAnsi="宋体"/>
          <w:b/>
          <w:bCs/>
          <w:szCs w:val="21"/>
          <w:highlight w:val="none"/>
        </w:rPr>
      </w:pPr>
    </w:p>
    <w:p w14:paraId="1B169115">
      <w:pPr>
        <w:rPr>
          <w:rFonts w:ascii="宋体" w:hAnsi="宋体"/>
          <w:b/>
          <w:bCs/>
          <w:szCs w:val="21"/>
          <w:highlight w:val="none"/>
        </w:rPr>
      </w:pPr>
      <w:r>
        <w:rPr>
          <w:rFonts w:ascii="宋体" w:hAnsi="宋体"/>
          <w:b/>
          <w:bCs/>
          <w:szCs w:val="21"/>
          <w:highlight w:val="none"/>
        </w:rPr>
        <w:br w:type="page"/>
      </w:r>
    </w:p>
    <w:p w14:paraId="197733FB">
      <w:pPr>
        <w:spacing w:line="360" w:lineRule="auto"/>
        <w:jc w:val="center"/>
        <w:rPr>
          <w:rFonts w:ascii="宋体" w:hAnsi="宋体"/>
          <w:sz w:val="24"/>
          <w:highlight w:val="none"/>
        </w:rPr>
      </w:pPr>
    </w:p>
    <w:p w14:paraId="68DA6B17">
      <w:pPr>
        <w:widowControl/>
        <w:snapToGrid w:val="0"/>
        <w:spacing w:line="360" w:lineRule="auto"/>
        <w:ind w:firstLine="482" w:firstLineChars="200"/>
        <w:jc w:val="center"/>
        <w:rPr>
          <w:rFonts w:ascii="宋体" w:hAnsi="宋体"/>
          <w:b/>
          <w:sz w:val="24"/>
          <w:highlight w:val="none"/>
        </w:rPr>
      </w:pPr>
      <w:r>
        <w:rPr>
          <w:rFonts w:hint="eastAsia" w:ascii="宋体" w:hAnsi="宋体"/>
          <w:b/>
          <w:sz w:val="24"/>
          <w:highlight w:val="none"/>
        </w:rPr>
        <w:t>(以下合同样式仅供参考，具体合同内容以签订合同时甲乙双方商定为准)</w:t>
      </w:r>
    </w:p>
    <w:p w14:paraId="0B7214E2">
      <w:pPr>
        <w:pStyle w:val="13"/>
        <w:spacing w:after="0"/>
        <w:jc w:val="center"/>
        <w:rPr>
          <w:rFonts w:ascii="宋体" w:hAnsi="宋体" w:cs="宋体"/>
          <w:b/>
          <w:bCs/>
          <w:spacing w:val="-20"/>
          <w:kern w:val="44"/>
          <w:sz w:val="48"/>
          <w:szCs w:val="48"/>
          <w:highlight w:val="none"/>
        </w:rPr>
      </w:pPr>
      <w:bookmarkStart w:id="72" w:name="_Toc3995"/>
    </w:p>
    <w:p w14:paraId="0F310B5E">
      <w:pPr>
        <w:pStyle w:val="13"/>
        <w:spacing w:after="0"/>
        <w:jc w:val="center"/>
        <w:rPr>
          <w:rFonts w:ascii="宋体" w:hAnsi="宋体" w:cs="宋体"/>
          <w:b/>
          <w:bCs/>
          <w:spacing w:val="-20"/>
          <w:kern w:val="44"/>
          <w:sz w:val="48"/>
          <w:szCs w:val="48"/>
          <w:highlight w:val="none"/>
        </w:rPr>
      </w:pPr>
    </w:p>
    <w:p w14:paraId="654D02A3">
      <w:pPr>
        <w:pStyle w:val="13"/>
        <w:spacing w:after="0"/>
        <w:jc w:val="center"/>
        <w:rPr>
          <w:rFonts w:ascii="宋体" w:hAnsi="宋体" w:cs="宋体"/>
          <w:b/>
          <w:bCs/>
          <w:spacing w:val="-20"/>
          <w:kern w:val="44"/>
          <w:sz w:val="48"/>
          <w:szCs w:val="48"/>
          <w:highlight w:val="none"/>
        </w:rPr>
      </w:pPr>
    </w:p>
    <w:p w14:paraId="72CC98C7">
      <w:pPr>
        <w:pStyle w:val="13"/>
        <w:spacing w:after="0"/>
        <w:jc w:val="center"/>
        <w:rPr>
          <w:rFonts w:ascii="宋体" w:hAnsi="宋体" w:cs="宋体"/>
          <w:b/>
          <w:bCs/>
          <w:spacing w:val="-20"/>
          <w:kern w:val="44"/>
          <w:sz w:val="48"/>
          <w:szCs w:val="48"/>
          <w:highlight w:val="none"/>
        </w:rPr>
      </w:pPr>
    </w:p>
    <w:p w14:paraId="3DEA9D77">
      <w:pPr>
        <w:pStyle w:val="13"/>
        <w:spacing w:after="0"/>
        <w:jc w:val="center"/>
        <w:rPr>
          <w:rFonts w:ascii="宋体" w:hAnsi="宋体" w:cs="宋体"/>
          <w:b/>
          <w:bCs/>
          <w:spacing w:val="-20"/>
          <w:kern w:val="44"/>
          <w:sz w:val="48"/>
          <w:szCs w:val="48"/>
          <w:highlight w:val="none"/>
        </w:rPr>
      </w:pPr>
    </w:p>
    <w:p w14:paraId="269D853C">
      <w:pPr>
        <w:pStyle w:val="13"/>
        <w:spacing w:after="0"/>
        <w:jc w:val="center"/>
        <w:rPr>
          <w:rFonts w:ascii="宋体" w:hAnsi="宋体" w:cs="宋体"/>
          <w:b/>
          <w:bCs/>
          <w:spacing w:val="-20"/>
          <w:kern w:val="44"/>
          <w:sz w:val="48"/>
          <w:szCs w:val="48"/>
          <w:highlight w:val="none"/>
        </w:rPr>
      </w:pPr>
      <w:r>
        <w:rPr>
          <w:rFonts w:hint="eastAsia" w:ascii="宋体" w:hAnsi="宋体" w:cs="宋体"/>
          <w:b/>
          <w:bCs/>
          <w:spacing w:val="-20"/>
          <w:kern w:val="44"/>
          <w:sz w:val="48"/>
          <w:szCs w:val="48"/>
          <w:highlight w:val="none"/>
        </w:rPr>
        <w:t>政府采购货物买卖合同</w:t>
      </w:r>
    </w:p>
    <w:p w14:paraId="740014ED">
      <w:pPr>
        <w:pStyle w:val="13"/>
        <w:spacing w:after="0"/>
        <w:jc w:val="center"/>
        <w:rPr>
          <w:rFonts w:ascii="宋体" w:hAnsi="宋体" w:cs="宋体"/>
          <w:b/>
          <w:bCs/>
          <w:spacing w:val="-20"/>
          <w:kern w:val="44"/>
          <w:sz w:val="48"/>
          <w:szCs w:val="48"/>
          <w:highlight w:val="none"/>
        </w:rPr>
      </w:pPr>
      <w:r>
        <w:rPr>
          <w:rFonts w:hint="eastAsia" w:ascii="宋体" w:hAnsi="宋体" w:cs="宋体"/>
          <w:b/>
          <w:bCs/>
          <w:spacing w:val="-20"/>
          <w:kern w:val="44"/>
          <w:sz w:val="48"/>
          <w:szCs w:val="48"/>
          <w:highlight w:val="none"/>
        </w:rPr>
        <w:t>（试行）</w:t>
      </w:r>
    </w:p>
    <w:p w14:paraId="69B97D23">
      <w:pPr>
        <w:rPr>
          <w:rFonts w:ascii="宋体" w:hAnsi="宋体" w:cs="宋体"/>
          <w:b/>
          <w:bCs/>
          <w:spacing w:val="-20"/>
          <w:kern w:val="44"/>
          <w:sz w:val="40"/>
          <w:szCs w:val="40"/>
          <w:highlight w:val="none"/>
        </w:rPr>
      </w:pPr>
    </w:p>
    <w:p w14:paraId="5052AA18">
      <w:pPr>
        <w:rPr>
          <w:rFonts w:ascii="宋体" w:hAnsi="宋体" w:cs="宋体"/>
          <w:b/>
          <w:bCs/>
          <w:spacing w:val="-20"/>
          <w:kern w:val="44"/>
          <w:sz w:val="40"/>
          <w:szCs w:val="40"/>
          <w:highlight w:val="none"/>
        </w:rPr>
      </w:pPr>
    </w:p>
    <w:p w14:paraId="71DE23AF">
      <w:pPr>
        <w:rPr>
          <w:rFonts w:ascii="宋体" w:hAnsi="宋体" w:cs="宋体"/>
          <w:b/>
          <w:bCs/>
          <w:spacing w:val="-20"/>
          <w:kern w:val="44"/>
          <w:sz w:val="40"/>
          <w:szCs w:val="40"/>
          <w:highlight w:val="none"/>
        </w:rPr>
      </w:pPr>
    </w:p>
    <w:p w14:paraId="7E548F51">
      <w:pPr>
        <w:spacing w:line="360" w:lineRule="auto"/>
        <w:ind w:left="420" w:leftChars="200"/>
        <w:rPr>
          <w:rFonts w:ascii="宋体" w:hAnsi="宋体"/>
          <w:sz w:val="32"/>
          <w:szCs w:val="32"/>
          <w:highlight w:val="none"/>
        </w:rPr>
      </w:pPr>
      <w:r>
        <w:rPr>
          <w:rFonts w:hint="eastAsia" w:ascii="宋体" w:hAnsi="宋体" w:cs="宋体"/>
          <w:kern w:val="0"/>
          <w:sz w:val="32"/>
          <w:szCs w:val="32"/>
          <w:highlight w:val="none"/>
        </w:rPr>
        <w:t>项目名称：</w:t>
      </w:r>
      <w:r>
        <w:rPr>
          <w:rFonts w:hint="eastAsia" w:ascii="宋体" w:hAnsi="宋体"/>
          <w:sz w:val="32"/>
          <w:szCs w:val="32"/>
          <w:highlight w:val="none"/>
          <w:u w:val="single"/>
        </w:rPr>
        <w:t xml:space="preserve">                             </w:t>
      </w:r>
    </w:p>
    <w:p w14:paraId="14DFAB0C">
      <w:pPr>
        <w:spacing w:line="360" w:lineRule="auto"/>
        <w:ind w:left="420" w:leftChars="200"/>
        <w:rPr>
          <w:rFonts w:ascii="宋体" w:hAnsi="宋体"/>
          <w:sz w:val="32"/>
          <w:szCs w:val="32"/>
          <w:highlight w:val="none"/>
          <w:u w:val="single"/>
        </w:rPr>
      </w:pPr>
      <w:r>
        <w:rPr>
          <w:rFonts w:hint="eastAsia" w:ascii="宋体" w:hAnsi="宋体"/>
          <w:sz w:val="32"/>
          <w:szCs w:val="32"/>
          <w:highlight w:val="none"/>
        </w:rPr>
        <w:t>合同编号：</w:t>
      </w:r>
      <w:r>
        <w:rPr>
          <w:rFonts w:hint="eastAsia" w:ascii="宋体" w:hAnsi="宋体"/>
          <w:sz w:val="32"/>
          <w:szCs w:val="32"/>
          <w:highlight w:val="none"/>
          <w:u w:val="single"/>
        </w:rPr>
        <w:t xml:space="preserve">                             </w:t>
      </w:r>
    </w:p>
    <w:p w14:paraId="56562B86">
      <w:pPr>
        <w:spacing w:line="360" w:lineRule="auto"/>
        <w:ind w:left="420" w:leftChars="200"/>
        <w:rPr>
          <w:rFonts w:ascii="宋体" w:hAnsi="宋体"/>
          <w:sz w:val="32"/>
          <w:szCs w:val="32"/>
          <w:highlight w:val="none"/>
        </w:rPr>
      </w:pPr>
      <w:r>
        <w:rPr>
          <w:rFonts w:hint="eastAsia" w:ascii="宋体" w:hAnsi="宋体"/>
          <w:sz w:val="32"/>
          <w:szCs w:val="32"/>
          <w:highlight w:val="none"/>
        </w:rPr>
        <w:t>甲    方：</w:t>
      </w:r>
      <w:r>
        <w:rPr>
          <w:rFonts w:hint="eastAsia" w:ascii="宋体" w:hAnsi="宋体"/>
          <w:sz w:val="32"/>
          <w:szCs w:val="32"/>
          <w:highlight w:val="none"/>
          <w:u w:val="single"/>
        </w:rPr>
        <w:t xml:space="preserve">                             </w:t>
      </w:r>
    </w:p>
    <w:p w14:paraId="06DFD98C">
      <w:pPr>
        <w:spacing w:line="360" w:lineRule="auto"/>
        <w:ind w:left="420" w:leftChars="200"/>
        <w:rPr>
          <w:rFonts w:ascii="宋体" w:hAnsi="宋体"/>
          <w:sz w:val="32"/>
          <w:szCs w:val="32"/>
          <w:highlight w:val="none"/>
          <w:u w:val="single"/>
        </w:rPr>
      </w:pPr>
      <w:r>
        <w:rPr>
          <w:rFonts w:hint="eastAsia" w:ascii="宋体" w:hAnsi="宋体"/>
          <w:sz w:val="32"/>
          <w:szCs w:val="32"/>
          <w:highlight w:val="none"/>
        </w:rPr>
        <w:t>乙    方：</w:t>
      </w:r>
      <w:r>
        <w:rPr>
          <w:rFonts w:hint="eastAsia" w:ascii="宋体" w:hAnsi="宋体"/>
          <w:sz w:val="32"/>
          <w:szCs w:val="32"/>
          <w:highlight w:val="none"/>
          <w:u w:val="single"/>
        </w:rPr>
        <w:t xml:space="preserve">                             </w:t>
      </w:r>
    </w:p>
    <w:p w14:paraId="52775C56">
      <w:pPr>
        <w:spacing w:line="360" w:lineRule="auto"/>
        <w:ind w:left="420" w:leftChars="200"/>
        <w:rPr>
          <w:rFonts w:ascii="宋体" w:hAnsi="宋体"/>
          <w:sz w:val="32"/>
          <w:szCs w:val="32"/>
          <w:highlight w:val="none"/>
        </w:rPr>
      </w:pPr>
      <w:r>
        <w:rPr>
          <w:rFonts w:hint="eastAsia" w:ascii="宋体" w:hAnsi="宋体"/>
          <w:sz w:val="32"/>
          <w:szCs w:val="32"/>
          <w:highlight w:val="none"/>
        </w:rPr>
        <w:t>签订时间：</w:t>
      </w:r>
      <w:r>
        <w:rPr>
          <w:rFonts w:hint="eastAsia" w:ascii="宋体" w:hAnsi="宋体"/>
          <w:sz w:val="32"/>
          <w:szCs w:val="32"/>
          <w:highlight w:val="none"/>
          <w:u w:val="single"/>
        </w:rPr>
        <w:t xml:space="preserve">      </w:t>
      </w:r>
      <w:r>
        <w:rPr>
          <w:rFonts w:ascii="宋体" w:hAnsi="宋体"/>
          <w:sz w:val="32"/>
          <w:szCs w:val="32"/>
          <w:highlight w:val="none"/>
          <w:u w:val="single"/>
        </w:rPr>
        <w:t xml:space="preserve">           </w:t>
      </w:r>
      <w:r>
        <w:rPr>
          <w:rFonts w:hint="eastAsia" w:ascii="宋体" w:hAnsi="宋体"/>
          <w:sz w:val="32"/>
          <w:szCs w:val="32"/>
          <w:highlight w:val="none"/>
          <w:u w:val="single"/>
        </w:rPr>
        <w:t xml:space="preserve">            </w:t>
      </w:r>
    </w:p>
    <w:p w14:paraId="04B92434">
      <w:pPr>
        <w:rPr>
          <w:rFonts w:ascii="宋体" w:hAnsi="宋体"/>
          <w:highlight w:val="none"/>
        </w:rPr>
      </w:pPr>
    </w:p>
    <w:p w14:paraId="3073DA28">
      <w:pPr>
        <w:rPr>
          <w:rFonts w:ascii="宋体" w:hAnsi="宋体"/>
          <w:sz w:val="44"/>
          <w:szCs w:val="44"/>
          <w:highlight w:val="none"/>
        </w:rPr>
      </w:pPr>
      <w:r>
        <w:rPr>
          <w:rFonts w:ascii="宋体" w:hAnsi="宋体"/>
          <w:sz w:val="44"/>
          <w:szCs w:val="44"/>
          <w:highlight w:val="none"/>
        </w:rPr>
        <w:br w:type="page"/>
      </w:r>
    </w:p>
    <w:p w14:paraId="77BD2E3B">
      <w:pPr>
        <w:rPr>
          <w:rFonts w:ascii="宋体" w:hAnsi="宋体"/>
          <w:sz w:val="44"/>
          <w:szCs w:val="44"/>
          <w:highlight w:val="none"/>
        </w:rPr>
      </w:pPr>
    </w:p>
    <w:p w14:paraId="63A784C7">
      <w:pPr>
        <w:rPr>
          <w:rFonts w:ascii="宋体" w:hAnsi="宋体"/>
          <w:sz w:val="44"/>
          <w:szCs w:val="44"/>
          <w:highlight w:val="none"/>
        </w:rPr>
      </w:pPr>
    </w:p>
    <w:p w14:paraId="2A4D9D0F">
      <w:pPr>
        <w:jc w:val="center"/>
        <w:rPr>
          <w:rFonts w:ascii="宋体" w:hAnsi="宋体"/>
          <w:sz w:val="44"/>
          <w:szCs w:val="44"/>
          <w:highlight w:val="none"/>
        </w:rPr>
      </w:pPr>
      <w:r>
        <w:rPr>
          <w:rFonts w:hint="eastAsia" w:ascii="宋体" w:hAnsi="宋体"/>
          <w:sz w:val="44"/>
          <w:szCs w:val="44"/>
          <w:highlight w:val="none"/>
        </w:rPr>
        <w:t>使 用 说 明</w:t>
      </w:r>
    </w:p>
    <w:p w14:paraId="5F3D00C8">
      <w:pPr>
        <w:ind w:firstLine="640" w:firstLineChars="200"/>
        <w:rPr>
          <w:rFonts w:ascii="宋体" w:hAnsi="宋体" w:cs="仿宋_GB2312"/>
          <w:sz w:val="32"/>
          <w:szCs w:val="32"/>
          <w:highlight w:val="none"/>
        </w:rPr>
      </w:pPr>
    </w:p>
    <w:p w14:paraId="558F607A">
      <w:pPr>
        <w:ind w:firstLine="640" w:firstLineChars="200"/>
        <w:rPr>
          <w:rFonts w:ascii="宋体" w:hAnsi="宋体" w:cs="仿宋_GB2312"/>
          <w:sz w:val="32"/>
          <w:szCs w:val="32"/>
          <w:highlight w:val="none"/>
        </w:rPr>
      </w:pPr>
      <w:r>
        <w:rPr>
          <w:rFonts w:hint="eastAsia" w:ascii="宋体" w:hAnsi="宋体" w:cs="仿宋_GB2312"/>
          <w:sz w:val="32"/>
          <w:szCs w:val="32"/>
          <w:highlight w:val="none"/>
        </w:rPr>
        <w:t>1.本合同标准文本适用于购买现成货物的采购项目，不包括需要供应商定制开发、创新研发的货物采购项目。</w:t>
      </w:r>
    </w:p>
    <w:p w14:paraId="67FB61B1">
      <w:pPr>
        <w:rPr>
          <w:rFonts w:ascii="宋体" w:hAnsi="宋体"/>
          <w:sz w:val="44"/>
          <w:szCs w:val="44"/>
          <w:highlight w:val="none"/>
        </w:rPr>
      </w:pPr>
      <w:r>
        <w:rPr>
          <w:rFonts w:hint="eastAsia" w:ascii="宋体" w:hAnsi="宋体"/>
          <w:sz w:val="44"/>
          <w:szCs w:val="44"/>
          <w:highlight w:val="none"/>
        </w:rPr>
        <w:t xml:space="preserve">   </w:t>
      </w:r>
      <w:r>
        <w:rPr>
          <w:rFonts w:hint="eastAsia" w:ascii="宋体" w:hAnsi="宋体" w:cs="仿宋_GB2312"/>
          <w:sz w:val="32"/>
          <w:szCs w:val="32"/>
          <w:highlight w:val="none"/>
        </w:rPr>
        <w:t>2.本合同标准文本为政府采购货物买卖合同编制提供参考，可以结合采购项目具体情况，对文本作必要的调整修订后使用。</w:t>
      </w:r>
    </w:p>
    <w:p w14:paraId="73B15849">
      <w:pPr>
        <w:ind w:firstLine="640" w:firstLineChars="200"/>
        <w:rPr>
          <w:rFonts w:ascii="宋体" w:hAnsi="宋体" w:cs="仿宋_GB2312"/>
          <w:sz w:val="32"/>
          <w:szCs w:val="32"/>
          <w:highlight w:val="none"/>
        </w:rPr>
      </w:pPr>
      <w:r>
        <w:rPr>
          <w:rFonts w:hint="eastAsia" w:ascii="宋体" w:hAnsi="宋体" w:cs="仿宋_GB2312"/>
          <w:sz w:val="32"/>
          <w:szCs w:val="32"/>
          <w:highlight w:val="none"/>
        </w:rPr>
        <w:t>3.本合同标准文本各条款中，如涉及填写多家供应商、制造商，多种采购标的、分包主要内容等信息的，可根据采购项目具体情况添加信息项。</w:t>
      </w:r>
      <w:bookmarkEnd w:id="72"/>
      <w:bookmarkStart w:id="73" w:name="_Toc22209"/>
    </w:p>
    <w:p w14:paraId="39EB266F">
      <w:pPr>
        <w:widowControl/>
        <w:jc w:val="left"/>
        <w:rPr>
          <w:rFonts w:ascii="宋体" w:hAnsi="宋体" w:cs="仿宋_GB2312"/>
          <w:sz w:val="32"/>
          <w:szCs w:val="32"/>
          <w:highlight w:val="none"/>
        </w:rPr>
      </w:pPr>
      <w:r>
        <w:rPr>
          <w:rFonts w:hint="eastAsia" w:ascii="宋体" w:hAnsi="宋体" w:cs="仿宋_GB2312"/>
          <w:sz w:val="32"/>
          <w:szCs w:val="32"/>
          <w:highlight w:val="none"/>
        </w:rPr>
        <w:br w:type="page"/>
      </w:r>
    </w:p>
    <w:p w14:paraId="4B1BC847">
      <w:pPr>
        <w:ind w:firstLine="560" w:firstLineChars="200"/>
        <w:rPr>
          <w:rFonts w:ascii="宋体" w:hAnsi="宋体"/>
          <w:sz w:val="28"/>
          <w:szCs w:val="28"/>
          <w:highlight w:val="none"/>
        </w:rPr>
      </w:pPr>
    </w:p>
    <w:p w14:paraId="6B9F8BF2">
      <w:pPr>
        <w:pStyle w:val="7"/>
        <w:snapToGrid w:val="0"/>
        <w:jc w:val="center"/>
        <w:rPr>
          <w:rFonts w:ascii="宋体" w:hAnsi="宋体" w:eastAsia="宋体"/>
          <w:b w:val="0"/>
          <w:bCs/>
          <w:szCs w:val="28"/>
          <w:highlight w:val="none"/>
        </w:rPr>
      </w:pPr>
      <w:r>
        <w:rPr>
          <w:rFonts w:hint="eastAsia" w:ascii="宋体" w:hAnsi="宋体" w:eastAsia="宋体"/>
          <w:b w:val="0"/>
          <w:szCs w:val="28"/>
          <w:highlight w:val="none"/>
        </w:rPr>
        <w:t>第一节 政府采购合同协议书</w:t>
      </w:r>
      <w:bookmarkEnd w:id="73"/>
    </w:p>
    <w:p w14:paraId="6CD41FCE">
      <w:pPr>
        <w:adjustRightInd w:val="0"/>
        <w:snapToGrid w:val="0"/>
        <w:spacing w:line="400" w:lineRule="exact"/>
        <w:rPr>
          <w:rFonts w:ascii="宋体" w:hAnsi="宋体"/>
          <w:szCs w:val="21"/>
          <w:highlight w:val="none"/>
        </w:rPr>
      </w:pPr>
      <w:r>
        <w:rPr>
          <w:rFonts w:hint="eastAsia" w:ascii="宋体" w:hAnsi="宋体"/>
          <w:szCs w:val="21"/>
          <w:highlight w:val="none"/>
        </w:rPr>
        <w:t>甲方（全称）：</w:t>
      </w:r>
      <w:r>
        <w:rPr>
          <w:rFonts w:hint="eastAsia" w:ascii="宋体" w:hAnsi="宋体"/>
          <w:szCs w:val="21"/>
          <w:highlight w:val="none"/>
          <w:u w:val="single"/>
        </w:rPr>
        <w:t xml:space="preserve">                        </w:t>
      </w:r>
      <w:r>
        <w:rPr>
          <w:rFonts w:hint="eastAsia" w:ascii="宋体" w:hAnsi="宋体"/>
          <w:szCs w:val="21"/>
          <w:highlight w:val="none"/>
        </w:rPr>
        <w:t>（采购人、受采购人委托签订合同的单位或采购文件约定的合同甲方）</w:t>
      </w:r>
    </w:p>
    <w:p w14:paraId="1BC40EBC">
      <w:pPr>
        <w:adjustRightInd w:val="0"/>
        <w:snapToGrid w:val="0"/>
        <w:spacing w:line="400" w:lineRule="exact"/>
        <w:rPr>
          <w:rFonts w:ascii="宋体" w:hAnsi="宋体"/>
          <w:szCs w:val="21"/>
          <w:highlight w:val="none"/>
        </w:rPr>
      </w:pPr>
      <w:r>
        <w:rPr>
          <w:rFonts w:hint="eastAsia" w:ascii="宋体" w:hAnsi="宋体"/>
          <w:szCs w:val="21"/>
          <w:highlight w:val="none"/>
        </w:rPr>
        <w:t>乙方（全称）：</w:t>
      </w:r>
      <w:r>
        <w:rPr>
          <w:rFonts w:hint="eastAsia" w:ascii="宋体" w:hAnsi="宋体"/>
          <w:szCs w:val="21"/>
          <w:highlight w:val="none"/>
          <w:u w:val="single"/>
        </w:rPr>
        <w:t xml:space="preserve">                       </w:t>
      </w:r>
      <w:r>
        <w:rPr>
          <w:rFonts w:hint="eastAsia" w:ascii="宋体" w:hAnsi="宋体"/>
          <w:szCs w:val="21"/>
          <w:highlight w:val="none"/>
        </w:rPr>
        <w:t>（供应商）</w:t>
      </w:r>
    </w:p>
    <w:p w14:paraId="3BF7017B">
      <w:pPr>
        <w:pStyle w:val="3"/>
        <w:adjustRightInd w:val="0"/>
        <w:snapToGrid w:val="0"/>
        <w:spacing w:after="0" w:line="400" w:lineRule="exact"/>
        <w:ind w:left="0" w:leftChars="0" w:firstLine="420" w:firstLineChars="200"/>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76553FE">
      <w:pPr>
        <w:numPr>
          <w:ilvl w:val="0"/>
          <w:numId w:val="5"/>
        </w:numPr>
        <w:adjustRightInd w:val="0"/>
        <w:snapToGrid w:val="0"/>
        <w:spacing w:after="160" w:line="400" w:lineRule="exact"/>
        <w:ind w:firstLine="422" w:firstLineChars="200"/>
        <w:rPr>
          <w:rFonts w:ascii="宋体" w:hAnsi="宋体"/>
          <w:b/>
          <w:szCs w:val="21"/>
          <w:highlight w:val="none"/>
        </w:rPr>
      </w:pPr>
      <w:r>
        <w:rPr>
          <w:rFonts w:hint="eastAsia" w:ascii="宋体" w:hAnsi="宋体"/>
          <w:b/>
          <w:szCs w:val="21"/>
          <w:highlight w:val="none"/>
        </w:rPr>
        <w:t>项目信息</w:t>
      </w:r>
    </w:p>
    <w:p w14:paraId="5EC755D9">
      <w:pPr>
        <w:pStyle w:val="3"/>
        <w:numPr>
          <w:ilvl w:val="0"/>
          <w:numId w:val="6"/>
        </w:numPr>
        <w:adjustRightInd w:val="0"/>
        <w:snapToGrid w:val="0"/>
        <w:spacing w:after="0" w:line="400" w:lineRule="exact"/>
        <w:ind w:left="0" w:leftChars="0" w:firstLine="420" w:firstLineChars="200"/>
        <w:rPr>
          <w:rFonts w:ascii="宋体" w:hAnsi="宋体"/>
          <w:szCs w:val="21"/>
          <w:highlight w:val="none"/>
          <w:u w:val="single"/>
        </w:rPr>
      </w:pPr>
      <w:r>
        <w:rPr>
          <w:rFonts w:hint="eastAsia" w:ascii="宋体" w:hAnsi="宋体"/>
          <w:szCs w:val="21"/>
          <w:highlight w:val="none"/>
        </w:rPr>
        <w:t>采购项目名称：</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5FEF905A">
      <w:pPr>
        <w:pStyle w:val="3"/>
        <w:numPr>
          <w:ilvl w:val="255"/>
          <w:numId w:val="0"/>
        </w:numPr>
        <w:tabs>
          <w:tab w:val="left" w:pos="999"/>
        </w:tabs>
        <w:adjustRightInd w:val="0"/>
        <w:snapToGrid w:val="0"/>
        <w:spacing w:after="0" w:line="400" w:lineRule="exact"/>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06644838">
      <w:pPr>
        <w:pStyle w:val="3"/>
        <w:adjustRightInd w:val="0"/>
        <w:snapToGrid w:val="0"/>
        <w:spacing w:after="0" w:line="400" w:lineRule="exact"/>
        <w:ind w:left="0" w:leftChars="0" w:firstLine="420" w:firstLineChars="200"/>
        <w:rPr>
          <w:rFonts w:ascii="宋体" w:hAnsi="宋体"/>
          <w:szCs w:val="21"/>
          <w:highlight w:val="none"/>
        </w:rPr>
      </w:pPr>
      <w:r>
        <w:rPr>
          <w:rFonts w:hint="eastAsia" w:ascii="宋体" w:hAnsi="宋体"/>
          <w:szCs w:val="21"/>
          <w:highlight w:val="none"/>
        </w:rPr>
        <w:t>（2）采购计划编号：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20AE2F06">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（3）项目内容：</w:t>
      </w:r>
    </w:p>
    <w:p w14:paraId="13882D05">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lang w:val="en"/>
        </w:rPr>
        <w:t>/</w:t>
      </w:r>
      <w:r>
        <w:rPr>
          <w:rFonts w:hint="eastAsia" w:ascii="宋体" w:hAnsi="宋体"/>
          <w:szCs w:val="21"/>
          <w:highlight w:val="none"/>
          <w:lang w:val="en"/>
        </w:rPr>
        <w:t>个</w:t>
      </w:r>
      <w:r>
        <w:rPr>
          <w:rFonts w:ascii="宋体" w:hAnsi="宋体"/>
          <w:szCs w:val="21"/>
          <w:highlight w:val="none"/>
          <w:lang w:val="en"/>
        </w:rPr>
        <w:t>/</w:t>
      </w:r>
      <w:r>
        <w:rPr>
          <w:rFonts w:hint="eastAsia" w:ascii="宋体" w:hAnsi="宋体"/>
          <w:szCs w:val="21"/>
          <w:highlight w:val="none"/>
          <w:lang w:val="en"/>
        </w:rPr>
        <w:t>架</w:t>
      </w:r>
      <w:r>
        <w:rPr>
          <w:rFonts w:ascii="宋体" w:hAnsi="宋体"/>
          <w:szCs w:val="21"/>
          <w:highlight w:val="none"/>
          <w:lang w:val="en"/>
        </w:rPr>
        <w:t>/</w:t>
      </w:r>
      <w:r>
        <w:rPr>
          <w:rFonts w:hint="eastAsia" w:ascii="宋体" w:hAnsi="宋体"/>
          <w:szCs w:val="21"/>
          <w:highlight w:val="none"/>
          <w:lang w:val="en"/>
        </w:rPr>
        <w:t>组等</w:t>
      </w:r>
      <w:r>
        <w:rPr>
          <w:rFonts w:hint="eastAsia" w:ascii="宋体" w:hAnsi="宋体"/>
          <w:szCs w:val="21"/>
          <w:highlight w:val="none"/>
        </w:rPr>
        <w:t>）：</w:t>
      </w:r>
      <w:r>
        <w:rPr>
          <w:rFonts w:hint="eastAsia" w:ascii="宋体" w:hAnsi="宋体"/>
          <w:szCs w:val="21"/>
          <w:highlight w:val="none"/>
          <w:u w:val="single"/>
        </w:rPr>
        <w:t xml:space="preserve">                       </w:t>
      </w:r>
      <w:r>
        <w:rPr>
          <w:rFonts w:hint="eastAsia" w:ascii="宋体" w:hAnsi="宋体"/>
          <w:szCs w:val="21"/>
          <w:highlight w:val="none"/>
        </w:rPr>
        <w:t xml:space="preserve"> </w:t>
      </w:r>
    </w:p>
    <w:p w14:paraId="146CD8D2">
      <w:pPr>
        <w:numPr>
          <w:ilvl w:val="255"/>
          <w:numId w:val="0"/>
        </w:numPr>
        <w:adjustRightInd w:val="0"/>
        <w:snapToGrid w:val="0"/>
        <w:spacing w:line="400" w:lineRule="exact"/>
        <w:ind w:firstLine="420" w:firstLineChars="200"/>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p>
    <w:p w14:paraId="5A22D882">
      <w:pPr>
        <w:adjustRightInd w:val="0"/>
        <w:snapToGrid w:val="0"/>
        <w:spacing w:line="400" w:lineRule="exact"/>
        <w:ind w:firstLine="945" w:firstLineChars="450"/>
        <w:rPr>
          <w:rFonts w:ascii="宋体" w:hAnsi="宋体"/>
          <w:szCs w:val="21"/>
          <w:highlight w:val="none"/>
          <w:u w:val="single"/>
        </w:rPr>
      </w:pPr>
      <w:r>
        <w:rPr>
          <w:rFonts w:hint="eastAsia" w:ascii="宋体" w:hAnsi="宋体"/>
          <w:szCs w:val="21"/>
          <w:highlight w:val="none"/>
        </w:rPr>
        <w:t>采购标的的技术要求、商务要求具体见附件。</w:t>
      </w:r>
    </w:p>
    <w:p w14:paraId="00B909FF">
      <w:pPr>
        <w:numPr>
          <w:ilvl w:val="255"/>
          <w:numId w:val="0"/>
        </w:numPr>
        <w:adjustRightInd w:val="0"/>
        <w:snapToGrid w:val="0"/>
        <w:spacing w:line="400" w:lineRule="exact"/>
        <w:ind w:firstLine="945" w:firstLineChars="450"/>
        <w:rPr>
          <w:rFonts w:ascii="宋体" w:hAnsi="宋体" w:cs="宋体"/>
          <w:szCs w:val="21"/>
          <w:highlight w:val="none"/>
        </w:rPr>
      </w:pPr>
      <w:r>
        <w:rPr>
          <w:rFonts w:hint="eastAsia" w:ascii="宋体" w:hAnsi="宋体" w:cs="汉仪书宋二S"/>
          <w:szCs w:val="21"/>
          <w:highlight w:val="none"/>
        </w:rPr>
        <w:t>①</w:t>
      </w:r>
      <w:r>
        <w:rPr>
          <w:rFonts w:hint="eastAsia" w:ascii="宋体" w:hAnsi="宋体" w:cs="宋体"/>
          <w:szCs w:val="21"/>
          <w:highlight w:val="none"/>
        </w:rPr>
        <w:t>涉及信息类产品，请填写该产品关键部件的品牌、型号：</w:t>
      </w:r>
    </w:p>
    <w:p w14:paraId="588C5B1A">
      <w:pPr>
        <w:numPr>
          <w:ilvl w:val="255"/>
          <w:numId w:val="0"/>
        </w:numPr>
        <w:adjustRightInd w:val="0"/>
        <w:snapToGrid w:val="0"/>
        <w:spacing w:line="400" w:lineRule="exact"/>
        <w:ind w:firstLine="420" w:firstLineChars="200"/>
        <w:rPr>
          <w:rFonts w:ascii="宋体" w:hAnsi="宋体" w:cs="宋体"/>
          <w:kern w:val="0"/>
          <w:szCs w:val="21"/>
          <w:highlight w:val="none"/>
          <w:u w:val="single"/>
        </w:rPr>
      </w:pPr>
      <w:r>
        <w:rPr>
          <w:rFonts w:hint="eastAsia" w:ascii="宋体" w:hAnsi="宋体" w:cs="宋体"/>
          <w:szCs w:val="21"/>
          <w:highlight w:val="none"/>
        </w:rPr>
        <w:t xml:space="preserve">     标的名称：</w:t>
      </w:r>
      <w:r>
        <w:rPr>
          <w:rFonts w:hint="eastAsia" w:ascii="宋体" w:hAnsi="宋体" w:cs="宋体"/>
          <w:kern w:val="0"/>
          <w:szCs w:val="21"/>
          <w:highlight w:val="none"/>
          <w:u w:val="single"/>
        </w:rPr>
        <w:t xml:space="preserve">      </w:t>
      </w:r>
      <w:r>
        <w:rPr>
          <w:rFonts w:ascii="宋体" w:hAnsi="宋体" w:cs="宋体"/>
          <w:kern w:val="0"/>
          <w:szCs w:val="21"/>
          <w:highlight w:val="none"/>
          <w:u w:val="single"/>
          <w:lang w:val="en"/>
        </w:rPr>
        <w:t xml:space="preserve">               </w:t>
      </w:r>
      <w:r>
        <w:rPr>
          <w:rFonts w:hint="eastAsia" w:ascii="宋体" w:hAnsi="宋体" w:cs="宋体"/>
          <w:kern w:val="0"/>
          <w:szCs w:val="21"/>
          <w:highlight w:val="none"/>
          <w:u w:val="single"/>
        </w:rPr>
        <w:t xml:space="preserve">    </w:t>
      </w:r>
    </w:p>
    <w:p w14:paraId="30C60692">
      <w:pPr>
        <w:numPr>
          <w:ilvl w:val="255"/>
          <w:numId w:val="0"/>
        </w:numPr>
        <w:adjustRightInd w:val="0"/>
        <w:snapToGrid w:val="0"/>
        <w:spacing w:line="400" w:lineRule="exact"/>
        <w:ind w:firstLine="420" w:firstLineChars="200"/>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w:t>
      </w:r>
      <w:r>
        <w:rPr>
          <w:rFonts w:hint="eastAsia" w:ascii="宋体" w:hAnsi="宋体" w:cs="宋体"/>
          <w:szCs w:val="21"/>
          <w:highlight w:val="none"/>
        </w:rPr>
        <w:t>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2EEAC367">
      <w:pPr>
        <w:pStyle w:val="153"/>
        <w:ind w:firstLine="42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kern w:val="2"/>
          <w:sz w:val="21"/>
          <w:highlight w:val="none"/>
        </w:rPr>
        <w:t>关键部件</w:t>
      </w:r>
      <w:r>
        <w:rPr>
          <w:rFonts w:hint="eastAsia" w:ascii="宋体" w:hAnsi="宋体" w:eastAsia="宋体" w:cs="宋体"/>
          <w:sz w:val="21"/>
          <w:highlight w:val="none"/>
        </w:rPr>
        <w:t>：</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p>
    <w:p w14:paraId="6529EEE2">
      <w:pPr>
        <w:pStyle w:val="153"/>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p>
    <w:p w14:paraId="698EBD07">
      <w:pPr>
        <w:pStyle w:val="153"/>
        <w:numPr>
          <w:ilvl w:val="255"/>
          <w:numId w:val="0"/>
        </w:numPr>
        <w:snapToGrid w:val="0"/>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43DB52B2">
      <w:pPr>
        <w:pStyle w:val="153"/>
        <w:numPr>
          <w:ilvl w:val="255"/>
          <w:numId w:val="0"/>
        </w:numPr>
        <w:snapToGrid w:val="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汉仪书宋二S"/>
          <w:sz w:val="21"/>
          <w:highlight w:val="none"/>
        </w:rPr>
        <w:t>②</w:t>
      </w:r>
      <w:r>
        <w:rPr>
          <w:rFonts w:hint="eastAsia" w:ascii="宋体" w:hAnsi="宋体" w:eastAsia="宋体" w:cs="宋体"/>
          <w:sz w:val="21"/>
          <w:highlight w:val="none"/>
        </w:rPr>
        <w:t>涉及车辆采购，请填写是否属于新能源汽车：</w:t>
      </w:r>
    </w:p>
    <w:p w14:paraId="13E1965F">
      <w:pPr>
        <w:pStyle w:val="153"/>
        <w:numPr>
          <w:ilvl w:val="255"/>
          <w:numId w:val="0"/>
        </w:numPr>
        <w:snapToGrid w:val="0"/>
        <w:rPr>
          <w:rFonts w:ascii="宋体" w:hAnsi="宋体" w:eastAsia="宋体" w:cstheme="minorEastAsia"/>
          <w:sz w:val="21"/>
          <w:highlight w:val="none"/>
        </w:rPr>
      </w:pPr>
      <w:r>
        <w:rPr>
          <w:rFonts w:hint="eastAsia" w:ascii="宋体" w:hAnsi="宋体" w:eastAsia="宋体" w:cstheme="minorEastAsia"/>
          <w:sz w:val="21"/>
          <w:highlight w:val="none"/>
        </w:rPr>
        <w:t xml:space="preserve">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theme="minorEastAsia"/>
          <w:sz w:val="21"/>
          <w:highlight w:val="none"/>
        </w:rPr>
        <w:t xml:space="preserve"> 数量：</w:t>
      </w:r>
      <w:r>
        <w:rPr>
          <w:rFonts w:hint="eastAsia" w:ascii="宋体" w:hAnsi="宋体" w:eastAsia="宋体" w:cstheme="minorEastAsia"/>
          <w:sz w:val="21"/>
          <w:highlight w:val="none"/>
          <w:u w:val="single"/>
        </w:rPr>
        <w:t xml:space="preserve"> </w:t>
      </w:r>
      <w:r>
        <w:rPr>
          <w:rFonts w:hint="eastAsia" w:ascii="宋体" w:hAnsi="宋体" w:eastAsia="宋体" w:cs="宋体"/>
          <w:sz w:val="21"/>
          <w:highlight w:val="none"/>
          <w:u w:val="single"/>
        </w:rPr>
        <w:t xml:space="preserve">   </w:t>
      </w:r>
      <w:r>
        <w:rPr>
          <w:rFonts w:hint="eastAsia" w:ascii="宋体" w:hAnsi="宋体" w:eastAsia="宋体" w:cstheme="minorEastAsia"/>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theme="minorEastAsia"/>
          <w:sz w:val="21"/>
          <w:highlight w:val="none"/>
        </w:rPr>
        <w:t xml:space="preserve"> </w:t>
      </w:r>
    </w:p>
    <w:p w14:paraId="0D48FFA8">
      <w:pPr>
        <w:pStyle w:val="153"/>
        <w:numPr>
          <w:ilvl w:val="255"/>
          <w:numId w:val="0"/>
        </w:numPr>
        <w:snapToGrid w:val="0"/>
        <w:rPr>
          <w:rFonts w:ascii="宋体" w:hAnsi="宋体" w:eastAsia="宋体" w:cstheme="minorEastAsia"/>
          <w:sz w:val="21"/>
          <w:highlight w:val="none"/>
        </w:rPr>
      </w:pPr>
      <w:r>
        <w:rPr>
          <w:rFonts w:hint="eastAsia" w:ascii="宋体" w:hAnsi="宋体" w:eastAsia="宋体" w:cstheme="minorEastAsia"/>
          <w:sz w:val="21"/>
          <w:highlight w:val="none"/>
        </w:rPr>
        <w:t xml:space="preserve">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否</w:t>
      </w:r>
    </w:p>
    <w:p w14:paraId="03D5BE72">
      <w:pPr>
        <w:pStyle w:val="153"/>
        <w:numPr>
          <w:ilvl w:val="255"/>
          <w:numId w:val="0"/>
        </w:numPr>
        <w:snapToGrid w:val="0"/>
        <w:rPr>
          <w:rFonts w:ascii="宋体" w:hAnsi="宋体" w:eastAsia="宋体" w:cstheme="minorEastAsia"/>
          <w:sz w:val="21"/>
          <w:highlight w:val="none"/>
        </w:rPr>
      </w:pPr>
      <w:r>
        <w:rPr>
          <w:rFonts w:hint="eastAsia" w:ascii="宋体" w:hAnsi="宋体" w:eastAsia="宋体" w:cstheme="minorEastAsia"/>
          <w:sz w:val="21"/>
          <w:highlight w:val="none"/>
        </w:rPr>
        <w:t xml:space="preserve">    （</w:t>
      </w:r>
      <w:r>
        <w:rPr>
          <w:rFonts w:ascii="宋体" w:hAnsi="宋体" w:eastAsia="宋体" w:cstheme="minorEastAsia"/>
          <w:sz w:val="21"/>
          <w:highlight w:val="none"/>
          <w:lang w:val="en"/>
        </w:rPr>
        <w:t>4</w:t>
      </w:r>
      <w:r>
        <w:rPr>
          <w:rFonts w:hint="eastAsia" w:ascii="宋体" w:hAnsi="宋体" w:eastAsia="宋体" w:cstheme="minorEastAsia"/>
          <w:sz w:val="21"/>
          <w:highlight w:val="none"/>
        </w:rPr>
        <w:t>）政府采购组织形式：</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 xml:space="preserve">政府集中采购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 xml:space="preserve">部门集中采购  </w:t>
      </w:r>
      <w:r>
        <w:rPr>
          <w:rFonts w:hint="eastAsia" w:ascii="宋体" w:hAnsi="宋体" w:eastAsia="宋体" w:cstheme="minorEastAsia"/>
          <w:sz w:val="21"/>
          <w:highlight w:val="none"/>
        </w:rPr>
        <w:sym w:font="Wingdings" w:char="00FE"/>
      </w:r>
      <w:r>
        <w:rPr>
          <w:rFonts w:hint="eastAsia" w:ascii="宋体" w:hAnsi="宋体" w:eastAsia="宋体" w:cstheme="minorEastAsia"/>
          <w:sz w:val="21"/>
          <w:highlight w:val="none"/>
        </w:rPr>
        <w:t>分散采购</w:t>
      </w:r>
    </w:p>
    <w:p w14:paraId="242B13AA">
      <w:pPr>
        <w:pStyle w:val="153"/>
        <w:numPr>
          <w:ilvl w:val="255"/>
          <w:numId w:val="0"/>
        </w:numPr>
        <w:snapToGrid w:val="0"/>
        <w:ind w:firstLine="420"/>
        <w:rPr>
          <w:rFonts w:ascii="宋体" w:hAnsi="宋体" w:eastAsia="宋体" w:cstheme="minorEastAsia"/>
          <w:sz w:val="21"/>
          <w:highlight w:val="none"/>
        </w:rPr>
      </w:pPr>
      <w:r>
        <w:rPr>
          <w:rFonts w:hint="eastAsia" w:ascii="宋体" w:hAnsi="宋体" w:eastAsia="宋体" w:cstheme="minorEastAsia"/>
          <w:sz w:val="21"/>
          <w:highlight w:val="none"/>
        </w:rPr>
        <w:t>（</w:t>
      </w:r>
      <w:r>
        <w:rPr>
          <w:rFonts w:ascii="宋体" w:hAnsi="宋体" w:eastAsia="宋体" w:cstheme="minorEastAsia"/>
          <w:sz w:val="21"/>
          <w:highlight w:val="none"/>
          <w:lang w:val="en"/>
        </w:rPr>
        <w:t>5</w:t>
      </w:r>
      <w:r>
        <w:rPr>
          <w:rFonts w:hint="eastAsia" w:ascii="宋体" w:hAnsi="宋体" w:eastAsia="宋体" w:cstheme="minorEastAsia"/>
          <w:sz w:val="21"/>
          <w:highlight w:val="none"/>
        </w:rPr>
        <w:t>）政府采购方式：</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 xml:space="preserve">公开招标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 xml:space="preserve">邀请招标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 xml:space="preserve">竞争性谈判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竞争性磋商</w:t>
      </w:r>
    </w:p>
    <w:p w14:paraId="7AD866CE">
      <w:pPr>
        <w:pStyle w:val="153"/>
        <w:numPr>
          <w:ilvl w:val="255"/>
          <w:numId w:val="0"/>
        </w:numPr>
        <w:snapToGrid w:val="0"/>
        <w:ind w:firstLine="420"/>
        <w:rPr>
          <w:rFonts w:ascii="宋体" w:hAnsi="宋体" w:eastAsia="宋体" w:cs="宋体"/>
          <w:sz w:val="21"/>
          <w:highlight w:val="none"/>
          <w:u w:val="single"/>
        </w:rPr>
      </w:pPr>
      <w:r>
        <w:rPr>
          <w:rFonts w:hint="eastAsia" w:ascii="宋体" w:hAnsi="宋体" w:eastAsia="宋体" w:cs="宋体"/>
          <w:highlight w:val="none"/>
        </w:rPr>
        <w:t xml:space="preserve">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 xml:space="preserve">询价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 xml:space="preserve">单一来源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 xml:space="preserve">框架协议 </w:t>
      </w:r>
      <w:r>
        <w:rPr>
          <w:rFonts w:hint="eastAsia" w:ascii="宋体" w:hAnsi="宋体" w:eastAsia="宋体" w:cstheme="minorEastAsia"/>
          <w:sz w:val="21"/>
          <w:highlight w:val="none"/>
        </w:rPr>
        <w:sym w:font="Wingdings" w:char="00A8"/>
      </w:r>
      <w:r>
        <w:rPr>
          <w:rFonts w:hint="eastAsia" w:ascii="宋体" w:hAnsi="宋体" w:eastAsia="宋体" w:cstheme="minorEastAsia"/>
          <w:sz w:val="21"/>
          <w:highlight w:val="none"/>
        </w:rPr>
        <w:t>其他：</w:t>
      </w:r>
      <w:r>
        <w:rPr>
          <w:rFonts w:hint="eastAsia" w:ascii="宋体" w:hAnsi="宋体" w:eastAsia="宋体" w:cs="宋体"/>
          <w:sz w:val="21"/>
          <w:highlight w:val="none"/>
          <w:u w:val="single"/>
        </w:rPr>
        <w:t xml:space="preserve">          </w:t>
      </w:r>
    </w:p>
    <w:p w14:paraId="15669C4F">
      <w:pPr>
        <w:pStyle w:val="153"/>
        <w:numPr>
          <w:ilvl w:val="255"/>
          <w:numId w:val="0"/>
        </w:numPr>
        <w:snapToGrid w:val="0"/>
        <w:ind w:firstLine="420"/>
        <w:rPr>
          <w:rFonts w:ascii="宋体" w:hAnsi="宋体" w:eastAsia="宋体" w:cs="宋体"/>
          <w:sz w:val="21"/>
          <w:highlight w:val="none"/>
        </w:rPr>
      </w:pPr>
      <w:r>
        <w:rPr>
          <w:rFonts w:hint="eastAsia" w:ascii="宋体" w:hAnsi="宋体" w:eastAsia="宋体" w:cs="宋体"/>
          <w:sz w:val="21"/>
          <w:highlight w:val="none"/>
        </w:rPr>
        <w:t>（注：在框架协议采购的第二阶段，可选择使用该合同文本）</w:t>
      </w:r>
    </w:p>
    <w:p w14:paraId="7D5FBAB9">
      <w:pPr>
        <w:pStyle w:val="153"/>
        <w:numPr>
          <w:ilvl w:val="255"/>
          <w:numId w:val="0"/>
        </w:numPr>
        <w:snapToGrid w:val="0"/>
        <w:ind w:firstLine="220" w:firstLineChars="100"/>
        <w:rPr>
          <w:rFonts w:ascii="宋体" w:hAnsi="宋体" w:eastAsia="宋体" w:cs="Times New Roman"/>
          <w:kern w:val="2"/>
          <w:sz w:val="21"/>
          <w:highlight w:val="none"/>
        </w:rPr>
      </w:pPr>
      <w:r>
        <w:rPr>
          <w:rFonts w:hint="eastAsia" w:ascii="宋体" w:hAnsi="宋体" w:eastAsia="宋体"/>
          <w:highlight w:val="none"/>
        </w:rPr>
        <w:t xml:space="preserve"> （</w:t>
      </w:r>
      <w:r>
        <w:rPr>
          <w:rFonts w:ascii="宋体" w:hAnsi="宋体" w:eastAsia="宋体"/>
          <w:highlight w:val="none"/>
          <w:lang w:val="en"/>
        </w:rPr>
        <w:t>6</w:t>
      </w:r>
      <w:r>
        <w:rPr>
          <w:rFonts w:hint="eastAsia" w:ascii="宋体" w:hAnsi="宋体" w:eastAsia="宋体"/>
          <w:highlight w:val="none"/>
        </w:rPr>
        <w:t>）</w:t>
      </w:r>
      <w:r>
        <w:rPr>
          <w:rFonts w:hint="eastAsia" w:ascii="宋体" w:hAnsi="宋体" w:eastAsia="宋体" w:cs="Times New Roman"/>
          <w:kern w:val="2"/>
          <w:sz w:val="21"/>
          <w:highlight w:val="none"/>
        </w:rPr>
        <w:t>中标（成交）采购标的制造商是否为中小企业：</w:t>
      </w:r>
      <w:r>
        <w:rPr>
          <w:rFonts w:hint="eastAsia" w:ascii="宋体" w:hAnsi="宋体" w:eastAsia="宋体" w:cs="Times New Roman"/>
          <w:kern w:val="2"/>
          <w:sz w:val="21"/>
          <w:highlight w:val="none"/>
        </w:rPr>
        <w:sym w:font="Wingdings" w:char="00A8"/>
      </w:r>
      <w:r>
        <w:rPr>
          <w:rFonts w:hint="eastAsia" w:ascii="宋体" w:hAnsi="宋体" w:eastAsia="宋体" w:cs="Times New Roman"/>
          <w:kern w:val="2"/>
          <w:sz w:val="21"/>
          <w:highlight w:val="none"/>
        </w:rPr>
        <w:t xml:space="preserve">是      </w:t>
      </w:r>
      <w:r>
        <w:rPr>
          <w:rFonts w:hint="eastAsia" w:ascii="宋体" w:hAnsi="宋体" w:eastAsia="宋体" w:cs="Times New Roman"/>
          <w:kern w:val="2"/>
          <w:sz w:val="21"/>
          <w:highlight w:val="none"/>
        </w:rPr>
        <w:sym w:font="Wingdings" w:char="00A8"/>
      </w:r>
      <w:r>
        <w:rPr>
          <w:rFonts w:hint="eastAsia" w:ascii="宋体" w:hAnsi="宋体" w:eastAsia="宋体" w:cs="Times New Roman"/>
          <w:kern w:val="2"/>
          <w:sz w:val="21"/>
          <w:highlight w:val="none"/>
        </w:rPr>
        <w:t>否</w:t>
      </w:r>
    </w:p>
    <w:p w14:paraId="29E74239">
      <w:pPr>
        <w:numPr>
          <w:ilvl w:val="255"/>
          <w:numId w:val="0"/>
        </w:numPr>
        <w:adjustRightInd w:val="0"/>
        <w:snapToGrid w:val="0"/>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FE"/>
      </w:r>
      <w:r>
        <w:rPr>
          <w:rFonts w:hint="eastAsia" w:ascii="宋体" w:hAnsi="宋体"/>
          <w:iCs/>
          <w:szCs w:val="21"/>
          <w:highlight w:val="none"/>
        </w:rPr>
        <w:t>否</w:t>
      </w:r>
    </w:p>
    <w:p w14:paraId="39051F93">
      <w:pPr>
        <w:numPr>
          <w:ilvl w:val="255"/>
          <w:numId w:val="0"/>
        </w:numPr>
        <w:adjustRightInd w:val="0"/>
        <w:snapToGrid w:val="0"/>
        <w:spacing w:line="400" w:lineRule="exact"/>
        <w:rPr>
          <w:rFonts w:ascii="宋体" w:hAnsi="宋体"/>
          <w:iCs/>
          <w:szCs w:val="21"/>
          <w:highlight w:val="none"/>
        </w:rPr>
      </w:pPr>
      <w:r>
        <w:rPr>
          <w:rFonts w:hint="eastAsia" w:ascii="宋体" w:hAnsi="宋体"/>
          <w:highlight w:val="none"/>
        </w:rPr>
        <w:t xml:space="preserve">         若本项目不专门面向中小企业采购，是否给予小微企业评审优惠：</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14:paraId="11B4E37C">
      <w:pPr>
        <w:numPr>
          <w:ilvl w:val="255"/>
          <w:numId w:val="0"/>
        </w:numPr>
        <w:adjustRightInd w:val="0"/>
        <w:snapToGrid w:val="0"/>
        <w:spacing w:line="400" w:lineRule="exact"/>
        <w:rPr>
          <w:rFonts w:ascii="宋体" w:hAnsi="宋体"/>
          <w:iCs/>
          <w:szCs w:val="21"/>
          <w:highlight w:val="none"/>
        </w:rPr>
      </w:pPr>
      <w:r>
        <w:rPr>
          <w:rFonts w:hint="eastAsia" w:ascii="宋体" w:hAnsi="宋体"/>
          <w:highlight w:val="none"/>
        </w:rPr>
        <w:t xml:space="preserve">         中标（成交）采购标的制造商是否为残疾人福利性单位：</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14:paraId="26769127">
      <w:pPr>
        <w:snapToGrid w:val="0"/>
        <w:spacing w:line="400" w:lineRule="exact"/>
        <w:rPr>
          <w:rFonts w:ascii="宋体" w:hAnsi="宋体"/>
          <w:highlight w:val="none"/>
        </w:rPr>
      </w:pPr>
      <w:r>
        <w:rPr>
          <w:rFonts w:hint="eastAsia" w:ascii="宋体" w:hAnsi="宋体"/>
          <w:highlight w:val="none"/>
        </w:rPr>
        <w:t xml:space="preserve">         中标（成交）采购标的制造商是否为监狱企业：</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14:paraId="641233E9">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w:t>
      </w:r>
      <w:r>
        <w:rPr>
          <w:rFonts w:ascii="宋体" w:hAnsi="宋体"/>
          <w:szCs w:val="21"/>
          <w:highlight w:val="none"/>
          <w:lang w:val="en"/>
        </w:rPr>
        <w:t>7</w:t>
      </w:r>
      <w:r>
        <w:rPr>
          <w:rFonts w:hint="eastAsia" w:ascii="宋体" w:hAnsi="宋体"/>
          <w:szCs w:val="21"/>
          <w:highlight w:val="none"/>
        </w:rPr>
        <w:t>）合同是否分包：</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14:paraId="09B2C64A">
      <w:pPr>
        <w:adjustRightInd w:val="0"/>
        <w:snapToGrid w:val="0"/>
        <w:spacing w:line="400" w:lineRule="exact"/>
        <w:ind w:firstLine="840" w:firstLineChars="400"/>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p>
    <w:p w14:paraId="629964AD">
      <w:pPr>
        <w:adjustRightInd w:val="0"/>
        <w:snapToGrid w:val="0"/>
        <w:spacing w:line="400" w:lineRule="exact"/>
        <w:ind w:firstLine="840" w:firstLineChars="400"/>
        <w:rPr>
          <w:rFonts w:ascii="宋体" w:hAnsi="宋体"/>
          <w:szCs w:val="21"/>
          <w:highlight w:val="none"/>
        </w:rPr>
      </w:pPr>
      <w:r>
        <w:rPr>
          <w:rFonts w:hint="eastAsia" w:ascii="宋体" w:hAnsi="宋体"/>
          <w:szCs w:val="21"/>
          <w:highlight w:val="none"/>
        </w:rPr>
        <w:t xml:space="preserve"> 分包供应商/制造商名称（如供应商和制造商不同，请分别填写）：</w:t>
      </w:r>
    </w:p>
    <w:p w14:paraId="4465BE5E">
      <w:pPr>
        <w:adjustRightInd w:val="0"/>
        <w:snapToGrid w:val="0"/>
        <w:spacing w:line="400" w:lineRule="exact"/>
        <w:ind w:firstLine="840" w:firstLineChars="400"/>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p>
    <w:p w14:paraId="70A4F90F">
      <w:pPr>
        <w:adjustRightInd w:val="0"/>
        <w:snapToGrid w:val="0"/>
        <w:spacing w:line="400" w:lineRule="exact"/>
        <w:ind w:firstLine="840" w:firstLineChars="400"/>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p>
    <w:p w14:paraId="2A057C57">
      <w:pPr>
        <w:adjustRightInd w:val="0"/>
        <w:snapToGrid w:val="0"/>
        <w:spacing w:line="400" w:lineRule="exact"/>
        <w:ind w:firstLine="840" w:firstLineChars="400"/>
        <w:rPr>
          <w:rFonts w:ascii="宋体" w:hAnsi="宋体"/>
          <w:iCs/>
          <w:szCs w:val="21"/>
          <w:highlight w:val="none"/>
        </w:rPr>
      </w:pP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大型企业  </w:t>
      </w:r>
      <w:r>
        <w:rPr>
          <w:rFonts w:hint="eastAsia" w:ascii="宋体" w:hAnsi="宋体"/>
          <w:iCs/>
          <w:szCs w:val="21"/>
          <w:highlight w:val="none"/>
        </w:rPr>
        <w:sym w:font="Wingdings" w:char="00A8"/>
      </w:r>
      <w:r>
        <w:rPr>
          <w:rFonts w:hint="eastAsia" w:ascii="宋体" w:hAnsi="宋体"/>
          <w:iCs/>
          <w:szCs w:val="21"/>
          <w:highlight w:val="none"/>
        </w:rPr>
        <w:t xml:space="preserve">中型企业  </w:t>
      </w:r>
      <w:r>
        <w:rPr>
          <w:rFonts w:hint="eastAsia" w:ascii="宋体" w:hAnsi="宋体"/>
          <w:iCs/>
          <w:szCs w:val="21"/>
          <w:highlight w:val="none"/>
        </w:rPr>
        <w:sym w:font="Wingdings" w:char="00A8"/>
      </w:r>
      <w:r>
        <w:rPr>
          <w:rFonts w:hint="eastAsia" w:ascii="宋体" w:hAnsi="宋体"/>
          <w:iCs/>
          <w:szCs w:val="21"/>
          <w:highlight w:val="none"/>
        </w:rPr>
        <w:t xml:space="preserve">小微型企业  </w:t>
      </w:r>
    </w:p>
    <w:p w14:paraId="3D3C6ADB">
      <w:pPr>
        <w:adjustRightInd w:val="0"/>
        <w:snapToGrid w:val="0"/>
        <w:spacing w:line="400" w:lineRule="exact"/>
        <w:ind w:firstLine="840" w:firstLineChars="400"/>
        <w:rPr>
          <w:rFonts w:ascii="宋体" w:hAnsi="宋体"/>
          <w:highlight w:val="none"/>
        </w:rPr>
      </w:pP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残疾人福利性单位 </w:t>
      </w:r>
      <w:r>
        <w:rPr>
          <w:rFonts w:hint="eastAsia" w:ascii="宋体" w:hAnsi="宋体"/>
          <w:iCs/>
          <w:szCs w:val="21"/>
          <w:highlight w:val="none"/>
        </w:rPr>
        <w:sym w:font="Wingdings" w:char="00A8"/>
      </w:r>
      <w:r>
        <w:rPr>
          <w:rFonts w:hint="eastAsia" w:ascii="宋体" w:hAnsi="宋体"/>
          <w:iCs/>
          <w:szCs w:val="21"/>
          <w:highlight w:val="none"/>
        </w:rPr>
        <w:t xml:space="preserve">监狱企业 </w:t>
      </w:r>
      <w:r>
        <w:rPr>
          <w:rFonts w:hint="eastAsia" w:ascii="宋体" w:hAnsi="宋体"/>
          <w:iCs/>
          <w:szCs w:val="21"/>
          <w:highlight w:val="none"/>
        </w:rPr>
        <w:sym w:font="Wingdings" w:char="00A8"/>
      </w:r>
      <w:r>
        <w:rPr>
          <w:rFonts w:hint="eastAsia" w:ascii="宋体" w:hAnsi="宋体"/>
          <w:iCs/>
          <w:szCs w:val="21"/>
          <w:highlight w:val="none"/>
        </w:rPr>
        <w:t>其他</w:t>
      </w:r>
    </w:p>
    <w:p w14:paraId="09E49DC1">
      <w:pPr>
        <w:numPr>
          <w:ilvl w:val="255"/>
          <w:numId w:val="0"/>
        </w:numPr>
        <w:adjustRightInd w:val="0"/>
        <w:snapToGrid w:val="0"/>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w:t>
      </w:r>
      <w:r>
        <w:rPr>
          <w:rFonts w:ascii="宋体" w:hAnsi="宋体" w:cs="宋体"/>
          <w:szCs w:val="21"/>
          <w:highlight w:val="none"/>
          <w:lang w:val="en"/>
        </w:rPr>
        <w:t>8</w:t>
      </w:r>
      <w:r>
        <w:rPr>
          <w:rFonts w:hint="eastAsia" w:ascii="宋体" w:hAnsi="宋体" w:cs="宋体"/>
          <w:szCs w:val="21"/>
          <w:highlight w:val="none"/>
        </w:rPr>
        <w:t>）中标（成交）供应商是否为外商投资企业：</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14:paraId="55171B86">
      <w:pPr>
        <w:pStyle w:val="153"/>
        <w:tabs>
          <w:tab w:val="left" w:pos="1340"/>
        </w:tabs>
        <w:ind w:firstLine="420"/>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hint="eastAsia" w:ascii="宋体" w:hAnsi="宋体" w:eastAsia="宋体" w:cs="宋体"/>
          <w:iCs/>
          <w:sz w:val="21"/>
          <w:highlight w:val="none"/>
        </w:rPr>
        <w:sym w:font="Wingdings" w:char="00A8"/>
      </w:r>
      <w:r>
        <w:rPr>
          <w:rFonts w:hint="eastAsia" w:ascii="宋体" w:hAnsi="宋体" w:eastAsia="宋体" w:cs="宋体"/>
          <w:sz w:val="21"/>
          <w:highlight w:val="none"/>
        </w:rPr>
        <w:t xml:space="preserve">全部由外国投资者投资  </w:t>
      </w:r>
      <w:r>
        <w:rPr>
          <w:rFonts w:hint="eastAsia" w:ascii="宋体" w:hAnsi="宋体" w:eastAsia="宋体" w:cs="宋体"/>
          <w:iCs/>
          <w:sz w:val="21"/>
          <w:highlight w:val="none"/>
        </w:rPr>
        <w:sym w:font="Wingdings" w:char="00A8"/>
      </w:r>
      <w:r>
        <w:rPr>
          <w:rFonts w:hint="eastAsia" w:ascii="宋体" w:hAnsi="宋体" w:eastAsia="宋体" w:cs="宋体"/>
          <w:iCs/>
          <w:sz w:val="21"/>
          <w:highlight w:val="none"/>
        </w:rPr>
        <w:t>部分由外国投资者投资</w:t>
      </w:r>
    </w:p>
    <w:p w14:paraId="2FA77A52">
      <w:pPr>
        <w:numPr>
          <w:ilvl w:val="255"/>
          <w:numId w:val="0"/>
        </w:numPr>
        <w:adjustRightInd w:val="0"/>
        <w:snapToGrid w:val="0"/>
        <w:spacing w:line="400" w:lineRule="exact"/>
        <w:ind w:firstLine="420" w:firstLineChars="20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lang w:val="en"/>
        </w:rPr>
        <w:t>9</w:t>
      </w:r>
      <w:r>
        <w:rPr>
          <w:rFonts w:hint="eastAsia" w:ascii="宋体" w:hAnsi="宋体" w:cs="宋体"/>
          <w:szCs w:val="21"/>
          <w:highlight w:val="none"/>
        </w:rPr>
        <w:t>）是否涉及进口产品：</w:t>
      </w:r>
    </w:p>
    <w:p w14:paraId="7A70FD47">
      <w:pPr>
        <w:numPr>
          <w:ilvl w:val="255"/>
          <w:numId w:val="0"/>
        </w:numPr>
        <w:adjustRightInd w:val="0"/>
        <w:snapToGrid w:val="0"/>
        <w:spacing w:line="400" w:lineRule="exact"/>
        <w:ind w:firstLine="840" w:firstLineChars="400"/>
        <w:rPr>
          <w:rFonts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rPr>
        <w:sym w:font="Wingdings" w:char="00A8"/>
      </w:r>
      <w:r>
        <w:rPr>
          <w:rFonts w:hint="eastAsia" w:ascii="宋体" w:hAnsi="宋体" w:cs="宋体"/>
          <w:szCs w:val="21"/>
          <w:highlight w:val="none"/>
        </w:rPr>
        <w:t>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p>
    <w:p w14:paraId="3DC445B5">
      <w:pPr>
        <w:numPr>
          <w:ilvl w:val="255"/>
          <w:numId w:val="0"/>
        </w:numPr>
        <w:adjustRightInd w:val="0"/>
        <w:snapToGrid w:val="0"/>
        <w:spacing w:line="400" w:lineRule="exact"/>
        <w:ind w:firstLine="840" w:firstLineChars="400"/>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p>
    <w:p w14:paraId="6ADB1A3F">
      <w:pPr>
        <w:adjustRightInd w:val="0"/>
        <w:snapToGrid w:val="0"/>
        <w:spacing w:line="400" w:lineRule="exact"/>
        <w:ind w:firstLine="840" w:firstLineChars="400"/>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rPr>
        <w:sym w:font="Wingdings" w:char="00A8"/>
      </w:r>
      <w:r>
        <w:rPr>
          <w:rFonts w:hint="eastAsia" w:ascii="宋体" w:hAnsi="宋体"/>
          <w:szCs w:val="21"/>
          <w:highlight w:val="none"/>
        </w:rPr>
        <w:t>否</w:t>
      </w:r>
    </w:p>
    <w:p w14:paraId="3032D6CF">
      <w:pPr>
        <w:numPr>
          <w:ilvl w:val="255"/>
          <w:numId w:val="0"/>
        </w:numPr>
        <w:tabs>
          <w:tab w:val="left" w:pos="740"/>
        </w:tabs>
        <w:adjustRightInd w:val="0"/>
        <w:snapToGrid w:val="0"/>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0</w:t>
      </w:r>
      <w:r>
        <w:rPr>
          <w:rFonts w:hint="eastAsia" w:ascii="宋体" w:hAnsi="宋体"/>
          <w:szCs w:val="21"/>
          <w:highlight w:val="none"/>
        </w:rPr>
        <w:t>）是否涉及节能产品：</w:t>
      </w:r>
    </w:p>
    <w:p w14:paraId="2099F0CE">
      <w:pPr>
        <w:numPr>
          <w:ilvl w:val="255"/>
          <w:numId w:val="0"/>
        </w:numPr>
        <w:tabs>
          <w:tab w:val="left" w:pos="740"/>
        </w:tabs>
        <w:adjustRightInd w:val="0"/>
        <w:snapToGrid w:val="0"/>
        <w:spacing w:line="400" w:lineRule="exact"/>
        <w:rPr>
          <w:rFonts w:ascii="宋体" w:hAnsi="宋体"/>
          <w:iCs/>
          <w:szCs w:val="21"/>
          <w:highlight w:val="none"/>
        </w:rPr>
      </w:pPr>
      <w:r>
        <w:rPr>
          <w:rFonts w:hint="eastAsia" w:ascii="宋体" w:hAnsi="宋体"/>
          <w:szCs w:val="21"/>
          <w:highlight w:val="none"/>
        </w:rPr>
        <w:t xml:space="preserve">         </w:t>
      </w:r>
      <w:r>
        <w:rPr>
          <w:rFonts w:hint="eastAsia" w:ascii="宋体" w:hAnsi="宋体"/>
          <w:szCs w:val="21"/>
          <w:highlight w:val="none"/>
        </w:rPr>
        <w:sym w:font="Wingdings" w:char="00A8"/>
      </w:r>
      <w:r>
        <w:rPr>
          <w:rFonts w:hint="eastAsia" w:ascii="宋体" w:hAnsi="宋体"/>
          <w:szCs w:val="21"/>
          <w:highlight w:val="none"/>
        </w:rPr>
        <w:t>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p>
    <w:p w14:paraId="0AA09CC2">
      <w:pPr>
        <w:numPr>
          <w:ilvl w:val="255"/>
          <w:numId w:val="0"/>
        </w:numPr>
        <w:tabs>
          <w:tab w:val="left" w:pos="740"/>
        </w:tabs>
        <w:adjustRightInd w:val="0"/>
        <w:snapToGrid w:val="0"/>
        <w:spacing w:line="400" w:lineRule="exact"/>
        <w:rPr>
          <w:rFonts w:ascii="宋体" w:hAnsi="宋体"/>
          <w:iCs/>
          <w:szCs w:val="21"/>
          <w:highlight w:val="none"/>
        </w:rPr>
      </w:pP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强制采购       </w:t>
      </w:r>
      <w:r>
        <w:rPr>
          <w:rFonts w:hint="eastAsia" w:ascii="宋体" w:hAnsi="宋体"/>
          <w:iCs/>
          <w:szCs w:val="21"/>
          <w:highlight w:val="none"/>
        </w:rPr>
        <w:sym w:font="Wingdings" w:char="00A8"/>
      </w:r>
      <w:r>
        <w:rPr>
          <w:rFonts w:hint="eastAsia" w:ascii="宋体" w:hAnsi="宋体"/>
          <w:iCs/>
          <w:szCs w:val="21"/>
          <w:highlight w:val="none"/>
        </w:rPr>
        <w:t xml:space="preserve">优先采购    </w:t>
      </w:r>
    </w:p>
    <w:p w14:paraId="5F839A13">
      <w:pPr>
        <w:numPr>
          <w:ilvl w:val="255"/>
          <w:numId w:val="0"/>
        </w:numPr>
        <w:tabs>
          <w:tab w:val="left" w:pos="740"/>
        </w:tabs>
        <w:adjustRightInd w:val="0"/>
        <w:snapToGrid w:val="0"/>
        <w:spacing w:line="400" w:lineRule="exact"/>
        <w:rPr>
          <w:rFonts w:ascii="宋体" w:hAnsi="宋体"/>
          <w:szCs w:val="21"/>
          <w:highlight w:val="none"/>
        </w:rPr>
      </w:pPr>
      <w:r>
        <w:rPr>
          <w:rFonts w:hint="eastAsia" w:ascii="宋体" w:hAnsi="宋体"/>
          <w:iCs/>
          <w:szCs w:val="21"/>
          <w:highlight w:val="none"/>
        </w:rPr>
        <w:t xml:space="preserve">         </w:t>
      </w:r>
      <w:r>
        <w:rPr>
          <w:rFonts w:hint="eastAsia" w:ascii="宋体" w:hAnsi="宋体"/>
          <w:szCs w:val="21"/>
          <w:highlight w:val="none"/>
        </w:rPr>
        <w:sym w:font="Wingdings" w:char="00A8"/>
      </w:r>
      <w:r>
        <w:rPr>
          <w:rFonts w:hint="eastAsia" w:ascii="宋体" w:hAnsi="宋体"/>
          <w:szCs w:val="21"/>
          <w:highlight w:val="none"/>
        </w:rPr>
        <w:t>否</w:t>
      </w:r>
    </w:p>
    <w:p w14:paraId="0F65BB09">
      <w:pPr>
        <w:numPr>
          <w:ilvl w:val="255"/>
          <w:numId w:val="0"/>
        </w:numPr>
        <w:tabs>
          <w:tab w:val="left" w:pos="740"/>
        </w:tabs>
        <w:adjustRightInd w:val="0"/>
        <w:snapToGrid w:val="0"/>
        <w:spacing w:line="400" w:lineRule="exact"/>
        <w:rPr>
          <w:rFonts w:ascii="宋体" w:hAnsi="宋体"/>
          <w:szCs w:val="21"/>
          <w:highlight w:val="none"/>
        </w:rPr>
      </w:pPr>
      <w:r>
        <w:rPr>
          <w:rFonts w:hint="eastAsia" w:ascii="宋体" w:hAnsi="宋体"/>
          <w:szCs w:val="21"/>
          <w:highlight w:val="none"/>
        </w:rPr>
        <w:t xml:space="preserve">          是否涉及环境标志产品：</w:t>
      </w:r>
    </w:p>
    <w:p w14:paraId="3CEA3726">
      <w:pPr>
        <w:numPr>
          <w:ilvl w:val="255"/>
          <w:numId w:val="0"/>
        </w:numPr>
        <w:tabs>
          <w:tab w:val="left" w:pos="740"/>
        </w:tabs>
        <w:adjustRightInd w:val="0"/>
        <w:snapToGrid w:val="0"/>
        <w:spacing w:line="400" w:lineRule="exact"/>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rPr>
        <w:sym w:font="Wingdings" w:char="00A8"/>
      </w:r>
      <w:r>
        <w:rPr>
          <w:rFonts w:hint="eastAsia" w:ascii="宋体" w:hAnsi="宋体"/>
          <w:szCs w:val="21"/>
          <w:highlight w:val="none"/>
        </w:rPr>
        <w:t>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p>
    <w:p w14:paraId="4FDF3D45">
      <w:pPr>
        <w:numPr>
          <w:ilvl w:val="255"/>
          <w:numId w:val="0"/>
        </w:numPr>
        <w:tabs>
          <w:tab w:val="left" w:pos="740"/>
        </w:tabs>
        <w:adjustRightInd w:val="0"/>
        <w:snapToGrid w:val="0"/>
        <w:spacing w:line="400" w:lineRule="exact"/>
        <w:rPr>
          <w:rFonts w:ascii="宋体" w:hAnsi="宋体"/>
          <w:iCs/>
          <w:szCs w:val="21"/>
          <w:highlight w:val="none"/>
        </w:rPr>
      </w:pP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强制采购       </w:t>
      </w:r>
      <w:r>
        <w:rPr>
          <w:rFonts w:hint="eastAsia" w:ascii="宋体" w:hAnsi="宋体"/>
          <w:iCs/>
          <w:szCs w:val="21"/>
          <w:highlight w:val="none"/>
        </w:rPr>
        <w:sym w:font="Wingdings" w:char="00A8"/>
      </w:r>
      <w:r>
        <w:rPr>
          <w:rFonts w:hint="eastAsia" w:ascii="宋体" w:hAnsi="宋体"/>
          <w:iCs/>
          <w:szCs w:val="21"/>
          <w:highlight w:val="none"/>
        </w:rPr>
        <w:t xml:space="preserve">优先采购    </w:t>
      </w:r>
    </w:p>
    <w:p w14:paraId="047A42D7">
      <w:pPr>
        <w:numPr>
          <w:ilvl w:val="255"/>
          <w:numId w:val="0"/>
        </w:numPr>
        <w:tabs>
          <w:tab w:val="left" w:pos="740"/>
        </w:tabs>
        <w:adjustRightInd w:val="0"/>
        <w:snapToGrid w:val="0"/>
        <w:spacing w:line="400" w:lineRule="exact"/>
        <w:rPr>
          <w:rFonts w:ascii="宋体" w:hAnsi="宋体"/>
          <w:szCs w:val="21"/>
          <w:highlight w:val="none"/>
        </w:rPr>
      </w:pPr>
      <w:r>
        <w:rPr>
          <w:rFonts w:hint="eastAsia" w:ascii="宋体" w:hAnsi="宋体"/>
          <w:iCs/>
          <w:szCs w:val="21"/>
          <w:highlight w:val="none"/>
        </w:rPr>
        <w:t xml:space="preserve">         </w:t>
      </w:r>
      <w:r>
        <w:rPr>
          <w:rFonts w:hint="eastAsia" w:ascii="宋体" w:hAnsi="宋体"/>
          <w:szCs w:val="21"/>
          <w:highlight w:val="none"/>
        </w:rPr>
        <w:sym w:font="Wingdings" w:char="00A8"/>
      </w:r>
      <w:r>
        <w:rPr>
          <w:rFonts w:hint="eastAsia" w:ascii="宋体" w:hAnsi="宋体"/>
          <w:szCs w:val="21"/>
          <w:highlight w:val="none"/>
        </w:rPr>
        <w:t>否</w:t>
      </w:r>
    </w:p>
    <w:p w14:paraId="3CA5AAE8">
      <w:pPr>
        <w:pStyle w:val="153"/>
        <w:numPr>
          <w:ilvl w:val="255"/>
          <w:numId w:val="0"/>
        </w:numPr>
        <w:snapToGrid w:val="0"/>
        <w:rPr>
          <w:rFonts w:ascii="宋体" w:hAnsi="宋体" w:eastAsia="宋体" w:cs="Times New Roman"/>
          <w:kern w:val="2"/>
          <w:sz w:val="21"/>
          <w:highlight w:val="none"/>
        </w:rPr>
      </w:pPr>
      <w:r>
        <w:rPr>
          <w:rFonts w:hint="eastAsia" w:ascii="宋体" w:hAnsi="宋体" w:eastAsia="宋体"/>
          <w:sz w:val="21"/>
          <w:highlight w:val="none"/>
        </w:rPr>
        <w:t xml:space="preserve">          </w:t>
      </w:r>
      <w:r>
        <w:rPr>
          <w:rFonts w:hint="eastAsia" w:ascii="宋体" w:hAnsi="宋体" w:eastAsia="宋体" w:cs="Times New Roman"/>
          <w:kern w:val="2"/>
          <w:sz w:val="21"/>
          <w:highlight w:val="none"/>
        </w:rPr>
        <w:t xml:space="preserve">是否涉及绿色产品： </w:t>
      </w:r>
    </w:p>
    <w:p w14:paraId="4BF84105">
      <w:pPr>
        <w:pStyle w:val="153"/>
        <w:ind w:firstLine="420" w:firstLineChars="0"/>
        <w:rPr>
          <w:rFonts w:ascii="宋体" w:hAnsi="宋体" w:eastAsia="宋体"/>
          <w:highlight w:val="none"/>
          <w:u w:val="single"/>
        </w:rPr>
      </w:pPr>
      <w:r>
        <w:rPr>
          <w:rFonts w:hint="eastAsia" w:ascii="宋体" w:hAnsi="宋体" w:eastAsia="宋体" w:cs="Times New Roman"/>
          <w:kern w:val="2"/>
          <w:sz w:val="21"/>
          <w:highlight w:val="none"/>
        </w:rPr>
        <w:t xml:space="preserve">     </w:t>
      </w:r>
      <w:r>
        <w:rPr>
          <w:rFonts w:hint="eastAsia" w:ascii="宋体" w:hAnsi="宋体" w:eastAsia="宋体" w:cs="Times New Roman"/>
          <w:kern w:val="2"/>
          <w:sz w:val="21"/>
          <w:highlight w:val="none"/>
        </w:rPr>
        <w:sym w:font="Wingdings" w:char="00A8"/>
      </w:r>
      <w:r>
        <w:rPr>
          <w:rFonts w:hint="eastAsia" w:ascii="宋体" w:hAnsi="宋体" w:eastAsia="宋体" w:cs="Times New Roman"/>
          <w:kern w:val="2"/>
          <w:sz w:val="21"/>
          <w:highlight w:val="none"/>
        </w:rPr>
        <w:t>是，绿色产品政府采购相关政策确定的底级品目名称：</w:t>
      </w:r>
      <w:r>
        <w:rPr>
          <w:rFonts w:hint="eastAsia" w:ascii="宋体" w:hAnsi="宋体" w:eastAsia="宋体"/>
          <w:highlight w:val="none"/>
          <w:u w:val="single"/>
        </w:rPr>
        <w:t xml:space="preserve">         </w:t>
      </w:r>
    </w:p>
    <w:p w14:paraId="4A4F9BE1">
      <w:pPr>
        <w:numPr>
          <w:ilvl w:val="255"/>
          <w:numId w:val="0"/>
        </w:numPr>
        <w:tabs>
          <w:tab w:val="left" w:pos="740"/>
        </w:tabs>
        <w:adjustRightInd w:val="0"/>
        <w:snapToGrid w:val="0"/>
        <w:spacing w:line="400" w:lineRule="exact"/>
        <w:rPr>
          <w:rFonts w:ascii="宋体" w:hAnsi="宋体"/>
          <w:iCs/>
          <w:szCs w:val="21"/>
          <w:highlight w:val="none"/>
        </w:rPr>
      </w:pP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强制采购       </w:t>
      </w:r>
      <w:r>
        <w:rPr>
          <w:rFonts w:hint="eastAsia" w:ascii="宋体" w:hAnsi="宋体"/>
          <w:iCs/>
          <w:szCs w:val="21"/>
          <w:highlight w:val="none"/>
        </w:rPr>
        <w:sym w:font="Wingdings" w:char="00A8"/>
      </w:r>
      <w:r>
        <w:rPr>
          <w:rFonts w:hint="eastAsia" w:ascii="宋体" w:hAnsi="宋体"/>
          <w:iCs/>
          <w:szCs w:val="21"/>
          <w:highlight w:val="none"/>
        </w:rPr>
        <w:t xml:space="preserve">优先采购    </w:t>
      </w:r>
    </w:p>
    <w:p w14:paraId="2A7AE492">
      <w:pPr>
        <w:pStyle w:val="153"/>
        <w:ind w:firstLine="420" w:firstLineChars="0"/>
        <w:rPr>
          <w:rFonts w:ascii="宋体" w:hAnsi="宋体" w:eastAsia="宋体"/>
          <w:sz w:val="21"/>
          <w:highlight w:val="none"/>
        </w:rPr>
      </w:pPr>
      <w:r>
        <w:rPr>
          <w:rFonts w:hint="eastAsia" w:ascii="宋体" w:hAnsi="宋体" w:eastAsia="宋体" w:cs="Times New Roman"/>
          <w:kern w:val="2"/>
          <w:sz w:val="21"/>
          <w:highlight w:val="none"/>
        </w:rPr>
        <w:t xml:space="preserve">     </w:t>
      </w:r>
      <w:r>
        <w:rPr>
          <w:rFonts w:hint="eastAsia" w:ascii="宋体" w:hAnsi="宋体" w:eastAsia="宋体" w:cs="Times New Roman"/>
          <w:kern w:val="2"/>
          <w:sz w:val="21"/>
          <w:highlight w:val="none"/>
        </w:rPr>
        <w:sym w:font="Wingdings" w:char="00A8"/>
      </w:r>
      <w:r>
        <w:rPr>
          <w:rFonts w:hint="eastAsia" w:ascii="宋体" w:hAnsi="宋体" w:eastAsia="宋体" w:cs="Times New Roman"/>
          <w:kern w:val="2"/>
          <w:sz w:val="21"/>
          <w:highlight w:val="none"/>
        </w:rPr>
        <w:t>否</w:t>
      </w:r>
    </w:p>
    <w:p w14:paraId="6CF09601">
      <w:pPr>
        <w:numPr>
          <w:ilvl w:val="255"/>
          <w:numId w:val="0"/>
        </w:numPr>
        <w:adjustRightInd w:val="0"/>
        <w:snapToGrid w:val="0"/>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1</w:t>
      </w:r>
      <w:r>
        <w:rPr>
          <w:rFonts w:hint="eastAsia" w:ascii="宋体" w:hAnsi="宋体"/>
          <w:szCs w:val="21"/>
          <w:highlight w:val="none"/>
        </w:rPr>
        <w:t>）涉及商品包装和快递包装的，是否参考《商品包装政府采购需求标准（试行）</w:t>
      </w:r>
      <w:r>
        <w:rPr>
          <w:rFonts w:hint="eastAsia" w:ascii="宋体" w:hAnsi="宋体"/>
          <w:szCs w:val="21"/>
          <w:highlight w:val="none"/>
          <w:lang w:eastAsia="zh-CN"/>
        </w:rPr>
        <w:t>》《</w:t>
      </w:r>
      <w:r>
        <w:rPr>
          <w:rFonts w:hint="eastAsia" w:ascii="宋体" w:hAnsi="宋体"/>
          <w:szCs w:val="21"/>
          <w:highlight w:val="none"/>
        </w:rPr>
        <w:t>快递包装政府采购需求标准（试行）》明确产品及相关快递服务的具体包装要求：</w:t>
      </w:r>
    </w:p>
    <w:p w14:paraId="5302E268">
      <w:pPr>
        <w:numPr>
          <w:ilvl w:val="255"/>
          <w:numId w:val="0"/>
        </w:numPr>
        <w:adjustRightInd w:val="0"/>
        <w:snapToGrid w:val="0"/>
        <w:spacing w:line="400" w:lineRule="exact"/>
        <w:ind w:firstLine="840" w:firstLineChars="400"/>
        <w:rPr>
          <w:rFonts w:ascii="宋体" w:hAnsi="宋体"/>
          <w:szCs w:val="21"/>
          <w:highlight w:val="none"/>
        </w:rPr>
      </w:pPr>
      <w:r>
        <w:rPr>
          <w:rFonts w:hint="eastAsia" w:ascii="宋体" w:hAnsi="宋体"/>
          <w:szCs w:val="21"/>
          <w:highlight w:val="none"/>
        </w:rPr>
        <w:sym w:font="Wingdings" w:char="00A8"/>
      </w:r>
      <w:r>
        <w:rPr>
          <w:rFonts w:hint="eastAsia" w:ascii="宋体" w:hAnsi="宋体"/>
          <w:szCs w:val="21"/>
          <w:highlight w:val="none"/>
        </w:rPr>
        <w:t xml:space="preserve">是       </w:t>
      </w:r>
      <w:r>
        <w:rPr>
          <w:rFonts w:hint="eastAsia" w:ascii="宋体" w:hAnsi="宋体"/>
          <w:szCs w:val="21"/>
          <w:highlight w:val="none"/>
        </w:rPr>
        <w:sym w:font="Wingdings" w:char="00A8"/>
      </w:r>
      <w:r>
        <w:rPr>
          <w:rFonts w:hint="eastAsia" w:ascii="宋体" w:hAnsi="宋体"/>
          <w:szCs w:val="21"/>
          <w:highlight w:val="none"/>
        </w:rPr>
        <w:t xml:space="preserve">否      </w:t>
      </w:r>
      <w:r>
        <w:rPr>
          <w:rFonts w:hint="eastAsia" w:ascii="宋体" w:hAnsi="宋体"/>
          <w:szCs w:val="21"/>
          <w:highlight w:val="none"/>
        </w:rPr>
        <w:sym w:font="Wingdings" w:char="00A8"/>
      </w:r>
      <w:r>
        <w:rPr>
          <w:rFonts w:hint="eastAsia" w:ascii="宋体" w:hAnsi="宋体"/>
          <w:szCs w:val="21"/>
          <w:highlight w:val="none"/>
        </w:rPr>
        <w:t>不涉及</w:t>
      </w:r>
    </w:p>
    <w:p w14:paraId="3F58CC81">
      <w:pPr>
        <w:numPr>
          <w:ilvl w:val="0"/>
          <w:numId w:val="5"/>
        </w:numPr>
        <w:adjustRightInd w:val="0"/>
        <w:snapToGrid w:val="0"/>
        <w:spacing w:after="160" w:line="400" w:lineRule="exact"/>
        <w:ind w:firstLine="422" w:firstLineChars="200"/>
        <w:rPr>
          <w:rFonts w:ascii="宋体" w:hAnsi="宋体"/>
          <w:b/>
          <w:szCs w:val="21"/>
          <w:highlight w:val="none"/>
        </w:rPr>
      </w:pPr>
      <w:r>
        <w:rPr>
          <w:rFonts w:hint="eastAsia" w:ascii="宋体" w:hAnsi="宋体"/>
          <w:b/>
          <w:szCs w:val="21"/>
          <w:highlight w:val="none"/>
        </w:rPr>
        <w:t>合同金额</w:t>
      </w:r>
    </w:p>
    <w:p w14:paraId="07462D58">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（1）合同金额小写：</w:t>
      </w:r>
      <w:r>
        <w:rPr>
          <w:rFonts w:hint="eastAsia" w:ascii="宋体" w:hAnsi="宋体"/>
          <w:szCs w:val="21"/>
          <w:highlight w:val="none"/>
          <w:u w:val="single"/>
        </w:rPr>
        <w:t xml:space="preserve">                           </w:t>
      </w:r>
    </w:p>
    <w:p w14:paraId="37DA782B">
      <w:pPr>
        <w:adjustRightInd w:val="0"/>
        <w:snapToGrid w:val="0"/>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p>
    <w:p w14:paraId="7DFC1EDF">
      <w:pPr>
        <w:adjustRightInd w:val="0"/>
        <w:snapToGrid w:val="0"/>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p>
    <w:p w14:paraId="18A1F2C8">
      <w:pPr>
        <w:adjustRightInd w:val="0"/>
        <w:snapToGrid w:val="0"/>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p>
    <w:p w14:paraId="4BFEB98B">
      <w:pPr>
        <w:adjustRightInd w:val="0"/>
        <w:snapToGrid w:val="0"/>
        <w:spacing w:line="400" w:lineRule="exact"/>
        <w:rPr>
          <w:rFonts w:ascii="宋体" w:hAnsi="宋体"/>
          <w:szCs w:val="21"/>
          <w:highlight w:val="none"/>
        </w:rPr>
      </w:pPr>
      <w:r>
        <w:rPr>
          <w:rFonts w:hint="eastAsia" w:ascii="宋体" w:hAnsi="宋体"/>
          <w:szCs w:val="21"/>
          <w:highlight w:val="none"/>
        </w:rPr>
        <w:t xml:space="preserve">    （注：固定单价合同应填写单价和最高限价）</w:t>
      </w:r>
    </w:p>
    <w:p w14:paraId="46B85204">
      <w:pPr>
        <w:numPr>
          <w:ilvl w:val="255"/>
          <w:numId w:val="0"/>
        </w:numPr>
        <w:adjustRightInd w:val="0"/>
        <w:snapToGrid w:val="0"/>
        <w:spacing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p>
    <w:p w14:paraId="37284E76">
      <w:pPr>
        <w:adjustRightInd w:val="0"/>
        <w:snapToGrid w:val="0"/>
        <w:spacing w:line="400" w:lineRule="exact"/>
        <w:ind w:firstLine="420" w:firstLineChars="200"/>
        <w:rPr>
          <w:rFonts w:ascii="宋体" w:hAnsi="宋体"/>
          <w:szCs w:val="21"/>
          <w:highlight w:val="none"/>
        </w:rPr>
      </w:pP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固定总价 </w:t>
      </w:r>
      <w:r>
        <w:rPr>
          <w:rFonts w:hint="eastAsia" w:ascii="宋体" w:hAnsi="宋体"/>
          <w:iCs/>
          <w:szCs w:val="21"/>
          <w:highlight w:val="none"/>
        </w:rPr>
        <w:sym w:font="Wingdings" w:char="00A8"/>
      </w:r>
      <w:r>
        <w:rPr>
          <w:rFonts w:hint="eastAsia" w:ascii="宋体" w:hAnsi="宋体"/>
          <w:iCs/>
          <w:szCs w:val="21"/>
          <w:highlight w:val="none"/>
        </w:rPr>
        <w:t xml:space="preserve">固定单价 </w:t>
      </w:r>
      <w:r>
        <w:rPr>
          <w:rFonts w:hint="eastAsia" w:ascii="宋体" w:hAnsi="宋体"/>
          <w:iCs/>
          <w:szCs w:val="21"/>
          <w:highlight w:val="none"/>
        </w:rPr>
        <w:sym w:font="Wingdings" w:char="00A8"/>
      </w:r>
      <w:r>
        <w:rPr>
          <w:rFonts w:hint="eastAsia" w:ascii="宋体" w:hAnsi="宋体"/>
          <w:iCs/>
          <w:szCs w:val="21"/>
          <w:highlight w:val="none"/>
        </w:rPr>
        <w:t xml:space="preserve">固定费率 </w:t>
      </w:r>
      <w:r>
        <w:rPr>
          <w:rFonts w:hint="eastAsia" w:ascii="宋体" w:hAnsi="宋体"/>
          <w:iCs/>
          <w:szCs w:val="21"/>
          <w:highlight w:val="none"/>
        </w:rPr>
        <w:sym w:font="Wingdings" w:char="00A8"/>
      </w:r>
      <w:r>
        <w:rPr>
          <w:rFonts w:hint="eastAsia" w:ascii="宋体" w:hAnsi="宋体"/>
          <w:iCs/>
          <w:szCs w:val="21"/>
          <w:highlight w:val="none"/>
        </w:rPr>
        <w:t xml:space="preserve">成本补偿 </w:t>
      </w:r>
      <w:r>
        <w:rPr>
          <w:rFonts w:hint="eastAsia" w:ascii="宋体" w:hAnsi="宋体"/>
          <w:iCs/>
          <w:szCs w:val="21"/>
          <w:highlight w:val="none"/>
        </w:rPr>
        <w:sym w:font="Wingdings" w:char="00A8"/>
      </w:r>
      <w:r>
        <w:rPr>
          <w:rFonts w:hint="eastAsia" w:ascii="宋体" w:hAnsi="宋体"/>
          <w:iCs/>
          <w:szCs w:val="21"/>
          <w:highlight w:val="none"/>
        </w:rPr>
        <w:t xml:space="preserve">绩效激励 </w:t>
      </w:r>
      <w:r>
        <w:rPr>
          <w:rFonts w:hint="eastAsia" w:ascii="宋体" w:hAnsi="宋体"/>
          <w:iCs/>
          <w:szCs w:val="21"/>
          <w:highlight w:val="none"/>
        </w:rPr>
        <w:sym w:font="Wingdings" w:char="00A8"/>
      </w:r>
      <w:r>
        <w:rPr>
          <w:rFonts w:hint="eastAsia" w:ascii="宋体" w:hAnsi="宋体"/>
          <w:iCs/>
          <w:szCs w:val="21"/>
          <w:highlight w:val="none"/>
        </w:rPr>
        <w:t>其他</w:t>
      </w:r>
      <w:r>
        <w:rPr>
          <w:rFonts w:hint="eastAsia" w:ascii="宋体" w:hAnsi="宋体"/>
          <w:szCs w:val="21"/>
          <w:highlight w:val="none"/>
          <w:u w:val="single"/>
        </w:rPr>
        <w:t xml:space="preserve">       </w:t>
      </w:r>
    </w:p>
    <w:p w14:paraId="2FD304B0">
      <w:pPr>
        <w:pStyle w:val="48"/>
        <w:spacing w:line="400" w:lineRule="exact"/>
        <w:ind w:left="420"/>
        <w:rPr>
          <w:rFonts w:ascii="宋体" w:hAnsi="宋体"/>
          <w:highlight w:val="none"/>
        </w:rPr>
      </w:pPr>
      <w:r>
        <w:rPr>
          <w:rFonts w:hint="eastAsia" w:ascii="宋体" w:hAnsi="宋体"/>
          <w:highlight w:val="none"/>
        </w:rPr>
        <w:t>（3）付款方式（按项目实际勾选填写）：</w:t>
      </w:r>
    </w:p>
    <w:p w14:paraId="59BDE096">
      <w:pPr>
        <w:adjustRightInd w:val="0"/>
        <w:snapToGrid w:val="0"/>
        <w:spacing w:line="400" w:lineRule="exact"/>
        <w:ind w:firstLine="630" w:firstLineChars="300"/>
        <w:rPr>
          <w:rFonts w:ascii="宋体" w:hAnsi="宋体"/>
          <w:szCs w:val="21"/>
          <w:highlight w:val="none"/>
          <w:u w:val="single"/>
        </w:rPr>
      </w:pPr>
      <w:r>
        <w:rPr>
          <w:rFonts w:hint="eastAsia" w:ascii="宋体" w:hAnsi="宋体"/>
          <w:szCs w:val="21"/>
          <w:highlight w:val="none"/>
        </w:rPr>
        <w:sym w:font="Wingdings" w:char="00A8"/>
      </w:r>
      <w:r>
        <w:rPr>
          <w:rFonts w:hint="eastAsia" w:ascii="宋体" w:hAnsi="宋体"/>
          <w:szCs w:val="21"/>
          <w:highlight w:val="none"/>
        </w:rPr>
        <w:t>全额付款：</w:t>
      </w:r>
      <w:r>
        <w:rPr>
          <w:rFonts w:hint="eastAsia" w:ascii="宋体" w:hAnsi="宋体"/>
          <w:szCs w:val="21"/>
          <w:highlight w:val="none"/>
          <w:u w:val="single"/>
        </w:rPr>
        <w:t xml:space="preserve">     （应明确一次性支付合同款项的条件）                    </w:t>
      </w:r>
    </w:p>
    <w:p w14:paraId="49C2D2C8">
      <w:pPr>
        <w:snapToGrid w:val="0"/>
        <w:spacing w:line="400" w:lineRule="exact"/>
        <w:ind w:firstLine="630" w:firstLineChars="300"/>
        <w:rPr>
          <w:rFonts w:ascii="宋体" w:hAnsi="宋体"/>
          <w:highlight w:val="none"/>
        </w:rPr>
      </w:pPr>
      <w:r>
        <w:rPr>
          <w:rFonts w:hint="eastAsia" w:ascii="宋体" w:hAnsi="宋体"/>
          <w:szCs w:val="21"/>
          <w:highlight w:val="none"/>
        </w:rPr>
        <w:sym w:font="Wingdings" w:char="00A8"/>
      </w:r>
      <w:r>
        <w:rPr>
          <w:rFonts w:hint="eastAsia" w:ascii="宋体" w:hAnsi="宋体"/>
          <w:szCs w:val="21"/>
          <w:highlight w:val="none"/>
        </w:rPr>
        <w:t>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，其中涉及预付款的：</w:t>
      </w:r>
      <w:r>
        <w:rPr>
          <w:rFonts w:hint="eastAsia" w:ascii="宋体" w:hAnsi="宋体"/>
          <w:szCs w:val="21"/>
          <w:highlight w:val="none"/>
          <w:u w:val="single"/>
        </w:rPr>
        <w:t xml:space="preserve"> （应明确预付款的支付比例和支付条件） </w:t>
      </w:r>
    </w:p>
    <w:p w14:paraId="1AF4EE5E">
      <w:pPr>
        <w:adjustRightInd w:val="0"/>
        <w:snapToGrid w:val="0"/>
        <w:spacing w:line="400" w:lineRule="exact"/>
        <w:ind w:firstLine="630" w:firstLineChars="300"/>
        <w:rPr>
          <w:rFonts w:ascii="宋体" w:hAnsi="宋体"/>
          <w:szCs w:val="21"/>
          <w:highlight w:val="none"/>
          <w:u w:val="single"/>
        </w:rPr>
      </w:pPr>
      <w:r>
        <w:rPr>
          <w:rFonts w:hint="eastAsia" w:ascii="宋体" w:hAnsi="宋体"/>
          <w:szCs w:val="21"/>
          <w:highlight w:val="none"/>
        </w:rPr>
        <w:sym w:font="Wingdings" w:char="00A8"/>
      </w:r>
      <w:r>
        <w:rPr>
          <w:rFonts w:hint="eastAsia" w:ascii="宋体" w:hAnsi="宋体"/>
          <w:szCs w:val="21"/>
          <w:highlight w:val="none"/>
        </w:rPr>
        <w:t>成本补偿：</w:t>
      </w:r>
      <w:r>
        <w:rPr>
          <w:rFonts w:hint="eastAsia" w:ascii="宋体" w:hAnsi="宋体"/>
          <w:szCs w:val="21"/>
          <w:highlight w:val="none"/>
          <w:u w:val="single"/>
        </w:rPr>
        <w:t xml:space="preserve">      （应明确按照成本补偿方式的支付方式和支付条件）   </w:t>
      </w:r>
    </w:p>
    <w:p w14:paraId="7018BCF1">
      <w:pPr>
        <w:adjustRightInd w:val="0"/>
        <w:snapToGrid w:val="0"/>
        <w:spacing w:line="400" w:lineRule="exact"/>
        <w:ind w:firstLine="630" w:firstLineChars="300"/>
        <w:rPr>
          <w:rFonts w:ascii="宋体" w:hAnsi="宋体"/>
          <w:szCs w:val="21"/>
          <w:highlight w:val="none"/>
        </w:rPr>
      </w:pPr>
      <w:r>
        <w:rPr>
          <w:rFonts w:hint="eastAsia" w:ascii="宋体" w:hAnsi="宋体"/>
          <w:szCs w:val="21"/>
          <w:highlight w:val="none"/>
        </w:rPr>
        <w:sym w:font="Wingdings" w:char="00A8"/>
      </w:r>
      <w:r>
        <w:rPr>
          <w:rFonts w:hint="eastAsia" w:ascii="宋体" w:hAnsi="宋体"/>
          <w:szCs w:val="21"/>
          <w:highlight w:val="none"/>
        </w:rPr>
        <w:t>绩效激励：</w:t>
      </w:r>
      <w:r>
        <w:rPr>
          <w:rFonts w:hint="eastAsia" w:ascii="宋体" w:hAnsi="宋体"/>
          <w:szCs w:val="21"/>
          <w:highlight w:val="none"/>
          <w:u w:val="single"/>
        </w:rPr>
        <w:t xml:space="preserve">      （应明确按照绩效激励方式的支付方式和支付条件）   </w:t>
      </w:r>
    </w:p>
    <w:p w14:paraId="3B76863D">
      <w:pPr>
        <w:numPr>
          <w:ilvl w:val="0"/>
          <w:numId w:val="5"/>
        </w:numPr>
        <w:adjustRightInd w:val="0"/>
        <w:snapToGrid w:val="0"/>
        <w:spacing w:after="160" w:line="400" w:lineRule="exact"/>
        <w:ind w:firstLine="422" w:firstLineChars="200"/>
        <w:rPr>
          <w:rFonts w:ascii="宋体" w:hAnsi="宋体"/>
          <w:b/>
          <w:szCs w:val="21"/>
          <w:highlight w:val="none"/>
          <w:u w:val="single"/>
        </w:rPr>
      </w:pPr>
      <w:r>
        <w:rPr>
          <w:rFonts w:hint="eastAsia" w:ascii="宋体" w:hAnsi="宋体"/>
          <w:b/>
          <w:szCs w:val="21"/>
          <w:highlight w:val="none"/>
        </w:rPr>
        <w:t>合同履行</w:t>
      </w:r>
    </w:p>
    <w:p w14:paraId="2B258C76">
      <w:pPr>
        <w:adjustRightInd w:val="0"/>
        <w:snapToGrid w:val="0"/>
        <w:spacing w:line="400" w:lineRule="exact"/>
        <w:ind w:firstLine="420" w:firstLineChars="200"/>
        <w:rPr>
          <w:rFonts w:ascii="宋体" w:hAnsi="宋体" w:cs="宋体"/>
          <w:szCs w:val="21"/>
          <w:highlight w:val="none"/>
        </w:rPr>
      </w:pPr>
      <w:r>
        <w:rPr>
          <w:rFonts w:hint="eastAsia" w:ascii="宋体" w:hAnsi="宋体" w:cs="宋体"/>
          <w:szCs w:val="21"/>
          <w:highlight w:val="none"/>
        </w:rPr>
        <w:t>（1）起始日期：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日，完成日期：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1D18A3CC">
      <w:pPr>
        <w:adjustRightInd w:val="0"/>
        <w:snapToGrid w:val="0"/>
        <w:spacing w:line="400" w:lineRule="exact"/>
        <w:ind w:firstLine="420" w:firstLineChars="200"/>
        <w:rPr>
          <w:rFonts w:ascii="宋体" w:hAnsi="宋体" w:cs="宋体"/>
          <w:szCs w:val="21"/>
          <w:highlight w:val="none"/>
          <w:u w:val="single"/>
        </w:rPr>
      </w:pPr>
      <w:r>
        <w:rPr>
          <w:rFonts w:hint="eastAsia" w:ascii="宋体" w:hAnsi="宋体" w:cs="宋体"/>
          <w:szCs w:val="21"/>
          <w:highlight w:val="none"/>
        </w:rPr>
        <w:t>（2）履约地点</w:t>
      </w:r>
      <w:r>
        <w:rPr>
          <w:rFonts w:hint="eastAsia" w:ascii="宋体" w:hAnsi="宋体" w:cs="宋体"/>
          <w:bCs/>
          <w:szCs w:val="21"/>
          <w:highlight w:val="none"/>
        </w:rPr>
        <w:t>：</w:t>
      </w:r>
      <w:r>
        <w:rPr>
          <w:rFonts w:hint="eastAsia" w:ascii="宋体" w:hAnsi="宋体" w:cs="宋体"/>
          <w:szCs w:val="21"/>
          <w:highlight w:val="none"/>
          <w:u w:val="single"/>
        </w:rPr>
        <w:t xml:space="preserve">                             </w:t>
      </w:r>
    </w:p>
    <w:p w14:paraId="1ACEE095">
      <w:pPr>
        <w:adjustRightInd w:val="0"/>
        <w:snapToGrid w:val="0"/>
        <w:spacing w:line="400" w:lineRule="exact"/>
        <w:ind w:firstLine="420" w:firstLineChars="200"/>
        <w:rPr>
          <w:rFonts w:ascii="宋体" w:hAnsi="宋体" w:cs="宋体"/>
          <w:szCs w:val="21"/>
          <w:highlight w:val="none"/>
        </w:rPr>
      </w:pPr>
      <w:r>
        <w:rPr>
          <w:rFonts w:hint="eastAsia" w:ascii="宋体" w:hAnsi="宋体" w:cs="宋体"/>
          <w:bCs/>
          <w:szCs w:val="21"/>
          <w:highlight w:val="none"/>
        </w:rPr>
        <w:t>（3）履约担保：</w:t>
      </w:r>
      <w:r>
        <w:rPr>
          <w:rFonts w:hint="eastAsia" w:ascii="宋体" w:hAnsi="宋体" w:cs="宋体"/>
          <w:highlight w:val="none"/>
        </w:rPr>
        <w:t>是否收取履约保证金：</w:t>
      </w:r>
      <w:r>
        <w:rPr>
          <w:rFonts w:hint="eastAsia" w:ascii="宋体" w:hAnsi="宋体" w:cs="宋体"/>
          <w:szCs w:val="21"/>
          <w:highlight w:val="none"/>
        </w:rPr>
        <w:sym w:font="Wingdings" w:char="00A8"/>
      </w:r>
      <w:r>
        <w:rPr>
          <w:rFonts w:hint="eastAsia" w:ascii="宋体" w:hAnsi="宋体" w:cs="宋体"/>
          <w:szCs w:val="21"/>
          <w:highlight w:val="none"/>
        </w:rPr>
        <w:t xml:space="preserve">是    </w:t>
      </w:r>
      <w:r>
        <w:rPr>
          <w:rFonts w:hint="eastAsia" w:ascii="宋体" w:hAnsi="宋体" w:cs="宋体"/>
          <w:szCs w:val="21"/>
          <w:highlight w:val="none"/>
        </w:rPr>
        <w:sym w:font="Wingdings" w:char="00A8"/>
      </w:r>
      <w:r>
        <w:rPr>
          <w:rFonts w:hint="eastAsia" w:ascii="宋体" w:hAnsi="宋体" w:cs="宋体"/>
          <w:szCs w:val="21"/>
          <w:highlight w:val="none"/>
        </w:rPr>
        <w:t>否</w:t>
      </w:r>
    </w:p>
    <w:p w14:paraId="3C8DBA56">
      <w:pPr>
        <w:pStyle w:val="153"/>
        <w:rPr>
          <w:rFonts w:ascii="宋体" w:hAnsi="宋体" w:eastAsia="宋体" w:cs="宋体"/>
          <w:sz w:val="21"/>
          <w:highlight w:val="none"/>
        </w:rPr>
      </w:pPr>
      <w:r>
        <w:rPr>
          <w:rFonts w:hint="eastAsia" w:ascii="宋体" w:hAnsi="宋体" w:eastAsia="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p>
    <w:p w14:paraId="3DC35C75">
      <w:pPr>
        <w:pStyle w:val="153"/>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p>
    <w:p w14:paraId="51D300B3">
      <w:pPr>
        <w:snapToGrid w:val="0"/>
        <w:spacing w:line="400" w:lineRule="exact"/>
        <w:ind w:firstLine="420" w:firstLineChars="200"/>
        <w:rPr>
          <w:rFonts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p>
    <w:p w14:paraId="289E2B40">
      <w:pPr>
        <w:adjustRightInd w:val="0"/>
        <w:snapToGrid w:val="0"/>
        <w:spacing w:line="400" w:lineRule="exact"/>
        <w:ind w:firstLine="420" w:firstLineChars="200"/>
        <w:rPr>
          <w:rFonts w:ascii="宋体" w:hAnsi="宋体" w:cs="宋体"/>
          <w:bCs/>
          <w:szCs w:val="21"/>
          <w:highlight w:val="none"/>
        </w:rPr>
      </w:pPr>
      <w:r>
        <w:rPr>
          <w:rFonts w:hint="eastAsia" w:ascii="宋体" w:hAnsi="宋体" w:cs="宋体"/>
          <w:bCs/>
          <w:szCs w:val="21"/>
          <w:highlight w:val="none"/>
        </w:rPr>
        <w:t>（4）分期履行要求：</w:t>
      </w:r>
      <w:r>
        <w:rPr>
          <w:rFonts w:hint="eastAsia" w:ascii="宋体" w:hAnsi="宋体" w:cs="宋体"/>
          <w:bCs/>
          <w:szCs w:val="21"/>
          <w:highlight w:val="none"/>
          <w:u w:val="single"/>
        </w:rPr>
        <w:t xml:space="preserve">                                                        </w:t>
      </w:r>
    </w:p>
    <w:p w14:paraId="1DDAAFE4">
      <w:pPr>
        <w:adjustRightInd w:val="0"/>
        <w:snapToGrid w:val="0"/>
        <w:spacing w:line="400" w:lineRule="exact"/>
        <w:ind w:firstLine="420" w:firstLineChars="200"/>
        <w:rPr>
          <w:rFonts w:ascii="宋体" w:hAnsi="宋体" w:cs="宋体"/>
          <w:szCs w:val="21"/>
          <w:highlight w:val="none"/>
          <w:u w:val="single"/>
        </w:rPr>
      </w:pPr>
      <w:r>
        <w:rPr>
          <w:rFonts w:hint="eastAsia" w:ascii="宋体" w:hAnsi="宋体" w:cs="宋体"/>
          <w:bCs/>
          <w:szCs w:val="21"/>
          <w:highlight w:val="none"/>
        </w:rPr>
        <w:t>（5）风险处置措施和替代方案：</w:t>
      </w:r>
      <w:r>
        <w:rPr>
          <w:rFonts w:hint="eastAsia" w:ascii="宋体" w:hAnsi="宋体" w:cs="宋体"/>
          <w:szCs w:val="21"/>
          <w:highlight w:val="none"/>
          <w:u w:val="single"/>
        </w:rPr>
        <w:t xml:space="preserve">                                              </w:t>
      </w:r>
    </w:p>
    <w:p w14:paraId="321BB5BE">
      <w:pPr>
        <w:numPr>
          <w:ilvl w:val="0"/>
          <w:numId w:val="5"/>
        </w:numPr>
        <w:adjustRightInd w:val="0"/>
        <w:snapToGrid w:val="0"/>
        <w:spacing w:after="160" w:line="400" w:lineRule="exact"/>
        <w:ind w:firstLine="422" w:firstLineChars="200"/>
        <w:rPr>
          <w:rFonts w:ascii="宋体" w:hAnsi="宋体"/>
          <w:b/>
          <w:szCs w:val="21"/>
          <w:highlight w:val="none"/>
        </w:rPr>
      </w:pPr>
      <w:r>
        <w:rPr>
          <w:rFonts w:hint="eastAsia" w:ascii="宋体" w:hAnsi="宋体"/>
          <w:b/>
          <w:szCs w:val="21"/>
          <w:highlight w:val="none"/>
        </w:rPr>
        <w:t>合同验收</w:t>
      </w:r>
    </w:p>
    <w:p w14:paraId="6DD3D84F">
      <w:pPr>
        <w:numPr>
          <w:ilvl w:val="0"/>
          <w:numId w:val="7"/>
        </w:numPr>
        <w:adjustRightInd w:val="0"/>
        <w:snapToGrid w:val="0"/>
        <w:spacing w:after="160" w:line="400" w:lineRule="exact"/>
        <w:ind w:firstLine="420" w:firstLineChars="200"/>
        <w:rPr>
          <w:rFonts w:ascii="宋体" w:hAnsi="宋体"/>
          <w:bCs/>
          <w:szCs w:val="21"/>
          <w:highlight w:val="none"/>
        </w:rPr>
      </w:pPr>
      <w:r>
        <w:rPr>
          <w:rFonts w:hint="eastAsia" w:ascii="宋体" w:hAnsi="宋体"/>
          <w:bCs/>
          <w:szCs w:val="21"/>
          <w:highlight w:val="none"/>
        </w:rPr>
        <w:t>验收组织方式：</w:t>
      </w:r>
      <w:r>
        <w:rPr>
          <w:rFonts w:hint="eastAsia" w:ascii="宋体" w:hAnsi="宋体" w:cs="宋体"/>
          <w:szCs w:val="21"/>
          <w:highlight w:val="none"/>
        </w:rPr>
        <w:sym w:font="Wingdings" w:char="00A8"/>
      </w:r>
      <w:r>
        <w:rPr>
          <w:rFonts w:hint="eastAsia" w:ascii="宋体" w:hAnsi="宋体"/>
          <w:bCs/>
          <w:szCs w:val="21"/>
          <w:highlight w:val="none"/>
        </w:rPr>
        <w:t xml:space="preserve">自行组织 </w:t>
      </w:r>
      <w:r>
        <w:rPr>
          <w:rFonts w:hint="eastAsia" w:ascii="宋体" w:hAnsi="宋体" w:cs="宋体"/>
          <w:szCs w:val="21"/>
          <w:highlight w:val="none"/>
        </w:rPr>
        <w:sym w:font="Wingdings" w:char="00A8"/>
      </w:r>
      <w:r>
        <w:rPr>
          <w:rFonts w:hint="eastAsia" w:ascii="宋体" w:hAnsi="宋体"/>
          <w:bCs/>
          <w:szCs w:val="21"/>
          <w:highlight w:val="none"/>
        </w:rPr>
        <w:t>委托第三方组织</w:t>
      </w:r>
    </w:p>
    <w:p w14:paraId="6C0CA2E0">
      <w:pPr>
        <w:adjustRightInd w:val="0"/>
        <w:snapToGrid w:val="0"/>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p>
    <w:p w14:paraId="4A0FC31B">
      <w:pPr>
        <w:adjustRightInd w:val="0"/>
        <w:snapToGrid w:val="0"/>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hint="eastAsia" w:ascii="宋体" w:hAnsi="宋体" w:cs="宋体"/>
          <w:szCs w:val="21"/>
          <w:highlight w:val="none"/>
        </w:rPr>
        <w:sym w:font="Wingdings" w:char="00A8"/>
      </w:r>
      <w:r>
        <w:rPr>
          <w:rFonts w:hint="eastAsia" w:ascii="宋体" w:hAnsi="宋体"/>
          <w:bCs/>
          <w:szCs w:val="21"/>
          <w:highlight w:val="none"/>
        </w:rPr>
        <w:t xml:space="preserve">是  </w:t>
      </w:r>
      <w:r>
        <w:rPr>
          <w:rFonts w:hint="eastAsia" w:ascii="宋体" w:hAnsi="宋体" w:cs="宋体"/>
          <w:szCs w:val="21"/>
          <w:highlight w:val="none"/>
        </w:rPr>
        <w:sym w:font="Wingdings" w:char="00A8"/>
      </w:r>
      <w:r>
        <w:rPr>
          <w:rFonts w:hint="eastAsia" w:ascii="宋体" w:hAnsi="宋体"/>
          <w:bCs/>
          <w:szCs w:val="21"/>
          <w:highlight w:val="none"/>
        </w:rPr>
        <w:t>否</w:t>
      </w:r>
    </w:p>
    <w:p w14:paraId="362F730E">
      <w:pPr>
        <w:adjustRightInd w:val="0"/>
        <w:snapToGrid w:val="0"/>
        <w:spacing w:line="400" w:lineRule="exact"/>
        <w:ind w:firstLine="840" w:firstLineChars="400"/>
        <w:rPr>
          <w:rFonts w:ascii="宋体" w:hAnsi="宋体"/>
          <w:bCs/>
          <w:szCs w:val="21"/>
          <w:highlight w:val="none"/>
        </w:rPr>
      </w:pPr>
      <w:r>
        <w:rPr>
          <w:rFonts w:hint="eastAsia" w:ascii="宋体" w:hAnsi="宋体"/>
          <w:bCs/>
          <w:szCs w:val="21"/>
          <w:highlight w:val="none"/>
        </w:rPr>
        <w:t>是否邀请专家参加验收：</w:t>
      </w:r>
      <w:r>
        <w:rPr>
          <w:rFonts w:hint="eastAsia" w:ascii="宋体" w:hAnsi="宋体" w:cs="宋体"/>
          <w:szCs w:val="21"/>
          <w:highlight w:val="none"/>
        </w:rPr>
        <w:sym w:font="Wingdings" w:char="00A8"/>
      </w:r>
      <w:r>
        <w:rPr>
          <w:rFonts w:hint="eastAsia" w:ascii="宋体" w:hAnsi="宋体"/>
          <w:bCs/>
          <w:szCs w:val="21"/>
          <w:highlight w:val="none"/>
        </w:rPr>
        <w:t xml:space="preserve">是  </w:t>
      </w:r>
      <w:r>
        <w:rPr>
          <w:rFonts w:hint="eastAsia" w:ascii="宋体" w:hAnsi="宋体" w:cs="宋体"/>
          <w:szCs w:val="21"/>
          <w:highlight w:val="none"/>
        </w:rPr>
        <w:sym w:font="Wingdings" w:char="00A8"/>
      </w:r>
      <w:r>
        <w:rPr>
          <w:rFonts w:hint="eastAsia" w:ascii="宋体" w:hAnsi="宋体"/>
          <w:bCs/>
          <w:szCs w:val="21"/>
          <w:highlight w:val="none"/>
        </w:rPr>
        <w:t>否</w:t>
      </w:r>
    </w:p>
    <w:p w14:paraId="1C154EA3">
      <w:pPr>
        <w:adjustRightInd w:val="0"/>
        <w:snapToGrid w:val="0"/>
        <w:spacing w:line="400" w:lineRule="exact"/>
        <w:ind w:firstLine="840" w:firstLineChars="400"/>
        <w:rPr>
          <w:rFonts w:ascii="宋体" w:hAnsi="宋体"/>
          <w:bCs/>
          <w:szCs w:val="21"/>
          <w:highlight w:val="none"/>
        </w:rPr>
      </w:pPr>
      <w:r>
        <w:rPr>
          <w:rFonts w:hint="eastAsia" w:ascii="宋体" w:hAnsi="宋体"/>
          <w:bCs/>
          <w:szCs w:val="21"/>
          <w:highlight w:val="none"/>
        </w:rPr>
        <w:t>是否邀请服务对象参加验收：</w:t>
      </w:r>
      <w:r>
        <w:rPr>
          <w:rFonts w:hint="eastAsia" w:ascii="宋体" w:hAnsi="宋体" w:cs="宋体"/>
          <w:szCs w:val="21"/>
          <w:highlight w:val="none"/>
        </w:rPr>
        <w:sym w:font="Wingdings" w:char="00A8"/>
      </w:r>
      <w:r>
        <w:rPr>
          <w:rFonts w:hint="eastAsia" w:ascii="宋体" w:hAnsi="宋体"/>
          <w:bCs/>
          <w:szCs w:val="21"/>
          <w:highlight w:val="none"/>
        </w:rPr>
        <w:t xml:space="preserve">是  </w:t>
      </w:r>
      <w:r>
        <w:rPr>
          <w:rFonts w:hint="eastAsia" w:ascii="宋体" w:hAnsi="宋体" w:cs="宋体"/>
          <w:szCs w:val="21"/>
          <w:highlight w:val="none"/>
        </w:rPr>
        <w:sym w:font="Wingdings" w:char="00A8"/>
      </w:r>
      <w:r>
        <w:rPr>
          <w:rFonts w:hint="eastAsia" w:ascii="宋体" w:hAnsi="宋体"/>
          <w:bCs/>
          <w:szCs w:val="21"/>
          <w:highlight w:val="none"/>
        </w:rPr>
        <w:t>否</w:t>
      </w:r>
    </w:p>
    <w:p w14:paraId="46F27EF8">
      <w:pPr>
        <w:adjustRightInd w:val="0"/>
        <w:snapToGrid w:val="0"/>
        <w:spacing w:line="400" w:lineRule="exact"/>
        <w:ind w:firstLine="840" w:firstLineChars="400"/>
        <w:rPr>
          <w:rFonts w:ascii="宋体" w:hAnsi="宋体"/>
          <w:bCs/>
          <w:szCs w:val="21"/>
          <w:highlight w:val="none"/>
        </w:rPr>
      </w:pPr>
      <w:r>
        <w:rPr>
          <w:rFonts w:hint="eastAsia" w:ascii="宋体" w:hAnsi="宋体"/>
          <w:bCs/>
          <w:szCs w:val="21"/>
          <w:highlight w:val="none"/>
        </w:rPr>
        <w:t>是否邀请第三方检测机构参加验收：</w:t>
      </w:r>
      <w:r>
        <w:rPr>
          <w:rFonts w:hint="eastAsia" w:ascii="宋体" w:hAnsi="宋体" w:cs="宋体"/>
          <w:szCs w:val="21"/>
          <w:highlight w:val="none"/>
        </w:rPr>
        <w:sym w:font="Wingdings" w:char="00A8"/>
      </w:r>
      <w:r>
        <w:rPr>
          <w:rFonts w:hint="eastAsia" w:ascii="宋体" w:hAnsi="宋体"/>
          <w:bCs/>
          <w:szCs w:val="21"/>
          <w:highlight w:val="none"/>
        </w:rPr>
        <w:t xml:space="preserve">是  </w:t>
      </w:r>
      <w:r>
        <w:rPr>
          <w:rFonts w:hint="eastAsia" w:ascii="宋体" w:hAnsi="宋体" w:cs="宋体"/>
          <w:szCs w:val="21"/>
          <w:highlight w:val="none"/>
        </w:rPr>
        <w:sym w:font="Wingdings" w:char="00A8"/>
      </w:r>
      <w:r>
        <w:rPr>
          <w:rFonts w:hint="eastAsia" w:ascii="宋体" w:hAnsi="宋体"/>
          <w:bCs/>
          <w:szCs w:val="21"/>
          <w:highlight w:val="none"/>
        </w:rPr>
        <w:t>否</w:t>
      </w:r>
    </w:p>
    <w:p w14:paraId="64B1EF91">
      <w:pPr>
        <w:adjustRightInd w:val="0"/>
        <w:snapToGrid w:val="0"/>
        <w:spacing w:line="400" w:lineRule="exact"/>
        <w:ind w:firstLine="840" w:firstLineChars="400"/>
        <w:rPr>
          <w:rFonts w:ascii="宋体" w:hAnsi="宋体"/>
          <w:bCs/>
          <w:szCs w:val="21"/>
          <w:highlight w:val="none"/>
        </w:rPr>
      </w:pPr>
      <w:r>
        <w:rPr>
          <w:rFonts w:hint="eastAsia" w:ascii="宋体" w:hAnsi="宋体"/>
          <w:bCs/>
          <w:szCs w:val="21"/>
          <w:highlight w:val="none"/>
        </w:rPr>
        <w:t>是否进行抽查检测：</w:t>
      </w:r>
      <w:r>
        <w:rPr>
          <w:rFonts w:hint="eastAsia" w:ascii="宋体" w:hAnsi="宋体" w:cs="宋体"/>
          <w:szCs w:val="21"/>
          <w:highlight w:val="none"/>
        </w:rPr>
        <w:sym w:font="Wingdings" w:char="00A8"/>
      </w:r>
      <w:r>
        <w:rPr>
          <w:rFonts w:hint="eastAsia" w:ascii="宋体" w:hAnsi="宋体"/>
          <w:bCs/>
          <w:szCs w:val="21"/>
          <w:highlight w:val="none"/>
        </w:rPr>
        <w:t>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hint="eastAsia" w:ascii="宋体" w:hAnsi="宋体" w:cs="宋体"/>
          <w:szCs w:val="21"/>
          <w:highlight w:val="none"/>
        </w:rPr>
        <w:sym w:font="Wingdings" w:char="00A8"/>
      </w:r>
      <w:r>
        <w:rPr>
          <w:rFonts w:hint="eastAsia" w:ascii="宋体" w:hAnsi="宋体"/>
          <w:bCs/>
          <w:szCs w:val="21"/>
          <w:highlight w:val="none"/>
        </w:rPr>
        <w:t>否</w:t>
      </w:r>
    </w:p>
    <w:p w14:paraId="06D0E96C">
      <w:pPr>
        <w:adjustRightInd w:val="0"/>
        <w:snapToGrid w:val="0"/>
        <w:spacing w:line="400" w:lineRule="exact"/>
        <w:ind w:firstLine="840" w:firstLineChars="400"/>
        <w:rPr>
          <w:rFonts w:ascii="宋体" w:hAnsi="宋体"/>
          <w:bCs/>
          <w:szCs w:val="21"/>
          <w:highlight w:val="none"/>
          <w:u w:val="single"/>
        </w:rPr>
      </w:pPr>
      <w:r>
        <w:rPr>
          <w:rFonts w:hint="eastAsia" w:ascii="宋体" w:hAnsi="宋体"/>
          <w:bCs/>
          <w:szCs w:val="21"/>
          <w:highlight w:val="none"/>
        </w:rPr>
        <w:t>是否存在破坏性检测：</w:t>
      </w:r>
      <w:r>
        <w:rPr>
          <w:rFonts w:hint="eastAsia" w:ascii="宋体" w:hAnsi="宋体" w:cs="宋体"/>
          <w:szCs w:val="21"/>
          <w:highlight w:val="none"/>
        </w:rPr>
        <w:sym w:font="Wingdings" w:char="00A8"/>
      </w:r>
      <w:r>
        <w:rPr>
          <w:rFonts w:hint="eastAsia" w:ascii="宋体" w:hAnsi="宋体"/>
          <w:bCs/>
          <w:szCs w:val="21"/>
          <w:highlight w:val="none"/>
        </w:rPr>
        <w:t>是，</w:t>
      </w:r>
      <w:r>
        <w:rPr>
          <w:rFonts w:hint="eastAsia" w:ascii="宋体" w:hAnsi="宋体"/>
          <w:bCs/>
          <w:szCs w:val="21"/>
          <w:highlight w:val="none"/>
          <w:u w:val="single"/>
        </w:rPr>
        <w:t>（应明确对被破坏的检测产品的处理方式）</w:t>
      </w:r>
    </w:p>
    <w:p w14:paraId="2CD78403">
      <w:pPr>
        <w:adjustRightInd w:val="0"/>
        <w:snapToGrid w:val="0"/>
        <w:spacing w:line="400" w:lineRule="exact"/>
        <w:ind w:firstLine="840" w:firstLineChars="400"/>
        <w:rPr>
          <w:rFonts w:ascii="宋体" w:hAnsi="宋体"/>
          <w:bCs/>
          <w:szCs w:val="21"/>
          <w:highlight w:val="none"/>
        </w:rPr>
      </w:pPr>
      <w:r>
        <w:rPr>
          <w:rFonts w:hint="eastAsia" w:ascii="宋体" w:hAnsi="宋体"/>
          <w:bCs/>
          <w:szCs w:val="21"/>
          <w:highlight w:val="none"/>
        </w:rPr>
        <w:t xml:space="preserve">                    </w:t>
      </w:r>
      <w:r>
        <w:rPr>
          <w:rFonts w:hint="eastAsia" w:ascii="宋体" w:hAnsi="宋体" w:cs="宋体"/>
          <w:szCs w:val="21"/>
          <w:highlight w:val="none"/>
        </w:rPr>
        <w:sym w:font="Wingdings" w:char="00A8"/>
      </w:r>
      <w:r>
        <w:rPr>
          <w:rFonts w:hint="eastAsia" w:ascii="宋体" w:hAnsi="宋体"/>
          <w:bCs/>
          <w:szCs w:val="21"/>
          <w:highlight w:val="none"/>
        </w:rPr>
        <w:t>否</w:t>
      </w:r>
    </w:p>
    <w:p w14:paraId="47407AAD">
      <w:pPr>
        <w:adjustRightInd w:val="0"/>
        <w:snapToGrid w:val="0"/>
        <w:spacing w:line="400" w:lineRule="exact"/>
        <w:ind w:firstLine="840" w:firstLineChars="400"/>
        <w:rPr>
          <w:rFonts w:ascii="宋体" w:hAnsi="宋体"/>
          <w:bCs/>
          <w:szCs w:val="21"/>
          <w:highlight w:val="none"/>
          <w:u w:val="single"/>
        </w:rPr>
      </w:pPr>
      <w:r>
        <w:rPr>
          <w:rFonts w:hint="eastAsia" w:ascii="宋体" w:hAnsi="宋体"/>
          <w:bCs/>
          <w:szCs w:val="21"/>
          <w:highlight w:val="none"/>
        </w:rPr>
        <w:t>验收组织的其他事项：</w:t>
      </w:r>
      <w:r>
        <w:rPr>
          <w:rFonts w:hint="eastAsia" w:ascii="宋体" w:hAnsi="宋体"/>
          <w:bCs/>
          <w:szCs w:val="21"/>
          <w:highlight w:val="none"/>
          <w:u w:val="single"/>
        </w:rPr>
        <w:t xml:space="preserve">                </w:t>
      </w:r>
    </w:p>
    <w:p w14:paraId="2C88E49C">
      <w:pPr>
        <w:adjustRightInd w:val="0"/>
        <w:snapToGrid w:val="0"/>
        <w:spacing w:line="400" w:lineRule="exact"/>
        <w:ind w:firstLine="420" w:firstLineChars="200"/>
        <w:rPr>
          <w:rFonts w:ascii="宋体" w:hAnsi="宋体"/>
          <w:bCs/>
          <w:szCs w:val="21"/>
          <w:highlight w:val="none"/>
          <w:u w:val="single"/>
        </w:rPr>
      </w:pPr>
      <w:r>
        <w:rPr>
          <w:rFonts w:hint="eastAsia" w:ascii="宋体" w:hAnsi="宋体"/>
          <w:bCs/>
          <w:szCs w:val="21"/>
          <w:highlight w:val="none"/>
        </w:rPr>
        <w:t>（2）履约验收时间：</w:t>
      </w:r>
      <w:r>
        <w:rPr>
          <w:rFonts w:hint="eastAsia" w:ascii="宋体" w:hAnsi="宋体"/>
          <w:bCs/>
          <w:szCs w:val="21"/>
          <w:highlight w:val="none"/>
          <w:u w:val="single"/>
        </w:rPr>
        <w:t xml:space="preserve">（计划于何时验收/供应商提出验收申请之日起   日内组织验收） </w:t>
      </w:r>
    </w:p>
    <w:p w14:paraId="527F60E8">
      <w:pPr>
        <w:adjustRightInd w:val="0"/>
        <w:snapToGrid w:val="0"/>
        <w:spacing w:line="400" w:lineRule="exact"/>
        <w:ind w:firstLine="420" w:firstLineChars="200"/>
        <w:rPr>
          <w:rFonts w:ascii="宋体" w:hAnsi="宋体"/>
          <w:bCs/>
          <w:szCs w:val="21"/>
          <w:highlight w:val="none"/>
        </w:rPr>
      </w:pPr>
      <w:r>
        <w:rPr>
          <w:rFonts w:hint="eastAsia" w:ascii="宋体" w:hAnsi="宋体"/>
          <w:bCs/>
          <w:szCs w:val="21"/>
          <w:highlight w:val="none"/>
        </w:rPr>
        <w:t>（3）履约验收方式：</w:t>
      </w:r>
      <w:r>
        <w:rPr>
          <w:rFonts w:hint="eastAsia" w:ascii="宋体" w:hAnsi="宋体" w:cs="宋体"/>
          <w:szCs w:val="21"/>
          <w:highlight w:val="none"/>
        </w:rPr>
        <w:sym w:font="Wingdings" w:char="00A8"/>
      </w:r>
      <w:r>
        <w:rPr>
          <w:rFonts w:hint="eastAsia" w:ascii="宋体" w:hAnsi="宋体"/>
          <w:bCs/>
          <w:szCs w:val="21"/>
          <w:highlight w:val="none"/>
        </w:rPr>
        <w:t xml:space="preserve">一次性验收         </w:t>
      </w:r>
    </w:p>
    <w:p w14:paraId="2A621A16">
      <w:pPr>
        <w:adjustRightInd w:val="0"/>
        <w:snapToGrid w:val="0"/>
        <w:spacing w:line="400" w:lineRule="exact"/>
        <w:rPr>
          <w:rFonts w:ascii="宋体" w:hAnsi="宋体"/>
          <w:bCs/>
          <w:szCs w:val="21"/>
          <w:highlight w:val="none"/>
        </w:rPr>
      </w:pPr>
      <w:r>
        <w:rPr>
          <w:rFonts w:hint="eastAsia" w:ascii="宋体" w:hAnsi="宋体"/>
          <w:bCs/>
          <w:szCs w:val="21"/>
          <w:highlight w:val="none"/>
        </w:rPr>
        <w:t xml:space="preserve">                       </w:t>
      </w:r>
      <w:r>
        <w:rPr>
          <w:rFonts w:hint="eastAsia" w:ascii="宋体" w:hAnsi="宋体" w:cs="宋体"/>
          <w:szCs w:val="21"/>
          <w:highlight w:val="none"/>
        </w:rPr>
        <w:sym w:font="Wingdings" w:char="00A8"/>
      </w:r>
      <w:r>
        <w:rPr>
          <w:rFonts w:hint="eastAsia" w:ascii="宋体" w:hAnsi="宋体"/>
          <w:bCs/>
          <w:szCs w:val="21"/>
          <w:highlight w:val="none"/>
        </w:rPr>
        <w:t>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w:t>
      </w:r>
      <w:r>
        <w:rPr>
          <w:rFonts w:hint="eastAsia" w:ascii="宋体" w:hAnsi="宋体"/>
          <w:bCs/>
          <w:szCs w:val="21"/>
          <w:highlight w:val="none"/>
          <w:u w:val="single"/>
          <w:lang w:val="en"/>
        </w:rPr>
        <w:t>分项验收的工作安排</w:t>
      </w:r>
      <w:r>
        <w:rPr>
          <w:rFonts w:hint="eastAsia" w:ascii="宋体" w:hAnsi="宋体"/>
          <w:bCs/>
          <w:szCs w:val="21"/>
          <w:highlight w:val="none"/>
          <w:u w:val="single"/>
        </w:rPr>
        <w:t xml:space="preserve">）  </w:t>
      </w:r>
    </w:p>
    <w:p w14:paraId="55384E45">
      <w:pPr>
        <w:adjustRightInd w:val="0"/>
        <w:snapToGrid w:val="0"/>
        <w:spacing w:line="400" w:lineRule="exact"/>
        <w:ind w:firstLine="420" w:firstLineChars="200"/>
        <w:rPr>
          <w:rFonts w:ascii="宋体" w:hAnsi="宋体"/>
          <w:bCs/>
          <w:szCs w:val="21"/>
          <w:highlight w:val="none"/>
        </w:rPr>
      </w:pPr>
      <w:r>
        <w:rPr>
          <w:rFonts w:hint="eastAsia" w:ascii="宋体" w:hAnsi="宋体"/>
          <w:bCs/>
          <w:szCs w:val="21"/>
          <w:highlight w:val="none"/>
        </w:rPr>
        <w:t>（4）履约验收程序：</w:t>
      </w:r>
      <w:r>
        <w:rPr>
          <w:rFonts w:hint="eastAsia" w:ascii="宋体" w:hAnsi="宋体"/>
          <w:bCs/>
          <w:szCs w:val="21"/>
          <w:highlight w:val="none"/>
          <w:u w:val="single"/>
        </w:rPr>
        <w:t xml:space="preserve">                                         </w:t>
      </w:r>
    </w:p>
    <w:p w14:paraId="7A7D6D95">
      <w:pPr>
        <w:adjustRightInd w:val="0"/>
        <w:snapToGrid w:val="0"/>
        <w:spacing w:line="400" w:lineRule="exact"/>
        <w:ind w:firstLine="420" w:firstLineChars="200"/>
        <w:rPr>
          <w:rFonts w:ascii="宋体" w:hAnsi="宋体"/>
          <w:bCs/>
          <w:szCs w:val="21"/>
          <w:highlight w:val="none"/>
          <w:u w:val="single"/>
        </w:rPr>
      </w:pPr>
      <w:r>
        <w:rPr>
          <w:rFonts w:hint="eastAsia" w:ascii="宋体" w:hAnsi="宋体"/>
          <w:bCs/>
          <w:szCs w:val="21"/>
          <w:highlight w:val="none"/>
        </w:rPr>
        <w:t>（5）履约验收的内容：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p>
    <w:p w14:paraId="7B29EFEC">
      <w:pPr>
        <w:adjustRightInd w:val="0"/>
        <w:snapToGrid w:val="0"/>
        <w:spacing w:line="400" w:lineRule="exact"/>
        <w:ind w:firstLine="420" w:firstLineChars="200"/>
        <w:rPr>
          <w:rFonts w:ascii="宋体" w:hAnsi="宋体"/>
          <w:bCs/>
          <w:szCs w:val="21"/>
          <w:highlight w:val="none"/>
          <w:u w:val="single"/>
        </w:rPr>
      </w:pPr>
      <w:r>
        <w:rPr>
          <w:rFonts w:hint="eastAsia" w:ascii="宋体" w:hAnsi="宋体"/>
          <w:bCs/>
          <w:szCs w:val="21"/>
          <w:highlight w:val="none"/>
        </w:rPr>
        <w:t>（6）履约验收标准：</w:t>
      </w:r>
      <w:r>
        <w:rPr>
          <w:rFonts w:hint="eastAsia" w:ascii="宋体" w:hAnsi="宋体"/>
          <w:bCs/>
          <w:szCs w:val="21"/>
          <w:highlight w:val="none"/>
          <w:u w:val="single"/>
        </w:rPr>
        <w:t xml:space="preserve">                                         </w:t>
      </w:r>
    </w:p>
    <w:p w14:paraId="20F59699">
      <w:pPr>
        <w:pStyle w:val="153"/>
        <w:ind w:firstLine="420"/>
        <w:rPr>
          <w:rFonts w:ascii="宋体" w:hAnsi="宋体" w:eastAsia="宋体" w:cs="宋体"/>
          <w:sz w:val="21"/>
          <w:highlight w:val="none"/>
        </w:rPr>
      </w:pPr>
      <w:r>
        <w:rPr>
          <w:rFonts w:hint="eastAsia" w:ascii="宋体" w:hAnsi="宋体" w:eastAsia="宋体" w:cs="宋体"/>
          <w:bCs/>
          <w:sz w:val="21"/>
          <w:highlight w:val="none"/>
        </w:rPr>
        <w:t>（7）是否以采购活动中供应商提供的样品作为参考：</w:t>
      </w:r>
      <w:r>
        <w:rPr>
          <w:rFonts w:hint="eastAsia" w:ascii="宋体" w:hAnsi="宋体" w:eastAsia="宋体" w:cs="宋体"/>
          <w:sz w:val="21"/>
          <w:highlight w:val="none"/>
        </w:rPr>
        <w:sym w:font="Wingdings" w:char="00A8"/>
      </w:r>
      <w:r>
        <w:rPr>
          <w:rFonts w:hint="eastAsia" w:ascii="宋体" w:hAnsi="宋体" w:eastAsia="宋体" w:cs="宋体"/>
          <w:bCs/>
          <w:sz w:val="21"/>
          <w:highlight w:val="none"/>
        </w:rPr>
        <w:t xml:space="preserve">是  </w:t>
      </w:r>
      <w:r>
        <w:rPr>
          <w:rFonts w:hint="eastAsia" w:ascii="宋体" w:hAnsi="宋体" w:eastAsia="宋体" w:cs="宋体"/>
          <w:sz w:val="21"/>
          <w:highlight w:val="none"/>
        </w:rPr>
        <w:sym w:font="Wingdings" w:char="00A8"/>
      </w:r>
      <w:r>
        <w:rPr>
          <w:rFonts w:hint="eastAsia" w:ascii="宋体" w:hAnsi="宋体" w:eastAsia="宋体" w:cs="宋体"/>
          <w:bCs/>
          <w:sz w:val="21"/>
          <w:highlight w:val="none"/>
        </w:rPr>
        <w:t>否</w:t>
      </w:r>
    </w:p>
    <w:p w14:paraId="4738AAD1">
      <w:pPr>
        <w:adjustRightInd w:val="0"/>
        <w:snapToGrid w:val="0"/>
        <w:spacing w:line="400" w:lineRule="exact"/>
        <w:ind w:firstLine="420" w:firstLineChars="200"/>
        <w:rPr>
          <w:rFonts w:ascii="宋体" w:hAnsi="宋体" w:cs="宋体"/>
          <w:bCs/>
          <w:szCs w:val="21"/>
          <w:highlight w:val="none"/>
          <w:u w:val="single"/>
        </w:rPr>
      </w:pPr>
      <w:r>
        <w:rPr>
          <w:rFonts w:hint="eastAsia" w:ascii="宋体" w:hAnsi="宋体" w:cs="宋体"/>
          <w:bCs/>
          <w:szCs w:val="21"/>
          <w:highlight w:val="none"/>
        </w:rPr>
        <w:t>（8）履约验收其他事项：</w:t>
      </w:r>
      <w:r>
        <w:rPr>
          <w:rFonts w:hint="eastAsia" w:ascii="宋体" w:hAnsi="宋体" w:cs="宋体"/>
          <w:bCs/>
          <w:szCs w:val="21"/>
          <w:highlight w:val="none"/>
          <w:u w:val="single"/>
        </w:rPr>
        <w:t xml:space="preserve">      （产权过户登记等）          </w:t>
      </w:r>
    </w:p>
    <w:p w14:paraId="1694D6CC">
      <w:pPr>
        <w:numPr>
          <w:ilvl w:val="0"/>
          <w:numId w:val="5"/>
        </w:numPr>
        <w:adjustRightInd w:val="0"/>
        <w:snapToGrid w:val="0"/>
        <w:spacing w:after="160" w:line="400" w:lineRule="exact"/>
        <w:ind w:firstLine="422" w:firstLineChars="200"/>
        <w:rPr>
          <w:rFonts w:ascii="宋体" w:hAnsi="宋体"/>
          <w:b/>
          <w:szCs w:val="21"/>
          <w:highlight w:val="none"/>
        </w:rPr>
      </w:pPr>
      <w:r>
        <w:rPr>
          <w:rFonts w:hint="eastAsia" w:ascii="宋体" w:hAnsi="宋体"/>
          <w:b/>
          <w:szCs w:val="21"/>
          <w:highlight w:val="none"/>
        </w:rPr>
        <w:t>组成合同的文件</w:t>
      </w:r>
    </w:p>
    <w:p w14:paraId="0E996618">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本协议书与下列文件一起构成合同文件，如下述文件之间有任何抵触、矛盾或歧义，应按以下顺序解释：</w:t>
      </w:r>
    </w:p>
    <w:p w14:paraId="785DFF8A">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（1）政府采购合同协议书及其变更、补充协议</w:t>
      </w:r>
    </w:p>
    <w:p w14:paraId="6B7C7268">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（2）政府采购合同专用条款</w:t>
      </w:r>
    </w:p>
    <w:p w14:paraId="2BCA2476">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（3）政府采购合同通用条款</w:t>
      </w:r>
    </w:p>
    <w:p w14:paraId="068F8EEF">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（4）中标（成交）通知书</w:t>
      </w:r>
    </w:p>
    <w:p w14:paraId="6DEA5201">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（5）投标（响应）文件</w:t>
      </w:r>
    </w:p>
    <w:p w14:paraId="7B5ED441">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（6）采购文件</w:t>
      </w:r>
    </w:p>
    <w:p w14:paraId="54819448">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（7）有关技术文件，图纸</w:t>
      </w:r>
    </w:p>
    <w:p w14:paraId="29FDBB08">
      <w:pPr>
        <w:pStyle w:val="153"/>
        <w:ind w:firstLine="420"/>
        <w:rPr>
          <w:rFonts w:ascii="宋体" w:hAnsi="宋体" w:eastAsia="宋体" w:cs="宋体"/>
          <w:kern w:val="2"/>
          <w:sz w:val="21"/>
          <w:highlight w:val="none"/>
        </w:rPr>
      </w:pPr>
      <w:r>
        <w:rPr>
          <w:rFonts w:hint="eastAsia" w:ascii="宋体" w:hAnsi="宋体" w:eastAsia="宋体" w:cs="宋体"/>
          <w:sz w:val="21"/>
          <w:highlight w:val="none"/>
        </w:rPr>
        <w:t>（8）</w:t>
      </w:r>
      <w:r>
        <w:rPr>
          <w:rFonts w:hint="eastAsia" w:ascii="宋体" w:hAnsi="宋体" w:eastAsia="宋体" w:cs="宋体"/>
          <w:kern w:val="2"/>
          <w:sz w:val="21"/>
          <w:highlight w:val="none"/>
        </w:rPr>
        <w:t>国家法律、行政法规和规章制度规定或合同约定的作为合同组成部分的其他文件</w:t>
      </w:r>
    </w:p>
    <w:p w14:paraId="2EE0B743">
      <w:pPr>
        <w:numPr>
          <w:ilvl w:val="0"/>
          <w:numId w:val="5"/>
        </w:numPr>
        <w:adjustRightInd w:val="0"/>
        <w:snapToGrid w:val="0"/>
        <w:spacing w:after="160" w:line="400" w:lineRule="exact"/>
        <w:ind w:firstLine="422" w:firstLineChars="200"/>
        <w:rPr>
          <w:rFonts w:ascii="宋体" w:hAnsi="宋体"/>
          <w:b/>
          <w:szCs w:val="21"/>
          <w:highlight w:val="none"/>
        </w:rPr>
      </w:pPr>
      <w:r>
        <w:rPr>
          <w:rFonts w:hint="eastAsia" w:ascii="宋体" w:hAnsi="宋体"/>
          <w:b/>
          <w:szCs w:val="21"/>
          <w:highlight w:val="none"/>
        </w:rPr>
        <w:t>合同生效</w:t>
      </w:r>
    </w:p>
    <w:p w14:paraId="38A2BE4E">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本合同自</w:t>
      </w:r>
      <w:r>
        <w:rPr>
          <w:rFonts w:hint="eastAsia" w:ascii="宋体" w:hAnsi="宋体"/>
          <w:szCs w:val="21"/>
          <w:highlight w:val="none"/>
          <w:u w:val="single"/>
        </w:rPr>
        <w:t xml:space="preserve">                             </w:t>
      </w:r>
      <w:r>
        <w:rPr>
          <w:rFonts w:hint="eastAsia" w:ascii="宋体" w:hAnsi="宋体"/>
          <w:szCs w:val="21"/>
          <w:highlight w:val="none"/>
        </w:rPr>
        <w:t>生效。</w:t>
      </w:r>
    </w:p>
    <w:p w14:paraId="08396347">
      <w:pPr>
        <w:numPr>
          <w:ilvl w:val="0"/>
          <w:numId w:val="5"/>
        </w:numPr>
        <w:adjustRightInd w:val="0"/>
        <w:snapToGrid w:val="0"/>
        <w:spacing w:after="160" w:line="400" w:lineRule="exact"/>
        <w:ind w:firstLine="422" w:firstLineChars="200"/>
        <w:rPr>
          <w:rFonts w:ascii="宋体" w:hAnsi="宋体"/>
          <w:b/>
          <w:szCs w:val="21"/>
          <w:highlight w:val="none"/>
        </w:rPr>
      </w:pPr>
      <w:r>
        <w:rPr>
          <w:rFonts w:hint="eastAsia" w:ascii="宋体" w:hAnsi="宋体"/>
          <w:b/>
          <w:szCs w:val="21"/>
          <w:highlight w:val="none"/>
        </w:rPr>
        <w:t>合同份数</w:t>
      </w:r>
    </w:p>
    <w:p w14:paraId="2D3B934C">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本合同一式</w:t>
      </w:r>
      <w:r>
        <w:rPr>
          <w:rFonts w:hint="eastAsia" w:ascii="宋体" w:hAnsi="宋体"/>
          <w:szCs w:val="21"/>
          <w:highlight w:val="none"/>
          <w:u w:val="single"/>
        </w:rPr>
        <w:t xml:space="preserve">    </w:t>
      </w:r>
      <w:r>
        <w:rPr>
          <w:rFonts w:hint="eastAsia" w:ascii="宋体" w:hAnsi="宋体"/>
          <w:szCs w:val="21"/>
          <w:highlight w:val="none"/>
        </w:rPr>
        <w:t>份，甲方执</w:t>
      </w:r>
      <w:r>
        <w:rPr>
          <w:rFonts w:hint="eastAsia" w:ascii="宋体" w:hAnsi="宋体"/>
          <w:szCs w:val="21"/>
          <w:highlight w:val="none"/>
          <w:u w:val="single"/>
        </w:rPr>
        <w:t xml:space="preserve">    </w:t>
      </w:r>
      <w:r>
        <w:rPr>
          <w:rFonts w:hint="eastAsia" w:ascii="宋体" w:hAnsi="宋体"/>
          <w:szCs w:val="21"/>
          <w:highlight w:val="none"/>
        </w:rPr>
        <w:t>份，乙方执</w:t>
      </w:r>
      <w:r>
        <w:rPr>
          <w:rFonts w:hint="eastAsia" w:ascii="宋体" w:hAnsi="宋体"/>
          <w:szCs w:val="21"/>
          <w:highlight w:val="none"/>
          <w:u w:val="single"/>
        </w:rPr>
        <w:t xml:space="preserve">    </w:t>
      </w:r>
      <w:r>
        <w:rPr>
          <w:rFonts w:hint="eastAsia" w:ascii="宋体" w:hAnsi="宋体"/>
          <w:szCs w:val="21"/>
          <w:highlight w:val="none"/>
        </w:rPr>
        <w:t>份，均具有同等法律效力。</w:t>
      </w:r>
    </w:p>
    <w:p w14:paraId="4392352C">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合同订立时间：</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356CE7E1">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合同订立地点：</w:t>
      </w:r>
      <w:r>
        <w:rPr>
          <w:rFonts w:hint="eastAsia" w:ascii="宋体" w:hAnsi="宋体"/>
          <w:szCs w:val="21"/>
          <w:highlight w:val="none"/>
          <w:u w:val="single"/>
        </w:rPr>
        <w:t xml:space="preserve">                           </w:t>
      </w:r>
    </w:p>
    <w:p w14:paraId="328E25C1">
      <w:pPr>
        <w:adjustRightInd w:val="0"/>
        <w:snapToGrid w:val="0"/>
        <w:spacing w:line="400" w:lineRule="exact"/>
        <w:ind w:firstLine="420" w:firstLineChars="200"/>
        <w:rPr>
          <w:rFonts w:ascii="宋体" w:hAnsi="宋体"/>
          <w:highlight w:val="none"/>
        </w:rPr>
      </w:pPr>
      <w:r>
        <w:rPr>
          <w:rFonts w:hint="eastAsia" w:ascii="宋体" w:hAnsi="宋体"/>
          <w:szCs w:val="21"/>
          <w:highlight w:val="none"/>
        </w:rPr>
        <w:t>附件：具体标的及其技术要求和商务要求、联合协议、分包意向协议等。</w:t>
      </w:r>
      <w:r>
        <w:rPr>
          <w:rFonts w:ascii="宋体" w:hAnsi="宋体"/>
          <w:highlight w:val="none"/>
          <w:lang w:val="en"/>
        </w:rPr>
        <w:t xml:space="preserve">   </w:t>
      </w:r>
    </w:p>
    <w:p w14:paraId="6E03A898">
      <w:pPr>
        <w:rPr>
          <w:rFonts w:ascii="宋体" w:hAnsi="宋体"/>
          <w:highlight w:val="none"/>
        </w:rPr>
      </w:pPr>
      <w:r>
        <w:rPr>
          <w:rFonts w:hint="eastAsia" w:ascii="宋体" w:hAnsi="宋体"/>
          <w:highlight w:val="none"/>
        </w:rPr>
        <w:br w:type="page"/>
      </w:r>
    </w:p>
    <w:p w14:paraId="177D1FDA">
      <w:pPr>
        <w:pStyle w:val="48"/>
        <w:ind w:left="420"/>
        <w:rPr>
          <w:rFonts w:ascii="宋体" w:hAnsi="宋体"/>
          <w:highlight w:val="none"/>
        </w:rPr>
      </w:pPr>
    </w:p>
    <w:tbl>
      <w:tblPr>
        <w:tblStyle w:val="30"/>
        <w:tblW w:w="4831" w:type="pct"/>
        <w:tblInd w:w="183"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940"/>
        <w:gridCol w:w="2708"/>
        <w:gridCol w:w="2221"/>
        <w:gridCol w:w="2378"/>
      </w:tblGrid>
      <w:tr w14:paraId="2CC575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13" w:type="pct"/>
            <w:gridSpan w:val="2"/>
            <w:tcBorders>
              <w:bottom w:val="single" w:color="auto" w:sz="2" w:space="0"/>
              <w:right w:val="single" w:color="auto" w:sz="2" w:space="0"/>
            </w:tcBorders>
            <w:vAlign w:val="center"/>
          </w:tcPr>
          <w:p w14:paraId="11EFB8ED">
            <w:pPr>
              <w:adjustRightInd w:val="0"/>
              <w:snapToGrid w:val="0"/>
              <w:spacing w:line="300" w:lineRule="exact"/>
              <w:jc w:val="center"/>
              <w:rPr>
                <w:rFonts w:ascii="宋体" w:hAnsi="宋体"/>
                <w:highlight w:val="none"/>
              </w:rPr>
            </w:pPr>
            <w:r>
              <w:rPr>
                <w:rFonts w:ascii="宋体" w:hAnsi="宋体"/>
                <w:szCs w:val="21"/>
                <w:highlight w:val="none"/>
              </w:rPr>
              <w:t>甲方</w:t>
            </w:r>
            <w:r>
              <w:rPr>
                <w:rFonts w:hint="eastAsia" w:ascii="宋体" w:hAnsi="宋体"/>
                <w:szCs w:val="21"/>
                <w:highlight w:val="none"/>
              </w:rPr>
              <w:t>（采购人、受采购人委托签订合同的单位或采购文件约定的合同甲方）</w:t>
            </w:r>
          </w:p>
        </w:tc>
        <w:tc>
          <w:tcPr>
            <w:tcW w:w="2486" w:type="pct"/>
            <w:gridSpan w:val="2"/>
            <w:tcBorders>
              <w:left w:val="single" w:color="auto" w:sz="2" w:space="0"/>
              <w:bottom w:val="single" w:color="auto" w:sz="2" w:space="0"/>
            </w:tcBorders>
            <w:vAlign w:val="center"/>
          </w:tcPr>
          <w:p w14:paraId="73A83A00">
            <w:pPr>
              <w:adjustRightInd w:val="0"/>
              <w:snapToGrid w:val="0"/>
              <w:spacing w:line="300" w:lineRule="exact"/>
              <w:jc w:val="center"/>
              <w:rPr>
                <w:rFonts w:ascii="宋体" w:hAnsi="宋体"/>
                <w:highlight w:val="none"/>
              </w:rPr>
            </w:pPr>
            <w:r>
              <w:rPr>
                <w:rFonts w:ascii="宋体" w:hAnsi="宋体"/>
                <w:szCs w:val="21"/>
                <w:highlight w:val="none"/>
              </w:rPr>
              <w:t>乙方</w:t>
            </w:r>
            <w:r>
              <w:rPr>
                <w:rFonts w:hint="eastAsia" w:ascii="宋体" w:hAnsi="宋体"/>
                <w:szCs w:val="21"/>
                <w:highlight w:val="none"/>
              </w:rPr>
              <w:t>（供应商）</w:t>
            </w:r>
          </w:p>
        </w:tc>
      </w:tr>
      <w:tr w14:paraId="0B10DB2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049" w:type="pct"/>
            <w:tcBorders>
              <w:top w:val="single" w:color="auto" w:sz="2" w:space="0"/>
              <w:bottom w:val="single" w:color="auto" w:sz="2" w:space="0"/>
              <w:right w:val="single" w:color="auto" w:sz="2" w:space="0"/>
            </w:tcBorders>
            <w:vAlign w:val="center"/>
          </w:tcPr>
          <w:p w14:paraId="7A7955F2">
            <w:pPr>
              <w:adjustRightInd w:val="0"/>
              <w:snapToGrid w:val="0"/>
              <w:spacing w:line="300" w:lineRule="exact"/>
              <w:jc w:val="center"/>
              <w:rPr>
                <w:rFonts w:ascii="宋体" w:hAnsi="宋体"/>
                <w:szCs w:val="21"/>
                <w:highlight w:val="none"/>
              </w:rPr>
            </w:pPr>
            <w:r>
              <w:rPr>
                <w:rFonts w:ascii="宋体" w:hAnsi="宋体"/>
                <w:szCs w:val="21"/>
                <w:highlight w:val="none"/>
              </w:rPr>
              <w:t>单位名称</w:t>
            </w:r>
          </w:p>
          <w:p w14:paraId="65E7BC9C">
            <w:pPr>
              <w:adjustRightInd w:val="0"/>
              <w:snapToGrid w:val="0"/>
              <w:spacing w:line="300" w:lineRule="exact"/>
              <w:jc w:val="center"/>
              <w:rPr>
                <w:rFonts w:ascii="宋体" w:hAnsi="宋体"/>
                <w:szCs w:val="21"/>
                <w:highlight w:val="none"/>
              </w:rPr>
            </w:pPr>
            <w:r>
              <w:rPr>
                <w:rFonts w:hint="eastAsia" w:ascii="宋体" w:hAnsi="宋体"/>
                <w:szCs w:val="21"/>
                <w:highlight w:val="none"/>
              </w:rPr>
              <w:t>（公章或合同章）</w:t>
            </w:r>
          </w:p>
        </w:tc>
        <w:tc>
          <w:tcPr>
            <w:tcW w:w="1464" w:type="pct"/>
            <w:tcBorders>
              <w:top w:val="single" w:color="auto" w:sz="2" w:space="0"/>
              <w:left w:val="single" w:color="auto" w:sz="2" w:space="0"/>
              <w:bottom w:val="single" w:color="auto" w:sz="2" w:space="0"/>
              <w:right w:val="single" w:color="auto" w:sz="2" w:space="0"/>
            </w:tcBorders>
            <w:vAlign w:val="center"/>
          </w:tcPr>
          <w:p w14:paraId="33EA4E28">
            <w:pPr>
              <w:adjustRightInd w:val="0"/>
              <w:snapToGrid w:val="0"/>
              <w:spacing w:line="300" w:lineRule="exact"/>
              <w:jc w:val="center"/>
              <w:rPr>
                <w:rFonts w:ascii="宋体" w:hAnsi="宋体"/>
                <w:szCs w:val="21"/>
                <w:highlight w:val="none"/>
              </w:rPr>
            </w:pPr>
          </w:p>
        </w:tc>
        <w:tc>
          <w:tcPr>
            <w:tcW w:w="1201" w:type="pct"/>
            <w:tcBorders>
              <w:top w:val="single" w:color="auto" w:sz="2" w:space="0"/>
              <w:left w:val="single" w:color="auto" w:sz="2" w:space="0"/>
              <w:bottom w:val="single" w:color="auto" w:sz="2" w:space="0"/>
              <w:right w:val="single" w:color="auto" w:sz="2" w:space="0"/>
            </w:tcBorders>
            <w:vAlign w:val="center"/>
          </w:tcPr>
          <w:p w14:paraId="1B4D3FEF">
            <w:pPr>
              <w:adjustRightInd w:val="0"/>
              <w:snapToGrid w:val="0"/>
              <w:spacing w:line="300" w:lineRule="exact"/>
              <w:jc w:val="center"/>
              <w:rPr>
                <w:rFonts w:ascii="宋体" w:hAnsi="宋体"/>
                <w:szCs w:val="21"/>
                <w:highlight w:val="none"/>
              </w:rPr>
            </w:pPr>
            <w:r>
              <w:rPr>
                <w:rFonts w:ascii="宋体" w:hAnsi="宋体"/>
                <w:szCs w:val="21"/>
                <w:highlight w:val="none"/>
              </w:rPr>
              <w:t>单位名称</w:t>
            </w:r>
          </w:p>
          <w:p w14:paraId="6139B6B6">
            <w:pPr>
              <w:adjustRightInd w:val="0"/>
              <w:snapToGrid w:val="0"/>
              <w:spacing w:line="300" w:lineRule="exact"/>
              <w:jc w:val="center"/>
              <w:rPr>
                <w:rFonts w:ascii="宋体" w:hAnsi="宋体"/>
                <w:szCs w:val="21"/>
                <w:highlight w:val="none"/>
              </w:rPr>
            </w:pPr>
            <w:r>
              <w:rPr>
                <w:rFonts w:hint="eastAsia" w:ascii="宋体" w:hAnsi="宋体"/>
                <w:szCs w:val="21"/>
                <w:highlight w:val="none"/>
              </w:rPr>
              <w:t>（公章或合同章）</w:t>
            </w:r>
          </w:p>
        </w:tc>
        <w:tc>
          <w:tcPr>
            <w:tcW w:w="1284" w:type="pct"/>
            <w:tcBorders>
              <w:top w:val="single" w:color="auto" w:sz="2" w:space="0"/>
              <w:left w:val="single" w:color="auto" w:sz="2" w:space="0"/>
              <w:bottom w:val="single" w:color="auto" w:sz="2" w:space="0"/>
            </w:tcBorders>
            <w:vAlign w:val="center"/>
          </w:tcPr>
          <w:p w14:paraId="7822E226">
            <w:pPr>
              <w:adjustRightInd w:val="0"/>
              <w:snapToGrid w:val="0"/>
              <w:spacing w:line="300" w:lineRule="exact"/>
              <w:jc w:val="center"/>
              <w:rPr>
                <w:rFonts w:ascii="宋体" w:hAnsi="宋体"/>
                <w:spacing w:val="20"/>
                <w:szCs w:val="21"/>
                <w:highlight w:val="none"/>
              </w:rPr>
            </w:pPr>
          </w:p>
        </w:tc>
      </w:tr>
      <w:tr w14:paraId="4583EB7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049" w:type="pct"/>
            <w:vMerge w:val="restart"/>
            <w:tcBorders>
              <w:top w:val="single" w:color="auto" w:sz="2" w:space="0"/>
              <w:right w:val="single" w:color="auto" w:sz="2" w:space="0"/>
            </w:tcBorders>
            <w:vAlign w:val="center"/>
          </w:tcPr>
          <w:p w14:paraId="40DFBDE4">
            <w:pPr>
              <w:adjustRightInd w:val="0"/>
              <w:snapToGrid w:val="0"/>
              <w:spacing w:line="300" w:lineRule="exact"/>
              <w:jc w:val="center"/>
              <w:rPr>
                <w:rFonts w:ascii="宋体" w:hAnsi="宋体"/>
                <w:szCs w:val="21"/>
                <w:highlight w:val="none"/>
              </w:rPr>
            </w:pPr>
            <w:r>
              <w:rPr>
                <w:rFonts w:ascii="宋体" w:hAnsi="宋体"/>
                <w:szCs w:val="21"/>
                <w:highlight w:val="none"/>
              </w:rPr>
              <w:t>法定代表人</w:t>
            </w:r>
          </w:p>
          <w:p w14:paraId="4BB33B8E">
            <w:pPr>
              <w:adjustRightInd w:val="0"/>
              <w:snapToGrid w:val="0"/>
              <w:spacing w:line="300" w:lineRule="exact"/>
              <w:ind w:firstLine="100" w:firstLineChars="48"/>
              <w:jc w:val="center"/>
              <w:rPr>
                <w:rFonts w:ascii="宋体" w:hAnsi="宋体"/>
                <w:szCs w:val="21"/>
                <w:highlight w:val="none"/>
              </w:rPr>
            </w:pPr>
            <w:r>
              <w:rPr>
                <w:rFonts w:hint="eastAsia" w:ascii="宋体" w:hAnsi="宋体"/>
                <w:szCs w:val="21"/>
                <w:highlight w:val="none"/>
              </w:rPr>
              <w:t>或其</w:t>
            </w:r>
            <w:r>
              <w:rPr>
                <w:rFonts w:ascii="宋体" w:hAnsi="宋体"/>
                <w:szCs w:val="21"/>
                <w:highlight w:val="none"/>
              </w:rPr>
              <w:t>委托代理人</w:t>
            </w:r>
          </w:p>
          <w:p w14:paraId="74DFE861">
            <w:pPr>
              <w:adjustRightInd w:val="0"/>
              <w:snapToGrid w:val="0"/>
              <w:spacing w:line="300" w:lineRule="exact"/>
              <w:ind w:firstLine="100" w:firstLineChars="48"/>
              <w:jc w:val="center"/>
              <w:rPr>
                <w:rFonts w:ascii="宋体" w:hAnsi="宋体"/>
                <w:szCs w:val="21"/>
                <w:highlight w:val="none"/>
              </w:rPr>
            </w:pPr>
            <w:r>
              <w:rPr>
                <w:rFonts w:hint="eastAsia" w:ascii="宋体" w:hAnsi="宋体"/>
                <w:szCs w:val="21"/>
                <w:highlight w:val="none"/>
              </w:rPr>
              <w:t>（签章）</w:t>
            </w:r>
          </w:p>
        </w:tc>
        <w:tc>
          <w:tcPr>
            <w:tcW w:w="1464" w:type="pct"/>
            <w:vMerge w:val="restart"/>
            <w:tcBorders>
              <w:top w:val="single" w:color="auto" w:sz="2" w:space="0"/>
              <w:left w:val="single" w:color="auto" w:sz="2" w:space="0"/>
              <w:right w:val="single" w:color="auto" w:sz="2" w:space="0"/>
            </w:tcBorders>
            <w:vAlign w:val="center"/>
          </w:tcPr>
          <w:p w14:paraId="0574C4AD">
            <w:pPr>
              <w:adjustRightInd w:val="0"/>
              <w:snapToGrid w:val="0"/>
              <w:spacing w:line="300" w:lineRule="exact"/>
              <w:jc w:val="center"/>
              <w:rPr>
                <w:rFonts w:ascii="宋体" w:hAnsi="宋体"/>
                <w:szCs w:val="21"/>
                <w:highlight w:val="none"/>
              </w:rPr>
            </w:pPr>
          </w:p>
        </w:tc>
        <w:tc>
          <w:tcPr>
            <w:tcW w:w="1201" w:type="pct"/>
            <w:tcBorders>
              <w:top w:val="single" w:color="auto" w:sz="2" w:space="0"/>
              <w:left w:val="single" w:color="auto" w:sz="2" w:space="0"/>
              <w:right w:val="single" w:color="auto" w:sz="2" w:space="0"/>
            </w:tcBorders>
            <w:vAlign w:val="center"/>
          </w:tcPr>
          <w:p w14:paraId="1EB5E875">
            <w:pPr>
              <w:adjustRightInd w:val="0"/>
              <w:snapToGrid w:val="0"/>
              <w:spacing w:line="300" w:lineRule="exact"/>
              <w:jc w:val="center"/>
              <w:rPr>
                <w:rFonts w:ascii="宋体" w:hAnsi="宋体"/>
                <w:szCs w:val="21"/>
                <w:highlight w:val="none"/>
              </w:rPr>
            </w:pPr>
            <w:r>
              <w:rPr>
                <w:rFonts w:ascii="宋体" w:hAnsi="宋体"/>
                <w:szCs w:val="21"/>
                <w:highlight w:val="none"/>
              </w:rPr>
              <w:t>法定代表人</w:t>
            </w:r>
          </w:p>
          <w:p w14:paraId="751D8EB0">
            <w:pPr>
              <w:adjustRightInd w:val="0"/>
              <w:snapToGrid w:val="0"/>
              <w:spacing w:line="300" w:lineRule="exact"/>
              <w:jc w:val="center"/>
              <w:rPr>
                <w:rFonts w:ascii="宋体" w:hAnsi="宋体"/>
                <w:szCs w:val="21"/>
                <w:highlight w:val="none"/>
              </w:rPr>
            </w:pPr>
            <w:r>
              <w:rPr>
                <w:rFonts w:hint="eastAsia" w:ascii="宋体" w:hAnsi="宋体"/>
                <w:szCs w:val="21"/>
                <w:highlight w:val="none"/>
              </w:rPr>
              <w:t>或其</w:t>
            </w:r>
            <w:r>
              <w:rPr>
                <w:rFonts w:ascii="宋体" w:hAnsi="宋体"/>
                <w:szCs w:val="21"/>
                <w:highlight w:val="none"/>
              </w:rPr>
              <w:t>委托代理人</w:t>
            </w:r>
          </w:p>
          <w:p w14:paraId="7E55B52E">
            <w:pPr>
              <w:adjustRightInd w:val="0"/>
              <w:snapToGrid w:val="0"/>
              <w:spacing w:line="300" w:lineRule="exact"/>
              <w:jc w:val="center"/>
              <w:rPr>
                <w:rFonts w:ascii="宋体" w:hAnsi="宋体"/>
                <w:szCs w:val="21"/>
                <w:highlight w:val="none"/>
              </w:rPr>
            </w:pPr>
            <w:r>
              <w:rPr>
                <w:rFonts w:hint="eastAsia" w:ascii="宋体" w:hAnsi="宋体"/>
                <w:szCs w:val="21"/>
                <w:highlight w:val="none"/>
              </w:rPr>
              <w:t>（签章）</w:t>
            </w:r>
          </w:p>
        </w:tc>
        <w:tc>
          <w:tcPr>
            <w:tcW w:w="1284" w:type="pct"/>
            <w:tcBorders>
              <w:top w:val="single" w:color="auto" w:sz="2" w:space="0"/>
              <w:left w:val="single" w:color="auto" w:sz="2" w:space="0"/>
              <w:bottom w:val="single" w:color="auto" w:sz="2" w:space="0"/>
            </w:tcBorders>
            <w:vAlign w:val="center"/>
          </w:tcPr>
          <w:p w14:paraId="66FCDAAA">
            <w:pPr>
              <w:adjustRightInd w:val="0"/>
              <w:snapToGrid w:val="0"/>
              <w:spacing w:line="300" w:lineRule="exact"/>
              <w:jc w:val="center"/>
              <w:rPr>
                <w:rFonts w:ascii="宋体" w:hAnsi="宋体"/>
                <w:szCs w:val="21"/>
                <w:highlight w:val="none"/>
              </w:rPr>
            </w:pPr>
          </w:p>
        </w:tc>
      </w:tr>
      <w:tr w14:paraId="1CCE0AA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49" w:type="pct"/>
            <w:vMerge w:val="continue"/>
            <w:tcBorders>
              <w:bottom w:val="single" w:color="auto" w:sz="2" w:space="0"/>
              <w:right w:val="single" w:color="auto" w:sz="2" w:space="0"/>
            </w:tcBorders>
            <w:vAlign w:val="center"/>
          </w:tcPr>
          <w:p w14:paraId="02E6FA2E">
            <w:pPr>
              <w:adjustRightInd w:val="0"/>
              <w:snapToGrid w:val="0"/>
              <w:spacing w:line="300" w:lineRule="exact"/>
              <w:jc w:val="center"/>
              <w:rPr>
                <w:rFonts w:ascii="宋体" w:hAnsi="宋体"/>
                <w:szCs w:val="21"/>
                <w:highlight w:val="none"/>
              </w:rPr>
            </w:pPr>
          </w:p>
        </w:tc>
        <w:tc>
          <w:tcPr>
            <w:tcW w:w="1464" w:type="pct"/>
            <w:vMerge w:val="continue"/>
            <w:tcBorders>
              <w:left w:val="single" w:color="auto" w:sz="2" w:space="0"/>
              <w:bottom w:val="single" w:color="auto" w:sz="2" w:space="0"/>
              <w:right w:val="single" w:color="auto" w:sz="2" w:space="0"/>
            </w:tcBorders>
            <w:vAlign w:val="center"/>
          </w:tcPr>
          <w:p w14:paraId="0F9AAD9B">
            <w:pPr>
              <w:adjustRightInd w:val="0"/>
              <w:snapToGrid w:val="0"/>
              <w:spacing w:line="300" w:lineRule="exact"/>
              <w:jc w:val="center"/>
              <w:rPr>
                <w:rFonts w:ascii="宋体" w:hAnsi="宋体"/>
                <w:szCs w:val="21"/>
                <w:highlight w:val="none"/>
              </w:rPr>
            </w:pPr>
          </w:p>
        </w:tc>
        <w:tc>
          <w:tcPr>
            <w:tcW w:w="1201" w:type="pct"/>
            <w:tcBorders>
              <w:top w:val="single" w:color="auto" w:sz="2" w:space="0"/>
              <w:left w:val="single" w:color="auto" w:sz="2" w:space="0"/>
              <w:bottom w:val="single" w:color="auto" w:sz="2" w:space="0"/>
              <w:right w:val="single" w:color="auto" w:sz="2" w:space="0"/>
            </w:tcBorders>
            <w:vAlign w:val="center"/>
          </w:tcPr>
          <w:p w14:paraId="401C0609">
            <w:pPr>
              <w:adjustRightInd w:val="0"/>
              <w:snapToGrid w:val="0"/>
              <w:spacing w:line="300" w:lineRule="exact"/>
              <w:jc w:val="center"/>
              <w:rPr>
                <w:rFonts w:ascii="宋体" w:hAnsi="宋体"/>
                <w:szCs w:val="21"/>
                <w:highlight w:val="none"/>
              </w:rPr>
            </w:pPr>
            <w:r>
              <w:rPr>
                <w:rFonts w:hint="eastAsia" w:ascii="宋体" w:hAnsi="宋体"/>
                <w:szCs w:val="21"/>
                <w:highlight w:val="none"/>
              </w:rPr>
              <w:t>拥有者性别</w:t>
            </w:r>
          </w:p>
        </w:tc>
        <w:tc>
          <w:tcPr>
            <w:tcW w:w="1284" w:type="pct"/>
            <w:tcBorders>
              <w:top w:val="single" w:color="auto" w:sz="2" w:space="0"/>
              <w:left w:val="single" w:color="auto" w:sz="2" w:space="0"/>
              <w:bottom w:val="single" w:color="auto" w:sz="2" w:space="0"/>
            </w:tcBorders>
            <w:vAlign w:val="center"/>
          </w:tcPr>
          <w:p w14:paraId="7288E14D">
            <w:pPr>
              <w:adjustRightInd w:val="0"/>
              <w:snapToGrid w:val="0"/>
              <w:spacing w:line="300" w:lineRule="exact"/>
              <w:jc w:val="center"/>
              <w:rPr>
                <w:rFonts w:ascii="宋体" w:hAnsi="宋体"/>
                <w:spacing w:val="20"/>
                <w:szCs w:val="21"/>
                <w:highlight w:val="none"/>
              </w:rPr>
            </w:pPr>
          </w:p>
        </w:tc>
      </w:tr>
      <w:tr w14:paraId="1E5980B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49" w:type="pct"/>
            <w:tcBorders>
              <w:top w:val="single" w:color="auto" w:sz="2" w:space="0"/>
              <w:bottom w:val="single" w:color="auto" w:sz="2" w:space="0"/>
              <w:right w:val="single" w:color="auto" w:sz="2" w:space="0"/>
            </w:tcBorders>
            <w:vAlign w:val="center"/>
          </w:tcPr>
          <w:p w14:paraId="6B5A41E5">
            <w:pPr>
              <w:adjustRightInd w:val="0"/>
              <w:snapToGrid w:val="0"/>
              <w:spacing w:line="300" w:lineRule="exact"/>
              <w:jc w:val="center"/>
              <w:rPr>
                <w:rFonts w:ascii="宋体" w:hAnsi="宋体"/>
                <w:szCs w:val="21"/>
                <w:highlight w:val="none"/>
              </w:rPr>
            </w:pPr>
            <w:r>
              <w:rPr>
                <w:rFonts w:hint="eastAsia" w:ascii="宋体" w:hAnsi="宋体"/>
                <w:szCs w:val="21"/>
                <w:highlight w:val="none"/>
              </w:rPr>
              <w:t>住  所</w:t>
            </w:r>
          </w:p>
        </w:tc>
        <w:tc>
          <w:tcPr>
            <w:tcW w:w="1464" w:type="pct"/>
            <w:tcBorders>
              <w:top w:val="single" w:color="auto" w:sz="2" w:space="0"/>
              <w:left w:val="single" w:color="auto" w:sz="2" w:space="0"/>
              <w:bottom w:val="single" w:color="auto" w:sz="2" w:space="0"/>
              <w:right w:val="single" w:color="auto" w:sz="2" w:space="0"/>
            </w:tcBorders>
            <w:vAlign w:val="center"/>
          </w:tcPr>
          <w:p w14:paraId="43FDCBB3">
            <w:pPr>
              <w:adjustRightInd w:val="0"/>
              <w:snapToGrid w:val="0"/>
              <w:spacing w:line="300" w:lineRule="exact"/>
              <w:jc w:val="center"/>
              <w:rPr>
                <w:rFonts w:ascii="宋体" w:hAnsi="宋体"/>
                <w:szCs w:val="21"/>
                <w:highlight w:val="none"/>
              </w:rPr>
            </w:pPr>
          </w:p>
        </w:tc>
        <w:tc>
          <w:tcPr>
            <w:tcW w:w="1201" w:type="pct"/>
            <w:tcBorders>
              <w:top w:val="single" w:color="auto" w:sz="2" w:space="0"/>
              <w:left w:val="single" w:color="auto" w:sz="2" w:space="0"/>
              <w:bottom w:val="single" w:color="auto" w:sz="2" w:space="0"/>
              <w:right w:val="single" w:color="auto" w:sz="2" w:space="0"/>
            </w:tcBorders>
            <w:vAlign w:val="center"/>
          </w:tcPr>
          <w:p w14:paraId="4E0EFA8B">
            <w:pPr>
              <w:adjustRightInd w:val="0"/>
              <w:snapToGrid w:val="0"/>
              <w:spacing w:line="300" w:lineRule="exact"/>
              <w:jc w:val="center"/>
              <w:rPr>
                <w:rFonts w:ascii="宋体" w:hAnsi="宋体"/>
                <w:szCs w:val="21"/>
                <w:highlight w:val="none"/>
              </w:rPr>
            </w:pPr>
            <w:r>
              <w:rPr>
                <w:rFonts w:hint="eastAsia" w:ascii="宋体" w:hAnsi="宋体"/>
                <w:szCs w:val="21"/>
                <w:highlight w:val="none"/>
              </w:rPr>
              <w:t>住  所</w:t>
            </w:r>
          </w:p>
        </w:tc>
        <w:tc>
          <w:tcPr>
            <w:tcW w:w="1284" w:type="pct"/>
            <w:tcBorders>
              <w:top w:val="single" w:color="auto" w:sz="2" w:space="0"/>
              <w:left w:val="single" w:color="auto" w:sz="2" w:space="0"/>
              <w:bottom w:val="single" w:color="auto" w:sz="2" w:space="0"/>
            </w:tcBorders>
            <w:vAlign w:val="center"/>
          </w:tcPr>
          <w:p w14:paraId="0BA418B3">
            <w:pPr>
              <w:adjustRightInd w:val="0"/>
              <w:snapToGrid w:val="0"/>
              <w:spacing w:line="300" w:lineRule="exact"/>
              <w:jc w:val="center"/>
              <w:rPr>
                <w:rFonts w:ascii="宋体" w:hAnsi="宋体"/>
                <w:spacing w:val="20"/>
                <w:szCs w:val="21"/>
                <w:highlight w:val="none"/>
              </w:rPr>
            </w:pPr>
          </w:p>
        </w:tc>
      </w:tr>
      <w:tr w14:paraId="5609BF4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49" w:type="pct"/>
            <w:tcBorders>
              <w:top w:val="single" w:color="auto" w:sz="2" w:space="0"/>
              <w:bottom w:val="single" w:color="auto" w:sz="2" w:space="0"/>
              <w:right w:val="single" w:color="auto" w:sz="2" w:space="0"/>
            </w:tcBorders>
            <w:vAlign w:val="center"/>
          </w:tcPr>
          <w:p w14:paraId="056F1956">
            <w:pPr>
              <w:adjustRightInd w:val="0"/>
              <w:snapToGrid w:val="0"/>
              <w:spacing w:line="300" w:lineRule="exact"/>
              <w:jc w:val="center"/>
              <w:rPr>
                <w:rFonts w:ascii="宋体" w:hAnsi="宋体"/>
                <w:szCs w:val="21"/>
                <w:highlight w:val="none"/>
              </w:rPr>
            </w:pPr>
            <w:r>
              <w:rPr>
                <w:rFonts w:ascii="宋体" w:hAnsi="宋体"/>
                <w:szCs w:val="21"/>
                <w:highlight w:val="none"/>
              </w:rPr>
              <w:t>联 系 人</w:t>
            </w:r>
          </w:p>
        </w:tc>
        <w:tc>
          <w:tcPr>
            <w:tcW w:w="1464" w:type="pct"/>
            <w:tcBorders>
              <w:top w:val="single" w:color="auto" w:sz="2" w:space="0"/>
              <w:left w:val="single" w:color="auto" w:sz="2" w:space="0"/>
              <w:bottom w:val="single" w:color="auto" w:sz="2" w:space="0"/>
              <w:right w:val="single" w:color="auto" w:sz="2" w:space="0"/>
            </w:tcBorders>
            <w:vAlign w:val="center"/>
          </w:tcPr>
          <w:p w14:paraId="182C2D56">
            <w:pPr>
              <w:adjustRightInd w:val="0"/>
              <w:snapToGrid w:val="0"/>
              <w:spacing w:line="300" w:lineRule="exact"/>
              <w:jc w:val="center"/>
              <w:rPr>
                <w:rFonts w:ascii="宋体" w:hAnsi="宋体"/>
                <w:szCs w:val="21"/>
                <w:highlight w:val="none"/>
              </w:rPr>
            </w:pPr>
          </w:p>
        </w:tc>
        <w:tc>
          <w:tcPr>
            <w:tcW w:w="1201" w:type="pct"/>
            <w:tcBorders>
              <w:top w:val="single" w:color="auto" w:sz="2" w:space="0"/>
              <w:left w:val="single" w:color="auto" w:sz="2" w:space="0"/>
              <w:bottom w:val="single" w:color="auto" w:sz="2" w:space="0"/>
              <w:right w:val="single" w:color="auto" w:sz="2" w:space="0"/>
            </w:tcBorders>
            <w:vAlign w:val="center"/>
          </w:tcPr>
          <w:p w14:paraId="227F64D3">
            <w:pPr>
              <w:adjustRightInd w:val="0"/>
              <w:snapToGrid w:val="0"/>
              <w:spacing w:line="300" w:lineRule="exact"/>
              <w:jc w:val="center"/>
              <w:rPr>
                <w:rFonts w:ascii="宋体" w:hAnsi="宋体"/>
                <w:szCs w:val="21"/>
                <w:highlight w:val="none"/>
              </w:rPr>
            </w:pPr>
            <w:r>
              <w:rPr>
                <w:rFonts w:ascii="宋体" w:hAnsi="宋体"/>
                <w:szCs w:val="21"/>
                <w:highlight w:val="none"/>
              </w:rPr>
              <w:t>联 系 人</w:t>
            </w:r>
          </w:p>
        </w:tc>
        <w:tc>
          <w:tcPr>
            <w:tcW w:w="1284" w:type="pct"/>
            <w:tcBorders>
              <w:top w:val="single" w:color="auto" w:sz="2" w:space="0"/>
              <w:left w:val="single" w:color="auto" w:sz="2" w:space="0"/>
              <w:bottom w:val="single" w:color="auto" w:sz="2" w:space="0"/>
            </w:tcBorders>
            <w:vAlign w:val="center"/>
          </w:tcPr>
          <w:p w14:paraId="477E1579">
            <w:pPr>
              <w:adjustRightInd w:val="0"/>
              <w:snapToGrid w:val="0"/>
              <w:spacing w:line="300" w:lineRule="exact"/>
              <w:jc w:val="center"/>
              <w:rPr>
                <w:rFonts w:ascii="宋体" w:hAnsi="宋体"/>
                <w:spacing w:val="20"/>
                <w:szCs w:val="21"/>
                <w:highlight w:val="none"/>
              </w:rPr>
            </w:pPr>
          </w:p>
        </w:tc>
      </w:tr>
      <w:tr w14:paraId="1783673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49" w:type="pct"/>
            <w:tcBorders>
              <w:top w:val="single" w:color="auto" w:sz="2" w:space="0"/>
              <w:bottom w:val="single" w:color="auto" w:sz="2" w:space="0"/>
              <w:right w:val="single" w:color="auto" w:sz="2" w:space="0"/>
            </w:tcBorders>
            <w:vAlign w:val="center"/>
          </w:tcPr>
          <w:p w14:paraId="7563BE2E">
            <w:pPr>
              <w:adjustRightInd w:val="0"/>
              <w:snapToGrid w:val="0"/>
              <w:spacing w:line="300" w:lineRule="exact"/>
              <w:jc w:val="center"/>
              <w:rPr>
                <w:rFonts w:ascii="宋体" w:hAnsi="宋体"/>
                <w:szCs w:val="21"/>
                <w:highlight w:val="none"/>
              </w:rPr>
            </w:pPr>
            <w:r>
              <w:rPr>
                <w:rFonts w:ascii="宋体" w:hAnsi="宋体"/>
                <w:szCs w:val="21"/>
                <w:highlight w:val="none"/>
              </w:rPr>
              <w:t>联系电话</w:t>
            </w:r>
          </w:p>
        </w:tc>
        <w:tc>
          <w:tcPr>
            <w:tcW w:w="1464" w:type="pct"/>
            <w:tcBorders>
              <w:top w:val="single" w:color="auto" w:sz="2" w:space="0"/>
              <w:left w:val="single" w:color="auto" w:sz="2" w:space="0"/>
              <w:bottom w:val="single" w:color="auto" w:sz="2" w:space="0"/>
              <w:right w:val="single" w:color="auto" w:sz="2" w:space="0"/>
            </w:tcBorders>
            <w:vAlign w:val="center"/>
          </w:tcPr>
          <w:p w14:paraId="601A6947">
            <w:pPr>
              <w:adjustRightInd w:val="0"/>
              <w:snapToGrid w:val="0"/>
              <w:spacing w:line="300" w:lineRule="exact"/>
              <w:jc w:val="center"/>
              <w:rPr>
                <w:rFonts w:ascii="宋体" w:hAnsi="宋体"/>
                <w:szCs w:val="21"/>
                <w:highlight w:val="none"/>
              </w:rPr>
            </w:pPr>
          </w:p>
        </w:tc>
        <w:tc>
          <w:tcPr>
            <w:tcW w:w="1201" w:type="pct"/>
            <w:tcBorders>
              <w:top w:val="single" w:color="auto" w:sz="2" w:space="0"/>
              <w:left w:val="single" w:color="auto" w:sz="2" w:space="0"/>
              <w:bottom w:val="single" w:color="auto" w:sz="2" w:space="0"/>
              <w:right w:val="single" w:color="auto" w:sz="2" w:space="0"/>
            </w:tcBorders>
            <w:vAlign w:val="center"/>
          </w:tcPr>
          <w:p w14:paraId="7F8D3877">
            <w:pPr>
              <w:adjustRightInd w:val="0"/>
              <w:snapToGrid w:val="0"/>
              <w:spacing w:line="300" w:lineRule="exact"/>
              <w:jc w:val="center"/>
              <w:rPr>
                <w:rFonts w:ascii="宋体" w:hAnsi="宋体"/>
                <w:szCs w:val="21"/>
                <w:highlight w:val="none"/>
              </w:rPr>
            </w:pPr>
            <w:r>
              <w:rPr>
                <w:rFonts w:ascii="宋体" w:hAnsi="宋体"/>
                <w:szCs w:val="21"/>
                <w:highlight w:val="none"/>
              </w:rPr>
              <w:t>联系电话</w:t>
            </w:r>
          </w:p>
        </w:tc>
        <w:tc>
          <w:tcPr>
            <w:tcW w:w="1284" w:type="pct"/>
            <w:tcBorders>
              <w:top w:val="single" w:color="auto" w:sz="2" w:space="0"/>
              <w:left w:val="single" w:color="auto" w:sz="2" w:space="0"/>
              <w:bottom w:val="single" w:color="auto" w:sz="2" w:space="0"/>
            </w:tcBorders>
            <w:vAlign w:val="center"/>
          </w:tcPr>
          <w:p w14:paraId="44EF8A15">
            <w:pPr>
              <w:adjustRightInd w:val="0"/>
              <w:snapToGrid w:val="0"/>
              <w:spacing w:line="300" w:lineRule="exact"/>
              <w:jc w:val="center"/>
              <w:rPr>
                <w:rFonts w:ascii="宋体" w:hAnsi="宋体"/>
                <w:spacing w:val="20"/>
                <w:szCs w:val="21"/>
                <w:highlight w:val="none"/>
              </w:rPr>
            </w:pPr>
          </w:p>
        </w:tc>
      </w:tr>
      <w:tr w14:paraId="111A963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49" w:type="pct"/>
            <w:tcBorders>
              <w:top w:val="single" w:color="auto" w:sz="2" w:space="0"/>
              <w:bottom w:val="single" w:color="auto" w:sz="2" w:space="0"/>
              <w:right w:val="single" w:color="auto" w:sz="2" w:space="0"/>
            </w:tcBorders>
            <w:vAlign w:val="center"/>
          </w:tcPr>
          <w:p w14:paraId="357918B3">
            <w:pPr>
              <w:adjustRightInd w:val="0"/>
              <w:snapToGrid w:val="0"/>
              <w:spacing w:line="300" w:lineRule="exact"/>
              <w:jc w:val="center"/>
              <w:rPr>
                <w:rFonts w:ascii="宋体" w:hAnsi="宋体"/>
                <w:szCs w:val="21"/>
                <w:highlight w:val="none"/>
              </w:rPr>
            </w:pPr>
            <w:r>
              <w:rPr>
                <w:rFonts w:hint="eastAsia" w:ascii="宋体" w:hAnsi="宋体"/>
                <w:szCs w:val="21"/>
                <w:highlight w:val="none"/>
              </w:rPr>
              <w:t>通信地址</w:t>
            </w:r>
          </w:p>
        </w:tc>
        <w:tc>
          <w:tcPr>
            <w:tcW w:w="1464" w:type="pct"/>
            <w:tcBorders>
              <w:top w:val="single" w:color="auto" w:sz="2" w:space="0"/>
              <w:left w:val="single" w:color="auto" w:sz="2" w:space="0"/>
              <w:bottom w:val="single" w:color="auto" w:sz="2" w:space="0"/>
              <w:right w:val="single" w:color="auto" w:sz="2" w:space="0"/>
            </w:tcBorders>
            <w:vAlign w:val="center"/>
          </w:tcPr>
          <w:p w14:paraId="46F4F7CF">
            <w:pPr>
              <w:adjustRightInd w:val="0"/>
              <w:snapToGrid w:val="0"/>
              <w:spacing w:line="300" w:lineRule="exact"/>
              <w:jc w:val="center"/>
              <w:rPr>
                <w:rFonts w:ascii="宋体" w:hAnsi="宋体"/>
                <w:szCs w:val="21"/>
                <w:highlight w:val="none"/>
              </w:rPr>
            </w:pPr>
          </w:p>
        </w:tc>
        <w:tc>
          <w:tcPr>
            <w:tcW w:w="1201" w:type="pct"/>
            <w:tcBorders>
              <w:top w:val="single" w:color="auto" w:sz="2" w:space="0"/>
              <w:left w:val="single" w:color="auto" w:sz="2" w:space="0"/>
              <w:bottom w:val="single" w:color="auto" w:sz="2" w:space="0"/>
              <w:right w:val="single" w:color="auto" w:sz="2" w:space="0"/>
            </w:tcBorders>
            <w:vAlign w:val="center"/>
          </w:tcPr>
          <w:p w14:paraId="2DC40401">
            <w:pPr>
              <w:adjustRightInd w:val="0"/>
              <w:snapToGrid w:val="0"/>
              <w:spacing w:line="300" w:lineRule="exact"/>
              <w:jc w:val="center"/>
              <w:rPr>
                <w:rFonts w:ascii="宋体" w:hAnsi="宋体"/>
                <w:szCs w:val="21"/>
                <w:highlight w:val="none"/>
              </w:rPr>
            </w:pPr>
            <w:r>
              <w:rPr>
                <w:rFonts w:hint="eastAsia" w:ascii="宋体" w:hAnsi="宋体"/>
                <w:szCs w:val="21"/>
                <w:highlight w:val="none"/>
              </w:rPr>
              <w:t>通信地址</w:t>
            </w:r>
          </w:p>
        </w:tc>
        <w:tc>
          <w:tcPr>
            <w:tcW w:w="1284" w:type="pct"/>
            <w:tcBorders>
              <w:top w:val="single" w:color="auto" w:sz="2" w:space="0"/>
              <w:left w:val="single" w:color="auto" w:sz="2" w:space="0"/>
              <w:bottom w:val="single" w:color="auto" w:sz="2" w:space="0"/>
            </w:tcBorders>
            <w:vAlign w:val="center"/>
          </w:tcPr>
          <w:p w14:paraId="359A527B">
            <w:pPr>
              <w:adjustRightInd w:val="0"/>
              <w:snapToGrid w:val="0"/>
              <w:spacing w:line="300" w:lineRule="exact"/>
              <w:jc w:val="center"/>
              <w:rPr>
                <w:rFonts w:ascii="宋体" w:hAnsi="宋体"/>
                <w:spacing w:val="20"/>
                <w:szCs w:val="21"/>
                <w:highlight w:val="none"/>
              </w:rPr>
            </w:pPr>
          </w:p>
        </w:tc>
      </w:tr>
      <w:tr w14:paraId="64D7EF5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49" w:type="pct"/>
            <w:tcBorders>
              <w:top w:val="single" w:color="auto" w:sz="2" w:space="0"/>
              <w:bottom w:val="single" w:color="auto" w:sz="2" w:space="0"/>
              <w:right w:val="single" w:color="auto" w:sz="2" w:space="0"/>
            </w:tcBorders>
            <w:vAlign w:val="center"/>
          </w:tcPr>
          <w:p w14:paraId="24B30C6A">
            <w:pPr>
              <w:adjustRightInd w:val="0"/>
              <w:snapToGrid w:val="0"/>
              <w:spacing w:line="300" w:lineRule="exact"/>
              <w:jc w:val="center"/>
              <w:rPr>
                <w:rFonts w:ascii="宋体" w:hAnsi="宋体"/>
                <w:szCs w:val="21"/>
                <w:highlight w:val="none"/>
              </w:rPr>
            </w:pPr>
            <w:r>
              <w:rPr>
                <w:rFonts w:ascii="宋体" w:hAnsi="宋体"/>
                <w:szCs w:val="21"/>
                <w:highlight w:val="none"/>
              </w:rPr>
              <w:t>邮政编码</w:t>
            </w:r>
          </w:p>
        </w:tc>
        <w:tc>
          <w:tcPr>
            <w:tcW w:w="1464" w:type="pct"/>
            <w:tcBorders>
              <w:top w:val="single" w:color="auto" w:sz="2" w:space="0"/>
              <w:left w:val="single" w:color="auto" w:sz="2" w:space="0"/>
              <w:bottom w:val="single" w:color="auto" w:sz="2" w:space="0"/>
              <w:right w:val="single" w:color="auto" w:sz="2" w:space="0"/>
            </w:tcBorders>
            <w:vAlign w:val="center"/>
          </w:tcPr>
          <w:p w14:paraId="695BE2BC">
            <w:pPr>
              <w:adjustRightInd w:val="0"/>
              <w:snapToGrid w:val="0"/>
              <w:spacing w:line="300" w:lineRule="exact"/>
              <w:jc w:val="center"/>
              <w:rPr>
                <w:rFonts w:ascii="宋体" w:hAnsi="宋体"/>
                <w:szCs w:val="21"/>
                <w:highlight w:val="none"/>
              </w:rPr>
            </w:pPr>
          </w:p>
        </w:tc>
        <w:tc>
          <w:tcPr>
            <w:tcW w:w="1201" w:type="pct"/>
            <w:tcBorders>
              <w:top w:val="single" w:color="auto" w:sz="2" w:space="0"/>
              <w:left w:val="single" w:color="auto" w:sz="2" w:space="0"/>
              <w:bottom w:val="single" w:color="auto" w:sz="2" w:space="0"/>
              <w:right w:val="single" w:color="auto" w:sz="2" w:space="0"/>
            </w:tcBorders>
            <w:vAlign w:val="center"/>
          </w:tcPr>
          <w:p w14:paraId="01937BB6">
            <w:pPr>
              <w:adjustRightInd w:val="0"/>
              <w:snapToGrid w:val="0"/>
              <w:spacing w:line="300" w:lineRule="exact"/>
              <w:jc w:val="center"/>
              <w:rPr>
                <w:rFonts w:ascii="宋体" w:hAnsi="宋体"/>
                <w:szCs w:val="21"/>
                <w:highlight w:val="none"/>
              </w:rPr>
            </w:pPr>
            <w:r>
              <w:rPr>
                <w:rFonts w:ascii="宋体" w:hAnsi="宋体"/>
                <w:szCs w:val="21"/>
                <w:highlight w:val="none"/>
              </w:rPr>
              <w:t>邮政编码</w:t>
            </w:r>
          </w:p>
        </w:tc>
        <w:tc>
          <w:tcPr>
            <w:tcW w:w="1284" w:type="pct"/>
            <w:tcBorders>
              <w:top w:val="single" w:color="auto" w:sz="2" w:space="0"/>
              <w:left w:val="single" w:color="auto" w:sz="2" w:space="0"/>
              <w:bottom w:val="single" w:color="auto" w:sz="2" w:space="0"/>
            </w:tcBorders>
            <w:vAlign w:val="center"/>
          </w:tcPr>
          <w:p w14:paraId="70CD6F01">
            <w:pPr>
              <w:adjustRightInd w:val="0"/>
              <w:snapToGrid w:val="0"/>
              <w:spacing w:line="300" w:lineRule="exact"/>
              <w:jc w:val="center"/>
              <w:rPr>
                <w:rFonts w:ascii="宋体" w:hAnsi="宋体"/>
                <w:spacing w:val="20"/>
                <w:szCs w:val="21"/>
                <w:highlight w:val="none"/>
              </w:rPr>
            </w:pPr>
          </w:p>
        </w:tc>
      </w:tr>
      <w:tr w14:paraId="5522BAC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49" w:type="pct"/>
            <w:tcBorders>
              <w:top w:val="single" w:color="auto" w:sz="2" w:space="0"/>
              <w:bottom w:val="single" w:color="auto" w:sz="2" w:space="0"/>
              <w:right w:val="single" w:color="auto" w:sz="2" w:space="0"/>
            </w:tcBorders>
            <w:vAlign w:val="center"/>
          </w:tcPr>
          <w:p w14:paraId="3484F1DD">
            <w:pPr>
              <w:adjustRightInd w:val="0"/>
              <w:snapToGrid w:val="0"/>
              <w:spacing w:line="300" w:lineRule="exact"/>
              <w:jc w:val="center"/>
              <w:rPr>
                <w:rFonts w:ascii="宋体" w:hAnsi="宋体"/>
                <w:szCs w:val="21"/>
                <w:highlight w:val="none"/>
              </w:rPr>
            </w:pPr>
            <w:r>
              <w:rPr>
                <w:rFonts w:hint="eastAsia" w:ascii="宋体" w:hAnsi="宋体"/>
                <w:szCs w:val="21"/>
                <w:highlight w:val="none"/>
              </w:rPr>
              <w:t>电子邮箱</w:t>
            </w:r>
          </w:p>
        </w:tc>
        <w:tc>
          <w:tcPr>
            <w:tcW w:w="1464" w:type="pct"/>
            <w:tcBorders>
              <w:top w:val="single" w:color="auto" w:sz="2" w:space="0"/>
              <w:left w:val="single" w:color="auto" w:sz="2" w:space="0"/>
              <w:bottom w:val="single" w:color="auto" w:sz="2" w:space="0"/>
              <w:right w:val="single" w:color="auto" w:sz="2" w:space="0"/>
            </w:tcBorders>
            <w:vAlign w:val="center"/>
          </w:tcPr>
          <w:p w14:paraId="01D8EB3C">
            <w:pPr>
              <w:adjustRightInd w:val="0"/>
              <w:snapToGrid w:val="0"/>
              <w:spacing w:line="300" w:lineRule="exact"/>
              <w:jc w:val="center"/>
              <w:rPr>
                <w:rFonts w:ascii="宋体" w:hAnsi="宋体"/>
                <w:szCs w:val="21"/>
                <w:highlight w:val="none"/>
              </w:rPr>
            </w:pPr>
          </w:p>
        </w:tc>
        <w:tc>
          <w:tcPr>
            <w:tcW w:w="1201" w:type="pct"/>
            <w:tcBorders>
              <w:top w:val="single" w:color="auto" w:sz="2" w:space="0"/>
              <w:left w:val="single" w:color="auto" w:sz="2" w:space="0"/>
              <w:bottom w:val="single" w:color="auto" w:sz="2" w:space="0"/>
              <w:right w:val="single" w:color="auto" w:sz="2" w:space="0"/>
            </w:tcBorders>
            <w:vAlign w:val="center"/>
          </w:tcPr>
          <w:p w14:paraId="2D2A41A3">
            <w:pPr>
              <w:adjustRightInd w:val="0"/>
              <w:snapToGrid w:val="0"/>
              <w:spacing w:line="300" w:lineRule="exact"/>
              <w:jc w:val="center"/>
              <w:rPr>
                <w:rFonts w:ascii="宋体" w:hAnsi="宋体"/>
                <w:szCs w:val="21"/>
                <w:highlight w:val="none"/>
              </w:rPr>
            </w:pPr>
            <w:r>
              <w:rPr>
                <w:rFonts w:hint="eastAsia" w:ascii="宋体" w:hAnsi="宋体"/>
                <w:szCs w:val="21"/>
                <w:highlight w:val="none"/>
              </w:rPr>
              <w:t>电子邮箱</w:t>
            </w:r>
          </w:p>
        </w:tc>
        <w:tc>
          <w:tcPr>
            <w:tcW w:w="1284" w:type="pct"/>
            <w:tcBorders>
              <w:top w:val="single" w:color="auto" w:sz="2" w:space="0"/>
              <w:left w:val="single" w:color="auto" w:sz="2" w:space="0"/>
              <w:bottom w:val="single" w:color="auto" w:sz="2" w:space="0"/>
            </w:tcBorders>
            <w:vAlign w:val="center"/>
          </w:tcPr>
          <w:p w14:paraId="7564C095">
            <w:pPr>
              <w:adjustRightInd w:val="0"/>
              <w:snapToGrid w:val="0"/>
              <w:spacing w:line="300" w:lineRule="exact"/>
              <w:jc w:val="center"/>
              <w:rPr>
                <w:rFonts w:ascii="宋体" w:hAnsi="宋体"/>
                <w:spacing w:val="20"/>
                <w:szCs w:val="21"/>
                <w:highlight w:val="none"/>
              </w:rPr>
            </w:pPr>
          </w:p>
        </w:tc>
      </w:tr>
      <w:tr w14:paraId="5152C4D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49" w:type="pct"/>
            <w:tcBorders>
              <w:top w:val="single" w:color="auto" w:sz="2" w:space="0"/>
              <w:bottom w:val="single" w:color="auto" w:sz="2" w:space="0"/>
              <w:right w:val="single" w:color="auto" w:sz="2" w:space="0"/>
            </w:tcBorders>
            <w:vAlign w:val="center"/>
          </w:tcPr>
          <w:p w14:paraId="2262AA99">
            <w:pPr>
              <w:adjustRightInd w:val="0"/>
              <w:snapToGrid w:val="0"/>
              <w:spacing w:line="300" w:lineRule="exact"/>
              <w:jc w:val="center"/>
              <w:rPr>
                <w:rFonts w:ascii="宋体" w:hAnsi="宋体"/>
                <w:szCs w:val="21"/>
                <w:highlight w:val="none"/>
              </w:rPr>
            </w:pPr>
            <w:r>
              <w:rPr>
                <w:rFonts w:hint="eastAsia" w:ascii="宋体" w:hAnsi="宋体"/>
                <w:szCs w:val="21"/>
                <w:highlight w:val="none"/>
              </w:rPr>
              <w:t>统一社会信用代码</w:t>
            </w:r>
          </w:p>
        </w:tc>
        <w:tc>
          <w:tcPr>
            <w:tcW w:w="1464" w:type="pct"/>
            <w:tcBorders>
              <w:top w:val="single" w:color="auto" w:sz="2" w:space="0"/>
              <w:left w:val="single" w:color="auto" w:sz="2" w:space="0"/>
              <w:bottom w:val="single" w:color="auto" w:sz="2" w:space="0"/>
              <w:right w:val="single" w:color="auto" w:sz="2" w:space="0"/>
            </w:tcBorders>
            <w:vAlign w:val="center"/>
          </w:tcPr>
          <w:p w14:paraId="2CC7B162">
            <w:pPr>
              <w:adjustRightInd w:val="0"/>
              <w:snapToGrid w:val="0"/>
              <w:spacing w:line="300" w:lineRule="exact"/>
              <w:jc w:val="center"/>
              <w:rPr>
                <w:rFonts w:ascii="宋体" w:hAnsi="宋体"/>
                <w:szCs w:val="21"/>
                <w:highlight w:val="none"/>
              </w:rPr>
            </w:pPr>
          </w:p>
        </w:tc>
        <w:tc>
          <w:tcPr>
            <w:tcW w:w="1201" w:type="pct"/>
            <w:tcBorders>
              <w:top w:val="single" w:color="auto" w:sz="2" w:space="0"/>
              <w:left w:val="single" w:color="auto" w:sz="2" w:space="0"/>
              <w:bottom w:val="single" w:color="auto" w:sz="2" w:space="0"/>
              <w:right w:val="single" w:color="auto" w:sz="2" w:space="0"/>
            </w:tcBorders>
            <w:vAlign w:val="center"/>
          </w:tcPr>
          <w:p w14:paraId="1CC92004">
            <w:pPr>
              <w:adjustRightInd w:val="0"/>
              <w:snapToGrid w:val="0"/>
              <w:spacing w:line="300" w:lineRule="exact"/>
              <w:jc w:val="center"/>
              <w:rPr>
                <w:rFonts w:ascii="宋体" w:hAnsi="宋体"/>
                <w:szCs w:val="21"/>
                <w:highlight w:val="none"/>
              </w:rPr>
            </w:pPr>
            <w:r>
              <w:rPr>
                <w:rFonts w:hint="eastAsia" w:ascii="宋体" w:hAnsi="宋体"/>
                <w:szCs w:val="21"/>
                <w:highlight w:val="none"/>
              </w:rPr>
              <w:t>统一社会信用代码</w:t>
            </w:r>
          </w:p>
        </w:tc>
        <w:tc>
          <w:tcPr>
            <w:tcW w:w="1284" w:type="pct"/>
            <w:tcBorders>
              <w:top w:val="single" w:color="auto" w:sz="2" w:space="0"/>
              <w:left w:val="single" w:color="auto" w:sz="2" w:space="0"/>
              <w:bottom w:val="single" w:color="auto" w:sz="2" w:space="0"/>
            </w:tcBorders>
            <w:vAlign w:val="center"/>
          </w:tcPr>
          <w:p w14:paraId="3EEC7C68">
            <w:pPr>
              <w:adjustRightInd w:val="0"/>
              <w:snapToGrid w:val="0"/>
              <w:spacing w:line="300" w:lineRule="exact"/>
              <w:jc w:val="center"/>
              <w:rPr>
                <w:rFonts w:ascii="宋体" w:hAnsi="宋体"/>
                <w:spacing w:val="20"/>
                <w:szCs w:val="21"/>
                <w:highlight w:val="none"/>
              </w:rPr>
            </w:pPr>
          </w:p>
        </w:tc>
      </w:tr>
      <w:tr w14:paraId="3B5B204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49" w:type="pct"/>
            <w:tcBorders>
              <w:top w:val="single" w:color="auto" w:sz="2" w:space="0"/>
              <w:bottom w:val="single" w:color="auto" w:sz="2" w:space="0"/>
              <w:right w:val="single" w:color="auto" w:sz="2" w:space="0"/>
            </w:tcBorders>
            <w:vAlign w:val="center"/>
          </w:tcPr>
          <w:p w14:paraId="07A13B5B">
            <w:pPr>
              <w:adjustRightInd w:val="0"/>
              <w:snapToGrid w:val="0"/>
              <w:spacing w:line="300" w:lineRule="exact"/>
              <w:jc w:val="center"/>
              <w:rPr>
                <w:rFonts w:ascii="宋体" w:hAnsi="宋体"/>
                <w:szCs w:val="21"/>
                <w:highlight w:val="none"/>
              </w:rPr>
            </w:pPr>
          </w:p>
        </w:tc>
        <w:tc>
          <w:tcPr>
            <w:tcW w:w="1464" w:type="pct"/>
            <w:tcBorders>
              <w:top w:val="single" w:color="auto" w:sz="2" w:space="0"/>
              <w:left w:val="single" w:color="auto" w:sz="2" w:space="0"/>
              <w:bottom w:val="single" w:color="auto" w:sz="2" w:space="0"/>
              <w:right w:val="single" w:color="auto" w:sz="2" w:space="0"/>
            </w:tcBorders>
            <w:vAlign w:val="center"/>
          </w:tcPr>
          <w:p w14:paraId="00327961">
            <w:pPr>
              <w:adjustRightInd w:val="0"/>
              <w:snapToGrid w:val="0"/>
              <w:spacing w:line="300" w:lineRule="exact"/>
              <w:jc w:val="center"/>
              <w:rPr>
                <w:rFonts w:ascii="宋体" w:hAnsi="宋体"/>
                <w:szCs w:val="21"/>
                <w:highlight w:val="none"/>
              </w:rPr>
            </w:pPr>
          </w:p>
        </w:tc>
        <w:tc>
          <w:tcPr>
            <w:tcW w:w="1201" w:type="pct"/>
            <w:tcBorders>
              <w:top w:val="single" w:color="auto" w:sz="2" w:space="0"/>
              <w:left w:val="single" w:color="auto" w:sz="2" w:space="0"/>
              <w:bottom w:val="single" w:color="auto" w:sz="2" w:space="0"/>
              <w:right w:val="single" w:color="auto" w:sz="2" w:space="0"/>
            </w:tcBorders>
            <w:vAlign w:val="center"/>
          </w:tcPr>
          <w:p w14:paraId="5A65A1FF">
            <w:pPr>
              <w:adjustRightInd w:val="0"/>
              <w:snapToGrid w:val="0"/>
              <w:spacing w:line="300" w:lineRule="exact"/>
              <w:jc w:val="center"/>
              <w:rPr>
                <w:rFonts w:ascii="宋体" w:hAnsi="宋体"/>
                <w:szCs w:val="21"/>
                <w:highlight w:val="none"/>
              </w:rPr>
            </w:pPr>
            <w:r>
              <w:rPr>
                <w:rFonts w:ascii="宋体" w:hAnsi="宋体"/>
                <w:szCs w:val="21"/>
                <w:highlight w:val="none"/>
              </w:rPr>
              <w:t>开户名称</w:t>
            </w:r>
          </w:p>
        </w:tc>
        <w:tc>
          <w:tcPr>
            <w:tcW w:w="1284" w:type="pct"/>
            <w:tcBorders>
              <w:top w:val="single" w:color="auto" w:sz="2" w:space="0"/>
              <w:left w:val="single" w:color="auto" w:sz="2" w:space="0"/>
              <w:bottom w:val="single" w:color="auto" w:sz="2" w:space="0"/>
            </w:tcBorders>
            <w:vAlign w:val="center"/>
          </w:tcPr>
          <w:p w14:paraId="17F455D8">
            <w:pPr>
              <w:adjustRightInd w:val="0"/>
              <w:snapToGrid w:val="0"/>
              <w:spacing w:line="300" w:lineRule="exact"/>
              <w:jc w:val="center"/>
              <w:rPr>
                <w:rFonts w:ascii="宋体" w:hAnsi="宋体"/>
                <w:spacing w:val="20"/>
                <w:szCs w:val="21"/>
                <w:highlight w:val="none"/>
              </w:rPr>
            </w:pPr>
          </w:p>
        </w:tc>
      </w:tr>
      <w:tr w14:paraId="50AF4D5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49" w:type="pct"/>
            <w:tcBorders>
              <w:top w:val="single" w:color="auto" w:sz="2" w:space="0"/>
              <w:bottom w:val="single" w:color="auto" w:sz="2" w:space="0"/>
              <w:right w:val="single" w:color="auto" w:sz="2" w:space="0"/>
            </w:tcBorders>
            <w:vAlign w:val="center"/>
          </w:tcPr>
          <w:p w14:paraId="752F53B7">
            <w:pPr>
              <w:adjustRightInd w:val="0"/>
              <w:snapToGrid w:val="0"/>
              <w:spacing w:line="300" w:lineRule="exact"/>
              <w:jc w:val="center"/>
              <w:rPr>
                <w:rFonts w:ascii="宋体" w:hAnsi="宋体"/>
                <w:szCs w:val="21"/>
                <w:highlight w:val="none"/>
              </w:rPr>
            </w:pPr>
          </w:p>
        </w:tc>
        <w:tc>
          <w:tcPr>
            <w:tcW w:w="1464" w:type="pct"/>
            <w:tcBorders>
              <w:top w:val="single" w:color="auto" w:sz="2" w:space="0"/>
              <w:left w:val="single" w:color="auto" w:sz="2" w:space="0"/>
              <w:bottom w:val="single" w:color="auto" w:sz="2" w:space="0"/>
              <w:right w:val="single" w:color="auto" w:sz="2" w:space="0"/>
            </w:tcBorders>
            <w:vAlign w:val="center"/>
          </w:tcPr>
          <w:p w14:paraId="1B6C7812">
            <w:pPr>
              <w:adjustRightInd w:val="0"/>
              <w:snapToGrid w:val="0"/>
              <w:spacing w:line="300" w:lineRule="exact"/>
              <w:jc w:val="center"/>
              <w:rPr>
                <w:rFonts w:ascii="宋体" w:hAnsi="宋体"/>
                <w:szCs w:val="21"/>
                <w:highlight w:val="none"/>
              </w:rPr>
            </w:pPr>
          </w:p>
        </w:tc>
        <w:tc>
          <w:tcPr>
            <w:tcW w:w="1201" w:type="pct"/>
            <w:tcBorders>
              <w:top w:val="single" w:color="auto" w:sz="2" w:space="0"/>
              <w:left w:val="single" w:color="auto" w:sz="2" w:space="0"/>
              <w:bottom w:val="single" w:color="auto" w:sz="2" w:space="0"/>
              <w:right w:val="single" w:color="auto" w:sz="2" w:space="0"/>
            </w:tcBorders>
            <w:vAlign w:val="center"/>
          </w:tcPr>
          <w:p w14:paraId="5B37B690">
            <w:pPr>
              <w:adjustRightInd w:val="0"/>
              <w:snapToGrid w:val="0"/>
              <w:spacing w:line="300" w:lineRule="exact"/>
              <w:jc w:val="center"/>
              <w:rPr>
                <w:rFonts w:ascii="宋体" w:hAnsi="宋体"/>
                <w:szCs w:val="21"/>
                <w:highlight w:val="none"/>
              </w:rPr>
            </w:pPr>
            <w:r>
              <w:rPr>
                <w:rFonts w:ascii="宋体" w:hAnsi="宋体"/>
                <w:szCs w:val="21"/>
                <w:highlight w:val="none"/>
              </w:rPr>
              <w:t>开户银行</w:t>
            </w:r>
          </w:p>
        </w:tc>
        <w:tc>
          <w:tcPr>
            <w:tcW w:w="1284" w:type="pct"/>
            <w:tcBorders>
              <w:top w:val="single" w:color="auto" w:sz="2" w:space="0"/>
              <w:left w:val="single" w:color="auto" w:sz="2" w:space="0"/>
              <w:bottom w:val="single" w:color="auto" w:sz="2" w:space="0"/>
            </w:tcBorders>
            <w:vAlign w:val="center"/>
          </w:tcPr>
          <w:p w14:paraId="54E997BD">
            <w:pPr>
              <w:adjustRightInd w:val="0"/>
              <w:snapToGrid w:val="0"/>
              <w:spacing w:line="300" w:lineRule="exact"/>
              <w:jc w:val="center"/>
              <w:rPr>
                <w:rFonts w:ascii="宋体" w:hAnsi="宋体"/>
                <w:spacing w:val="20"/>
                <w:szCs w:val="21"/>
                <w:highlight w:val="none"/>
              </w:rPr>
            </w:pPr>
          </w:p>
        </w:tc>
      </w:tr>
      <w:tr w14:paraId="56CA22E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49" w:type="pct"/>
            <w:tcBorders>
              <w:top w:val="single" w:color="auto" w:sz="2" w:space="0"/>
              <w:bottom w:val="single" w:color="auto" w:sz="2" w:space="0"/>
              <w:right w:val="single" w:color="auto" w:sz="2" w:space="0"/>
            </w:tcBorders>
            <w:vAlign w:val="center"/>
          </w:tcPr>
          <w:p w14:paraId="531A9627">
            <w:pPr>
              <w:adjustRightInd w:val="0"/>
              <w:snapToGrid w:val="0"/>
              <w:spacing w:line="300" w:lineRule="exact"/>
              <w:jc w:val="center"/>
              <w:rPr>
                <w:rFonts w:ascii="宋体" w:hAnsi="宋体"/>
                <w:szCs w:val="21"/>
                <w:highlight w:val="none"/>
              </w:rPr>
            </w:pPr>
          </w:p>
        </w:tc>
        <w:tc>
          <w:tcPr>
            <w:tcW w:w="1464" w:type="pct"/>
            <w:tcBorders>
              <w:top w:val="single" w:color="auto" w:sz="2" w:space="0"/>
              <w:left w:val="single" w:color="auto" w:sz="2" w:space="0"/>
              <w:bottom w:val="single" w:color="auto" w:sz="2" w:space="0"/>
              <w:right w:val="single" w:color="auto" w:sz="2" w:space="0"/>
            </w:tcBorders>
            <w:vAlign w:val="center"/>
          </w:tcPr>
          <w:p w14:paraId="3807D0E7">
            <w:pPr>
              <w:adjustRightInd w:val="0"/>
              <w:snapToGrid w:val="0"/>
              <w:spacing w:line="300" w:lineRule="exact"/>
              <w:jc w:val="center"/>
              <w:rPr>
                <w:rFonts w:ascii="宋体" w:hAnsi="宋体"/>
                <w:szCs w:val="21"/>
                <w:highlight w:val="none"/>
              </w:rPr>
            </w:pPr>
          </w:p>
        </w:tc>
        <w:tc>
          <w:tcPr>
            <w:tcW w:w="1201" w:type="pct"/>
            <w:tcBorders>
              <w:top w:val="single" w:color="auto" w:sz="2" w:space="0"/>
              <w:left w:val="single" w:color="auto" w:sz="2" w:space="0"/>
              <w:bottom w:val="single" w:color="auto" w:sz="2" w:space="0"/>
              <w:right w:val="single" w:color="auto" w:sz="2" w:space="0"/>
            </w:tcBorders>
            <w:vAlign w:val="center"/>
          </w:tcPr>
          <w:p w14:paraId="41BF337A">
            <w:pPr>
              <w:adjustRightInd w:val="0"/>
              <w:snapToGrid w:val="0"/>
              <w:spacing w:line="300" w:lineRule="exact"/>
              <w:jc w:val="center"/>
              <w:rPr>
                <w:rFonts w:ascii="宋体" w:hAnsi="宋体"/>
                <w:szCs w:val="21"/>
                <w:highlight w:val="none"/>
              </w:rPr>
            </w:pPr>
            <w:r>
              <w:rPr>
                <w:rFonts w:ascii="宋体" w:hAnsi="宋体"/>
                <w:szCs w:val="21"/>
                <w:highlight w:val="none"/>
              </w:rPr>
              <w:t>银行账号</w:t>
            </w:r>
          </w:p>
        </w:tc>
        <w:tc>
          <w:tcPr>
            <w:tcW w:w="1284" w:type="pct"/>
            <w:tcBorders>
              <w:top w:val="single" w:color="auto" w:sz="2" w:space="0"/>
              <w:left w:val="single" w:color="auto" w:sz="2" w:space="0"/>
              <w:bottom w:val="single" w:color="auto" w:sz="2" w:space="0"/>
            </w:tcBorders>
            <w:vAlign w:val="center"/>
          </w:tcPr>
          <w:p w14:paraId="4ECA8BD7">
            <w:pPr>
              <w:adjustRightInd w:val="0"/>
              <w:snapToGrid w:val="0"/>
              <w:spacing w:line="300" w:lineRule="exact"/>
              <w:jc w:val="center"/>
              <w:rPr>
                <w:rFonts w:ascii="宋体" w:hAnsi="宋体"/>
                <w:spacing w:val="20"/>
                <w:szCs w:val="21"/>
                <w:highlight w:val="none"/>
              </w:rPr>
            </w:pPr>
          </w:p>
        </w:tc>
      </w:tr>
      <w:tr w14:paraId="5E4CB5A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057EBDCC">
            <w:pPr>
              <w:pStyle w:val="3"/>
              <w:adjustRightInd w:val="0"/>
              <w:snapToGrid w:val="0"/>
              <w:spacing w:before="120" w:beforeLines="50" w:after="0" w:line="360" w:lineRule="auto"/>
              <w:ind w:left="0" w:leftChars="0"/>
              <w:jc w:val="left"/>
              <w:rPr>
                <w:rFonts w:ascii="宋体" w:hAnsi="宋体"/>
                <w:spacing w:val="20"/>
                <w:szCs w:val="21"/>
                <w:highlight w:val="none"/>
              </w:rPr>
            </w:pPr>
            <w:r>
              <w:rPr>
                <w:rFonts w:hint="eastAsia" w:ascii="宋体" w:hAnsi="宋体"/>
                <w:szCs w:val="21"/>
                <w:highlight w:val="none"/>
              </w:rPr>
              <w:t>注：涉及联合体或其他合同主体的信息应按上表格式加列。</w:t>
            </w:r>
          </w:p>
        </w:tc>
      </w:tr>
    </w:tbl>
    <w:p w14:paraId="06BEA248">
      <w:pPr>
        <w:pStyle w:val="7"/>
        <w:snapToGrid w:val="0"/>
        <w:spacing w:beforeLines="50"/>
        <w:jc w:val="center"/>
        <w:rPr>
          <w:rFonts w:ascii="宋体" w:hAnsi="宋体" w:eastAsia="宋体"/>
          <w:szCs w:val="28"/>
          <w:highlight w:val="none"/>
        </w:rPr>
      </w:pPr>
      <w:r>
        <w:rPr>
          <w:rFonts w:ascii="宋体" w:hAnsi="宋体" w:eastAsia="宋体"/>
          <w:sz w:val="21"/>
          <w:szCs w:val="21"/>
          <w:highlight w:val="none"/>
          <w:u w:val="single"/>
        </w:rPr>
        <w:br w:type="page"/>
      </w:r>
      <w:bookmarkStart w:id="74" w:name="_Toc27624"/>
      <w:r>
        <w:rPr>
          <w:rFonts w:hint="eastAsia" w:ascii="宋体" w:hAnsi="宋体" w:eastAsia="宋体"/>
          <w:b w:val="0"/>
          <w:szCs w:val="28"/>
          <w:highlight w:val="none"/>
        </w:rPr>
        <w:t>第二节 政府采购合同通用条款</w:t>
      </w:r>
      <w:bookmarkEnd w:id="74"/>
    </w:p>
    <w:p w14:paraId="080594C9">
      <w:pPr>
        <w:tabs>
          <w:tab w:val="left" w:pos="8820"/>
          <w:tab w:val="left" w:pos="9345"/>
          <w:tab w:val="left" w:pos="9765"/>
        </w:tabs>
        <w:adjustRightInd w:val="0"/>
        <w:snapToGrid w:val="0"/>
        <w:spacing w:line="400" w:lineRule="exact"/>
        <w:jc w:val="left"/>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定义</w:t>
      </w:r>
    </w:p>
    <w:p w14:paraId="68E59138">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1.1合同当事人</w:t>
      </w:r>
    </w:p>
    <w:p w14:paraId="5F88E130">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（1）采购人（以下称甲方）是指使用财政性资金，通过政府采购方式向供应商购买货物及其相关服务的国家机关、事业单位、团体组织。</w:t>
      </w:r>
    </w:p>
    <w:p w14:paraId="2D7C75AB">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（2）供应商（以下称乙方）是指参加政府采购活动并且中标（成交），向采购人提供合同约定的货物及其相关服务的法人、非法人组织或者自然人。</w:t>
      </w:r>
    </w:p>
    <w:p w14:paraId="20AF5C47">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（3）其他合同主体是指除采购人和供应商以外，</w:t>
      </w:r>
      <w:r>
        <w:rPr>
          <w:rFonts w:hint="eastAsia" w:ascii="宋体" w:hAnsi="宋体" w:cs="宋体"/>
          <w:bCs/>
          <w:szCs w:val="21"/>
          <w:highlight w:val="none"/>
        </w:rPr>
        <w:t>依法参与合同缔结或履行，享有权利、承担义务的合同当事人</w:t>
      </w:r>
      <w:r>
        <w:rPr>
          <w:rFonts w:hint="eastAsia" w:ascii="宋体" w:hAnsi="宋体"/>
          <w:szCs w:val="21"/>
          <w:highlight w:val="none"/>
        </w:rPr>
        <w:t>。</w:t>
      </w:r>
    </w:p>
    <w:p w14:paraId="75D6F480">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1.2本合同下列术语应解释为：</w:t>
      </w:r>
    </w:p>
    <w:p w14:paraId="4B2E2A01">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（1）“合同”系指</w:t>
      </w:r>
      <w:r>
        <w:rPr>
          <w:rFonts w:hint="eastAsia" w:ascii="宋体" w:hAnsi="宋体" w:cs="宋体"/>
          <w:bCs/>
          <w:szCs w:val="21"/>
          <w:highlight w:val="none"/>
        </w:rPr>
        <w:t>合同当事人意思表示达成一致的任何协议，包括签署的</w:t>
      </w:r>
      <w:r>
        <w:rPr>
          <w:rFonts w:hint="eastAsia" w:ascii="宋体" w:hAnsi="宋体"/>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highlight w:val="none"/>
        </w:rPr>
        <w:t>国家法律、行政法规和规章制度规定或合同约定的作为合同组成部分的其他文件</w:t>
      </w:r>
      <w:r>
        <w:rPr>
          <w:rFonts w:hint="eastAsia" w:ascii="宋体" w:hAnsi="宋体"/>
          <w:szCs w:val="21"/>
          <w:highlight w:val="none"/>
        </w:rPr>
        <w:t>。</w:t>
      </w:r>
    </w:p>
    <w:p w14:paraId="3FCBF650">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（2）“合同价款”系指根据本合同规定乙方在全面履行合同义务后甲方应支付给乙方的价款。</w:t>
      </w:r>
    </w:p>
    <w:p w14:paraId="083AE4F8">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（3）“货物”系指乙方根据本合同规定须向甲方提供的各种形态和种类的物品，包括原材料、设备、产品（包括软件）及相关的其备品备件、工具、手册及</w:t>
      </w:r>
      <w:r>
        <w:rPr>
          <w:rFonts w:ascii="宋体" w:hAnsi="宋体"/>
          <w:szCs w:val="21"/>
          <w:highlight w:val="none"/>
          <w:lang w:val="en"/>
        </w:rPr>
        <w:t>其他</w:t>
      </w:r>
      <w:r>
        <w:rPr>
          <w:rFonts w:hint="eastAsia" w:ascii="宋体" w:hAnsi="宋体"/>
          <w:szCs w:val="21"/>
          <w:highlight w:val="none"/>
        </w:rPr>
        <w:t>技术资料和材料等。</w:t>
      </w:r>
    </w:p>
    <w:p w14:paraId="75E72349">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（4）“相关服务”系指根据合同规定，乙方应提供的与货物有关的技术、管理和</w:t>
      </w:r>
      <w:r>
        <w:rPr>
          <w:rFonts w:ascii="宋体" w:hAnsi="宋体"/>
          <w:szCs w:val="21"/>
          <w:highlight w:val="none"/>
          <w:lang w:val="en"/>
        </w:rPr>
        <w:t>其他</w:t>
      </w:r>
      <w:r>
        <w:rPr>
          <w:rFonts w:hint="eastAsia" w:ascii="宋体" w:hAnsi="宋体"/>
          <w:szCs w:val="21"/>
          <w:highlight w:val="none"/>
        </w:rPr>
        <w:t>服务，包括但不限于：管理和质量保证、运输、保险、检验、现场准备、安装、集成、调试、培训、维修、废弃处置、技术支持等以及合同中规定乙方应承担的</w:t>
      </w:r>
      <w:r>
        <w:rPr>
          <w:rFonts w:ascii="宋体" w:hAnsi="宋体"/>
          <w:szCs w:val="21"/>
          <w:highlight w:val="none"/>
          <w:lang w:val="en"/>
        </w:rPr>
        <w:t>其他</w:t>
      </w:r>
      <w:r>
        <w:rPr>
          <w:rFonts w:hint="eastAsia" w:ascii="宋体" w:hAnsi="宋体"/>
          <w:szCs w:val="21"/>
          <w:highlight w:val="none"/>
        </w:rPr>
        <w:t>义务。</w:t>
      </w:r>
    </w:p>
    <w:p w14:paraId="5E9D8FE7">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（5）“分包”系指中标（成交）供应商按采购文件、投标（响应）文件的规定，根据分包意向协议，将中标（成交）项目中的部分履约内容，分给具有相应资质条件的供应商履行合同的行为。</w:t>
      </w:r>
    </w:p>
    <w:p w14:paraId="4A24F24E">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highlight w:val="none"/>
        </w:rPr>
        <w:t>政府采购合同专用条款</w:t>
      </w:r>
      <w:r>
        <w:rPr>
          <w:rFonts w:hint="eastAsia" w:ascii="宋体" w:hAnsi="宋体"/>
          <w:szCs w:val="21"/>
          <w:highlight w:val="none"/>
        </w:rPr>
        <w:t>】。</w:t>
      </w:r>
    </w:p>
    <w:p w14:paraId="0578F861">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（7）其他术语解释，见【</w:t>
      </w:r>
      <w:r>
        <w:rPr>
          <w:rFonts w:hint="eastAsia" w:ascii="宋体" w:hAnsi="宋体"/>
          <w:b/>
          <w:bCs/>
          <w:szCs w:val="21"/>
          <w:highlight w:val="none"/>
        </w:rPr>
        <w:t>政府采购合同专用条款</w:t>
      </w:r>
      <w:r>
        <w:rPr>
          <w:rFonts w:hint="eastAsia" w:ascii="宋体" w:hAnsi="宋体"/>
          <w:szCs w:val="21"/>
          <w:highlight w:val="none"/>
        </w:rPr>
        <w:t>】。</w:t>
      </w:r>
    </w:p>
    <w:p w14:paraId="2690DF0F">
      <w:pPr>
        <w:numPr>
          <w:ilvl w:val="0"/>
          <w:numId w:val="8"/>
        </w:numPr>
        <w:autoSpaceDE w:val="0"/>
        <w:autoSpaceDN w:val="0"/>
        <w:adjustRightInd w:val="0"/>
        <w:snapToGrid w:val="0"/>
        <w:spacing w:after="160" w:line="400" w:lineRule="exact"/>
        <w:jc w:val="left"/>
        <w:rPr>
          <w:rFonts w:ascii="宋体" w:hAnsi="宋体"/>
          <w:b/>
          <w:bCs/>
          <w:sz w:val="24"/>
          <w:highlight w:val="none"/>
        </w:rPr>
      </w:pPr>
      <w:r>
        <w:rPr>
          <w:rFonts w:hint="eastAsia" w:ascii="宋体" w:hAnsi="宋体"/>
          <w:b/>
          <w:sz w:val="24"/>
          <w:highlight w:val="none"/>
        </w:rPr>
        <w:t>合同标的及金额</w:t>
      </w:r>
    </w:p>
    <w:p w14:paraId="33F41888">
      <w:pPr>
        <w:autoSpaceDE w:val="0"/>
        <w:autoSpaceDN w:val="0"/>
        <w:adjustRightInd w:val="0"/>
        <w:snapToGrid w:val="0"/>
        <w:spacing w:line="400" w:lineRule="exact"/>
        <w:ind w:firstLine="420" w:firstLineChars="200"/>
        <w:jc w:val="left"/>
        <w:rPr>
          <w:rFonts w:ascii="宋体" w:hAnsi="宋体"/>
          <w:b/>
          <w:bCs/>
          <w:i/>
          <w:iCs/>
          <w:szCs w:val="21"/>
          <w:highlight w:val="none"/>
        </w:rPr>
      </w:pPr>
      <w:r>
        <w:rPr>
          <w:rFonts w:hint="eastAsia" w:ascii="宋体" w:hAnsi="宋体"/>
          <w:szCs w:val="21"/>
          <w:highlight w:val="none"/>
        </w:rPr>
        <w:t>2.1 合同标的及金额应与中标（成交）结果一致。乙方为履行本合同而发生的所有费用均应包含在合同价款中，甲方不再另行支付</w:t>
      </w:r>
      <w:r>
        <w:rPr>
          <w:rFonts w:ascii="宋体" w:hAnsi="宋体"/>
          <w:szCs w:val="21"/>
          <w:highlight w:val="none"/>
          <w:lang w:val="en"/>
        </w:rPr>
        <w:t>其他</w:t>
      </w:r>
      <w:r>
        <w:rPr>
          <w:rFonts w:hint="eastAsia" w:ascii="宋体" w:hAnsi="宋体"/>
          <w:szCs w:val="21"/>
          <w:highlight w:val="none"/>
        </w:rPr>
        <w:t>任何费用。</w:t>
      </w:r>
    </w:p>
    <w:p w14:paraId="368DDA67">
      <w:pPr>
        <w:adjustRightInd w:val="0"/>
        <w:snapToGrid w:val="0"/>
        <w:spacing w:line="400" w:lineRule="exact"/>
        <w:jc w:val="left"/>
        <w:rPr>
          <w:rFonts w:ascii="宋体" w:hAnsi="宋体"/>
          <w:b/>
          <w:sz w:val="24"/>
          <w:highlight w:val="none"/>
        </w:rPr>
      </w:pPr>
      <w:r>
        <w:rPr>
          <w:rFonts w:hint="eastAsia" w:ascii="宋体" w:hAnsi="宋体"/>
          <w:b/>
          <w:sz w:val="24"/>
          <w:highlight w:val="none"/>
        </w:rPr>
        <w:t>3. 履行合同的时间、地点和方式</w:t>
      </w:r>
    </w:p>
    <w:p w14:paraId="6BF6B108">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 xml:space="preserve">3.1 </w:t>
      </w:r>
      <w:r>
        <w:rPr>
          <w:rFonts w:hint="eastAsia" w:ascii="宋体" w:hAnsi="宋体" w:cs="宋体"/>
          <w:szCs w:val="21"/>
          <w:highlight w:val="none"/>
        </w:rPr>
        <w:t>乙方应当在约定的时间、地点，按照约定方式履行合同。</w:t>
      </w:r>
    </w:p>
    <w:p w14:paraId="15A1B869">
      <w:pPr>
        <w:autoSpaceDE w:val="0"/>
        <w:autoSpaceDN w:val="0"/>
        <w:adjustRightInd w:val="0"/>
        <w:snapToGrid w:val="0"/>
        <w:spacing w:line="400" w:lineRule="exact"/>
        <w:jc w:val="left"/>
        <w:rPr>
          <w:rFonts w:ascii="宋体" w:hAnsi="宋体"/>
          <w:b/>
          <w:bCs/>
          <w:sz w:val="24"/>
          <w:highlight w:val="none"/>
        </w:rPr>
      </w:pPr>
      <w:r>
        <w:rPr>
          <w:rFonts w:hint="eastAsia" w:ascii="宋体" w:hAnsi="宋体"/>
          <w:b/>
          <w:bCs/>
          <w:sz w:val="24"/>
          <w:highlight w:val="none"/>
        </w:rPr>
        <w:t>4. 甲方的权利和义务</w:t>
      </w:r>
    </w:p>
    <w:p w14:paraId="4A6D9DD5">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4.1</w:t>
      </w:r>
      <w:r>
        <w:rPr>
          <w:rFonts w:ascii="宋体" w:hAnsi="宋体"/>
          <w:szCs w:val="21"/>
          <w:highlight w:val="none"/>
        </w:rPr>
        <w:t xml:space="preserve"> 签署合同后，甲方</w:t>
      </w:r>
      <w:r>
        <w:rPr>
          <w:rFonts w:hint="eastAsia" w:ascii="宋体" w:hAnsi="宋体"/>
          <w:szCs w:val="21"/>
          <w:highlight w:val="none"/>
        </w:rPr>
        <w:t>应</w:t>
      </w:r>
      <w:r>
        <w:rPr>
          <w:rFonts w:ascii="宋体" w:hAnsi="宋体"/>
          <w:szCs w:val="21"/>
          <w:highlight w:val="none"/>
        </w:rPr>
        <w:t>确定</w:t>
      </w:r>
      <w:r>
        <w:rPr>
          <w:rFonts w:hint="eastAsia" w:ascii="宋体" w:hAnsi="宋体"/>
          <w:szCs w:val="21"/>
          <w:highlight w:val="none"/>
        </w:rPr>
        <w:t>项目负责人（或项目联系人）</w:t>
      </w:r>
      <w:r>
        <w:rPr>
          <w:rFonts w:ascii="宋体" w:hAnsi="宋体"/>
          <w:szCs w:val="21"/>
          <w:highlight w:val="none"/>
        </w:rPr>
        <w:t>，负责与本合同有关的事务。</w:t>
      </w:r>
      <w:r>
        <w:rPr>
          <w:rFonts w:hint="eastAsia" w:ascii="宋体" w:hAnsi="宋体"/>
          <w:szCs w:val="21"/>
          <w:highlight w:val="none"/>
        </w:rPr>
        <w:t>甲方有权对乙方的履约行为进行检查，并</w:t>
      </w:r>
      <w:r>
        <w:rPr>
          <w:rFonts w:ascii="宋体" w:hAnsi="宋体"/>
          <w:szCs w:val="21"/>
          <w:highlight w:val="none"/>
        </w:rPr>
        <w:t>及时确认乙方提交的事项</w:t>
      </w:r>
      <w:r>
        <w:rPr>
          <w:rFonts w:hint="eastAsia" w:ascii="宋体" w:hAnsi="宋体"/>
          <w:szCs w:val="21"/>
          <w:highlight w:val="none"/>
        </w:rPr>
        <w:t>。甲方应当</w:t>
      </w:r>
      <w:r>
        <w:rPr>
          <w:rFonts w:ascii="宋体" w:hAnsi="宋体"/>
          <w:szCs w:val="21"/>
          <w:highlight w:val="none"/>
        </w:rPr>
        <w:t>配合乙方完成</w:t>
      </w:r>
      <w:r>
        <w:rPr>
          <w:rFonts w:hint="eastAsia" w:ascii="宋体" w:hAnsi="宋体"/>
          <w:szCs w:val="21"/>
          <w:highlight w:val="none"/>
        </w:rPr>
        <w:t>相关项目</w:t>
      </w:r>
      <w:r>
        <w:rPr>
          <w:rFonts w:ascii="宋体" w:hAnsi="宋体"/>
          <w:szCs w:val="21"/>
          <w:highlight w:val="none"/>
        </w:rPr>
        <w:t>实施工作。</w:t>
      </w:r>
    </w:p>
    <w:p w14:paraId="78BFCE1D">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 xml:space="preserve">4.2 </w:t>
      </w:r>
      <w:r>
        <w:rPr>
          <w:rFonts w:ascii="宋体" w:hAnsi="宋体"/>
          <w:szCs w:val="21"/>
          <w:highlight w:val="none"/>
        </w:rPr>
        <w:t>甲方有权要求乙方按时提交各阶段有关</w:t>
      </w:r>
      <w:r>
        <w:rPr>
          <w:rFonts w:hint="eastAsia" w:ascii="宋体" w:hAnsi="宋体"/>
          <w:szCs w:val="21"/>
          <w:highlight w:val="none"/>
        </w:rPr>
        <w:t>安排计划</w:t>
      </w:r>
      <w:r>
        <w:rPr>
          <w:rFonts w:ascii="宋体" w:hAnsi="宋体"/>
          <w:szCs w:val="21"/>
          <w:highlight w:val="none"/>
        </w:rPr>
        <w:t>，并有权</w:t>
      </w:r>
      <w:r>
        <w:rPr>
          <w:rFonts w:hint="eastAsia" w:ascii="宋体" w:hAnsi="宋体"/>
          <w:szCs w:val="21"/>
          <w:highlight w:val="none"/>
        </w:rPr>
        <w:t>定期核对乙方提供货物数量、规格、质量等内容。甲方</w:t>
      </w:r>
      <w:r>
        <w:rPr>
          <w:rFonts w:ascii="宋体" w:hAnsi="宋体"/>
          <w:szCs w:val="21"/>
          <w:highlight w:val="none"/>
        </w:rPr>
        <w:t>有权督促乙方工作并要求乙方</w:t>
      </w:r>
      <w:r>
        <w:rPr>
          <w:rFonts w:hint="eastAsia" w:ascii="宋体" w:hAnsi="宋体"/>
          <w:szCs w:val="21"/>
          <w:highlight w:val="none"/>
        </w:rPr>
        <w:t>更</w:t>
      </w:r>
      <w:r>
        <w:rPr>
          <w:rFonts w:ascii="宋体" w:hAnsi="宋体"/>
          <w:szCs w:val="21"/>
          <w:highlight w:val="none"/>
        </w:rPr>
        <w:t>换不符合要求的</w:t>
      </w:r>
      <w:r>
        <w:rPr>
          <w:rFonts w:hint="eastAsia" w:ascii="宋体" w:hAnsi="宋体"/>
          <w:szCs w:val="21"/>
          <w:highlight w:val="none"/>
        </w:rPr>
        <w:t>货物</w:t>
      </w:r>
      <w:r>
        <w:rPr>
          <w:rFonts w:ascii="宋体" w:hAnsi="宋体"/>
          <w:szCs w:val="21"/>
          <w:highlight w:val="none"/>
        </w:rPr>
        <w:t>。</w:t>
      </w:r>
    </w:p>
    <w:p w14:paraId="38AAD5B3">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4.</w:t>
      </w:r>
      <w:r>
        <w:rPr>
          <w:rFonts w:ascii="宋体" w:hAnsi="宋体"/>
          <w:szCs w:val="21"/>
          <w:highlight w:val="none"/>
        </w:rPr>
        <w:t>3</w:t>
      </w:r>
      <w:r>
        <w:rPr>
          <w:rFonts w:hint="eastAsia" w:ascii="宋体" w:hAnsi="宋体"/>
          <w:szCs w:val="21"/>
          <w:highlight w:val="none"/>
        </w:rPr>
        <w:t xml:space="preserve"> </w:t>
      </w:r>
      <w:r>
        <w:rPr>
          <w:rFonts w:ascii="宋体" w:hAnsi="宋体"/>
          <w:szCs w:val="21"/>
          <w:highlight w:val="none"/>
        </w:rPr>
        <w:t>甲方</w:t>
      </w:r>
      <w:r>
        <w:rPr>
          <w:rFonts w:hint="eastAsia" w:ascii="宋体" w:hAnsi="宋体"/>
          <w:szCs w:val="21"/>
          <w:highlight w:val="none"/>
        </w:rPr>
        <w:t>有权要求乙方对缺陷部分予以修复，并按合同约定享有货物保修及其他合同约定的权利。</w:t>
      </w:r>
    </w:p>
    <w:p w14:paraId="7CEB95C3">
      <w:pPr>
        <w:snapToGrid w:val="0"/>
        <w:spacing w:line="400" w:lineRule="exact"/>
        <w:ind w:firstLine="420" w:firstLineChars="200"/>
        <w:rPr>
          <w:rFonts w:ascii="宋体" w:hAnsi="宋体"/>
          <w:highlight w:val="none"/>
        </w:rPr>
      </w:pPr>
      <w:r>
        <w:rPr>
          <w:rFonts w:ascii="宋体" w:hAnsi="宋体"/>
          <w:szCs w:val="21"/>
          <w:highlight w:val="none"/>
        </w:rPr>
        <w:t>4.4 甲方应当按照合同约定及时对交付的货物进行验收</w:t>
      </w:r>
      <w:r>
        <w:rPr>
          <w:rFonts w:hint="eastAsia" w:ascii="宋体" w:hAnsi="宋体"/>
          <w:szCs w:val="21"/>
          <w:highlight w:val="none"/>
        </w:rPr>
        <w:t>，</w:t>
      </w:r>
      <w:r>
        <w:rPr>
          <w:rFonts w:hint="eastAsia" w:ascii="宋体" w:hAnsi="宋体" w:cs="宋体"/>
          <w:szCs w:val="21"/>
          <w:highlight w:val="none"/>
        </w:rPr>
        <w:t>未</w:t>
      </w:r>
      <w:r>
        <w:rPr>
          <w:rFonts w:hint="eastAsia" w:ascii="宋体" w:hAnsi="宋体"/>
          <w:szCs w:val="21"/>
          <w:highlight w:val="none"/>
        </w:rPr>
        <w:t>在</w:t>
      </w:r>
      <w:r>
        <w:rPr>
          <w:rFonts w:hint="eastAsia" w:ascii="宋体" w:hAnsi="宋体" w:cs="宋体"/>
          <w:b/>
          <w:bCs/>
          <w:szCs w:val="21"/>
          <w:highlight w:val="none"/>
        </w:rPr>
        <w:t>【政府采购合同专用条款】</w:t>
      </w:r>
      <w:r>
        <w:rPr>
          <w:rFonts w:hint="eastAsia" w:ascii="宋体" w:hAnsi="宋体" w:cs="宋体"/>
          <w:szCs w:val="21"/>
          <w:highlight w:val="none"/>
        </w:rPr>
        <w:t>约定的期限内对乙方履约提出任何异议或者向乙方作出任何说明的，</w:t>
      </w:r>
      <w:r>
        <w:rPr>
          <w:rFonts w:hint="eastAsia" w:ascii="宋体" w:hAnsi="宋体"/>
          <w:szCs w:val="21"/>
          <w:highlight w:val="none"/>
        </w:rPr>
        <w:t>视为验收通过。</w:t>
      </w:r>
    </w:p>
    <w:p w14:paraId="35200D40">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4</w:t>
      </w:r>
      <w:r>
        <w:rPr>
          <w:rFonts w:hint="eastAsia" w:ascii="宋体" w:hAnsi="宋体"/>
          <w:szCs w:val="21"/>
          <w:highlight w:val="none"/>
        </w:rPr>
        <w:t>.</w:t>
      </w:r>
      <w:r>
        <w:rPr>
          <w:rFonts w:ascii="宋体" w:hAnsi="宋体"/>
          <w:szCs w:val="21"/>
          <w:highlight w:val="none"/>
        </w:rPr>
        <w:t xml:space="preserve">5 </w:t>
      </w:r>
      <w:r>
        <w:rPr>
          <w:rFonts w:hint="eastAsia" w:ascii="宋体" w:hAnsi="宋体"/>
          <w:szCs w:val="21"/>
          <w:highlight w:val="none"/>
        </w:rPr>
        <w:t>甲方应当根据合同约定及时向乙方支付合同价款</w:t>
      </w:r>
      <w:r>
        <w:rPr>
          <w:rFonts w:ascii="宋体" w:hAnsi="宋体"/>
          <w:szCs w:val="21"/>
          <w:highlight w:val="none"/>
        </w:rPr>
        <w:t>，不得以内部人员变更、履行内部付款流程等为由，拒绝或迟延支付。</w:t>
      </w:r>
    </w:p>
    <w:p w14:paraId="3C299D50">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4.6</w:t>
      </w:r>
      <w:r>
        <w:rPr>
          <w:rFonts w:ascii="宋体" w:hAnsi="宋体"/>
          <w:szCs w:val="21"/>
          <w:highlight w:val="none"/>
        </w:rPr>
        <w:t xml:space="preserve"> </w:t>
      </w:r>
      <w:r>
        <w:rPr>
          <w:rFonts w:hint="eastAsia" w:ascii="宋体" w:hAnsi="宋体"/>
          <w:szCs w:val="21"/>
          <w:highlight w:val="none"/>
        </w:rPr>
        <w:t>国家法律法规规定及</w:t>
      </w:r>
      <w:r>
        <w:rPr>
          <w:rFonts w:hint="eastAsia" w:ascii="宋体" w:hAnsi="宋体" w:cs="宋体"/>
          <w:b/>
          <w:bCs/>
          <w:szCs w:val="21"/>
          <w:highlight w:val="none"/>
        </w:rPr>
        <w:t>【政府采购合同专用条款】</w:t>
      </w:r>
      <w:r>
        <w:rPr>
          <w:rFonts w:hint="eastAsia" w:ascii="宋体" w:hAnsi="宋体"/>
          <w:szCs w:val="21"/>
          <w:highlight w:val="none"/>
        </w:rPr>
        <w:t>约定应由甲方承担的其他义务和责任。</w:t>
      </w:r>
    </w:p>
    <w:p w14:paraId="3644C013">
      <w:pPr>
        <w:autoSpaceDE w:val="0"/>
        <w:autoSpaceDN w:val="0"/>
        <w:adjustRightInd w:val="0"/>
        <w:snapToGrid w:val="0"/>
        <w:spacing w:line="400" w:lineRule="exact"/>
        <w:jc w:val="left"/>
        <w:rPr>
          <w:rFonts w:ascii="宋体" w:hAnsi="宋体"/>
          <w:b/>
          <w:bCs/>
          <w:sz w:val="24"/>
          <w:highlight w:val="none"/>
        </w:rPr>
      </w:pPr>
      <w:r>
        <w:rPr>
          <w:rFonts w:hint="eastAsia" w:ascii="宋体" w:hAnsi="宋体"/>
          <w:b/>
          <w:bCs/>
          <w:sz w:val="24"/>
          <w:highlight w:val="none"/>
        </w:rPr>
        <w:t>5. 乙方的权利和义务</w:t>
      </w:r>
    </w:p>
    <w:p w14:paraId="498E07CB">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 xml:space="preserve">5.1 </w:t>
      </w:r>
      <w:r>
        <w:rPr>
          <w:rFonts w:ascii="宋体" w:hAnsi="宋体"/>
          <w:szCs w:val="21"/>
          <w:highlight w:val="none"/>
        </w:rPr>
        <w:t>签署合同后，乙方</w:t>
      </w:r>
      <w:r>
        <w:rPr>
          <w:rFonts w:hint="eastAsia" w:ascii="宋体" w:hAnsi="宋体"/>
          <w:szCs w:val="21"/>
          <w:highlight w:val="none"/>
        </w:rPr>
        <w:t>应</w:t>
      </w:r>
      <w:r>
        <w:rPr>
          <w:rFonts w:ascii="宋体" w:hAnsi="宋体"/>
          <w:szCs w:val="21"/>
          <w:highlight w:val="none"/>
        </w:rPr>
        <w:t>确定</w:t>
      </w:r>
      <w:r>
        <w:rPr>
          <w:rFonts w:hint="eastAsia" w:ascii="宋体" w:hAnsi="宋体"/>
          <w:szCs w:val="21"/>
          <w:highlight w:val="none"/>
        </w:rPr>
        <w:t>项目负责人（或项目联系人）</w:t>
      </w:r>
      <w:r>
        <w:rPr>
          <w:rFonts w:ascii="宋体" w:hAnsi="宋体"/>
          <w:szCs w:val="21"/>
          <w:highlight w:val="none"/>
        </w:rPr>
        <w:t>，负责与本合同有关的事务。</w:t>
      </w:r>
    </w:p>
    <w:p w14:paraId="02B5F1A8">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5.</w:t>
      </w:r>
      <w:r>
        <w:rPr>
          <w:rFonts w:ascii="宋体" w:hAnsi="宋体"/>
          <w:szCs w:val="21"/>
          <w:highlight w:val="none"/>
        </w:rPr>
        <w:t>2 乙方应按照合同要求</w:t>
      </w:r>
      <w:r>
        <w:rPr>
          <w:rFonts w:hint="eastAsia" w:ascii="宋体" w:hAnsi="宋体"/>
          <w:szCs w:val="21"/>
          <w:highlight w:val="none"/>
        </w:rPr>
        <w:t>履约</w:t>
      </w:r>
      <w:r>
        <w:rPr>
          <w:rFonts w:ascii="宋体" w:hAnsi="宋体"/>
          <w:szCs w:val="21"/>
          <w:highlight w:val="none"/>
        </w:rPr>
        <w:t>，充分合理安排，确保</w:t>
      </w:r>
      <w:r>
        <w:rPr>
          <w:rFonts w:hint="eastAsia" w:ascii="宋体" w:hAnsi="宋体"/>
          <w:szCs w:val="21"/>
          <w:highlight w:val="none"/>
        </w:rPr>
        <w:t>提供的货物及相关服务符合合同有关</w:t>
      </w:r>
      <w:r>
        <w:rPr>
          <w:rFonts w:ascii="宋体" w:hAnsi="宋体"/>
          <w:szCs w:val="21"/>
          <w:highlight w:val="none"/>
        </w:rPr>
        <w:t>要求</w:t>
      </w:r>
      <w:r>
        <w:rPr>
          <w:rFonts w:hint="eastAsia" w:ascii="宋体" w:hAnsi="宋体"/>
          <w:szCs w:val="21"/>
          <w:highlight w:val="none"/>
        </w:rPr>
        <w:t>。接受项目行业管理部门及政府有关部门的指导，配合甲方的履约检查及验收，并</w:t>
      </w:r>
      <w:r>
        <w:rPr>
          <w:rFonts w:ascii="宋体" w:hAnsi="宋体"/>
          <w:szCs w:val="21"/>
          <w:highlight w:val="none"/>
        </w:rPr>
        <w:t>负责项目实施过程中的所有协调工作。</w:t>
      </w:r>
    </w:p>
    <w:p w14:paraId="37E39327">
      <w:pPr>
        <w:pStyle w:val="13"/>
        <w:spacing w:after="0" w:line="400" w:lineRule="exact"/>
        <w:ind w:firstLine="369" w:firstLineChars="176"/>
        <w:rPr>
          <w:rFonts w:ascii="宋体" w:hAnsi="宋体" w:cs="宋体"/>
          <w:szCs w:val="21"/>
          <w:highlight w:val="none"/>
        </w:rPr>
      </w:pPr>
      <w:r>
        <w:rPr>
          <w:rFonts w:hint="eastAsia" w:ascii="宋体" w:hAnsi="宋体"/>
          <w:szCs w:val="21"/>
          <w:highlight w:val="none"/>
        </w:rPr>
        <w:t>5.</w:t>
      </w:r>
      <w:r>
        <w:rPr>
          <w:rFonts w:ascii="宋体" w:hAnsi="宋体"/>
          <w:szCs w:val="21"/>
          <w:highlight w:val="none"/>
        </w:rPr>
        <w:t>3</w:t>
      </w:r>
      <w:r>
        <w:rPr>
          <w:rFonts w:hint="eastAsia" w:ascii="宋体" w:hAnsi="宋体"/>
          <w:szCs w:val="21"/>
          <w:highlight w:val="none"/>
        </w:rPr>
        <w:t>乙方有权</w:t>
      </w:r>
      <w:r>
        <w:rPr>
          <w:rFonts w:hint="eastAsia" w:ascii="宋体" w:hAnsi="宋体" w:cs="宋体"/>
          <w:szCs w:val="21"/>
          <w:highlight w:val="none"/>
        </w:rPr>
        <w:t>根据合同约定向甲方收取合同价款。</w:t>
      </w:r>
    </w:p>
    <w:p w14:paraId="7878857C">
      <w:pPr>
        <w:pStyle w:val="13"/>
        <w:spacing w:after="0" w:line="400" w:lineRule="exact"/>
        <w:ind w:firstLine="369" w:firstLineChars="176"/>
        <w:rPr>
          <w:rFonts w:ascii="宋体" w:hAnsi="宋体" w:cs="宋体"/>
          <w:szCs w:val="21"/>
          <w:highlight w:val="none"/>
        </w:rPr>
      </w:pPr>
      <w:r>
        <w:rPr>
          <w:rFonts w:hint="eastAsia" w:ascii="宋体" w:hAnsi="宋体"/>
          <w:szCs w:val="21"/>
          <w:highlight w:val="none"/>
        </w:rPr>
        <w:t>5.</w:t>
      </w:r>
      <w:r>
        <w:rPr>
          <w:rFonts w:ascii="宋体" w:hAnsi="宋体"/>
          <w:szCs w:val="21"/>
          <w:highlight w:val="none"/>
        </w:rPr>
        <w:t>4</w:t>
      </w:r>
      <w:r>
        <w:rPr>
          <w:rFonts w:hint="eastAsia" w:ascii="宋体" w:hAnsi="宋体" w:cs="宋体"/>
          <w:szCs w:val="21"/>
          <w:highlight w:val="none"/>
        </w:rPr>
        <w:t>国家法律法规规定</w:t>
      </w:r>
      <w:r>
        <w:rPr>
          <w:rFonts w:hint="eastAsia" w:ascii="宋体" w:hAnsi="宋体"/>
          <w:szCs w:val="21"/>
          <w:highlight w:val="none"/>
        </w:rPr>
        <w:t>及</w:t>
      </w:r>
      <w:r>
        <w:rPr>
          <w:rFonts w:hint="eastAsia" w:ascii="宋体" w:hAnsi="宋体" w:cs="宋体"/>
          <w:b/>
          <w:bCs/>
          <w:szCs w:val="21"/>
          <w:highlight w:val="none"/>
        </w:rPr>
        <w:t>【政府采购合同专用条款】</w:t>
      </w:r>
      <w:r>
        <w:rPr>
          <w:rFonts w:hint="eastAsia" w:ascii="宋体" w:hAnsi="宋体" w:cs="宋体"/>
          <w:szCs w:val="21"/>
          <w:highlight w:val="none"/>
        </w:rPr>
        <w:t>约定应由乙方承担的其他义务和责任。</w:t>
      </w:r>
    </w:p>
    <w:p w14:paraId="4B8B168D">
      <w:pPr>
        <w:numPr>
          <w:ilvl w:val="0"/>
          <w:numId w:val="9"/>
        </w:numPr>
        <w:autoSpaceDE w:val="0"/>
        <w:autoSpaceDN w:val="0"/>
        <w:adjustRightInd w:val="0"/>
        <w:snapToGrid w:val="0"/>
        <w:spacing w:after="160" w:line="400" w:lineRule="exact"/>
        <w:jc w:val="left"/>
        <w:rPr>
          <w:rFonts w:ascii="宋体" w:hAnsi="宋体"/>
          <w:b/>
          <w:bCs/>
          <w:sz w:val="24"/>
          <w:highlight w:val="none"/>
        </w:rPr>
      </w:pPr>
      <w:r>
        <w:rPr>
          <w:rFonts w:hint="eastAsia" w:ascii="宋体" w:hAnsi="宋体"/>
          <w:b/>
          <w:bCs/>
          <w:sz w:val="24"/>
          <w:highlight w:val="none"/>
        </w:rPr>
        <w:t>合同履行</w:t>
      </w:r>
    </w:p>
    <w:p w14:paraId="4531F5D4">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6.1 甲乙双方应当按照</w:t>
      </w:r>
      <w:r>
        <w:rPr>
          <w:rFonts w:hint="eastAsia" w:ascii="宋体" w:hAnsi="宋体" w:cs="宋体"/>
          <w:b/>
          <w:bCs/>
          <w:szCs w:val="21"/>
          <w:highlight w:val="none"/>
        </w:rPr>
        <w:t>【政府采购合同专用条款】</w:t>
      </w:r>
      <w:r>
        <w:rPr>
          <w:rFonts w:hint="eastAsia" w:ascii="宋体" w:hAnsi="宋体"/>
          <w:szCs w:val="21"/>
          <w:highlight w:val="none"/>
        </w:rPr>
        <w:t>约定顺序履行合同义务；如果没有先后顺序的，应当同时履行。</w:t>
      </w:r>
    </w:p>
    <w:p w14:paraId="15F32B59">
      <w:pPr>
        <w:autoSpaceDE w:val="0"/>
        <w:autoSpaceDN w:val="0"/>
        <w:adjustRightInd w:val="0"/>
        <w:snapToGrid w:val="0"/>
        <w:spacing w:line="400" w:lineRule="exact"/>
        <w:ind w:firstLine="420" w:firstLineChars="200"/>
        <w:jc w:val="left"/>
        <w:rPr>
          <w:rFonts w:ascii="宋体" w:hAnsi="宋体"/>
          <w:highlight w:val="none"/>
        </w:rPr>
      </w:pPr>
      <w:r>
        <w:rPr>
          <w:rFonts w:hint="eastAsia" w:ascii="宋体" w:hAnsi="宋体"/>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20C10B95">
      <w:pPr>
        <w:adjustRightInd w:val="0"/>
        <w:snapToGrid w:val="0"/>
        <w:spacing w:line="400" w:lineRule="exact"/>
        <w:jc w:val="left"/>
        <w:rPr>
          <w:rFonts w:ascii="宋体" w:hAnsi="宋体"/>
          <w:b/>
          <w:bCs/>
          <w:sz w:val="24"/>
          <w:highlight w:val="none"/>
        </w:rPr>
      </w:pPr>
      <w:r>
        <w:rPr>
          <w:rFonts w:hint="eastAsia" w:ascii="宋体" w:hAnsi="宋体"/>
          <w:b/>
          <w:bCs/>
          <w:sz w:val="24"/>
          <w:highlight w:val="none"/>
        </w:rPr>
        <w:t>7. 货物包装、运输、保险和交付要求</w:t>
      </w:r>
    </w:p>
    <w:p w14:paraId="1B8F049E">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7.1 本合同</w:t>
      </w:r>
      <w:r>
        <w:rPr>
          <w:rFonts w:hint="eastAsia" w:ascii="宋体" w:hAnsi="宋体"/>
          <w:bCs/>
          <w:szCs w:val="21"/>
          <w:highlight w:val="none"/>
        </w:rPr>
        <w:t>涉及商品包装、快递包装的，</w:t>
      </w:r>
      <w:r>
        <w:rPr>
          <w:rFonts w:hint="eastAsia" w:ascii="宋体" w:hAnsi="宋体"/>
          <w:szCs w:val="21"/>
          <w:highlight w:val="none"/>
        </w:rPr>
        <w:t>除</w:t>
      </w:r>
      <w:r>
        <w:rPr>
          <w:rFonts w:hint="eastAsia" w:ascii="宋体" w:hAnsi="宋体"/>
          <w:b/>
          <w:szCs w:val="21"/>
          <w:highlight w:val="none"/>
        </w:rPr>
        <w:t>【政府采购合同专用条款】</w:t>
      </w:r>
      <w:r>
        <w:rPr>
          <w:rFonts w:hint="eastAsia" w:ascii="宋体" w:hAnsi="宋体"/>
          <w:bCs/>
          <w:szCs w:val="21"/>
          <w:highlight w:val="none"/>
        </w:rPr>
        <w:t>另有约定外，</w:t>
      </w:r>
      <w:r>
        <w:rPr>
          <w:rFonts w:hint="eastAsia" w:ascii="宋体" w:hAnsi="宋体"/>
          <w:szCs w:val="21"/>
          <w:highlight w:val="none"/>
        </w:rPr>
        <w:t>包装应适应远距离运输、防潮、防震、防锈和防野蛮装卸等要求，确保货物安全无损地运抵</w:t>
      </w:r>
      <w:r>
        <w:rPr>
          <w:rFonts w:hint="eastAsia" w:ascii="宋体" w:hAnsi="宋体"/>
          <w:b/>
          <w:szCs w:val="21"/>
          <w:highlight w:val="none"/>
        </w:rPr>
        <w:t>【政府采购合同专用条款】</w:t>
      </w:r>
      <w:r>
        <w:rPr>
          <w:rFonts w:hint="eastAsia" w:ascii="宋体" w:hAnsi="宋体"/>
          <w:bCs/>
          <w:szCs w:val="21"/>
          <w:highlight w:val="none"/>
        </w:rPr>
        <w:t>约定的</w:t>
      </w:r>
      <w:r>
        <w:rPr>
          <w:rFonts w:hint="eastAsia" w:ascii="宋体" w:hAnsi="宋体"/>
          <w:szCs w:val="21"/>
          <w:highlight w:val="none"/>
        </w:rPr>
        <w:t>指定现场。</w:t>
      </w:r>
    </w:p>
    <w:p w14:paraId="1BCD423F">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7.2 除</w:t>
      </w:r>
      <w:r>
        <w:rPr>
          <w:rFonts w:hint="eastAsia" w:ascii="宋体" w:hAnsi="宋体"/>
          <w:b/>
          <w:szCs w:val="21"/>
          <w:highlight w:val="none"/>
        </w:rPr>
        <w:t>【政府采购合同专用条款】</w:t>
      </w:r>
      <w:r>
        <w:rPr>
          <w:rFonts w:hint="eastAsia" w:ascii="宋体" w:hAnsi="宋体"/>
          <w:bCs/>
          <w:szCs w:val="21"/>
          <w:highlight w:val="none"/>
        </w:rPr>
        <w:t>另有约定外，</w:t>
      </w:r>
      <w:r>
        <w:rPr>
          <w:rFonts w:hint="eastAsia" w:ascii="宋体" w:hAnsi="宋体"/>
          <w:szCs w:val="21"/>
          <w:highlight w:val="none"/>
        </w:rPr>
        <w:t>乙方负责办理将货物运抵本合同规定的交货地点，并装卸、交付至甲方的一切运输事项，相关费用应包含在合同价款中。</w:t>
      </w:r>
    </w:p>
    <w:p w14:paraId="5BE4E21A">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7.3 货物保险要求按</w:t>
      </w:r>
      <w:r>
        <w:rPr>
          <w:rFonts w:hint="eastAsia" w:ascii="宋体" w:hAnsi="宋体"/>
          <w:b/>
          <w:szCs w:val="21"/>
          <w:highlight w:val="none"/>
        </w:rPr>
        <w:t>【政府采购合同专用条款】</w:t>
      </w:r>
      <w:r>
        <w:rPr>
          <w:rFonts w:hint="eastAsia" w:ascii="宋体" w:hAnsi="宋体"/>
          <w:bCs/>
          <w:szCs w:val="21"/>
          <w:highlight w:val="none"/>
        </w:rPr>
        <w:t>规定执行</w:t>
      </w:r>
      <w:r>
        <w:rPr>
          <w:rFonts w:hint="eastAsia" w:ascii="宋体" w:hAnsi="宋体"/>
          <w:szCs w:val="21"/>
          <w:highlight w:val="none"/>
        </w:rPr>
        <w:t>。</w:t>
      </w:r>
    </w:p>
    <w:p w14:paraId="71E915C1">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6432911">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 xml:space="preserve">7.5 </w:t>
      </w:r>
      <w:r>
        <w:rPr>
          <w:rFonts w:hint="eastAsia" w:ascii="宋体" w:hAnsi="宋体" w:cs="宋体"/>
          <w:szCs w:val="21"/>
          <w:highlight w:val="none"/>
        </w:rPr>
        <w:t>乙方在运输到达之前应提前通知甲方，并提示货物运输装卸的注意事项，甲方配合乙方做好货物的接收工作。</w:t>
      </w:r>
    </w:p>
    <w:p w14:paraId="6BA73AAE">
      <w:pPr>
        <w:pStyle w:val="153"/>
        <w:ind w:firstLine="420"/>
        <w:rPr>
          <w:rFonts w:ascii="宋体" w:hAnsi="宋体" w:eastAsia="宋体"/>
          <w:sz w:val="21"/>
          <w:highlight w:val="none"/>
        </w:rPr>
      </w:pPr>
      <w:r>
        <w:rPr>
          <w:rFonts w:hint="eastAsia" w:ascii="宋体" w:hAnsi="宋体" w:eastAsia="宋体" w:cs="Times New Roman"/>
          <w:kern w:val="2"/>
          <w:sz w:val="21"/>
          <w:highlight w:val="none"/>
        </w:rPr>
        <w:t>7.6 如因包装、运输问题导致货物损毁、丢失或者品质下降，甲方有权要求降价、换货、拒收部分或整批货物，由此产生的费用和损失，均由乙方承担。</w:t>
      </w:r>
    </w:p>
    <w:p w14:paraId="4C626BE6">
      <w:pPr>
        <w:adjustRightInd w:val="0"/>
        <w:snapToGrid w:val="0"/>
        <w:spacing w:line="400" w:lineRule="exact"/>
        <w:jc w:val="left"/>
        <w:rPr>
          <w:rFonts w:ascii="宋体" w:hAnsi="宋体"/>
          <w:b/>
          <w:sz w:val="24"/>
          <w:highlight w:val="none"/>
        </w:rPr>
      </w:pPr>
      <w:r>
        <w:rPr>
          <w:rFonts w:hint="eastAsia" w:ascii="宋体" w:hAnsi="宋体"/>
          <w:b/>
          <w:sz w:val="24"/>
          <w:highlight w:val="none"/>
        </w:rPr>
        <w:t>8. 质量标准和保证</w:t>
      </w:r>
    </w:p>
    <w:p w14:paraId="58033E6E">
      <w:pPr>
        <w:pStyle w:val="16"/>
        <w:adjustRightInd w:val="0"/>
        <w:snapToGrid w:val="0"/>
        <w:spacing w:line="400" w:lineRule="exact"/>
        <w:ind w:left="5250" w:firstLine="420" w:firstLineChars="200"/>
        <w:jc w:val="left"/>
        <w:rPr>
          <w:rFonts w:hAnsi="宋体"/>
          <w:b/>
          <w:highlight w:val="none"/>
        </w:rPr>
      </w:pPr>
      <w:r>
        <w:rPr>
          <w:rFonts w:hint="eastAsia" w:hAnsi="宋体"/>
          <w:highlight w:val="none"/>
        </w:rPr>
        <w:t>8.1 质量标准</w:t>
      </w:r>
    </w:p>
    <w:p w14:paraId="2EC47BD3">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（1）本合同下提供的货物应符合合同</w:t>
      </w:r>
      <w:r>
        <w:rPr>
          <w:rFonts w:hint="eastAsia" w:ascii="宋体" w:hAnsi="宋体" w:cs="宋体"/>
          <w:szCs w:val="21"/>
          <w:highlight w:val="none"/>
        </w:rPr>
        <w:t>约定的品牌、规格型号、技术性能、配置、质量、数量等要求。</w:t>
      </w:r>
      <w:r>
        <w:rPr>
          <w:rFonts w:hint="eastAsia" w:ascii="宋体" w:hAnsi="宋体"/>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E9B0F9E">
      <w:pPr>
        <w:pStyle w:val="16"/>
        <w:adjustRightInd w:val="0"/>
        <w:snapToGrid w:val="0"/>
        <w:spacing w:line="400" w:lineRule="exact"/>
        <w:ind w:left="5250" w:firstLine="420" w:firstLineChars="200"/>
        <w:jc w:val="left"/>
        <w:rPr>
          <w:rFonts w:hAnsi="宋体"/>
          <w:highlight w:val="none"/>
        </w:rPr>
      </w:pPr>
      <w:r>
        <w:rPr>
          <w:rFonts w:hint="eastAsia" w:hAnsi="宋体"/>
          <w:highlight w:val="none"/>
        </w:rPr>
        <w:t>（2）采用中华人民共和国法定计量单位。</w:t>
      </w:r>
    </w:p>
    <w:p w14:paraId="50F8D539">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（3）乙方所提供的货物应符合国家有关安全、环保、卫生的规定。</w:t>
      </w:r>
    </w:p>
    <w:p w14:paraId="5D390CC0">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（4）乙方应向甲方提交所提供货物的技术文件，包括相应的中文技术文件，如：产品目录、图纸、操作手册、使用说明、维护手册或服务指南等。上述文件应包装好随货物一同发运。</w:t>
      </w:r>
    </w:p>
    <w:p w14:paraId="0F325AF6">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8.2 保证</w:t>
      </w:r>
    </w:p>
    <w:p w14:paraId="6E887FE5">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（1）乙方应保证提供的货物完全符合合同规定的质量、规格和性能要求。乙方应保证货物在正确安装、正常使用和保养条件下，</w:t>
      </w:r>
      <w:r>
        <w:rPr>
          <w:rFonts w:hint="eastAsia" w:ascii="宋体" w:hAnsi="宋体" w:cs="宋体"/>
          <w:szCs w:val="21"/>
          <w:highlight w:val="none"/>
        </w:rPr>
        <w:t>在其使用寿命期内具备合同约定的性能</w:t>
      </w:r>
      <w:r>
        <w:rPr>
          <w:rFonts w:hint="eastAsia" w:ascii="宋体" w:hAnsi="宋体"/>
          <w:szCs w:val="21"/>
          <w:highlight w:val="none"/>
        </w:rPr>
        <w:t>。存在质量保证期的，货物最终交付验收合格后在</w:t>
      </w:r>
      <w:r>
        <w:rPr>
          <w:rFonts w:hint="eastAsia" w:ascii="宋体" w:hAnsi="宋体"/>
          <w:b/>
          <w:szCs w:val="21"/>
          <w:highlight w:val="none"/>
        </w:rPr>
        <w:t>【政府采购合同专用条款】</w:t>
      </w:r>
      <w:r>
        <w:rPr>
          <w:rFonts w:hint="eastAsia" w:ascii="宋体" w:hAnsi="宋体"/>
          <w:szCs w:val="21"/>
          <w:highlight w:val="none"/>
        </w:rPr>
        <w:t>规定或乙方书面承诺（两者以较长的为准）的质量保证期内，本保证保持有效。</w:t>
      </w:r>
    </w:p>
    <w:p w14:paraId="66240E14">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（2）在质量保证期内所发现的缺陷，甲方应尽快以书面形式通知乙方。</w:t>
      </w:r>
    </w:p>
    <w:p w14:paraId="745324EC">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（3）乙方收到通知后，应在</w:t>
      </w:r>
      <w:r>
        <w:rPr>
          <w:rFonts w:hint="eastAsia" w:ascii="宋体" w:hAnsi="宋体"/>
          <w:b/>
          <w:szCs w:val="21"/>
          <w:highlight w:val="none"/>
        </w:rPr>
        <w:t>【政府采购合同专用条款】</w:t>
      </w:r>
      <w:r>
        <w:rPr>
          <w:rFonts w:hint="eastAsia" w:ascii="宋体" w:hAnsi="宋体"/>
          <w:szCs w:val="21"/>
          <w:highlight w:val="none"/>
        </w:rPr>
        <w:t>规定的响应时间内以合理的速度免费维修或更换有缺陷的货物或部件。</w:t>
      </w:r>
    </w:p>
    <w:p w14:paraId="12847744">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763FF569">
      <w:pPr>
        <w:adjustRightInd w:val="0"/>
        <w:snapToGrid w:val="0"/>
        <w:spacing w:line="400" w:lineRule="exact"/>
        <w:ind w:firstLine="420" w:firstLineChars="200"/>
        <w:jc w:val="left"/>
        <w:rPr>
          <w:rFonts w:ascii="宋体" w:hAnsi="宋体"/>
          <w:highlight w:val="none"/>
        </w:rPr>
      </w:pPr>
      <w:r>
        <w:rPr>
          <w:rFonts w:hint="eastAsia" w:ascii="宋体" w:hAnsi="宋体"/>
          <w:szCs w:val="21"/>
          <w:highlight w:val="none"/>
        </w:rPr>
        <w:t>（5）乙方在约定的时间内未能弥补缺陷，甲方可采取必要的补救措施，但其风险和费用将由乙方承担，甲方根据合同约定对乙方行使的其他权利不受影响。</w:t>
      </w:r>
    </w:p>
    <w:p w14:paraId="289F056D">
      <w:pPr>
        <w:adjustRightInd w:val="0"/>
        <w:snapToGrid w:val="0"/>
        <w:spacing w:line="400" w:lineRule="exact"/>
        <w:jc w:val="left"/>
        <w:rPr>
          <w:rFonts w:ascii="宋体" w:hAnsi="宋体"/>
          <w:b/>
          <w:bCs/>
          <w:sz w:val="24"/>
          <w:highlight w:val="none"/>
        </w:rPr>
      </w:pPr>
      <w:r>
        <w:rPr>
          <w:rFonts w:hint="eastAsia" w:ascii="宋体" w:hAnsi="宋体"/>
          <w:b/>
          <w:bCs/>
          <w:sz w:val="24"/>
          <w:highlight w:val="none"/>
        </w:rPr>
        <w:t>9. 权利瑕疵担保</w:t>
      </w:r>
    </w:p>
    <w:p w14:paraId="71C4816C">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9.1 乙方保证对其出售的货物享有合法的权利。</w:t>
      </w:r>
    </w:p>
    <w:p w14:paraId="5540BC72">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 xml:space="preserve">9.2 </w:t>
      </w:r>
      <w:r>
        <w:rPr>
          <w:rFonts w:hint="eastAsia" w:ascii="宋体" w:hAnsi="宋体" w:cs="宋体"/>
          <w:szCs w:val="15"/>
          <w:highlight w:val="none"/>
        </w:rPr>
        <w:t>乙方保证在交付的货物上不存在抵押权等担保物权。</w:t>
      </w:r>
    </w:p>
    <w:p w14:paraId="24FB4244">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9.3 如甲方使用上述货物构成对第三人侵权的，则由乙方承担全部责任。</w:t>
      </w:r>
    </w:p>
    <w:p w14:paraId="6235D60B">
      <w:pPr>
        <w:autoSpaceDE w:val="0"/>
        <w:autoSpaceDN w:val="0"/>
        <w:adjustRightInd w:val="0"/>
        <w:snapToGrid w:val="0"/>
        <w:spacing w:line="400" w:lineRule="exact"/>
        <w:jc w:val="left"/>
        <w:rPr>
          <w:rFonts w:ascii="宋体" w:hAnsi="宋体"/>
          <w:b/>
          <w:bCs/>
          <w:sz w:val="24"/>
          <w:highlight w:val="none"/>
        </w:rPr>
      </w:pPr>
      <w:r>
        <w:rPr>
          <w:rFonts w:hint="eastAsia" w:ascii="宋体" w:hAnsi="宋体"/>
          <w:b/>
          <w:bCs/>
          <w:sz w:val="24"/>
          <w:highlight w:val="none"/>
        </w:rPr>
        <w:t>10. 知识产权保护</w:t>
      </w:r>
    </w:p>
    <w:p w14:paraId="56FD12FC">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10.1 乙方对其所销售的货物应当享有知识产权或经权利人合法授权，保证没有侵犯任何第三人的知识产权等权利。</w:t>
      </w:r>
      <w:bookmarkStart w:id="75" w:name="_Hlk163047038"/>
      <w:r>
        <w:rPr>
          <w:rFonts w:hint="eastAsia" w:ascii="宋体" w:hAnsi="宋体" w:cs="宋体"/>
          <w:szCs w:val="15"/>
          <w:highlight w:val="none"/>
        </w:rPr>
        <w:t>因违反前述约定对第三人构成侵权的，应当由乙方向第三人承担法律责任；甲方依法向第三人赔偿后，有权向乙方追偿。甲方有其他损失的，乙方应当赔偿</w:t>
      </w:r>
      <w:bookmarkEnd w:id="75"/>
      <w:r>
        <w:rPr>
          <w:rFonts w:hint="eastAsia" w:ascii="宋体" w:hAnsi="宋体"/>
          <w:szCs w:val="21"/>
          <w:highlight w:val="none"/>
        </w:rPr>
        <w:t>。</w:t>
      </w:r>
    </w:p>
    <w:p w14:paraId="6D383856">
      <w:pPr>
        <w:autoSpaceDE w:val="0"/>
        <w:autoSpaceDN w:val="0"/>
        <w:adjustRightInd w:val="0"/>
        <w:snapToGrid w:val="0"/>
        <w:spacing w:line="400" w:lineRule="exact"/>
        <w:jc w:val="left"/>
        <w:rPr>
          <w:rFonts w:ascii="宋体" w:hAnsi="宋体"/>
          <w:b/>
          <w:bCs/>
          <w:sz w:val="24"/>
          <w:highlight w:val="none"/>
        </w:rPr>
      </w:pPr>
      <w:r>
        <w:rPr>
          <w:rFonts w:hint="eastAsia" w:ascii="宋体" w:hAnsi="宋体"/>
          <w:b/>
          <w:bCs/>
          <w:sz w:val="24"/>
          <w:highlight w:val="none"/>
        </w:rPr>
        <w:t>11. 保密义务</w:t>
      </w:r>
    </w:p>
    <w:p w14:paraId="215FB451">
      <w:pPr>
        <w:autoSpaceDE w:val="0"/>
        <w:autoSpaceDN w:val="0"/>
        <w:adjustRightInd w:val="0"/>
        <w:snapToGrid w:val="0"/>
        <w:spacing w:line="400" w:lineRule="exact"/>
        <w:ind w:firstLine="420" w:firstLineChars="200"/>
        <w:jc w:val="left"/>
        <w:rPr>
          <w:rFonts w:ascii="宋体" w:hAnsi="宋体" w:cs="宋体"/>
          <w:szCs w:val="15"/>
          <w:highlight w:val="none"/>
        </w:rPr>
      </w:pPr>
      <w:r>
        <w:rPr>
          <w:rFonts w:hint="eastAsia" w:ascii="宋体" w:hAnsi="宋体" w:cs="宋体"/>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【政府采购合同专用条款】</w:t>
      </w:r>
      <w:r>
        <w:rPr>
          <w:rFonts w:hint="eastAsia" w:ascii="宋体" w:hAnsi="宋体" w:cs="宋体"/>
          <w:szCs w:val="15"/>
          <w:highlight w:val="none"/>
        </w:rPr>
        <w:t>中约定。</w:t>
      </w:r>
    </w:p>
    <w:p w14:paraId="608F57EE">
      <w:pPr>
        <w:autoSpaceDE w:val="0"/>
        <w:autoSpaceDN w:val="0"/>
        <w:adjustRightInd w:val="0"/>
        <w:snapToGrid w:val="0"/>
        <w:spacing w:line="400" w:lineRule="exact"/>
        <w:jc w:val="left"/>
        <w:rPr>
          <w:rFonts w:ascii="宋体" w:hAnsi="宋体"/>
          <w:b/>
          <w:bCs/>
          <w:sz w:val="24"/>
          <w:highlight w:val="none"/>
        </w:rPr>
      </w:pPr>
      <w:r>
        <w:rPr>
          <w:rFonts w:hint="eastAsia" w:ascii="宋体" w:hAnsi="宋体"/>
          <w:b/>
          <w:bCs/>
          <w:sz w:val="24"/>
          <w:highlight w:val="none"/>
        </w:rPr>
        <w:t>12. 合同价款支付</w:t>
      </w:r>
    </w:p>
    <w:p w14:paraId="44483B1E">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12.1 合同价款支付按照国库集中支付制度及财政管理相关规定执行。</w:t>
      </w:r>
    </w:p>
    <w:p w14:paraId="1B88CF97">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政府采购合同专用条款</w:t>
      </w:r>
      <w:r>
        <w:rPr>
          <w:rFonts w:hint="eastAsia" w:ascii="宋体" w:hAnsi="宋体"/>
          <w:szCs w:val="21"/>
          <w:highlight w:val="none"/>
        </w:rPr>
        <w:t>】中约定。</w:t>
      </w:r>
    </w:p>
    <w:p w14:paraId="0066A210">
      <w:pPr>
        <w:pStyle w:val="13"/>
        <w:spacing w:after="0" w:line="400" w:lineRule="exact"/>
        <w:rPr>
          <w:rFonts w:ascii="宋体" w:hAnsi="宋体"/>
          <w:b/>
          <w:bCs/>
          <w:sz w:val="24"/>
          <w:highlight w:val="none"/>
        </w:rPr>
      </w:pPr>
      <w:r>
        <w:rPr>
          <w:rFonts w:hint="eastAsia" w:ascii="宋体" w:hAnsi="宋体"/>
          <w:b/>
          <w:bCs/>
          <w:sz w:val="24"/>
          <w:highlight w:val="none"/>
        </w:rPr>
        <w:t>13. 履约保证金</w:t>
      </w:r>
    </w:p>
    <w:p w14:paraId="68FD78A9">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乙方应当以支票、汇票、本票或者金融机构、担保机构出具的保函等非现金形式提交。</w:t>
      </w:r>
    </w:p>
    <w:p w14:paraId="44667227">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13.2 如果乙方出现</w:t>
      </w:r>
      <w:r>
        <w:rPr>
          <w:rFonts w:hint="eastAsia" w:ascii="宋体" w:hAnsi="宋体" w:cs="宋体"/>
          <w:b/>
          <w:bCs/>
          <w:szCs w:val="15"/>
          <w:highlight w:val="none"/>
        </w:rPr>
        <w:t>【政府采购合同专用条款】</w:t>
      </w:r>
      <w:r>
        <w:rPr>
          <w:rFonts w:hint="eastAsia" w:ascii="宋体" w:hAnsi="宋体" w:cs="宋体"/>
          <w:szCs w:val="15"/>
          <w:highlight w:val="none"/>
        </w:rPr>
        <w:t>约定情形的</w:t>
      </w:r>
      <w:r>
        <w:rPr>
          <w:rFonts w:hint="eastAsia" w:ascii="宋体" w:hAnsi="宋体"/>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6A3FE81A">
      <w:pPr>
        <w:spacing w:line="400" w:lineRule="exact"/>
        <w:ind w:firstLine="420"/>
        <w:rPr>
          <w:rFonts w:ascii="宋体" w:hAnsi="宋体"/>
          <w:highlight w:val="none"/>
        </w:rPr>
      </w:pPr>
      <w:r>
        <w:rPr>
          <w:rFonts w:hint="eastAsia" w:ascii="宋体" w:hAnsi="宋体"/>
          <w:szCs w:val="21"/>
          <w:highlight w:val="none"/>
        </w:rPr>
        <w:t>13.3 甲方在项目通过验收后按照</w:t>
      </w:r>
      <w:r>
        <w:rPr>
          <w:rFonts w:hint="eastAsia" w:ascii="宋体" w:hAnsi="宋体"/>
          <w:b/>
          <w:szCs w:val="21"/>
          <w:highlight w:val="none"/>
        </w:rPr>
        <w:t>【政府采购合同专用条款】</w:t>
      </w:r>
      <w:r>
        <w:rPr>
          <w:rFonts w:hint="eastAsia" w:ascii="宋体" w:hAnsi="宋体"/>
          <w:szCs w:val="21"/>
          <w:highlight w:val="none"/>
        </w:rPr>
        <w:t>规定的时间内将履约保证金退还乙方；逾期退还的，乙方可要求甲方支付违约金，违约金按照</w:t>
      </w:r>
      <w:r>
        <w:rPr>
          <w:rFonts w:hint="eastAsia" w:ascii="宋体" w:hAnsi="宋体"/>
          <w:b/>
          <w:szCs w:val="21"/>
          <w:highlight w:val="none"/>
        </w:rPr>
        <w:t>【政府采购合同专用条款】</w:t>
      </w:r>
      <w:r>
        <w:rPr>
          <w:rFonts w:hint="eastAsia" w:ascii="宋体" w:hAnsi="宋体"/>
          <w:szCs w:val="21"/>
          <w:highlight w:val="none"/>
        </w:rPr>
        <w:t>规定支付。</w:t>
      </w:r>
    </w:p>
    <w:p w14:paraId="33AA3F23">
      <w:pPr>
        <w:autoSpaceDE w:val="0"/>
        <w:autoSpaceDN w:val="0"/>
        <w:adjustRightInd w:val="0"/>
        <w:snapToGrid w:val="0"/>
        <w:spacing w:line="400" w:lineRule="exact"/>
        <w:jc w:val="left"/>
        <w:rPr>
          <w:rFonts w:ascii="宋体" w:hAnsi="宋体"/>
          <w:b/>
          <w:sz w:val="24"/>
          <w:highlight w:val="none"/>
        </w:rPr>
      </w:pPr>
      <w:r>
        <w:rPr>
          <w:rFonts w:hint="eastAsia" w:ascii="宋体" w:hAnsi="宋体"/>
          <w:b/>
          <w:bCs/>
          <w:sz w:val="24"/>
          <w:highlight w:val="none"/>
        </w:rPr>
        <w:t xml:space="preserve">14. </w:t>
      </w:r>
      <w:r>
        <w:rPr>
          <w:rFonts w:hint="eastAsia" w:ascii="宋体" w:hAnsi="宋体"/>
          <w:b/>
          <w:sz w:val="24"/>
          <w:highlight w:val="none"/>
        </w:rPr>
        <w:t>售后服务</w:t>
      </w:r>
    </w:p>
    <w:p w14:paraId="78F1FB0A">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14.1 除项目不涉及或采购活动中明确约定无须承担外，乙方还应提供下列服务：</w:t>
      </w:r>
    </w:p>
    <w:p w14:paraId="71824696">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（1）货物的现场移动、安装、调试、启动监督及技术支持；</w:t>
      </w:r>
    </w:p>
    <w:p w14:paraId="761FE666">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（2）提供货物组装和维修所需的专用工具和辅助材料；</w:t>
      </w:r>
    </w:p>
    <w:p w14:paraId="6ADC9BC3">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（3）在</w:t>
      </w:r>
      <w:r>
        <w:rPr>
          <w:rFonts w:hint="eastAsia" w:ascii="宋体" w:hAnsi="宋体" w:cs="宋体"/>
          <w:b/>
          <w:bCs/>
          <w:szCs w:val="15"/>
          <w:highlight w:val="none"/>
        </w:rPr>
        <w:t>【政府采购合同专用条款】</w:t>
      </w:r>
      <w:r>
        <w:rPr>
          <w:rFonts w:hint="eastAsia" w:ascii="宋体" w:hAnsi="宋体"/>
          <w:szCs w:val="21"/>
          <w:highlight w:val="none"/>
        </w:rPr>
        <w:t>约定的期限内对所有的货物实施运行监督、维修，但前提条件是该服务并不能免除乙方在质量保证期内所承担的义务；</w:t>
      </w:r>
    </w:p>
    <w:p w14:paraId="105EDD2B">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（4）在制造商所在地或指定现场就货物的安装、启动、运营、维护、废弃处置等对甲方操作人员进行培训</w:t>
      </w:r>
      <w:r>
        <w:rPr>
          <w:rFonts w:hint="eastAsia" w:ascii="宋体" w:hAnsi="宋体" w:cs="宋体"/>
          <w:szCs w:val="15"/>
          <w:highlight w:val="none"/>
        </w:rPr>
        <w:t>；</w:t>
      </w:r>
    </w:p>
    <w:p w14:paraId="0E087BF9">
      <w:pPr>
        <w:pStyle w:val="153"/>
        <w:ind w:firstLine="420"/>
        <w:rPr>
          <w:rFonts w:ascii="宋体" w:hAnsi="宋体" w:eastAsia="宋体" w:cs="宋体"/>
          <w:sz w:val="21"/>
          <w:highlight w:val="none"/>
        </w:rPr>
      </w:pPr>
      <w:r>
        <w:rPr>
          <w:rFonts w:hint="eastAsia" w:ascii="宋体" w:hAnsi="宋体" w:eastAsia="宋体" w:cs="宋体"/>
          <w:sz w:val="21"/>
          <w:highlight w:val="none"/>
        </w:rPr>
        <w:t>（5）依照法律、行政法规的规定或者按照</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约定，货物在有效使用年限届满后应予回收的，乙方负有自行或者委托第三人对货物予以回收的义务；</w:t>
      </w:r>
    </w:p>
    <w:p w14:paraId="08825212">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（6）</w:t>
      </w:r>
      <w:r>
        <w:rPr>
          <w:rFonts w:hint="eastAsia" w:ascii="宋体" w:hAnsi="宋体"/>
          <w:b/>
          <w:szCs w:val="21"/>
          <w:highlight w:val="none"/>
        </w:rPr>
        <w:t>【政府采购合同专用条款】</w:t>
      </w:r>
      <w:r>
        <w:rPr>
          <w:rFonts w:hint="eastAsia" w:ascii="宋体" w:hAnsi="宋体"/>
          <w:szCs w:val="21"/>
          <w:highlight w:val="none"/>
        </w:rPr>
        <w:t>规定由乙方提供的其他服务。</w:t>
      </w:r>
    </w:p>
    <w:p w14:paraId="48D4D5DB">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14.2 乙方提供的售后服务的费用已包含在合同价款中，甲方不再另行支付。</w:t>
      </w:r>
    </w:p>
    <w:p w14:paraId="2AB242B7">
      <w:pPr>
        <w:adjustRightInd w:val="0"/>
        <w:snapToGrid w:val="0"/>
        <w:spacing w:line="400" w:lineRule="exact"/>
        <w:jc w:val="left"/>
        <w:rPr>
          <w:rFonts w:ascii="宋体" w:hAnsi="宋体"/>
          <w:b/>
          <w:bCs/>
          <w:sz w:val="24"/>
          <w:highlight w:val="none"/>
        </w:rPr>
      </w:pPr>
      <w:r>
        <w:rPr>
          <w:rFonts w:hint="eastAsia" w:ascii="宋体" w:hAnsi="宋体"/>
          <w:b/>
          <w:bCs/>
          <w:sz w:val="24"/>
          <w:highlight w:val="none"/>
        </w:rPr>
        <w:t>15. 违约责任</w:t>
      </w:r>
    </w:p>
    <w:p w14:paraId="439EA16B">
      <w:pPr>
        <w:adjustRightInd w:val="0"/>
        <w:snapToGrid w:val="0"/>
        <w:spacing w:line="400" w:lineRule="exact"/>
        <w:ind w:firstLine="420" w:firstLineChars="200"/>
        <w:jc w:val="left"/>
        <w:rPr>
          <w:rFonts w:ascii="宋体" w:hAnsi="宋体"/>
          <w:bCs/>
          <w:szCs w:val="21"/>
          <w:highlight w:val="none"/>
        </w:rPr>
      </w:pPr>
      <w:r>
        <w:rPr>
          <w:rFonts w:hint="eastAsia" w:ascii="宋体" w:hAnsi="宋体"/>
          <w:bCs/>
          <w:szCs w:val="21"/>
          <w:highlight w:val="none"/>
        </w:rPr>
        <w:t>15.1质量瑕疵的违约责任</w:t>
      </w:r>
    </w:p>
    <w:p w14:paraId="3CA3CCA6">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乙方提供的产品不符合合同约定的质量标准或存在产品质量缺陷，甲方有权要求乙方根据</w:t>
      </w:r>
      <w:r>
        <w:rPr>
          <w:rFonts w:hint="eastAsia" w:ascii="宋体" w:hAnsi="宋体"/>
          <w:b/>
          <w:szCs w:val="21"/>
          <w:highlight w:val="none"/>
        </w:rPr>
        <w:t>【政府采购合同专用条款】</w:t>
      </w:r>
      <w:r>
        <w:rPr>
          <w:rFonts w:hint="eastAsia" w:ascii="宋体" w:hAnsi="宋体"/>
          <w:bCs/>
          <w:szCs w:val="21"/>
          <w:highlight w:val="none"/>
        </w:rPr>
        <w:t>要求</w:t>
      </w:r>
      <w:r>
        <w:rPr>
          <w:rFonts w:hint="eastAsia" w:ascii="宋体" w:hAnsi="宋体"/>
          <w:szCs w:val="21"/>
          <w:highlight w:val="none"/>
        </w:rPr>
        <w:t>及时修理、重作、更换，并承担由此给甲方造成的损失。</w:t>
      </w:r>
    </w:p>
    <w:p w14:paraId="4CF11449">
      <w:pPr>
        <w:autoSpaceDE w:val="0"/>
        <w:autoSpaceDN w:val="0"/>
        <w:adjustRightInd w:val="0"/>
        <w:snapToGrid w:val="0"/>
        <w:spacing w:line="400" w:lineRule="exact"/>
        <w:ind w:firstLine="420" w:firstLineChars="200"/>
        <w:jc w:val="left"/>
        <w:rPr>
          <w:rFonts w:ascii="宋体" w:hAnsi="宋体"/>
          <w:bCs/>
          <w:szCs w:val="21"/>
          <w:highlight w:val="none"/>
        </w:rPr>
      </w:pPr>
      <w:r>
        <w:rPr>
          <w:rFonts w:hint="eastAsia" w:ascii="宋体" w:hAnsi="宋体"/>
          <w:bCs/>
          <w:szCs w:val="21"/>
          <w:highlight w:val="none"/>
        </w:rPr>
        <w:t>15.2 迟延交货的违约责任</w:t>
      </w:r>
    </w:p>
    <w:p w14:paraId="5B8AE519">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09E7611">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【政府采购合同专用条款】</w:t>
      </w:r>
      <w:r>
        <w:rPr>
          <w:rFonts w:hint="eastAsia" w:ascii="宋体" w:hAnsi="宋体"/>
          <w:szCs w:val="21"/>
          <w:highlight w:val="none"/>
        </w:rPr>
        <w:t>规定执行。如果涉及公共利益，且赔偿金额无法弥补公共利益损失，甲方可要求继续履行或者采取其他补救措施。</w:t>
      </w:r>
    </w:p>
    <w:p w14:paraId="57949B7A">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15.3 迟延支付的违约责任</w:t>
      </w:r>
    </w:p>
    <w:p w14:paraId="52C124DC">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甲方存在迟延支付乙方合同款项的，应当承担</w:t>
      </w:r>
      <w:r>
        <w:rPr>
          <w:rFonts w:hint="eastAsia" w:ascii="宋体" w:hAnsi="宋体"/>
          <w:b/>
          <w:bCs/>
          <w:szCs w:val="21"/>
          <w:highlight w:val="none"/>
        </w:rPr>
        <w:t>【政府采购合同专用条款】</w:t>
      </w:r>
      <w:r>
        <w:rPr>
          <w:rFonts w:hint="eastAsia" w:ascii="宋体" w:hAnsi="宋体"/>
          <w:szCs w:val="21"/>
          <w:highlight w:val="none"/>
        </w:rPr>
        <w:t>规定的逾期付款利息。</w:t>
      </w:r>
    </w:p>
    <w:p w14:paraId="101DD778">
      <w:pPr>
        <w:adjustRightInd w:val="0"/>
        <w:snapToGrid w:val="0"/>
        <w:spacing w:line="400" w:lineRule="exact"/>
        <w:ind w:firstLine="420" w:firstLineChars="200"/>
        <w:jc w:val="left"/>
        <w:rPr>
          <w:rFonts w:ascii="宋体" w:hAnsi="宋体"/>
          <w:szCs w:val="21"/>
          <w:highlight w:val="none"/>
        </w:rPr>
      </w:pPr>
      <w:r>
        <w:rPr>
          <w:rFonts w:hint="eastAsia" w:ascii="宋体" w:hAnsi="宋体"/>
          <w:bCs/>
          <w:szCs w:val="21"/>
          <w:highlight w:val="none"/>
        </w:rPr>
        <w:t>15.4其他违约责任根据项目实际需要按</w:t>
      </w:r>
      <w:r>
        <w:rPr>
          <w:rFonts w:hint="eastAsia" w:ascii="宋体" w:hAnsi="宋体"/>
          <w:b/>
          <w:bCs/>
          <w:szCs w:val="21"/>
          <w:highlight w:val="none"/>
        </w:rPr>
        <w:t>【政府采购合同专用条款】</w:t>
      </w:r>
      <w:r>
        <w:rPr>
          <w:rFonts w:hint="eastAsia" w:ascii="宋体" w:hAnsi="宋体"/>
          <w:szCs w:val="21"/>
          <w:highlight w:val="none"/>
        </w:rPr>
        <w:t>规定执行。</w:t>
      </w:r>
    </w:p>
    <w:p w14:paraId="6FD096FC">
      <w:pPr>
        <w:numPr>
          <w:ilvl w:val="0"/>
          <w:numId w:val="10"/>
        </w:numPr>
        <w:autoSpaceDE w:val="0"/>
        <w:autoSpaceDN w:val="0"/>
        <w:adjustRightInd w:val="0"/>
        <w:snapToGrid w:val="0"/>
        <w:spacing w:after="160" w:line="400" w:lineRule="exact"/>
        <w:jc w:val="left"/>
        <w:rPr>
          <w:rFonts w:ascii="宋体" w:hAnsi="宋体"/>
          <w:b/>
          <w:sz w:val="24"/>
          <w:highlight w:val="none"/>
        </w:rPr>
      </w:pPr>
      <w:r>
        <w:rPr>
          <w:rFonts w:hint="eastAsia" w:ascii="宋体" w:hAnsi="宋体"/>
          <w:b/>
          <w:sz w:val="24"/>
          <w:highlight w:val="none"/>
        </w:rPr>
        <w:t>合同变更、中止与终止</w:t>
      </w:r>
    </w:p>
    <w:p w14:paraId="1B54991C">
      <w:pPr>
        <w:adjustRightInd w:val="0"/>
        <w:snapToGrid w:val="0"/>
        <w:spacing w:line="400" w:lineRule="exact"/>
        <w:jc w:val="left"/>
        <w:rPr>
          <w:rFonts w:ascii="宋体" w:hAnsi="宋体"/>
          <w:szCs w:val="21"/>
          <w:highlight w:val="none"/>
        </w:rPr>
      </w:pPr>
      <w:r>
        <w:rPr>
          <w:rFonts w:hint="eastAsia" w:ascii="宋体" w:hAnsi="宋体"/>
          <w:szCs w:val="21"/>
          <w:highlight w:val="none"/>
        </w:rPr>
        <w:t xml:space="preserve">    16.1合同的变更</w:t>
      </w:r>
    </w:p>
    <w:p w14:paraId="47AA7891">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政府采购合同履行中，在不改变合同其他条款的前提下，甲方可以在合同价款10%的范围内追加与合同标的相同的货物，并就此与乙方协商一致后签订补充协议。</w:t>
      </w:r>
    </w:p>
    <w:p w14:paraId="538047CB">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16.2合同的中止</w:t>
      </w:r>
    </w:p>
    <w:p w14:paraId="1AFD240F">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（1）合同履行过程中因供应商就采购文件、采购过程或结果提起投诉的，甲方认为有必要的，可以中止合同的履行。</w:t>
      </w:r>
    </w:p>
    <w:p w14:paraId="06FC9ECD">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428CA56">
      <w:pPr>
        <w:pStyle w:val="153"/>
        <w:ind w:firstLine="420"/>
        <w:jc w:val="both"/>
        <w:rPr>
          <w:rFonts w:ascii="宋体" w:hAnsi="宋体" w:eastAsia="宋体"/>
          <w:sz w:val="21"/>
          <w:highlight w:val="none"/>
        </w:rPr>
      </w:pPr>
      <w:r>
        <w:rPr>
          <w:rFonts w:hint="eastAsia" w:ascii="宋体" w:hAnsi="宋体" w:eastAsia="宋体" w:cs="宋体"/>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B83B19B">
      <w:pPr>
        <w:snapToGrid w:val="0"/>
        <w:spacing w:line="400" w:lineRule="exact"/>
        <w:ind w:firstLine="420" w:firstLineChars="200"/>
        <w:jc w:val="left"/>
        <w:rPr>
          <w:rFonts w:ascii="宋体" w:hAnsi="宋体"/>
          <w:highlight w:val="none"/>
        </w:rPr>
      </w:pPr>
      <w:r>
        <w:rPr>
          <w:rFonts w:hint="eastAsia" w:ascii="宋体" w:hAnsi="宋体"/>
          <w:szCs w:val="21"/>
          <w:highlight w:val="none"/>
        </w:rPr>
        <w:t>（4）甲方不得以行政区划调整、政府换届、机构或者职能调整以及相关责任人更替为由中止合同。</w:t>
      </w:r>
    </w:p>
    <w:p w14:paraId="22D5334C">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16.3合同的终止</w:t>
      </w:r>
    </w:p>
    <w:p w14:paraId="5B808CE2">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（1）合同因有效期限届满而终止；</w:t>
      </w:r>
    </w:p>
    <w:p w14:paraId="4EDBC3C5">
      <w:pPr>
        <w:snapToGrid w:val="0"/>
        <w:spacing w:line="400" w:lineRule="exact"/>
        <w:ind w:firstLine="420" w:firstLineChars="200"/>
        <w:rPr>
          <w:rFonts w:ascii="宋体" w:hAnsi="宋体" w:cs="宋体"/>
          <w:szCs w:val="21"/>
          <w:highlight w:val="none"/>
        </w:rPr>
      </w:pPr>
      <w:r>
        <w:rPr>
          <w:rFonts w:hint="eastAsia" w:ascii="宋体" w:hAnsi="宋体"/>
          <w:szCs w:val="21"/>
          <w:highlight w:val="none"/>
        </w:rPr>
        <w:t>（2）乙方未按合同约定履行，构成根本性违约的，甲方有权终止合同，</w:t>
      </w:r>
      <w:r>
        <w:rPr>
          <w:rFonts w:hint="eastAsia" w:ascii="宋体" w:hAnsi="宋体" w:cs="宋体"/>
          <w:szCs w:val="21"/>
          <w:highlight w:val="none"/>
        </w:rPr>
        <w:t>并追究乙方的违约责任</w:t>
      </w:r>
      <w:r>
        <w:rPr>
          <w:rFonts w:hint="eastAsia" w:ascii="宋体" w:hAnsi="宋体"/>
          <w:szCs w:val="21"/>
          <w:highlight w:val="none"/>
        </w:rPr>
        <w:t>。</w:t>
      </w:r>
    </w:p>
    <w:p w14:paraId="372504A7">
      <w:pPr>
        <w:pStyle w:val="153"/>
        <w:rPr>
          <w:rFonts w:ascii="宋体" w:hAnsi="宋体" w:eastAsia="宋体"/>
          <w:highlight w:val="none"/>
        </w:rPr>
      </w:pPr>
      <w:r>
        <w:rPr>
          <w:rFonts w:hint="eastAsia" w:ascii="宋体" w:hAnsi="宋体" w:eastAsia="宋体"/>
          <w:highlight w:val="none"/>
        </w:rPr>
        <w:t xml:space="preserve">16.4 </w:t>
      </w:r>
      <w:r>
        <w:rPr>
          <w:rFonts w:hint="eastAsia" w:ascii="宋体" w:hAnsi="宋体" w:eastAsia="宋体" w:cs="Times New Roman"/>
          <w:kern w:val="2"/>
          <w:sz w:val="21"/>
          <w:highlight w:val="none"/>
        </w:rPr>
        <w:t>涉及国家利益、社会公共利益的情形</w:t>
      </w:r>
    </w:p>
    <w:p w14:paraId="75B530ED">
      <w:pPr>
        <w:pStyle w:val="153"/>
        <w:ind w:firstLine="420"/>
        <w:jc w:val="both"/>
        <w:rPr>
          <w:rFonts w:ascii="宋体" w:hAnsi="宋体" w:eastAsia="宋体"/>
          <w:sz w:val="21"/>
          <w:highlight w:val="none"/>
        </w:rPr>
      </w:pPr>
      <w:r>
        <w:rPr>
          <w:rFonts w:hint="eastAsia" w:ascii="宋体" w:hAnsi="宋体" w:eastAsia="宋体" w:cs="宋体"/>
          <w:sz w:val="21"/>
          <w:highlight w:val="none"/>
        </w:rPr>
        <w:t>政府采购合同继续履行将损害国家利益和社会公共利益的，双方当事人应当变更、中止或者终止合同。有过错的一方应当承担赔偿责任，双方都有过错的，各自承担相应的责任。</w:t>
      </w:r>
    </w:p>
    <w:p w14:paraId="588A2F03">
      <w:pPr>
        <w:autoSpaceDE w:val="0"/>
        <w:autoSpaceDN w:val="0"/>
        <w:adjustRightInd w:val="0"/>
        <w:snapToGrid w:val="0"/>
        <w:spacing w:line="400" w:lineRule="exact"/>
        <w:jc w:val="left"/>
        <w:rPr>
          <w:rFonts w:ascii="宋体" w:hAnsi="宋体"/>
          <w:b/>
          <w:bCs/>
          <w:sz w:val="24"/>
          <w:highlight w:val="none"/>
        </w:rPr>
      </w:pPr>
      <w:r>
        <w:rPr>
          <w:rFonts w:hint="eastAsia" w:ascii="宋体" w:hAnsi="宋体"/>
          <w:b/>
          <w:bCs/>
          <w:sz w:val="24"/>
          <w:highlight w:val="none"/>
        </w:rPr>
        <w:t>17. 合同分包</w:t>
      </w:r>
    </w:p>
    <w:p w14:paraId="122B1101">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17.1 乙方不得将合同转包给其他供应商。涉及合同分包的，乙方应根据采购文件和投标（响应）文件规定进行合同分包。</w:t>
      </w:r>
    </w:p>
    <w:p w14:paraId="6E26957E">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17.2 乙方执行政府采购政策向中小企业依法分包的，乙方应当按采购文件和投标（响应）文件签订分包意向协议，分包意向协议属于本合同组成部分。</w:t>
      </w:r>
    </w:p>
    <w:p w14:paraId="5BD8582E">
      <w:pPr>
        <w:autoSpaceDE w:val="0"/>
        <w:autoSpaceDN w:val="0"/>
        <w:adjustRightInd w:val="0"/>
        <w:snapToGrid w:val="0"/>
        <w:spacing w:line="400" w:lineRule="exact"/>
        <w:jc w:val="left"/>
        <w:rPr>
          <w:rFonts w:ascii="宋体" w:hAnsi="宋体"/>
          <w:b/>
          <w:bCs/>
          <w:sz w:val="24"/>
          <w:highlight w:val="none"/>
        </w:rPr>
      </w:pPr>
      <w:r>
        <w:rPr>
          <w:rFonts w:hint="eastAsia" w:ascii="宋体" w:hAnsi="宋体"/>
          <w:b/>
          <w:bCs/>
          <w:sz w:val="24"/>
          <w:highlight w:val="none"/>
        </w:rPr>
        <w:t>18. 不可抗力</w:t>
      </w:r>
    </w:p>
    <w:p w14:paraId="1AD127B4">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18.1 不可抗力是指合同双方不能预见、不能避免且不能克服的客观情况。</w:t>
      </w:r>
    </w:p>
    <w:p w14:paraId="5AAC9E1E">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18.2 任何一方对由于不可抗力造成的部分或全部不能履行合同不承担违约责任。但迟延履行后发生不可抗力的，不能免除责任。</w:t>
      </w:r>
    </w:p>
    <w:p w14:paraId="7F6020E6">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C45D325">
      <w:pPr>
        <w:autoSpaceDE w:val="0"/>
        <w:autoSpaceDN w:val="0"/>
        <w:adjustRightInd w:val="0"/>
        <w:snapToGrid w:val="0"/>
        <w:spacing w:line="400" w:lineRule="exact"/>
        <w:jc w:val="left"/>
        <w:rPr>
          <w:rFonts w:ascii="宋体" w:hAnsi="宋体"/>
          <w:b/>
          <w:bCs/>
          <w:sz w:val="24"/>
          <w:highlight w:val="none"/>
        </w:rPr>
      </w:pPr>
      <w:r>
        <w:rPr>
          <w:rFonts w:hint="eastAsia" w:ascii="宋体" w:hAnsi="宋体"/>
          <w:b/>
          <w:bCs/>
          <w:sz w:val="24"/>
          <w:highlight w:val="none"/>
        </w:rPr>
        <w:t>19. 解决争议的方法</w:t>
      </w:r>
    </w:p>
    <w:p w14:paraId="2D81B3E6">
      <w:pPr>
        <w:pStyle w:val="153"/>
        <w:ind w:firstLine="420"/>
        <w:jc w:val="both"/>
        <w:rPr>
          <w:rFonts w:ascii="宋体" w:hAnsi="宋体" w:eastAsia="宋体" w:cs="宋体"/>
          <w:sz w:val="21"/>
          <w:highlight w:val="none"/>
        </w:rPr>
      </w:pPr>
      <w:r>
        <w:rPr>
          <w:rFonts w:hint="eastAsia" w:ascii="宋体" w:hAnsi="宋体" w:eastAsia="宋体" w:cs="宋体"/>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5C459801">
      <w:pPr>
        <w:pStyle w:val="153"/>
        <w:ind w:firstLine="420"/>
        <w:jc w:val="both"/>
        <w:rPr>
          <w:rFonts w:ascii="宋体" w:hAnsi="宋体" w:eastAsia="宋体" w:cs="宋体"/>
          <w:sz w:val="21"/>
          <w:highlight w:val="none"/>
        </w:rPr>
      </w:pPr>
      <w:r>
        <w:rPr>
          <w:rFonts w:hint="eastAsia" w:ascii="宋体" w:hAnsi="宋体" w:eastAsia="宋体" w:cs="宋体"/>
          <w:sz w:val="21"/>
          <w:highlight w:val="none"/>
        </w:rPr>
        <w:t>19.2 选择仲裁的，应在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中明确仲裁机构及仲裁地；通过诉讼方式解决的，可以在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中进一步约定选择与争议有实际联系的地点的人民法院管辖，但管辖法院的约定不得违反级别管辖和专属管辖的规定。</w:t>
      </w:r>
    </w:p>
    <w:p w14:paraId="01044792">
      <w:pPr>
        <w:pStyle w:val="153"/>
        <w:ind w:firstLine="420"/>
        <w:jc w:val="both"/>
        <w:rPr>
          <w:rFonts w:ascii="宋体" w:hAnsi="宋体" w:eastAsia="宋体" w:cs="宋体"/>
          <w:sz w:val="21"/>
          <w:highlight w:val="none"/>
        </w:rPr>
      </w:pPr>
      <w:r>
        <w:rPr>
          <w:rFonts w:hint="eastAsia" w:ascii="宋体" w:hAnsi="宋体" w:eastAsia="宋体" w:cs="宋体"/>
          <w:sz w:val="21"/>
          <w:highlight w:val="none"/>
        </w:rPr>
        <w:t>19.3 如甲乙双方有争议的事项不影响合同其他部分的履行，在争议解决期间，合同其他部分应当继续履行。</w:t>
      </w:r>
    </w:p>
    <w:p w14:paraId="4F7D6955">
      <w:pPr>
        <w:autoSpaceDE w:val="0"/>
        <w:autoSpaceDN w:val="0"/>
        <w:adjustRightInd w:val="0"/>
        <w:snapToGrid w:val="0"/>
        <w:spacing w:line="400" w:lineRule="exact"/>
        <w:jc w:val="left"/>
        <w:rPr>
          <w:rFonts w:ascii="宋体" w:hAnsi="宋体"/>
          <w:sz w:val="24"/>
          <w:highlight w:val="none"/>
        </w:rPr>
      </w:pPr>
      <w:r>
        <w:rPr>
          <w:rFonts w:hint="eastAsia" w:ascii="宋体" w:hAnsi="宋体"/>
          <w:b/>
          <w:sz w:val="24"/>
          <w:highlight w:val="none"/>
        </w:rPr>
        <w:t>20. 政府采购政策</w:t>
      </w:r>
    </w:p>
    <w:p w14:paraId="3E8892E9">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本合同应当按照规定执行政府采购政策。</w:t>
      </w:r>
    </w:p>
    <w:p w14:paraId="0DA1A76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0.2 本合同依法执行政府采购政策的方式和内容，属于合同履约验收的范围。</w:t>
      </w:r>
      <w:r>
        <w:rPr>
          <w:rFonts w:hint="eastAsia" w:ascii="宋体" w:hAnsi="宋体" w:cs="宋体"/>
          <w:highlight w:val="none"/>
        </w:rPr>
        <w:t>甲乙双方</w:t>
      </w:r>
      <w:r>
        <w:rPr>
          <w:rFonts w:hint="eastAsia" w:ascii="宋体" w:hAnsi="宋体" w:cs="宋体"/>
          <w:highlight w:val="none"/>
          <w:lang w:val="en-GB"/>
        </w:rPr>
        <w:t>未按规定要求执行政府采购政策造成损失的</w:t>
      </w:r>
      <w:r>
        <w:rPr>
          <w:rFonts w:hint="eastAsia" w:ascii="宋体" w:hAnsi="宋体"/>
          <w:szCs w:val="21"/>
          <w:highlight w:val="none"/>
        </w:rPr>
        <w:t>，有过错的一方应当承担赔偿责任，双方都有过错的，各自承担相应的责任。</w:t>
      </w:r>
    </w:p>
    <w:p w14:paraId="6886CBBC">
      <w:pPr>
        <w:pStyle w:val="13"/>
        <w:spacing w:after="0" w:line="400" w:lineRule="exact"/>
        <w:ind w:firstLine="420" w:firstLineChars="200"/>
        <w:rPr>
          <w:rFonts w:ascii="宋体" w:hAnsi="宋体"/>
          <w:highlight w:val="none"/>
        </w:rPr>
      </w:pPr>
      <w:r>
        <w:rPr>
          <w:rFonts w:ascii="宋体" w:hAnsi="宋体"/>
          <w:szCs w:val="21"/>
          <w:highlight w:val="none"/>
        </w:rPr>
        <w:t>2</w:t>
      </w:r>
      <w:r>
        <w:rPr>
          <w:rFonts w:hint="eastAsia" w:ascii="宋体" w:hAnsi="宋体"/>
          <w:szCs w:val="21"/>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5FE70E6">
      <w:pPr>
        <w:autoSpaceDE w:val="0"/>
        <w:autoSpaceDN w:val="0"/>
        <w:adjustRightInd w:val="0"/>
        <w:snapToGrid w:val="0"/>
        <w:spacing w:line="400" w:lineRule="exact"/>
        <w:jc w:val="left"/>
        <w:rPr>
          <w:rFonts w:ascii="宋体" w:hAnsi="宋体"/>
          <w:b/>
          <w:sz w:val="24"/>
          <w:highlight w:val="none"/>
        </w:rPr>
      </w:pPr>
      <w:r>
        <w:rPr>
          <w:rFonts w:hint="eastAsia" w:ascii="宋体" w:hAnsi="宋体"/>
          <w:b/>
          <w:sz w:val="24"/>
          <w:highlight w:val="none"/>
        </w:rPr>
        <w:t>21. 法律适用</w:t>
      </w:r>
    </w:p>
    <w:p w14:paraId="380CB647">
      <w:pPr>
        <w:pStyle w:val="153"/>
        <w:ind w:firstLine="420"/>
        <w:jc w:val="both"/>
        <w:rPr>
          <w:rFonts w:ascii="宋体" w:hAnsi="宋体" w:eastAsia="宋体" w:cs="宋体"/>
          <w:sz w:val="21"/>
          <w:highlight w:val="none"/>
        </w:rPr>
      </w:pPr>
      <w:r>
        <w:rPr>
          <w:rFonts w:hint="eastAsia" w:ascii="宋体" w:hAnsi="宋体" w:eastAsia="宋体" w:cs="宋体"/>
          <w:sz w:val="21"/>
          <w:highlight w:val="none"/>
        </w:rPr>
        <w:t>21.1 本合同的订立、生效、解释、履行及与本合同有关的争议解决，均适用法律、行政法规。</w:t>
      </w:r>
    </w:p>
    <w:p w14:paraId="07D8DEBB">
      <w:pPr>
        <w:pStyle w:val="153"/>
        <w:ind w:firstLine="420"/>
        <w:jc w:val="both"/>
        <w:rPr>
          <w:rFonts w:ascii="宋体" w:hAnsi="宋体" w:eastAsia="宋体" w:cs="宋体"/>
          <w:sz w:val="21"/>
          <w:highlight w:val="none"/>
        </w:rPr>
      </w:pPr>
      <w:r>
        <w:rPr>
          <w:rFonts w:hint="eastAsia" w:ascii="宋体" w:hAnsi="宋体" w:eastAsia="宋体" w:cs="宋体"/>
          <w:sz w:val="21"/>
          <w:highlight w:val="none"/>
        </w:rPr>
        <w:t>21.2 本合同条款与法律、行政法规的强制性规定不一致的，双方当事人应按照法律、行政法规的强制性规定修改本合同的相关条款。</w:t>
      </w:r>
    </w:p>
    <w:p w14:paraId="17BD0DE4">
      <w:pPr>
        <w:numPr>
          <w:ilvl w:val="255"/>
          <w:numId w:val="0"/>
        </w:numPr>
        <w:autoSpaceDE w:val="0"/>
        <w:autoSpaceDN w:val="0"/>
        <w:adjustRightInd w:val="0"/>
        <w:snapToGrid w:val="0"/>
        <w:spacing w:line="400" w:lineRule="exact"/>
        <w:jc w:val="left"/>
        <w:rPr>
          <w:rFonts w:ascii="宋体" w:hAnsi="宋体"/>
          <w:b/>
          <w:sz w:val="24"/>
          <w:highlight w:val="none"/>
        </w:rPr>
      </w:pPr>
      <w:r>
        <w:rPr>
          <w:rFonts w:hint="eastAsia" w:ascii="宋体" w:hAnsi="宋体"/>
          <w:b/>
          <w:sz w:val="24"/>
          <w:highlight w:val="none"/>
        </w:rPr>
        <w:t>22. 通知</w:t>
      </w:r>
    </w:p>
    <w:p w14:paraId="050E8B77">
      <w:pPr>
        <w:pStyle w:val="153"/>
        <w:ind w:firstLine="420"/>
        <w:jc w:val="both"/>
        <w:rPr>
          <w:rFonts w:ascii="宋体" w:hAnsi="宋体" w:eastAsia="宋体" w:cs="宋体"/>
          <w:sz w:val="21"/>
          <w:highlight w:val="none"/>
        </w:rPr>
      </w:pPr>
      <w:r>
        <w:rPr>
          <w:rFonts w:hint="eastAsia" w:ascii="宋体" w:hAnsi="宋体" w:eastAsia="宋体" w:cs="宋体"/>
          <w:sz w:val="21"/>
          <w:highlight w:val="none"/>
        </w:rPr>
        <w:t>22.1 本合同任何一方向对方发出的通知、信件、数据电文等，应当发送至本合同第一部分《政府采购合同协议书》所约定的通讯地址、联系人、联系电话或电子邮箱。</w:t>
      </w:r>
    </w:p>
    <w:p w14:paraId="5D64851B">
      <w:pPr>
        <w:pStyle w:val="153"/>
        <w:ind w:firstLine="0" w:firstLineChars="0"/>
        <w:jc w:val="both"/>
        <w:rPr>
          <w:rFonts w:ascii="宋体" w:hAnsi="宋体" w:eastAsia="宋体"/>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p>
    <w:p w14:paraId="14D968D6">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22.3本合同一方给另一方的通知均应采用书面形式，传真或快递送到本合同中规定的对方的地址和办理签收手续。</w:t>
      </w:r>
    </w:p>
    <w:p w14:paraId="394D5A1F">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22.4通知以送达之日或通知书中规定的生效之日起生效，两者中以较迟之日为准。</w:t>
      </w:r>
    </w:p>
    <w:p w14:paraId="796CFADF">
      <w:pPr>
        <w:numPr>
          <w:ilvl w:val="0"/>
          <w:numId w:val="11"/>
        </w:numPr>
        <w:adjustRightInd w:val="0"/>
        <w:snapToGrid w:val="0"/>
        <w:spacing w:after="160" w:line="400" w:lineRule="exact"/>
        <w:jc w:val="left"/>
        <w:rPr>
          <w:rFonts w:ascii="宋体" w:hAnsi="宋体"/>
          <w:b/>
          <w:bCs/>
          <w:sz w:val="24"/>
          <w:highlight w:val="none"/>
        </w:rPr>
      </w:pPr>
      <w:r>
        <w:rPr>
          <w:rFonts w:hint="eastAsia" w:ascii="宋体" w:hAnsi="宋体"/>
          <w:b/>
          <w:bCs/>
          <w:sz w:val="24"/>
          <w:highlight w:val="none"/>
        </w:rPr>
        <w:t>合同未尽事项</w:t>
      </w:r>
    </w:p>
    <w:p w14:paraId="1856F838">
      <w:pPr>
        <w:adjustRightInd w:val="0"/>
        <w:snapToGrid w:val="0"/>
        <w:spacing w:line="400" w:lineRule="exact"/>
        <w:ind w:firstLine="420" w:firstLineChars="200"/>
        <w:jc w:val="left"/>
        <w:rPr>
          <w:rFonts w:ascii="宋体" w:hAnsi="宋体"/>
          <w:bCs/>
          <w:szCs w:val="21"/>
          <w:highlight w:val="none"/>
        </w:rPr>
      </w:pPr>
      <w:r>
        <w:rPr>
          <w:rFonts w:hint="eastAsia" w:ascii="宋体" w:hAnsi="宋体"/>
          <w:bCs/>
          <w:szCs w:val="21"/>
          <w:highlight w:val="none"/>
        </w:rPr>
        <w:t>23.1合同未尽事项见</w:t>
      </w:r>
      <w:r>
        <w:rPr>
          <w:rFonts w:hint="eastAsia" w:ascii="宋体" w:hAnsi="宋体"/>
          <w:b/>
          <w:szCs w:val="21"/>
          <w:highlight w:val="none"/>
        </w:rPr>
        <w:t>【政府采购合同专用条款】</w:t>
      </w:r>
      <w:r>
        <w:rPr>
          <w:rFonts w:hint="eastAsia" w:ascii="宋体" w:hAnsi="宋体"/>
          <w:bCs/>
          <w:szCs w:val="21"/>
          <w:highlight w:val="none"/>
        </w:rPr>
        <w:t>。</w:t>
      </w:r>
    </w:p>
    <w:p w14:paraId="6558C5E2">
      <w:pPr>
        <w:adjustRightInd w:val="0"/>
        <w:snapToGrid w:val="0"/>
        <w:spacing w:line="400" w:lineRule="exact"/>
        <w:jc w:val="left"/>
        <w:rPr>
          <w:rFonts w:ascii="宋体" w:hAnsi="宋体"/>
          <w:sz w:val="28"/>
          <w:szCs w:val="28"/>
          <w:highlight w:val="none"/>
        </w:rPr>
      </w:pPr>
      <w:r>
        <w:rPr>
          <w:rFonts w:hint="eastAsia" w:ascii="宋体" w:hAnsi="宋体"/>
          <w:bCs/>
          <w:szCs w:val="21"/>
          <w:highlight w:val="none"/>
        </w:rPr>
        <w:t xml:space="preserve">    23.2 合同附件与合同正文具有同等的法律效力。</w:t>
      </w:r>
      <w:bookmarkStart w:id="76" w:name="_Toc20313"/>
    </w:p>
    <w:p w14:paraId="2088E261">
      <w:pPr>
        <w:adjustRightInd w:val="0"/>
        <w:snapToGrid w:val="0"/>
        <w:jc w:val="center"/>
        <w:rPr>
          <w:rFonts w:ascii="宋体" w:hAnsi="宋体"/>
          <w:sz w:val="28"/>
          <w:szCs w:val="28"/>
          <w:highlight w:val="none"/>
        </w:rPr>
      </w:pPr>
      <w:r>
        <w:rPr>
          <w:rFonts w:hint="eastAsia" w:ascii="宋体" w:hAnsi="宋体"/>
          <w:sz w:val="28"/>
          <w:szCs w:val="28"/>
          <w:highlight w:val="none"/>
        </w:rPr>
        <w:br w:type="page"/>
      </w:r>
    </w:p>
    <w:p w14:paraId="69E00EEF">
      <w:pPr>
        <w:pStyle w:val="7"/>
        <w:snapToGrid w:val="0"/>
        <w:jc w:val="center"/>
        <w:rPr>
          <w:rFonts w:ascii="宋体" w:hAnsi="宋体" w:eastAsia="宋体"/>
          <w:b w:val="0"/>
          <w:bCs/>
          <w:szCs w:val="28"/>
          <w:highlight w:val="none"/>
        </w:rPr>
      </w:pPr>
      <w:r>
        <w:rPr>
          <w:rFonts w:hint="eastAsia" w:ascii="宋体" w:hAnsi="宋体" w:eastAsia="宋体"/>
          <w:b w:val="0"/>
          <w:szCs w:val="28"/>
          <w:highlight w:val="none"/>
        </w:rPr>
        <w:t>第三节 政府采购合同专用条款</w:t>
      </w:r>
      <w:bookmarkEnd w:id="76"/>
    </w:p>
    <w:tbl>
      <w:tblPr>
        <w:tblStyle w:val="30"/>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805"/>
        <w:gridCol w:w="1957"/>
        <w:gridCol w:w="5808"/>
      </w:tblGrid>
      <w:tr w14:paraId="08F87B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F0A5849">
            <w:pPr>
              <w:adjustRightInd w:val="0"/>
              <w:snapToGrid w:val="0"/>
              <w:jc w:val="center"/>
              <w:rPr>
                <w:rFonts w:ascii="宋体" w:hAnsi="宋体"/>
                <w:szCs w:val="21"/>
                <w:highlight w:val="none"/>
              </w:rPr>
            </w:pPr>
            <w:r>
              <w:rPr>
                <w:rFonts w:hint="eastAsia" w:ascii="宋体" w:hAnsi="宋体"/>
                <w:szCs w:val="21"/>
                <w:highlight w:val="none"/>
              </w:rPr>
              <w:t>第二节</w:t>
            </w:r>
          </w:p>
          <w:p w14:paraId="09E3CEBD">
            <w:pPr>
              <w:adjustRightInd w:val="0"/>
              <w:snapToGrid w:val="0"/>
              <w:jc w:val="center"/>
              <w:rPr>
                <w:rFonts w:ascii="宋体" w:hAnsi="宋体"/>
                <w:szCs w:val="21"/>
                <w:highlight w:val="none"/>
              </w:rPr>
            </w:pPr>
            <w:r>
              <w:rPr>
                <w:rFonts w:hint="eastAsia" w:ascii="宋体" w:hAnsi="宋体"/>
                <w:szCs w:val="21"/>
                <w:highlight w:val="none"/>
              </w:rPr>
              <w:t>第1.2（6）项</w:t>
            </w:r>
          </w:p>
        </w:tc>
        <w:tc>
          <w:tcPr>
            <w:tcW w:w="1022" w:type="pct"/>
            <w:vAlign w:val="center"/>
          </w:tcPr>
          <w:p w14:paraId="110541C1">
            <w:pPr>
              <w:adjustRightInd w:val="0"/>
              <w:snapToGrid w:val="0"/>
              <w:jc w:val="left"/>
              <w:rPr>
                <w:rFonts w:ascii="宋体" w:hAnsi="宋体"/>
                <w:szCs w:val="21"/>
                <w:highlight w:val="none"/>
              </w:rPr>
            </w:pPr>
            <w:r>
              <w:rPr>
                <w:rFonts w:hint="eastAsia" w:ascii="宋体" w:hAnsi="宋体"/>
                <w:szCs w:val="21"/>
                <w:highlight w:val="none"/>
              </w:rPr>
              <w:t>联合体具体要求</w:t>
            </w:r>
          </w:p>
        </w:tc>
        <w:tc>
          <w:tcPr>
            <w:tcW w:w="3034" w:type="pct"/>
            <w:vAlign w:val="center"/>
          </w:tcPr>
          <w:p w14:paraId="6190A1F8">
            <w:pPr>
              <w:adjustRightInd w:val="0"/>
              <w:snapToGrid w:val="0"/>
              <w:jc w:val="left"/>
              <w:rPr>
                <w:rFonts w:ascii="宋体" w:hAnsi="宋体"/>
                <w:szCs w:val="21"/>
                <w:highlight w:val="none"/>
              </w:rPr>
            </w:pPr>
          </w:p>
        </w:tc>
      </w:tr>
      <w:tr w14:paraId="202EF9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943" w:type="pct"/>
            <w:vAlign w:val="center"/>
          </w:tcPr>
          <w:p w14:paraId="54B19500">
            <w:pPr>
              <w:adjustRightInd w:val="0"/>
              <w:snapToGrid w:val="0"/>
              <w:jc w:val="center"/>
              <w:rPr>
                <w:rFonts w:ascii="宋体" w:hAnsi="宋体"/>
                <w:szCs w:val="21"/>
                <w:highlight w:val="none"/>
              </w:rPr>
            </w:pPr>
            <w:r>
              <w:rPr>
                <w:rFonts w:hint="eastAsia" w:ascii="宋体" w:hAnsi="宋体"/>
                <w:szCs w:val="21"/>
                <w:highlight w:val="none"/>
              </w:rPr>
              <w:t>第二节</w:t>
            </w:r>
          </w:p>
          <w:p w14:paraId="74165A96">
            <w:pPr>
              <w:adjustRightInd w:val="0"/>
              <w:snapToGrid w:val="0"/>
              <w:jc w:val="center"/>
              <w:rPr>
                <w:rFonts w:ascii="宋体" w:hAnsi="宋体"/>
                <w:szCs w:val="21"/>
                <w:highlight w:val="none"/>
              </w:rPr>
            </w:pPr>
            <w:r>
              <w:rPr>
                <w:rFonts w:hint="eastAsia" w:ascii="宋体" w:hAnsi="宋体"/>
                <w:szCs w:val="21"/>
                <w:highlight w:val="none"/>
              </w:rPr>
              <w:t>第1.2（7）项</w:t>
            </w:r>
          </w:p>
        </w:tc>
        <w:tc>
          <w:tcPr>
            <w:tcW w:w="1022" w:type="pct"/>
            <w:vAlign w:val="center"/>
          </w:tcPr>
          <w:p w14:paraId="05B15D14">
            <w:pPr>
              <w:adjustRightInd w:val="0"/>
              <w:snapToGrid w:val="0"/>
              <w:jc w:val="left"/>
              <w:rPr>
                <w:rFonts w:ascii="宋体" w:hAnsi="宋体"/>
                <w:szCs w:val="21"/>
                <w:highlight w:val="none"/>
              </w:rPr>
            </w:pPr>
            <w:r>
              <w:rPr>
                <w:rFonts w:hint="eastAsia" w:ascii="宋体" w:hAnsi="宋体"/>
                <w:szCs w:val="21"/>
                <w:highlight w:val="none"/>
              </w:rPr>
              <w:t>其他术语解释</w:t>
            </w:r>
          </w:p>
        </w:tc>
        <w:tc>
          <w:tcPr>
            <w:tcW w:w="3034" w:type="pct"/>
            <w:vAlign w:val="center"/>
          </w:tcPr>
          <w:p w14:paraId="42EB2C9B">
            <w:pPr>
              <w:adjustRightInd w:val="0"/>
              <w:snapToGrid w:val="0"/>
              <w:jc w:val="left"/>
              <w:rPr>
                <w:rFonts w:ascii="宋体" w:hAnsi="宋体"/>
                <w:szCs w:val="21"/>
                <w:highlight w:val="none"/>
              </w:rPr>
            </w:pPr>
          </w:p>
        </w:tc>
      </w:tr>
      <w:tr w14:paraId="072802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3E44C644">
            <w:pPr>
              <w:adjustRightInd w:val="0"/>
              <w:snapToGrid w:val="0"/>
              <w:jc w:val="center"/>
              <w:rPr>
                <w:rFonts w:ascii="宋体" w:hAnsi="宋体"/>
                <w:szCs w:val="21"/>
                <w:highlight w:val="none"/>
              </w:rPr>
            </w:pPr>
            <w:r>
              <w:rPr>
                <w:rFonts w:hint="eastAsia" w:ascii="宋体" w:hAnsi="宋体"/>
                <w:szCs w:val="21"/>
                <w:highlight w:val="none"/>
              </w:rPr>
              <w:t>第二节</w:t>
            </w:r>
          </w:p>
          <w:p w14:paraId="26953D81">
            <w:pPr>
              <w:adjustRightInd w:val="0"/>
              <w:snapToGrid w:val="0"/>
              <w:jc w:val="center"/>
              <w:rPr>
                <w:rFonts w:ascii="宋体" w:hAnsi="宋体"/>
                <w:szCs w:val="21"/>
                <w:highlight w:val="none"/>
              </w:rPr>
            </w:pPr>
            <w:r>
              <w:rPr>
                <w:rFonts w:hint="eastAsia" w:ascii="宋体" w:hAnsi="宋体"/>
                <w:szCs w:val="21"/>
                <w:highlight w:val="none"/>
              </w:rPr>
              <w:t>第4.4款</w:t>
            </w:r>
          </w:p>
        </w:tc>
        <w:tc>
          <w:tcPr>
            <w:tcW w:w="1022" w:type="pct"/>
            <w:vAlign w:val="center"/>
          </w:tcPr>
          <w:p w14:paraId="0EEBA0A4">
            <w:pPr>
              <w:adjustRightInd w:val="0"/>
              <w:snapToGrid w:val="0"/>
              <w:jc w:val="left"/>
              <w:rPr>
                <w:rFonts w:ascii="宋体" w:hAnsi="宋体"/>
                <w:szCs w:val="21"/>
                <w:highlight w:val="none"/>
              </w:rPr>
            </w:pPr>
            <w:r>
              <w:rPr>
                <w:rFonts w:hint="eastAsia" w:ascii="宋体" w:hAnsi="宋体"/>
                <w:szCs w:val="21"/>
                <w:highlight w:val="none"/>
              </w:rPr>
              <w:t>履约验收中甲方提出异议或作出说明的期限</w:t>
            </w:r>
          </w:p>
        </w:tc>
        <w:tc>
          <w:tcPr>
            <w:tcW w:w="3034" w:type="pct"/>
            <w:vAlign w:val="center"/>
          </w:tcPr>
          <w:p w14:paraId="2BE6E714">
            <w:pPr>
              <w:adjustRightInd w:val="0"/>
              <w:snapToGrid w:val="0"/>
              <w:jc w:val="left"/>
              <w:rPr>
                <w:rFonts w:ascii="宋体" w:hAnsi="宋体"/>
                <w:szCs w:val="21"/>
                <w:highlight w:val="none"/>
              </w:rPr>
            </w:pPr>
          </w:p>
        </w:tc>
      </w:tr>
      <w:tr w14:paraId="7C2D15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3DFDF005">
            <w:pPr>
              <w:adjustRightInd w:val="0"/>
              <w:snapToGrid w:val="0"/>
              <w:jc w:val="center"/>
              <w:rPr>
                <w:rFonts w:ascii="宋体" w:hAnsi="宋体"/>
                <w:szCs w:val="21"/>
                <w:highlight w:val="none"/>
              </w:rPr>
            </w:pPr>
            <w:r>
              <w:rPr>
                <w:rFonts w:hint="eastAsia" w:ascii="宋体" w:hAnsi="宋体"/>
                <w:szCs w:val="21"/>
                <w:highlight w:val="none"/>
              </w:rPr>
              <w:t>第二节</w:t>
            </w:r>
          </w:p>
          <w:p w14:paraId="38283949">
            <w:pPr>
              <w:adjustRightInd w:val="0"/>
              <w:snapToGrid w:val="0"/>
              <w:jc w:val="center"/>
              <w:rPr>
                <w:rFonts w:ascii="宋体" w:hAnsi="宋体"/>
                <w:szCs w:val="21"/>
                <w:highlight w:val="none"/>
              </w:rPr>
            </w:pPr>
            <w:r>
              <w:rPr>
                <w:rFonts w:hint="eastAsia" w:ascii="宋体" w:hAnsi="宋体"/>
                <w:szCs w:val="21"/>
                <w:highlight w:val="none"/>
              </w:rPr>
              <w:t>第4.6款</w:t>
            </w:r>
          </w:p>
        </w:tc>
        <w:tc>
          <w:tcPr>
            <w:tcW w:w="1022" w:type="pct"/>
            <w:vAlign w:val="center"/>
          </w:tcPr>
          <w:p w14:paraId="3F13D825">
            <w:pPr>
              <w:adjustRightInd w:val="0"/>
              <w:snapToGrid w:val="0"/>
              <w:jc w:val="left"/>
              <w:rPr>
                <w:rFonts w:ascii="宋体" w:hAnsi="宋体"/>
                <w:szCs w:val="21"/>
                <w:highlight w:val="none"/>
              </w:rPr>
            </w:pPr>
            <w:r>
              <w:rPr>
                <w:rFonts w:hint="eastAsia" w:ascii="宋体" w:hAnsi="宋体"/>
                <w:szCs w:val="21"/>
                <w:highlight w:val="none"/>
              </w:rPr>
              <w:t>约定甲方承担的其他义务和责任</w:t>
            </w:r>
          </w:p>
        </w:tc>
        <w:tc>
          <w:tcPr>
            <w:tcW w:w="3034" w:type="pct"/>
            <w:vAlign w:val="center"/>
          </w:tcPr>
          <w:p w14:paraId="05928A59">
            <w:pPr>
              <w:adjustRightInd w:val="0"/>
              <w:snapToGrid w:val="0"/>
              <w:jc w:val="left"/>
              <w:rPr>
                <w:rFonts w:ascii="宋体" w:hAnsi="宋体"/>
                <w:szCs w:val="21"/>
                <w:highlight w:val="none"/>
              </w:rPr>
            </w:pPr>
          </w:p>
        </w:tc>
      </w:tr>
      <w:tr w14:paraId="1B4DD5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B190827">
            <w:pPr>
              <w:adjustRightInd w:val="0"/>
              <w:snapToGrid w:val="0"/>
              <w:jc w:val="center"/>
              <w:rPr>
                <w:rFonts w:ascii="宋体" w:hAnsi="宋体"/>
                <w:szCs w:val="21"/>
                <w:highlight w:val="none"/>
              </w:rPr>
            </w:pPr>
            <w:r>
              <w:rPr>
                <w:rFonts w:hint="eastAsia" w:ascii="宋体" w:hAnsi="宋体"/>
                <w:szCs w:val="21"/>
                <w:highlight w:val="none"/>
              </w:rPr>
              <w:t>第二节</w:t>
            </w:r>
          </w:p>
          <w:p w14:paraId="34259374">
            <w:pPr>
              <w:snapToGrid w:val="0"/>
              <w:jc w:val="center"/>
              <w:rPr>
                <w:rFonts w:ascii="宋体" w:hAnsi="宋体"/>
                <w:highlight w:val="none"/>
              </w:rPr>
            </w:pPr>
            <w:r>
              <w:rPr>
                <w:rFonts w:hint="eastAsia" w:ascii="宋体" w:hAnsi="宋体"/>
                <w:szCs w:val="21"/>
                <w:highlight w:val="none"/>
              </w:rPr>
              <w:t>第5.4款</w:t>
            </w:r>
          </w:p>
        </w:tc>
        <w:tc>
          <w:tcPr>
            <w:tcW w:w="1022" w:type="pct"/>
            <w:vAlign w:val="center"/>
          </w:tcPr>
          <w:p w14:paraId="23E8A52F">
            <w:pPr>
              <w:adjustRightInd w:val="0"/>
              <w:snapToGrid w:val="0"/>
              <w:jc w:val="left"/>
              <w:rPr>
                <w:rFonts w:ascii="宋体" w:hAnsi="宋体"/>
                <w:szCs w:val="21"/>
                <w:highlight w:val="none"/>
              </w:rPr>
            </w:pPr>
            <w:r>
              <w:rPr>
                <w:rFonts w:hint="eastAsia" w:ascii="宋体" w:hAnsi="宋体"/>
                <w:szCs w:val="21"/>
                <w:highlight w:val="none"/>
              </w:rPr>
              <w:t>约定乙方承担的其他义务和责任</w:t>
            </w:r>
          </w:p>
        </w:tc>
        <w:tc>
          <w:tcPr>
            <w:tcW w:w="3034" w:type="pct"/>
            <w:vAlign w:val="center"/>
          </w:tcPr>
          <w:p w14:paraId="503BD673">
            <w:pPr>
              <w:adjustRightInd w:val="0"/>
              <w:snapToGrid w:val="0"/>
              <w:jc w:val="left"/>
              <w:rPr>
                <w:rFonts w:ascii="宋体" w:hAnsi="宋体"/>
                <w:szCs w:val="21"/>
                <w:highlight w:val="none"/>
              </w:rPr>
            </w:pPr>
          </w:p>
        </w:tc>
      </w:tr>
      <w:tr w14:paraId="0FEDD9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556C1FC1">
            <w:pPr>
              <w:adjustRightInd w:val="0"/>
              <w:snapToGrid w:val="0"/>
              <w:jc w:val="center"/>
              <w:rPr>
                <w:rFonts w:ascii="宋体" w:hAnsi="宋体"/>
                <w:szCs w:val="21"/>
                <w:highlight w:val="none"/>
              </w:rPr>
            </w:pPr>
            <w:r>
              <w:rPr>
                <w:rFonts w:hint="eastAsia" w:ascii="宋体" w:hAnsi="宋体"/>
                <w:szCs w:val="21"/>
                <w:highlight w:val="none"/>
              </w:rPr>
              <w:t>第二节</w:t>
            </w:r>
          </w:p>
          <w:p w14:paraId="60EE4050">
            <w:pPr>
              <w:snapToGrid w:val="0"/>
              <w:jc w:val="center"/>
              <w:rPr>
                <w:rFonts w:ascii="宋体" w:hAnsi="宋体"/>
                <w:szCs w:val="21"/>
                <w:highlight w:val="none"/>
              </w:rPr>
            </w:pPr>
            <w:r>
              <w:rPr>
                <w:rFonts w:hint="eastAsia" w:ascii="宋体" w:hAnsi="宋体"/>
                <w:szCs w:val="21"/>
                <w:highlight w:val="none"/>
              </w:rPr>
              <w:t>第6.1款</w:t>
            </w:r>
          </w:p>
        </w:tc>
        <w:tc>
          <w:tcPr>
            <w:tcW w:w="1022" w:type="pct"/>
            <w:vAlign w:val="center"/>
          </w:tcPr>
          <w:p w14:paraId="62E8A06E">
            <w:pPr>
              <w:adjustRightInd w:val="0"/>
              <w:snapToGrid w:val="0"/>
              <w:jc w:val="left"/>
              <w:rPr>
                <w:rFonts w:ascii="宋体" w:hAnsi="宋体"/>
                <w:szCs w:val="21"/>
                <w:highlight w:val="none"/>
              </w:rPr>
            </w:pPr>
            <w:r>
              <w:rPr>
                <w:rFonts w:hint="eastAsia" w:ascii="宋体" w:hAnsi="宋体"/>
                <w:szCs w:val="21"/>
                <w:highlight w:val="none"/>
              </w:rPr>
              <w:t>履行合同义务的顺序</w:t>
            </w:r>
          </w:p>
        </w:tc>
        <w:tc>
          <w:tcPr>
            <w:tcW w:w="3034" w:type="pct"/>
            <w:vAlign w:val="center"/>
          </w:tcPr>
          <w:p w14:paraId="4570798E">
            <w:pPr>
              <w:adjustRightInd w:val="0"/>
              <w:snapToGrid w:val="0"/>
              <w:jc w:val="left"/>
              <w:rPr>
                <w:rFonts w:ascii="宋体" w:hAnsi="宋体"/>
                <w:szCs w:val="21"/>
                <w:highlight w:val="none"/>
              </w:rPr>
            </w:pPr>
          </w:p>
        </w:tc>
      </w:tr>
      <w:tr w14:paraId="759FB2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restart"/>
            <w:vAlign w:val="center"/>
          </w:tcPr>
          <w:p w14:paraId="34575E42">
            <w:pPr>
              <w:adjustRightInd w:val="0"/>
              <w:snapToGrid w:val="0"/>
              <w:jc w:val="center"/>
              <w:rPr>
                <w:rFonts w:ascii="宋体" w:hAnsi="宋体"/>
                <w:szCs w:val="21"/>
                <w:highlight w:val="none"/>
              </w:rPr>
            </w:pPr>
            <w:r>
              <w:rPr>
                <w:rFonts w:hint="eastAsia" w:ascii="宋体" w:hAnsi="宋体"/>
                <w:szCs w:val="21"/>
                <w:highlight w:val="none"/>
              </w:rPr>
              <w:t>第二节</w:t>
            </w:r>
          </w:p>
          <w:p w14:paraId="4F6920A9">
            <w:pPr>
              <w:adjustRightInd w:val="0"/>
              <w:snapToGrid w:val="0"/>
              <w:jc w:val="center"/>
              <w:rPr>
                <w:rFonts w:ascii="宋体" w:hAnsi="宋体"/>
                <w:szCs w:val="21"/>
                <w:highlight w:val="none"/>
              </w:rPr>
            </w:pPr>
            <w:r>
              <w:rPr>
                <w:rFonts w:hint="eastAsia" w:ascii="宋体" w:hAnsi="宋体"/>
                <w:szCs w:val="21"/>
                <w:highlight w:val="none"/>
              </w:rPr>
              <w:t>第7.1款</w:t>
            </w:r>
          </w:p>
        </w:tc>
        <w:tc>
          <w:tcPr>
            <w:tcW w:w="1022" w:type="pct"/>
            <w:vAlign w:val="center"/>
          </w:tcPr>
          <w:p w14:paraId="2E8278A8">
            <w:pPr>
              <w:adjustRightInd w:val="0"/>
              <w:snapToGrid w:val="0"/>
              <w:jc w:val="left"/>
              <w:rPr>
                <w:rFonts w:ascii="宋体" w:hAnsi="宋体"/>
                <w:szCs w:val="21"/>
                <w:highlight w:val="none"/>
              </w:rPr>
            </w:pPr>
            <w:r>
              <w:rPr>
                <w:rFonts w:hint="eastAsia" w:ascii="宋体" w:hAnsi="宋体"/>
                <w:szCs w:val="21"/>
                <w:highlight w:val="none"/>
              </w:rPr>
              <w:t>包装特殊要求</w:t>
            </w:r>
          </w:p>
        </w:tc>
        <w:tc>
          <w:tcPr>
            <w:tcW w:w="3034" w:type="pct"/>
            <w:vAlign w:val="center"/>
          </w:tcPr>
          <w:p w14:paraId="1BE470DB">
            <w:pPr>
              <w:rPr>
                <w:rFonts w:ascii="宋体" w:hAnsi="宋体"/>
                <w:highlight w:val="none"/>
              </w:rPr>
            </w:pPr>
          </w:p>
        </w:tc>
      </w:tr>
      <w:tr w14:paraId="6A28D8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continue"/>
            <w:vAlign w:val="center"/>
          </w:tcPr>
          <w:p w14:paraId="4A76DE25">
            <w:pPr>
              <w:adjustRightInd w:val="0"/>
              <w:snapToGrid w:val="0"/>
              <w:jc w:val="center"/>
              <w:rPr>
                <w:rFonts w:ascii="宋体" w:hAnsi="宋体"/>
                <w:szCs w:val="21"/>
                <w:highlight w:val="none"/>
              </w:rPr>
            </w:pPr>
          </w:p>
        </w:tc>
        <w:tc>
          <w:tcPr>
            <w:tcW w:w="1022" w:type="pct"/>
            <w:vAlign w:val="center"/>
          </w:tcPr>
          <w:p w14:paraId="0954FF51">
            <w:pPr>
              <w:adjustRightInd w:val="0"/>
              <w:snapToGrid w:val="0"/>
              <w:jc w:val="left"/>
              <w:rPr>
                <w:rFonts w:ascii="宋体" w:hAnsi="宋体"/>
                <w:szCs w:val="21"/>
                <w:highlight w:val="none"/>
              </w:rPr>
            </w:pPr>
            <w:r>
              <w:rPr>
                <w:rFonts w:hint="eastAsia" w:ascii="宋体" w:hAnsi="宋体"/>
                <w:szCs w:val="21"/>
                <w:highlight w:val="none"/>
              </w:rPr>
              <w:t>指定现场</w:t>
            </w:r>
          </w:p>
        </w:tc>
        <w:tc>
          <w:tcPr>
            <w:tcW w:w="3034" w:type="pct"/>
            <w:vAlign w:val="center"/>
          </w:tcPr>
          <w:p w14:paraId="6C0F630A">
            <w:pPr>
              <w:rPr>
                <w:rFonts w:ascii="宋体" w:hAnsi="宋体"/>
                <w:highlight w:val="none"/>
              </w:rPr>
            </w:pPr>
          </w:p>
        </w:tc>
      </w:tr>
      <w:tr w14:paraId="3B6B4C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943" w:type="pct"/>
            <w:vAlign w:val="center"/>
          </w:tcPr>
          <w:p w14:paraId="302457CF">
            <w:pPr>
              <w:adjustRightInd w:val="0"/>
              <w:snapToGrid w:val="0"/>
              <w:jc w:val="center"/>
              <w:rPr>
                <w:rFonts w:ascii="宋体" w:hAnsi="宋体"/>
                <w:szCs w:val="21"/>
                <w:highlight w:val="none"/>
              </w:rPr>
            </w:pPr>
            <w:r>
              <w:rPr>
                <w:rFonts w:hint="eastAsia" w:ascii="宋体" w:hAnsi="宋体"/>
                <w:szCs w:val="21"/>
                <w:highlight w:val="none"/>
              </w:rPr>
              <w:t>第二节</w:t>
            </w:r>
          </w:p>
          <w:p w14:paraId="6E6E1C6E">
            <w:pPr>
              <w:adjustRightInd w:val="0"/>
              <w:snapToGrid w:val="0"/>
              <w:jc w:val="center"/>
              <w:rPr>
                <w:rFonts w:ascii="宋体" w:hAnsi="宋体"/>
                <w:szCs w:val="21"/>
                <w:highlight w:val="none"/>
              </w:rPr>
            </w:pPr>
            <w:r>
              <w:rPr>
                <w:rFonts w:hint="eastAsia" w:ascii="宋体" w:hAnsi="宋体"/>
                <w:szCs w:val="21"/>
                <w:highlight w:val="none"/>
              </w:rPr>
              <w:t>第7.2款</w:t>
            </w:r>
          </w:p>
        </w:tc>
        <w:tc>
          <w:tcPr>
            <w:tcW w:w="1022" w:type="pct"/>
            <w:vAlign w:val="center"/>
          </w:tcPr>
          <w:p w14:paraId="586786BD">
            <w:pPr>
              <w:adjustRightInd w:val="0"/>
              <w:snapToGrid w:val="0"/>
              <w:jc w:val="left"/>
              <w:rPr>
                <w:rFonts w:ascii="宋体" w:hAnsi="宋体"/>
                <w:szCs w:val="21"/>
                <w:highlight w:val="none"/>
              </w:rPr>
            </w:pPr>
            <w:r>
              <w:rPr>
                <w:rFonts w:hint="eastAsia" w:ascii="宋体" w:hAnsi="宋体"/>
                <w:szCs w:val="21"/>
                <w:highlight w:val="none"/>
              </w:rPr>
              <w:t>运输特殊要求</w:t>
            </w:r>
          </w:p>
        </w:tc>
        <w:tc>
          <w:tcPr>
            <w:tcW w:w="3034" w:type="pct"/>
            <w:vAlign w:val="center"/>
          </w:tcPr>
          <w:p w14:paraId="75C74B22">
            <w:pPr>
              <w:rPr>
                <w:rFonts w:ascii="宋体" w:hAnsi="宋体"/>
                <w:highlight w:val="none"/>
              </w:rPr>
            </w:pPr>
          </w:p>
        </w:tc>
      </w:tr>
      <w:tr w14:paraId="4BCFE3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Align w:val="center"/>
          </w:tcPr>
          <w:p w14:paraId="289A3CC2">
            <w:pPr>
              <w:adjustRightInd w:val="0"/>
              <w:snapToGrid w:val="0"/>
              <w:jc w:val="center"/>
              <w:rPr>
                <w:rFonts w:ascii="宋体" w:hAnsi="宋体"/>
                <w:szCs w:val="21"/>
                <w:highlight w:val="none"/>
              </w:rPr>
            </w:pPr>
            <w:r>
              <w:rPr>
                <w:rFonts w:hint="eastAsia" w:ascii="宋体" w:hAnsi="宋体"/>
                <w:szCs w:val="21"/>
                <w:highlight w:val="none"/>
              </w:rPr>
              <w:t>第二节</w:t>
            </w:r>
          </w:p>
          <w:p w14:paraId="1BBE5EDC">
            <w:pPr>
              <w:adjustRightInd w:val="0"/>
              <w:snapToGrid w:val="0"/>
              <w:jc w:val="center"/>
              <w:rPr>
                <w:rFonts w:ascii="宋体" w:hAnsi="宋体"/>
                <w:szCs w:val="21"/>
                <w:highlight w:val="none"/>
              </w:rPr>
            </w:pPr>
            <w:r>
              <w:rPr>
                <w:rFonts w:hint="eastAsia" w:ascii="宋体" w:hAnsi="宋体"/>
                <w:szCs w:val="21"/>
                <w:highlight w:val="none"/>
              </w:rPr>
              <w:t>第7.3款</w:t>
            </w:r>
          </w:p>
        </w:tc>
        <w:tc>
          <w:tcPr>
            <w:tcW w:w="1022" w:type="pct"/>
            <w:vAlign w:val="center"/>
          </w:tcPr>
          <w:p w14:paraId="7789682F">
            <w:pPr>
              <w:adjustRightInd w:val="0"/>
              <w:snapToGrid w:val="0"/>
              <w:jc w:val="left"/>
              <w:rPr>
                <w:rFonts w:ascii="宋体" w:hAnsi="宋体"/>
                <w:szCs w:val="21"/>
                <w:highlight w:val="none"/>
              </w:rPr>
            </w:pPr>
            <w:r>
              <w:rPr>
                <w:rFonts w:hint="eastAsia" w:ascii="宋体" w:hAnsi="宋体"/>
                <w:szCs w:val="21"/>
                <w:highlight w:val="none"/>
              </w:rPr>
              <w:t>保险要求</w:t>
            </w:r>
          </w:p>
        </w:tc>
        <w:tc>
          <w:tcPr>
            <w:tcW w:w="3034" w:type="pct"/>
            <w:vAlign w:val="center"/>
          </w:tcPr>
          <w:p w14:paraId="46E692FA">
            <w:pPr>
              <w:rPr>
                <w:rFonts w:ascii="宋体" w:hAnsi="宋体"/>
                <w:highlight w:val="none"/>
              </w:rPr>
            </w:pPr>
          </w:p>
        </w:tc>
      </w:tr>
      <w:tr w14:paraId="272405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3960EB57">
            <w:pPr>
              <w:adjustRightInd w:val="0"/>
              <w:snapToGrid w:val="0"/>
              <w:jc w:val="center"/>
              <w:rPr>
                <w:rFonts w:ascii="宋体" w:hAnsi="宋体"/>
                <w:szCs w:val="21"/>
                <w:highlight w:val="none"/>
              </w:rPr>
            </w:pPr>
            <w:r>
              <w:rPr>
                <w:rFonts w:hint="eastAsia" w:ascii="宋体" w:hAnsi="宋体"/>
                <w:szCs w:val="21"/>
                <w:highlight w:val="none"/>
              </w:rPr>
              <w:t>第二节</w:t>
            </w:r>
          </w:p>
          <w:p w14:paraId="22CF626B">
            <w:pPr>
              <w:adjustRightInd w:val="0"/>
              <w:snapToGrid w:val="0"/>
              <w:jc w:val="center"/>
              <w:rPr>
                <w:rFonts w:ascii="宋体" w:hAnsi="宋体"/>
                <w:szCs w:val="21"/>
                <w:highlight w:val="none"/>
              </w:rPr>
            </w:pPr>
            <w:r>
              <w:rPr>
                <w:rFonts w:hint="eastAsia" w:ascii="宋体" w:hAnsi="宋体"/>
                <w:szCs w:val="21"/>
                <w:highlight w:val="none"/>
              </w:rPr>
              <w:t>第8.2（1）项</w:t>
            </w:r>
          </w:p>
        </w:tc>
        <w:tc>
          <w:tcPr>
            <w:tcW w:w="1022" w:type="pct"/>
            <w:vAlign w:val="center"/>
          </w:tcPr>
          <w:p w14:paraId="60F3557A">
            <w:pPr>
              <w:adjustRightInd w:val="0"/>
              <w:snapToGrid w:val="0"/>
              <w:jc w:val="left"/>
              <w:rPr>
                <w:rFonts w:ascii="宋体" w:hAnsi="宋体"/>
                <w:szCs w:val="21"/>
                <w:highlight w:val="none"/>
              </w:rPr>
            </w:pPr>
            <w:r>
              <w:rPr>
                <w:rFonts w:hint="eastAsia" w:ascii="宋体" w:hAnsi="宋体"/>
                <w:szCs w:val="21"/>
                <w:highlight w:val="none"/>
              </w:rPr>
              <w:t>质量保证期</w:t>
            </w:r>
          </w:p>
        </w:tc>
        <w:tc>
          <w:tcPr>
            <w:tcW w:w="3034" w:type="pct"/>
            <w:vAlign w:val="center"/>
          </w:tcPr>
          <w:p w14:paraId="23A9F380">
            <w:pPr>
              <w:adjustRightInd w:val="0"/>
              <w:snapToGrid w:val="0"/>
              <w:jc w:val="left"/>
              <w:rPr>
                <w:rFonts w:ascii="宋体" w:hAnsi="宋体"/>
                <w:szCs w:val="21"/>
                <w:highlight w:val="none"/>
              </w:rPr>
            </w:pPr>
          </w:p>
        </w:tc>
      </w:tr>
      <w:tr w14:paraId="086BAD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B82E060">
            <w:pPr>
              <w:adjustRightInd w:val="0"/>
              <w:snapToGrid w:val="0"/>
              <w:jc w:val="center"/>
              <w:rPr>
                <w:rFonts w:ascii="宋体" w:hAnsi="宋体"/>
                <w:szCs w:val="21"/>
                <w:highlight w:val="none"/>
              </w:rPr>
            </w:pPr>
            <w:r>
              <w:rPr>
                <w:rFonts w:hint="eastAsia" w:ascii="宋体" w:hAnsi="宋体"/>
                <w:szCs w:val="21"/>
                <w:highlight w:val="none"/>
              </w:rPr>
              <w:t>第二节</w:t>
            </w:r>
          </w:p>
          <w:p w14:paraId="0F0921C2">
            <w:pPr>
              <w:adjustRightInd w:val="0"/>
              <w:snapToGrid w:val="0"/>
              <w:jc w:val="center"/>
              <w:rPr>
                <w:rFonts w:ascii="宋体" w:hAnsi="宋体"/>
                <w:szCs w:val="21"/>
                <w:highlight w:val="none"/>
              </w:rPr>
            </w:pPr>
            <w:r>
              <w:rPr>
                <w:rFonts w:hint="eastAsia" w:ascii="宋体" w:hAnsi="宋体"/>
                <w:szCs w:val="21"/>
                <w:highlight w:val="none"/>
              </w:rPr>
              <w:t>第8.2（3）项</w:t>
            </w:r>
          </w:p>
        </w:tc>
        <w:tc>
          <w:tcPr>
            <w:tcW w:w="1022" w:type="pct"/>
            <w:vAlign w:val="center"/>
          </w:tcPr>
          <w:p w14:paraId="531A8960">
            <w:pPr>
              <w:adjustRightInd w:val="0"/>
              <w:snapToGrid w:val="0"/>
              <w:jc w:val="left"/>
              <w:rPr>
                <w:rFonts w:ascii="宋体" w:hAnsi="宋体"/>
                <w:szCs w:val="21"/>
                <w:highlight w:val="none"/>
              </w:rPr>
            </w:pPr>
            <w:r>
              <w:rPr>
                <w:rFonts w:hint="eastAsia" w:ascii="宋体" w:hAnsi="宋体"/>
                <w:szCs w:val="21"/>
                <w:highlight w:val="none"/>
              </w:rPr>
              <w:t>货物质量缺陷</w:t>
            </w:r>
          </w:p>
          <w:p w14:paraId="3B71D76D">
            <w:pPr>
              <w:adjustRightInd w:val="0"/>
              <w:snapToGrid w:val="0"/>
              <w:jc w:val="left"/>
              <w:rPr>
                <w:rFonts w:ascii="宋体" w:hAnsi="宋体"/>
                <w:szCs w:val="21"/>
                <w:highlight w:val="none"/>
              </w:rPr>
            </w:pPr>
            <w:r>
              <w:rPr>
                <w:rFonts w:hint="eastAsia" w:ascii="宋体" w:hAnsi="宋体"/>
                <w:szCs w:val="21"/>
                <w:highlight w:val="none"/>
              </w:rPr>
              <w:t>响应时间</w:t>
            </w:r>
          </w:p>
        </w:tc>
        <w:tc>
          <w:tcPr>
            <w:tcW w:w="3034" w:type="pct"/>
            <w:vAlign w:val="center"/>
          </w:tcPr>
          <w:p w14:paraId="4BE897E9">
            <w:pPr>
              <w:adjustRightInd w:val="0"/>
              <w:snapToGrid w:val="0"/>
              <w:jc w:val="left"/>
              <w:rPr>
                <w:rFonts w:ascii="宋体" w:hAnsi="宋体"/>
                <w:szCs w:val="21"/>
                <w:highlight w:val="none"/>
              </w:rPr>
            </w:pPr>
          </w:p>
        </w:tc>
      </w:tr>
      <w:tr w14:paraId="1667F0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71D871F9">
            <w:pPr>
              <w:snapToGrid w:val="0"/>
              <w:jc w:val="center"/>
              <w:rPr>
                <w:rFonts w:ascii="宋体" w:hAnsi="宋体" w:cs="宋体"/>
                <w:szCs w:val="21"/>
                <w:highlight w:val="none"/>
              </w:rPr>
            </w:pPr>
            <w:r>
              <w:rPr>
                <w:rFonts w:hint="eastAsia" w:ascii="宋体" w:hAnsi="宋体" w:cs="宋体"/>
                <w:szCs w:val="21"/>
                <w:highlight w:val="none"/>
              </w:rPr>
              <w:t>第二节</w:t>
            </w:r>
          </w:p>
          <w:p w14:paraId="6CB94566">
            <w:pPr>
              <w:pStyle w:val="153"/>
              <w:ind w:firstLine="0" w:firstLineChars="0"/>
              <w:jc w:val="center"/>
              <w:rPr>
                <w:rFonts w:ascii="宋体" w:hAnsi="宋体" w:eastAsia="宋体"/>
                <w:highlight w:val="none"/>
              </w:rPr>
            </w:pPr>
            <w:r>
              <w:rPr>
                <w:rFonts w:hint="eastAsia" w:ascii="宋体" w:hAnsi="宋体" w:eastAsia="宋体" w:cs="宋体"/>
                <w:highlight w:val="none"/>
              </w:rPr>
              <w:t>第11.1款</w:t>
            </w:r>
          </w:p>
        </w:tc>
        <w:tc>
          <w:tcPr>
            <w:tcW w:w="1022" w:type="pct"/>
            <w:vAlign w:val="center"/>
          </w:tcPr>
          <w:p w14:paraId="4843796D">
            <w:pPr>
              <w:adjustRightInd w:val="0"/>
              <w:snapToGrid w:val="0"/>
              <w:rPr>
                <w:rFonts w:ascii="宋体" w:hAnsi="宋体"/>
                <w:szCs w:val="21"/>
                <w:highlight w:val="none"/>
              </w:rPr>
            </w:pPr>
            <w:r>
              <w:rPr>
                <w:rFonts w:hint="eastAsia" w:ascii="宋体" w:hAnsi="宋体"/>
                <w:szCs w:val="21"/>
                <w:highlight w:val="none"/>
              </w:rPr>
              <w:t>其他应当保密的信息</w:t>
            </w:r>
          </w:p>
        </w:tc>
        <w:tc>
          <w:tcPr>
            <w:tcW w:w="3034" w:type="pct"/>
            <w:vAlign w:val="center"/>
          </w:tcPr>
          <w:p w14:paraId="2AA79716">
            <w:pPr>
              <w:adjustRightInd w:val="0"/>
              <w:snapToGrid w:val="0"/>
              <w:jc w:val="left"/>
              <w:rPr>
                <w:rFonts w:ascii="宋体" w:hAnsi="宋体"/>
                <w:szCs w:val="21"/>
                <w:highlight w:val="none"/>
              </w:rPr>
            </w:pPr>
          </w:p>
        </w:tc>
      </w:tr>
      <w:tr w14:paraId="7BA430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3" w:type="pct"/>
            <w:vAlign w:val="center"/>
          </w:tcPr>
          <w:p w14:paraId="7258F274">
            <w:pPr>
              <w:adjustRightInd w:val="0"/>
              <w:snapToGrid w:val="0"/>
              <w:jc w:val="center"/>
              <w:rPr>
                <w:rFonts w:ascii="宋体" w:hAnsi="宋体"/>
                <w:szCs w:val="21"/>
                <w:highlight w:val="none"/>
              </w:rPr>
            </w:pPr>
            <w:r>
              <w:rPr>
                <w:rFonts w:hint="eastAsia" w:ascii="宋体" w:hAnsi="宋体"/>
                <w:szCs w:val="21"/>
                <w:highlight w:val="none"/>
              </w:rPr>
              <w:t>第二节</w:t>
            </w:r>
          </w:p>
          <w:p w14:paraId="796F6743">
            <w:pPr>
              <w:adjustRightInd w:val="0"/>
              <w:snapToGrid w:val="0"/>
              <w:jc w:val="center"/>
              <w:rPr>
                <w:rFonts w:ascii="宋体" w:hAnsi="宋体"/>
                <w:szCs w:val="21"/>
                <w:highlight w:val="none"/>
              </w:rPr>
            </w:pPr>
            <w:r>
              <w:rPr>
                <w:rFonts w:hint="eastAsia" w:ascii="宋体" w:hAnsi="宋体"/>
                <w:szCs w:val="21"/>
                <w:highlight w:val="none"/>
              </w:rPr>
              <w:t>第12.2款</w:t>
            </w:r>
          </w:p>
        </w:tc>
        <w:tc>
          <w:tcPr>
            <w:tcW w:w="1022" w:type="pct"/>
            <w:vAlign w:val="center"/>
          </w:tcPr>
          <w:p w14:paraId="5D8E3BD0">
            <w:pPr>
              <w:adjustRightInd w:val="0"/>
              <w:snapToGrid w:val="0"/>
              <w:jc w:val="left"/>
              <w:rPr>
                <w:rFonts w:ascii="宋体" w:hAnsi="宋体"/>
                <w:szCs w:val="21"/>
                <w:highlight w:val="none"/>
              </w:rPr>
            </w:pPr>
            <w:r>
              <w:rPr>
                <w:rFonts w:hint="eastAsia" w:ascii="宋体" w:hAnsi="宋体"/>
                <w:szCs w:val="21"/>
                <w:highlight w:val="none"/>
              </w:rPr>
              <w:t>合同价款支付时间</w:t>
            </w:r>
          </w:p>
        </w:tc>
        <w:tc>
          <w:tcPr>
            <w:tcW w:w="3034" w:type="pct"/>
            <w:vAlign w:val="center"/>
          </w:tcPr>
          <w:p w14:paraId="591937F9">
            <w:pPr>
              <w:adjustRightInd w:val="0"/>
              <w:snapToGrid w:val="0"/>
              <w:jc w:val="left"/>
              <w:rPr>
                <w:rFonts w:ascii="宋体" w:hAnsi="宋体"/>
                <w:szCs w:val="21"/>
                <w:highlight w:val="none"/>
              </w:rPr>
            </w:pPr>
          </w:p>
        </w:tc>
      </w:tr>
      <w:tr w14:paraId="2AD15B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3" w:type="pct"/>
            <w:vAlign w:val="center"/>
          </w:tcPr>
          <w:p w14:paraId="7DC05371">
            <w:pPr>
              <w:adjustRightInd w:val="0"/>
              <w:snapToGrid w:val="0"/>
              <w:jc w:val="center"/>
              <w:rPr>
                <w:rFonts w:ascii="宋体" w:hAnsi="宋体"/>
                <w:szCs w:val="21"/>
                <w:highlight w:val="none"/>
              </w:rPr>
            </w:pPr>
            <w:r>
              <w:rPr>
                <w:rFonts w:hint="eastAsia" w:ascii="宋体" w:hAnsi="宋体"/>
                <w:szCs w:val="21"/>
                <w:highlight w:val="none"/>
              </w:rPr>
              <w:t>第二节</w:t>
            </w:r>
          </w:p>
          <w:p w14:paraId="21D8CECC">
            <w:pPr>
              <w:adjustRightInd w:val="0"/>
              <w:snapToGrid w:val="0"/>
              <w:jc w:val="center"/>
              <w:rPr>
                <w:rFonts w:ascii="宋体" w:hAnsi="宋体"/>
                <w:szCs w:val="21"/>
                <w:highlight w:val="none"/>
              </w:rPr>
            </w:pPr>
            <w:r>
              <w:rPr>
                <w:rFonts w:hint="eastAsia" w:ascii="宋体" w:hAnsi="宋体"/>
                <w:szCs w:val="21"/>
                <w:highlight w:val="none"/>
              </w:rPr>
              <w:t>第13.2款</w:t>
            </w:r>
          </w:p>
        </w:tc>
        <w:tc>
          <w:tcPr>
            <w:tcW w:w="1022" w:type="pct"/>
            <w:vAlign w:val="center"/>
          </w:tcPr>
          <w:p w14:paraId="558BB1FF">
            <w:pPr>
              <w:adjustRightInd w:val="0"/>
              <w:snapToGrid w:val="0"/>
              <w:jc w:val="left"/>
              <w:rPr>
                <w:rFonts w:ascii="宋体" w:hAnsi="宋体"/>
                <w:szCs w:val="21"/>
                <w:highlight w:val="none"/>
              </w:rPr>
            </w:pPr>
            <w:r>
              <w:rPr>
                <w:rFonts w:hint="eastAsia" w:ascii="宋体" w:hAnsi="宋体"/>
                <w:szCs w:val="21"/>
                <w:highlight w:val="none"/>
              </w:rPr>
              <w:t>履约保证金不予退还的情形</w:t>
            </w:r>
          </w:p>
        </w:tc>
        <w:tc>
          <w:tcPr>
            <w:tcW w:w="3034" w:type="pct"/>
            <w:vAlign w:val="center"/>
          </w:tcPr>
          <w:p w14:paraId="199D73AE">
            <w:pPr>
              <w:adjustRightInd w:val="0"/>
              <w:snapToGrid w:val="0"/>
              <w:jc w:val="left"/>
              <w:rPr>
                <w:rFonts w:ascii="宋体" w:hAnsi="宋体"/>
                <w:szCs w:val="21"/>
                <w:highlight w:val="none"/>
              </w:rPr>
            </w:pPr>
          </w:p>
        </w:tc>
      </w:tr>
      <w:tr w14:paraId="62F86D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640DCEEF">
            <w:pPr>
              <w:adjustRightInd w:val="0"/>
              <w:snapToGrid w:val="0"/>
              <w:jc w:val="center"/>
              <w:rPr>
                <w:rFonts w:ascii="宋体" w:hAnsi="宋体"/>
                <w:szCs w:val="21"/>
                <w:highlight w:val="none"/>
              </w:rPr>
            </w:pPr>
            <w:r>
              <w:rPr>
                <w:rFonts w:hint="eastAsia" w:ascii="宋体" w:hAnsi="宋体"/>
                <w:szCs w:val="21"/>
                <w:highlight w:val="none"/>
              </w:rPr>
              <w:t>第二节</w:t>
            </w:r>
          </w:p>
          <w:p w14:paraId="56D4861C">
            <w:pPr>
              <w:adjustRightInd w:val="0"/>
              <w:snapToGrid w:val="0"/>
              <w:jc w:val="center"/>
              <w:rPr>
                <w:rFonts w:ascii="宋体" w:hAnsi="宋体"/>
                <w:szCs w:val="21"/>
                <w:highlight w:val="none"/>
              </w:rPr>
            </w:pPr>
            <w:r>
              <w:rPr>
                <w:rFonts w:hint="eastAsia" w:ascii="宋体" w:hAnsi="宋体"/>
                <w:szCs w:val="21"/>
                <w:highlight w:val="none"/>
              </w:rPr>
              <w:t>第13.3款</w:t>
            </w:r>
          </w:p>
        </w:tc>
        <w:tc>
          <w:tcPr>
            <w:tcW w:w="1022" w:type="pct"/>
            <w:vAlign w:val="center"/>
          </w:tcPr>
          <w:p w14:paraId="12581F08">
            <w:pPr>
              <w:adjustRightInd w:val="0"/>
              <w:snapToGrid w:val="0"/>
              <w:jc w:val="left"/>
              <w:rPr>
                <w:rFonts w:ascii="宋体" w:hAnsi="宋体"/>
                <w:szCs w:val="21"/>
                <w:highlight w:val="none"/>
              </w:rPr>
            </w:pPr>
            <w:r>
              <w:rPr>
                <w:rFonts w:hint="eastAsia" w:ascii="宋体" w:hAnsi="宋体"/>
                <w:szCs w:val="21"/>
                <w:highlight w:val="none"/>
              </w:rPr>
              <w:t>履约保证金退还时间及逾期退还的违约金</w:t>
            </w:r>
          </w:p>
        </w:tc>
        <w:tc>
          <w:tcPr>
            <w:tcW w:w="3034" w:type="pct"/>
            <w:vAlign w:val="center"/>
          </w:tcPr>
          <w:p w14:paraId="44993021">
            <w:pPr>
              <w:adjustRightInd w:val="0"/>
              <w:snapToGrid w:val="0"/>
              <w:jc w:val="left"/>
              <w:rPr>
                <w:rFonts w:ascii="宋体" w:hAnsi="宋体"/>
                <w:szCs w:val="21"/>
                <w:highlight w:val="none"/>
              </w:rPr>
            </w:pPr>
          </w:p>
        </w:tc>
      </w:tr>
      <w:tr w14:paraId="251238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vAlign w:val="center"/>
          </w:tcPr>
          <w:p w14:paraId="3B5775CA">
            <w:pPr>
              <w:adjustRightInd w:val="0"/>
              <w:snapToGrid w:val="0"/>
              <w:jc w:val="center"/>
              <w:rPr>
                <w:rFonts w:ascii="宋体" w:hAnsi="宋体"/>
                <w:szCs w:val="21"/>
                <w:highlight w:val="none"/>
              </w:rPr>
            </w:pPr>
            <w:r>
              <w:rPr>
                <w:rFonts w:hint="eastAsia" w:ascii="宋体" w:hAnsi="宋体"/>
                <w:szCs w:val="21"/>
                <w:highlight w:val="none"/>
              </w:rPr>
              <w:t>第二节</w:t>
            </w:r>
          </w:p>
          <w:p w14:paraId="730A0EC2">
            <w:pPr>
              <w:adjustRightInd w:val="0"/>
              <w:snapToGrid w:val="0"/>
              <w:jc w:val="center"/>
              <w:rPr>
                <w:rFonts w:ascii="宋体" w:hAnsi="宋体"/>
                <w:szCs w:val="21"/>
                <w:highlight w:val="none"/>
              </w:rPr>
            </w:pPr>
            <w:r>
              <w:rPr>
                <w:rFonts w:hint="eastAsia" w:ascii="宋体" w:hAnsi="宋体"/>
                <w:szCs w:val="21"/>
                <w:highlight w:val="none"/>
              </w:rPr>
              <w:t>第14.1（3）项</w:t>
            </w:r>
          </w:p>
        </w:tc>
        <w:tc>
          <w:tcPr>
            <w:tcW w:w="1022" w:type="pct"/>
            <w:vAlign w:val="center"/>
          </w:tcPr>
          <w:p w14:paraId="3B77028A">
            <w:pPr>
              <w:adjustRightInd w:val="0"/>
              <w:snapToGrid w:val="0"/>
              <w:jc w:val="left"/>
              <w:rPr>
                <w:rFonts w:ascii="宋体" w:hAnsi="宋体"/>
                <w:szCs w:val="21"/>
                <w:highlight w:val="none"/>
              </w:rPr>
            </w:pPr>
            <w:r>
              <w:rPr>
                <w:rFonts w:hint="eastAsia" w:ascii="宋体" w:hAnsi="宋体"/>
                <w:szCs w:val="21"/>
                <w:highlight w:val="none"/>
              </w:rPr>
              <w:t>运行监督、维修期限</w:t>
            </w:r>
          </w:p>
        </w:tc>
        <w:tc>
          <w:tcPr>
            <w:tcW w:w="3034" w:type="pct"/>
            <w:vAlign w:val="center"/>
          </w:tcPr>
          <w:p w14:paraId="6B2EE942">
            <w:pPr>
              <w:adjustRightInd w:val="0"/>
              <w:snapToGrid w:val="0"/>
              <w:jc w:val="left"/>
              <w:rPr>
                <w:rFonts w:ascii="宋体" w:hAnsi="宋体"/>
                <w:szCs w:val="21"/>
                <w:highlight w:val="none"/>
              </w:rPr>
            </w:pPr>
          </w:p>
        </w:tc>
      </w:tr>
      <w:tr w14:paraId="1FD1E3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vAlign w:val="center"/>
          </w:tcPr>
          <w:p w14:paraId="31C47796">
            <w:pPr>
              <w:adjustRightInd w:val="0"/>
              <w:snapToGrid w:val="0"/>
              <w:jc w:val="center"/>
              <w:rPr>
                <w:rFonts w:ascii="宋体" w:hAnsi="宋体"/>
                <w:szCs w:val="21"/>
                <w:highlight w:val="none"/>
              </w:rPr>
            </w:pPr>
            <w:r>
              <w:rPr>
                <w:rFonts w:hint="eastAsia" w:ascii="宋体" w:hAnsi="宋体"/>
                <w:szCs w:val="21"/>
                <w:highlight w:val="none"/>
              </w:rPr>
              <w:t>第二节</w:t>
            </w:r>
          </w:p>
          <w:p w14:paraId="57C76ADE">
            <w:pPr>
              <w:adjustRightInd w:val="0"/>
              <w:snapToGrid w:val="0"/>
              <w:jc w:val="center"/>
              <w:rPr>
                <w:rFonts w:ascii="宋体" w:hAnsi="宋体"/>
                <w:szCs w:val="21"/>
                <w:highlight w:val="none"/>
              </w:rPr>
            </w:pPr>
            <w:r>
              <w:rPr>
                <w:rFonts w:hint="eastAsia" w:ascii="宋体" w:hAnsi="宋体"/>
                <w:szCs w:val="21"/>
                <w:highlight w:val="none"/>
              </w:rPr>
              <w:t>第14.1（5）项</w:t>
            </w:r>
          </w:p>
        </w:tc>
        <w:tc>
          <w:tcPr>
            <w:tcW w:w="1022" w:type="pct"/>
            <w:vAlign w:val="center"/>
          </w:tcPr>
          <w:p w14:paraId="46072EB2">
            <w:pPr>
              <w:adjustRightInd w:val="0"/>
              <w:snapToGrid w:val="0"/>
              <w:jc w:val="left"/>
              <w:rPr>
                <w:rFonts w:ascii="宋体" w:hAnsi="宋体"/>
                <w:szCs w:val="21"/>
                <w:highlight w:val="none"/>
              </w:rPr>
            </w:pPr>
            <w:r>
              <w:rPr>
                <w:rFonts w:hint="eastAsia" w:ascii="宋体" w:hAnsi="宋体"/>
                <w:szCs w:val="21"/>
                <w:highlight w:val="none"/>
              </w:rPr>
              <w:t>货物回收的约定</w:t>
            </w:r>
          </w:p>
        </w:tc>
        <w:tc>
          <w:tcPr>
            <w:tcW w:w="3034" w:type="pct"/>
            <w:vAlign w:val="center"/>
          </w:tcPr>
          <w:p w14:paraId="5D26CF78">
            <w:pPr>
              <w:adjustRightInd w:val="0"/>
              <w:snapToGrid w:val="0"/>
              <w:jc w:val="left"/>
              <w:rPr>
                <w:rFonts w:ascii="宋体" w:hAnsi="宋体"/>
                <w:szCs w:val="21"/>
                <w:highlight w:val="none"/>
              </w:rPr>
            </w:pPr>
          </w:p>
        </w:tc>
      </w:tr>
      <w:tr w14:paraId="7FD376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743E8720">
            <w:pPr>
              <w:adjustRightInd w:val="0"/>
              <w:snapToGrid w:val="0"/>
              <w:jc w:val="center"/>
              <w:rPr>
                <w:rFonts w:ascii="宋体" w:hAnsi="宋体"/>
                <w:szCs w:val="21"/>
                <w:highlight w:val="none"/>
              </w:rPr>
            </w:pPr>
            <w:r>
              <w:rPr>
                <w:rFonts w:hint="eastAsia" w:ascii="宋体" w:hAnsi="宋体"/>
                <w:szCs w:val="21"/>
                <w:highlight w:val="none"/>
              </w:rPr>
              <w:t>第二节</w:t>
            </w:r>
          </w:p>
          <w:p w14:paraId="741D9019">
            <w:pPr>
              <w:adjustRightInd w:val="0"/>
              <w:snapToGrid w:val="0"/>
              <w:jc w:val="center"/>
              <w:rPr>
                <w:rFonts w:ascii="宋体" w:hAnsi="宋体"/>
                <w:szCs w:val="21"/>
                <w:highlight w:val="none"/>
              </w:rPr>
            </w:pPr>
            <w:r>
              <w:rPr>
                <w:rFonts w:hint="eastAsia" w:ascii="宋体" w:hAnsi="宋体"/>
                <w:szCs w:val="21"/>
                <w:highlight w:val="none"/>
              </w:rPr>
              <w:t>第14.1（6）项</w:t>
            </w:r>
          </w:p>
        </w:tc>
        <w:tc>
          <w:tcPr>
            <w:tcW w:w="1022" w:type="pct"/>
            <w:vAlign w:val="center"/>
          </w:tcPr>
          <w:p w14:paraId="3404FF4D">
            <w:pPr>
              <w:adjustRightInd w:val="0"/>
              <w:snapToGrid w:val="0"/>
              <w:jc w:val="left"/>
              <w:rPr>
                <w:rFonts w:ascii="宋体" w:hAnsi="宋体"/>
                <w:szCs w:val="21"/>
                <w:highlight w:val="none"/>
              </w:rPr>
            </w:pPr>
            <w:r>
              <w:rPr>
                <w:rFonts w:hint="eastAsia" w:ascii="宋体" w:hAnsi="宋体"/>
                <w:szCs w:val="21"/>
                <w:highlight w:val="none"/>
              </w:rPr>
              <w:t>乙方提供的其他服务</w:t>
            </w:r>
          </w:p>
        </w:tc>
        <w:tc>
          <w:tcPr>
            <w:tcW w:w="3034" w:type="pct"/>
            <w:vAlign w:val="center"/>
          </w:tcPr>
          <w:p w14:paraId="5B3EA7DD">
            <w:pPr>
              <w:adjustRightInd w:val="0"/>
              <w:snapToGrid w:val="0"/>
              <w:jc w:val="left"/>
              <w:rPr>
                <w:rFonts w:ascii="宋体" w:hAnsi="宋体"/>
                <w:szCs w:val="21"/>
                <w:highlight w:val="none"/>
              </w:rPr>
            </w:pPr>
          </w:p>
        </w:tc>
      </w:tr>
      <w:tr w14:paraId="7CCD7A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7114186C">
            <w:pPr>
              <w:adjustRightInd w:val="0"/>
              <w:snapToGrid w:val="0"/>
              <w:jc w:val="center"/>
              <w:rPr>
                <w:rFonts w:ascii="宋体" w:hAnsi="宋体"/>
                <w:szCs w:val="21"/>
                <w:highlight w:val="none"/>
              </w:rPr>
            </w:pPr>
            <w:r>
              <w:rPr>
                <w:rFonts w:hint="eastAsia" w:ascii="宋体" w:hAnsi="宋体"/>
                <w:szCs w:val="21"/>
                <w:highlight w:val="none"/>
              </w:rPr>
              <w:t>第二节</w:t>
            </w:r>
          </w:p>
          <w:p w14:paraId="10165B15">
            <w:pPr>
              <w:adjustRightInd w:val="0"/>
              <w:snapToGrid w:val="0"/>
              <w:jc w:val="center"/>
              <w:rPr>
                <w:rFonts w:ascii="宋体" w:hAnsi="宋体"/>
                <w:szCs w:val="21"/>
                <w:highlight w:val="none"/>
              </w:rPr>
            </w:pPr>
            <w:r>
              <w:rPr>
                <w:rFonts w:hint="eastAsia" w:ascii="宋体" w:hAnsi="宋体"/>
                <w:szCs w:val="21"/>
                <w:highlight w:val="none"/>
              </w:rPr>
              <w:t>第15.1款</w:t>
            </w:r>
          </w:p>
        </w:tc>
        <w:tc>
          <w:tcPr>
            <w:tcW w:w="1022" w:type="pct"/>
            <w:vAlign w:val="center"/>
          </w:tcPr>
          <w:p w14:paraId="39638DD4">
            <w:pPr>
              <w:adjustRightInd w:val="0"/>
              <w:snapToGrid w:val="0"/>
              <w:jc w:val="left"/>
              <w:rPr>
                <w:rFonts w:ascii="宋体" w:hAnsi="宋体"/>
                <w:szCs w:val="21"/>
                <w:highlight w:val="none"/>
              </w:rPr>
            </w:pPr>
            <w:r>
              <w:rPr>
                <w:rFonts w:hint="eastAsia" w:ascii="宋体" w:hAnsi="宋体"/>
                <w:szCs w:val="21"/>
                <w:highlight w:val="none"/>
              </w:rPr>
              <w:t>修理、重作、更换相关具体规定</w:t>
            </w:r>
          </w:p>
        </w:tc>
        <w:tc>
          <w:tcPr>
            <w:tcW w:w="3034" w:type="pct"/>
            <w:vAlign w:val="center"/>
          </w:tcPr>
          <w:p w14:paraId="52E1B3A3">
            <w:pPr>
              <w:adjustRightInd w:val="0"/>
              <w:snapToGrid w:val="0"/>
              <w:jc w:val="left"/>
              <w:rPr>
                <w:rFonts w:ascii="宋体" w:hAnsi="宋体"/>
                <w:szCs w:val="21"/>
                <w:highlight w:val="none"/>
              </w:rPr>
            </w:pPr>
          </w:p>
        </w:tc>
      </w:tr>
      <w:tr w14:paraId="1C776E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531F1EBA">
            <w:pPr>
              <w:adjustRightInd w:val="0"/>
              <w:snapToGrid w:val="0"/>
              <w:jc w:val="center"/>
              <w:rPr>
                <w:rFonts w:ascii="宋体" w:hAnsi="宋体"/>
                <w:szCs w:val="21"/>
                <w:highlight w:val="none"/>
              </w:rPr>
            </w:pPr>
            <w:r>
              <w:rPr>
                <w:rFonts w:hint="eastAsia" w:ascii="宋体" w:hAnsi="宋体"/>
                <w:szCs w:val="21"/>
                <w:highlight w:val="none"/>
              </w:rPr>
              <w:t>第二节</w:t>
            </w:r>
          </w:p>
          <w:p w14:paraId="7D736CF2">
            <w:pPr>
              <w:adjustRightInd w:val="0"/>
              <w:snapToGrid w:val="0"/>
              <w:jc w:val="center"/>
              <w:rPr>
                <w:rFonts w:ascii="宋体" w:hAnsi="宋体"/>
                <w:szCs w:val="21"/>
                <w:highlight w:val="none"/>
              </w:rPr>
            </w:pPr>
            <w:r>
              <w:rPr>
                <w:rFonts w:hint="eastAsia" w:ascii="宋体" w:hAnsi="宋体"/>
                <w:szCs w:val="21"/>
                <w:highlight w:val="none"/>
              </w:rPr>
              <w:t>第15.2（2）项</w:t>
            </w:r>
          </w:p>
        </w:tc>
        <w:tc>
          <w:tcPr>
            <w:tcW w:w="1022" w:type="pct"/>
            <w:vAlign w:val="center"/>
          </w:tcPr>
          <w:p w14:paraId="65435995">
            <w:pPr>
              <w:adjustRightInd w:val="0"/>
              <w:snapToGrid w:val="0"/>
              <w:jc w:val="left"/>
              <w:rPr>
                <w:rFonts w:ascii="宋体" w:hAnsi="宋体"/>
                <w:szCs w:val="21"/>
                <w:highlight w:val="none"/>
              </w:rPr>
            </w:pPr>
            <w:r>
              <w:rPr>
                <w:rFonts w:hint="eastAsia" w:ascii="宋体" w:hAnsi="宋体"/>
                <w:szCs w:val="21"/>
                <w:highlight w:val="none"/>
              </w:rPr>
              <w:t>迟延交货赔偿费</w:t>
            </w:r>
          </w:p>
        </w:tc>
        <w:tc>
          <w:tcPr>
            <w:tcW w:w="3034" w:type="pct"/>
            <w:vAlign w:val="center"/>
          </w:tcPr>
          <w:p w14:paraId="362318C0">
            <w:pPr>
              <w:adjustRightInd w:val="0"/>
              <w:snapToGrid w:val="0"/>
              <w:jc w:val="left"/>
              <w:rPr>
                <w:rFonts w:ascii="宋体" w:hAnsi="宋体"/>
                <w:szCs w:val="21"/>
                <w:highlight w:val="none"/>
                <w:u w:val="single"/>
              </w:rPr>
            </w:pPr>
          </w:p>
        </w:tc>
      </w:tr>
      <w:tr w14:paraId="6B6DA4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2B6436BD">
            <w:pPr>
              <w:adjustRightInd w:val="0"/>
              <w:snapToGrid w:val="0"/>
              <w:jc w:val="center"/>
              <w:rPr>
                <w:rFonts w:ascii="宋体" w:hAnsi="宋体"/>
                <w:szCs w:val="21"/>
                <w:highlight w:val="none"/>
              </w:rPr>
            </w:pPr>
            <w:r>
              <w:rPr>
                <w:rFonts w:hint="eastAsia" w:ascii="宋体" w:hAnsi="宋体"/>
                <w:szCs w:val="21"/>
                <w:highlight w:val="none"/>
              </w:rPr>
              <w:t>第二节</w:t>
            </w:r>
          </w:p>
          <w:p w14:paraId="4C5A6140">
            <w:pPr>
              <w:adjustRightInd w:val="0"/>
              <w:snapToGrid w:val="0"/>
              <w:jc w:val="center"/>
              <w:rPr>
                <w:rFonts w:ascii="宋体" w:hAnsi="宋体"/>
                <w:szCs w:val="21"/>
                <w:highlight w:val="none"/>
              </w:rPr>
            </w:pPr>
            <w:r>
              <w:rPr>
                <w:rFonts w:hint="eastAsia" w:ascii="宋体" w:hAnsi="宋体"/>
                <w:szCs w:val="21"/>
                <w:highlight w:val="none"/>
              </w:rPr>
              <w:t>第15.3款</w:t>
            </w:r>
          </w:p>
        </w:tc>
        <w:tc>
          <w:tcPr>
            <w:tcW w:w="1022" w:type="pct"/>
            <w:vAlign w:val="center"/>
          </w:tcPr>
          <w:p w14:paraId="2C0A0392">
            <w:pPr>
              <w:adjustRightInd w:val="0"/>
              <w:snapToGrid w:val="0"/>
              <w:jc w:val="left"/>
              <w:rPr>
                <w:rFonts w:ascii="宋体" w:hAnsi="宋体"/>
                <w:szCs w:val="21"/>
                <w:highlight w:val="none"/>
              </w:rPr>
            </w:pPr>
            <w:r>
              <w:rPr>
                <w:rFonts w:hint="eastAsia" w:ascii="宋体" w:hAnsi="宋体"/>
                <w:szCs w:val="21"/>
                <w:highlight w:val="none"/>
              </w:rPr>
              <w:t>逾期付款利息</w:t>
            </w:r>
          </w:p>
        </w:tc>
        <w:tc>
          <w:tcPr>
            <w:tcW w:w="3034" w:type="pct"/>
            <w:vAlign w:val="center"/>
          </w:tcPr>
          <w:p w14:paraId="2B762171">
            <w:pPr>
              <w:adjustRightInd w:val="0"/>
              <w:snapToGrid w:val="0"/>
              <w:jc w:val="left"/>
              <w:rPr>
                <w:rFonts w:ascii="宋体" w:hAnsi="宋体"/>
                <w:szCs w:val="21"/>
                <w:highlight w:val="none"/>
                <w:u w:val="single"/>
              </w:rPr>
            </w:pPr>
          </w:p>
        </w:tc>
      </w:tr>
      <w:tr w14:paraId="3FC3AC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943" w:type="pct"/>
            <w:tcBorders>
              <w:bottom w:val="single" w:color="auto" w:sz="2" w:space="0"/>
              <w:right w:val="single" w:color="auto" w:sz="2" w:space="0"/>
            </w:tcBorders>
            <w:vAlign w:val="center"/>
          </w:tcPr>
          <w:p w14:paraId="0C260AC6">
            <w:pPr>
              <w:adjustRightInd w:val="0"/>
              <w:snapToGrid w:val="0"/>
              <w:jc w:val="center"/>
              <w:rPr>
                <w:rFonts w:ascii="宋体" w:hAnsi="宋体"/>
                <w:szCs w:val="21"/>
                <w:highlight w:val="none"/>
              </w:rPr>
            </w:pPr>
            <w:r>
              <w:rPr>
                <w:rFonts w:hint="eastAsia" w:ascii="宋体" w:hAnsi="宋体"/>
                <w:szCs w:val="21"/>
                <w:highlight w:val="none"/>
              </w:rPr>
              <w:t>第二节</w:t>
            </w:r>
          </w:p>
          <w:p w14:paraId="1B205670">
            <w:pPr>
              <w:adjustRightInd w:val="0"/>
              <w:snapToGrid w:val="0"/>
              <w:jc w:val="center"/>
              <w:rPr>
                <w:rFonts w:ascii="宋体" w:hAnsi="宋体"/>
                <w:szCs w:val="21"/>
                <w:highlight w:val="none"/>
              </w:rPr>
            </w:pPr>
            <w:r>
              <w:rPr>
                <w:rFonts w:hint="eastAsia" w:ascii="宋体" w:hAnsi="宋体"/>
                <w:szCs w:val="21"/>
                <w:highlight w:val="none"/>
              </w:rPr>
              <w:t>第15.4款</w:t>
            </w:r>
          </w:p>
        </w:tc>
        <w:tc>
          <w:tcPr>
            <w:tcW w:w="1022" w:type="pct"/>
            <w:tcBorders>
              <w:left w:val="single" w:color="auto" w:sz="2" w:space="0"/>
              <w:bottom w:val="single" w:color="auto" w:sz="2" w:space="0"/>
              <w:right w:val="single" w:color="auto" w:sz="2" w:space="0"/>
            </w:tcBorders>
            <w:vAlign w:val="center"/>
          </w:tcPr>
          <w:p w14:paraId="54CB8664">
            <w:pPr>
              <w:adjustRightInd w:val="0"/>
              <w:snapToGrid w:val="0"/>
              <w:jc w:val="left"/>
              <w:rPr>
                <w:rFonts w:ascii="宋体" w:hAnsi="宋体"/>
                <w:szCs w:val="21"/>
                <w:highlight w:val="none"/>
              </w:rPr>
            </w:pPr>
            <w:r>
              <w:rPr>
                <w:rFonts w:hint="eastAsia" w:ascii="宋体" w:hAnsi="宋体"/>
                <w:szCs w:val="21"/>
                <w:highlight w:val="none"/>
              </w:rPr>
              <w:t>其他违约责任</w:t>
            </w:r>
          </w:p>
        </w:tc>
        <w:tc>
          <w:tcPr>
            <w:tcW w:w="3034" w:type="pct"/>
            <w:tcBorders>
              <w:left w:val="single" w:color="auto" w:sz="2" w:space="0"/>
              <w:bottom w:val="single" w:color="auto" w:sz="2" w:space="0"/>
            </w:tcBorders>
            <w:vAlign w:val="center"/>
          </w:tcPr>
          <w:p w14:paraId="59795AE6">
            <w:pPr>
              <w:adjustRightInd w:val="0"/>
              <w:snapToGrid w:val="0"/>
              <w:jc w:val="left"/>
              <w:rPr>
                <w:rFonts w:ascii="宋体" w:hAnsi="宋体"/>
                <w:szCs w:val="21"/>
                <w:highlight w:val="none"/>
                <w:u w:val="single"/>
              </w:rPr>
            </w:pPr>
          </w:p>
        </w:tc>
      </w:tr>
      <w:tr w14:paraId="303136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43" w:type="pct"/>
            <w:tcBorders>
              <w:top w:val="single" w:color="auto" w:sz="2" w:space="0"/>
              <w:right w:val="single" w:color="auto" w:sz="2" w:space="0"/>
            </w:tcBorders>
            <w:vAlign w:val="center"/>
          </w:tcPr>
          <w:p w14:paraId="36249E36">
            <w:pPr>
              <w:adjustRightInd w:val="0"/>
              <w:snapToGrid w:val="0"/>
              <w:jc w:val="center"/>
              <w:rPr>
                <w:rFonts w:ascii="宋体" w:hAnsi="宋体"/>
                <w:szCs w:val="21"/>
                <w:highlight w:val="none"/>
              </w:rPr>
            </w:pPr>
            <w:r>
              <w:rPr>
                <w:rFonts w:hint="eastAsia" w:ascii="宋体" w:hAnsi="宋体"/>
                <w:szCs w:val="21"/>
                <w:highlight w:val="none"/>
              </w:rPr>
              <w:t>第二节</w:t>
            </w:r>
          </w:p>
          <w:p w14:paraId="5E73B7AE">
            <w:pPr>
              <w:adjustRightInd w:val="0"/>
              <w:snapToGrid w:val="0"/>
              <w:jc w:val="center"/>
              <w:rPr>
                <w:rFonts w:ascii="宋体" w:hAnsi="宋体"/>
                <w:szCs w:val="21"/>
                <w:highlight w:val="none"/>
              </w:rPr>
            </w:pPr>
            <w:r>
              <w:rPr>
                <w:rFonts w:hint="eastAsia" w:ascii="宋体" w:hAnsi="宋体"/>
                <w:szCs w:val="21"/>
                <w:highlight w:val="none"/>
              </w:rPr>
              <w:t>第19.2款</w:t>
            </w:r>
          </w:p>
        </w:tc>
        <w:tc>
          <w:tcPr>
            <w:tcW w:w="1022" w:type="pct"/>
            <w:tcBorders>
              <w:top w:val="single" w:color="auto" w:sz="2" w:space="0"/>
              <w:left w:val="single" w:color="auto" w:sz="2" w:space="0"/>
              <w:right w:val="single" w:color="auto" w:sz="2" w:space="0"/>
            </w:tcBorders>
            <w:vAlign w:val="center"/>
          </w:tcPr>
          <w:p w14:paraId="6E550F5D">
            <w:pPr>
              <w:adjustRightInd w:val="0"/>
              <w:snapToGrid w:val="0"/>
              <w:jc w:val="left"/>
              <w:rPr>
                <w:rFonts w:ascii="宋体" w:hAnsi="宋体"/>
                <w:szCs w:val="21"/>
                <w:highlight w:val="none"/>
              </w:rPr>
            </w:pPr>
            <w:r>
              <w:rPr>
                <w:rFonts w:hint="eastAsia" w:ascii="宋体" w:hAnsi="宋体"/>
                <w:szCs w:val="21"/>
                <w:highlight w:val="none"/>
              </w:rPr>
              <w:t>解决争议的方法</w:t>
            </w:r>
          </w:p>
        </w:tc>
        <w:tc>
          <w:tcPr>
            <w:tcW w:w="3034" w:type="pct"/>
            <w:tcBorders>
              <w:top w:val="single" w:color="auto" w:sz="2" w:space="0"/>
              <w:left w:val="single" w:color="auto" w:sz="2" w:space="0"/>
            </w:tcBorders>
            <w:vAlign w:val="center"/>
          </w:tcPr>
          <w:p w14:paraId="1EFF899B">
            <w:pPr>
              <w:autoSpaceDE w:val="0"/>
              <w:autoSpaceDN w:val="0"/>
              <w:adjustRightInd w:val="0"/>
              <w:snapToGrid w:val="0"/>
              <w:spacing w:line="400" w:lineRule="exact"/>
              <w:jc w:val="left"/>
              <w:rPr>
                <w:rFonts w:ascii="宋体" w:hAnsi="宋体" w:cs="宋体"/>
                <w:iCs/>
                <w:szCs w:val="21"/>
                <w:highlight w:val="none"/>
              </w:rPr>
            </w:pPr>
            <w:r>
              <w:rPr>
                <w:rFonts w:hint="eastAsia" w:ascii="宋体" w:hAnsi="宋体" w:cs="宋体"/>
                <w:iCs/>
                <w:szCs w:val="21"/>
                <w:highlight w:val="none"/>
              </w:rPr>
              <w:t>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rPr>
              <w:t>种方式解决：</w:t>
            </w:r>
          </w:p>
          <w:p w14:paraId="02279FA1">
            <w:pPr>
              <w:autoSpaceDE w:val="0"/>
              <w:autoSpaceDN w:val="0"/>
              <w:adjustRightInd w:val="0"/>
              <w:snapToGrid w:val="0"/>
              <w:spacing w:line="400" w:lineRule="exact"/>
              <w:jc w:val="left"/>
              <w:rPr>
                <w:rFonts w:ascii="宋体" w:hAnsi="宋体" w:cs="宋体"/>
                <w:iCs/>
                <w:szCs w:val="21"/>
                <w:highlight w:val="none"/>
              </w:rPr>
            </w:pPr>
            <w:r>
              <w:rPr>
                <w:rFonts w:hint="eastAsia" w:ascii="宋体" w:hAnsi="宋体" w:cs="宋体"/>
                <w:iCs/>
                <w:szCs w:val="21"/>
                <w:highlight w:val="none"/>
              </w:rPr>
              <w:t>（1）向</w:t>
            </w:r>
            <w:r>
              <w:rPr>
                <w:rFonts w:hint="eastAsia" w:ascii="宋体" w:hAnsi="宋体" w:cs="宋体"/>
                <w:iCs/>
                <w:szCs w:val="21"/>
                <w:highlight w:val="none"/>
                <w:u w:val="single"/>
              </w:rPr>
              <w:t xml:space="preserve">                    </w:t>
            </w:r>
            <w:r>
              <w:rPr>
                <w:rFonts w:hint="eastAsia" w:ascii="宋体" w:hAnsi="宋体" w:cs="宋体"/>
                <w:iCs/>
                <w:szCs w:val="21"/>
                <w:highlight w:val="none"/>
              </w:rPr>
              <w:t>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w:t>
            </w:r>
          </w:p>
          <w:p w14:paraId="41DFD443">
            <w:pPr>
              <w:adjustRightInd w:val="0"/>
              <w:snapToGrid w:val="0"/>
              <w:jc w:val="left"/>
              <w:rPr>
                <w:rFonts w:ascii="宋体" w:hAnsi="宋体"/>
                <w:szCs w:val="21"/>
                <w:highlight w:val="none"/>
                <w:u w:val="single"/>
              </w:rPr>
            </w:pPr>
            <w:r>
              <w:rPr>
                <w:rFonts w:hint="eastAsia" w:ascii="宋体" w:hAnsi="宋体" w:cs="宋体"/>
                <w:iCs/>
                <w:szCs w:val="21"/>
                <w:highlight w:val="none"/>
              </w:rPr>
              <w:t>（2）向</w:t>
            </w:r>
            <w:r>
              <w:rPr>
                <w:rFonts w:hint="eastAsia" w:ascii="宋体" w:hAnsi="宋体" w:cs="宋体"/>
                <w:iCs/>
                <w:szCs w:val="21"/>
                <w:highlight w:val="none"/>
                <w:u w:val="single"/>
              </w:rPr>
              <w:t xml:space="preserve">                    </w:t>
            </w:r>
            <w:r>
              <w:rPr>
                <w:rFonts w:hint="eastAsia" w:ascii="宋体" w:hAnsi="宋体" w:cs="宋体"/>
                <w:iCs/>
                <w:szCs w:val="21"/>
                <w:highlight w:val="none"/>
              </w:rPr>
              <w:t>人民法院起诉。</w:t>
            </w:r>
          </w:p>
        </w:tc>
      </w:tr>
      <w:tr w14:paraId="767A5E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943" w:type="pct"/>
            <w:vAlign w:val="center"/>
          </w:tcPr>
          <w:p w14:paraId="2526495A">
            <w:pPr>
              <w:adjustRightInd w:val="0"/>
              <w:snapToGrid w:val="0"/>
              <w:jc w:val="center"/>
              <w:rPr>
                <w:rFonts w:ascii="宋体" w:hAnsi="宋体"/>
                <w:szCs w:val="21"/>
                <w:highlight w:val="none"/>
              </w:rPr>
            </w:pPr>
            <w:r>
              <w:rPr>
                <w:rFonts w:hint="eastAsia" w:ascii="宋体" w:hAnsi="宋体"/>
                <w:szCs w:val="21"/>
                <w:highlight w:val="none"/>
              </w:rPr>
              <w:t>第二节</w:t>
            </w:r>
          </w:p>
          <w:p w14:paraId="4BCE2ACB">
            <w:pPr>
              <w:adjustRightInd w:val="0"/>
              <w:snapToGrid w:val="0"/>
              <w:jc w:val="center"/>
              <w:rPr>
                <w:rFonts w:ascii="宋体" w:hAnsi="宋体"/>
                <w:szCs w:val="21"/>
                <w:highlight w:val="none"/>
              </w:rPr>
            </w:pPr>
            <w:r>
              <w:rPr>
                <w:rFonts w:hint="eastAsia" w:ascii="宋体" w:hAnsi="宋体"/>
                <w:szCs w:val="21"/>
                <w:highlight w:val="none"/>
              </w:rPr>
              <w:t>第23.1款</w:t>
            </w:r>
          </w:p>
        </w:tc>
        <w:tc>
          <w:tcPr>
            <w:tcW w:w="1022" w:type="pct"/>
            <w:vAlign w:val="center"/>
          </w:tcPr>
          <w:p w14:paraId="75F5600C">
            <w:pPr>
              <w:adjustRightInd w:val="0"/>
              <w:snapToGrid w:val="0"/>
              <w:jc w:val="left"/>
              <w:rPr>
                <w:rFonts w:ascii="宋体" w:hAnsi="宋体"/>
                <w:szCs w:val="21"/>
                <w:highlight w:val="none"/>
              </w:rPr>
            </w:pPr>
            <w:r>
              <w:rPr>
                <w:rFonts w:hint="eastAsia" w:ascii="宋体" w:hAnsi="宋体"/>
                <w:bCs/>
                <w:szCs w:val="21"/>
                <w:highlight w:val="none"/>
              </w:rPr>
              <w:t>其他专用条款</w:t>
            </w:r>
          </w:p>
        </w:tc>
        <w:tc>
          <w:tcPr>
            <w:tcW w:w="3034" w:type="pct"/>
            <w:vAlign w:val="center"/>
          </w:tcPr>
          <w:p w14:paraId="3943BF7C">
            <w:pPr>
              <w:adjustRightInd w:val="0"/>
              <w:snapToGrid w:val="0"/>
              <w:jc w:val="left"/>
              <w:rPr>
                <w:highlight w:val="none"/>
              </w:rPr>
            </w:pPr>
          </w:p>
        </w:tc>
      </w:tr>
    </w:tbl>
    <w:p w14:paraId="0B4BD389">
      <w:pPr>
        <w:widowControl/>
        <w:spacing w:after="240"/>
        <w:jc w:val="left"/>
        <w:rPr>
          <w:rFonts w:ascii="宋体" w:hAnsi="宋体" w:cs="宋体"/>
          <w:kern w:val="0"/>
          <w:sz w:val="24"/>
          <w:highlight w:val="none"/>
        </w:rPr>
      </w:pPr>
    </w:p>
    <w:p w14:paraId="294490C6">
      <w:pPr>
        <w:spacing w:line="360" w:lineRule="auto"/>
        <w:ind w:firstLine="535" w:firstLineChars="255"/>
        <w:rPr>
          <w:rFonts w:ascii="宋体" w:hAnsi="宋体"/>
          <w:b/>
          <w:bCs/>
          <w:szCs w:val="21"/>
          <w:highlight w:val="none"/>
        </w:rPr>
      </w:pPr>
      <w:r>
        <w:rPr>
          <w:rFonts w:ascii="宋体" w:hAnsi="宋体"/>
          <w:szCs w:val="21"/>
          <w:highlight w:val="none"/>
        </w:rPr>
        <w:br w:type="page"/>
      </w:r>
    </w:p>
    <w:p w14:paraId="4B03B3A2">
      <w:pPr>
        <w:rPr>
          <w:rFonts w:ascii="宋体" w:hAnsi="宋体"/>
          <w:szCs w:val="21"/>
          <w:highlight w:val="none"/>
        </w:rPr>
      </w:pPr>
    </w:p>
    <w:p w14:paraId="216BBFB5">
      <w:pPr>
        <w:rPr>
          <w:rFonts w:ascii="宋体" w:hAnsi="宋体"/>
          <w:szCs w:val="21"/>
          <w:highlight w:val="none"/>
        </w:rPr>
      </w:pPr>
    </w:p>
    <w:p w14:paraId="69155B15">
      <w:pPr>
        <w:rPr>
          <w:rFonts w:ascii="宋体" w:hAnsi="宋体"/>
          <w:szCs w:val="21"/>
          <w:highlight w:val="none"/>
        </w:rPr>
      </w:pPr>
    </w:p>
    <w:p w14:paraId="03FD68E2">
      <w:pPr>
        <w:rPr>
          <w:rFonts w:ascii="宋体" w:hAnsi="宋体"/>
          <w:szCs w:val="21"/>
          <w:highlight w:val="none"/>
        </w:rPr>
      </w:pPr>
    </w:p>
    <w:p w14:paraId="1B54C0E6">
      <w:pPr>
        <w:rPr>
          <w:rFonts w:ascii="宋体" w:hAnsi="宋体"/>
          <w:szCs w:val="21"/>
          <w:highlight w:val="none"/>
        </w:rPr>
      </w:pPr>
    </w:p>
    <w:p w14:paraId="5EB53ABA">
      <w:pPr>
        <w:rPr>
          <w:rFonts w:ascii="宋体" w:hAnsi="宋体"/>
          <w:szCs w:val="21"/>
          <w:highlight w:val="none"/>
        </w:rPr>
      </w:pPr>
    </w:p>
    <w:p w14:paraId="3D62A07C">
      <w:pPr>
        <w:rPr>
          <w:rFonts w:ascii="宋体" w:hAnsi="宋体"/>
          <w:szCs w:val="21"/>
          <w:highlight w:val="none"/>
        </w:rPr>
      </w:pPr>
    </w:p>
    <w:p w14:paraId="32E898C2">
      <w:pPr>
        <w:rPr>
          <w:rFonts w:ascii="宋体" w:hAnsi="宋体"/>
          <w:szCs w:val="21"/>
          <w:highlight w:val="none"/>
        </w:rPr>
      </w:pPr>
    </w:p>
    <w:p w14:paraId="2ECA8561">
      <w:pPr>
        <w:rPr>
          <w:rFonts w:ascii="宋体" w:hAnsi="宋体"/>
          <w:szCs w:val="21"/>
          <w:highlight w:val="none"/>
        </w:rPr>
      </w:pPr>
    </w:p>
    <w:p w14:paraId="7663DBFF">
      <w:pPr>
        <w:rPr>
          <w:rFonts w:ascii="宋体" w:hAnsi="宋体"/>
          <w:szCs w:val="21"/>
          <w:highlight w:val="none"/>
        </w:rPr>
      </w:pPr>
    </w:p>
    <w:p w14:paraId="32BBDF16">
      <w:pPr>
        <w:rPr>
          <w:rFonts w:ascii="宋体" w:hAnsi="宋体"/>
          <w:szCs w:val="21"/>
          <w:highlight w:val="none"/>
        </w:rPr>
      </w:pPr>
    </w:p>
    <w:p w14:paraId="3BFCF6D3">
      <w:pPr>
        <w:rPr>
          <w:rFonts w:ascii="宋体" w:hAnsi="宋体"/>
          <w:szCs w:val="21"/>
          <w:highlight w:val="none"/>
        </w:rPr>
      </w:pPr>
    </w:p>
    <w:p w14:paraId="5F4FC2BE">
      <w:pPr>
        <w:rPr>
          <w:rFonts w:ascii="宋体" w:hAnsi="宋体"/>
          <w:szCs w:val="21"/>
          <w:highlight w:val="none"/>
        </w:rPr>
      </w:pPr>
    </w:p>
    <w:p w14:paraId="563B2618">
      <w:pPr>
        <w:rPr>
          <w:rFonts w:ascii="宋体" w:hAnsi="宋体"/>
          <w:szCs w:val="21"/>
          <w:highlight w:val="none"/>
        </w:rPr>
      </w:pPr>
    </w:p>
    <w:p w14:paraId="50C5EDFD">
      <w:pPr>
        <w:rPr>
          <w:rFonts w:ascii="宋体" w:hAnsi="宋体"/>
          <w:szCs w:val="21"/>
          <w:highlight w:val="none"/>
        </w:rPr>
      </w:pPr>
    </w:p>
    <w:p w14:paraId="278D092D">
      <w:pPr>
        <w:rPr>
          <w:rFonts w:ascii="宋体" w:hAnsi="宋体"/>
          <w:szCs w:val="21"/>
          <w:highlight w:val="none"/>
        </w:rPr>
      </w:pPr>
    </w:p>
    <w:p w14:paraId="19ABCBB6">
      <w:pPr>
        <w:jc w:val="center"/>
        <w:rPr>
          <w:rFonts w:ascii="宋体" w:hAnsi="宋体"/>
          <w:szCs w:val="21"/>
          <w:highlight w:val="none"/>
        </w:rPr>
      </w:pPr>
    </w:p>
    <w:p w14:paraId="67074726">
      <w:pPr>
        <w:pStyle w:val="4"/>
        <w:keepNext/>
        <w:keepLines/>
        <w:pageBreakBefore w:val="0"/>
        <w:widowControl w:val="0"/>
        <w:kinsoku/>
        <w:wordWrap/>
        <w:overflowPunct/>
        <w:topLinePunct w:val="0"/>
        <w:autoSpaceDE/>
        <w:autoSpaceDN/>
        <w:bidi w:val="0"/>
        <w:adjustRightInd w:val="0"/>
        <w:snapToGrid/>
        <w:jc w:val="center"/>
        <w:textAlignment w:val="baseline"/>
        <w:rPr>
          <w:rFonts w:ascii="宋体" w:hAnsi="宋体" w:eastAsia="宋体"/>
          <w:bCs/>
          <w:sz w:val="36"/>
          <w:szCs w:val="36"/>
          <w:highlight w:val="none"/>
        </w:rPr>
      </w:pPr>
      <w:bookmarkStart w:id="77" w:name="_Toc1914"/>
      <w:r>
        <w:rPr>
          <w:rFonts w:hint="eastAsia" w:ascii="宋体" w:hAnsi="宋体" w:eastAsia="宋体"/>
          <w:bCs/>
          <w:sz w:val="36"/>
          <w:szCs w:val="36"/>
          <w:highlight w:val="none"/>
        </w:rPr>
        <w:t>第四章  投标文件格式</w:t>
      </w:r>
      <w:bookmarkEnd w:id="77"/>
    </w:p>
    <w:p w14:paraId="23E9A8F4">
      <w:pPr>
        <w:pStyle w:val="16"/>
        <w:spacing w:line="500" w:lineRule="exact"/>
        <w:rPr>
          <w:rFonts w:hAnsi="宋体"/>
          <w:szCs w:val="21"/>
          <w:highlight w:val="none"/>
        </w:rPr>
      </w:pPr>
      <w:r>
        <w:rPr>
          <w:rFonts w:hint="eastAsia" w:hAnsi="宋体"/>
          <w:szCs w:val="21"/>
          <w:highlight w:val="none"/>
        </w:rPr>
        <w:br w:type="page"/>
      </w:r>
    </w:p>
    <w:p w14:paraId="3B863DB2">
      <w:pPr>
        <w:pStyle w:val="16"/>
        <w:spacing w:line="500" w:lineRule="exact"/>
        <w:rPr>
          <w:rFonts w:hAnsi="宋体"/>
          <w:szCs w:val="21"/>
          <w:highlight w:val="none"/>
        </w:rPr>
      </w:pPr>
    </w:p>
    <w:p w14:paraId="04FC75CA">
      <w:pPr>
        <w:pStyle w:val="16"/>
        <w:spacing w:line="500" w:lineRule="exact"/>
        <w:rPr>
          <w:rFonts w:hAnsi="宋体"/>
          <w:szCs w:val="21"/>
          <w:highlight w:val="none"/>
        </w:rPr>
      </w:pPr>
    </w:p>
    <w:p w14:paraId="744C21B8">
      <w:pPr>
        <w:pStyle w:val="16"/>
        <w:spacing w:line="500" w:lineRule="exact"/>
        <w:jc w:val="center"/>
        <w:rPr>
          <w:rFonts w:hint="eastAsia" w:hAnsi="宋体"/>
          <w:b/>
          <w:bCs/>
          <w:sz w:val="36"/>
          <w:szCs w:val="36"/>
          <w:highlight w:val="none"/>
          <w:u w:val="single"/>
          <w:lang w:eastAsia="zh-CN"/>
        </w:rPr>
      </w:pPr>
      <w:r>
        <w:rPr>
          <w:rFonts w:hint="eastAsia" w:hAnsi="宋体"/>
          <w:b/>
          <w:bCs/>
          <w:sz w:val="36"/>
          <w:szCs w:val="36"/>
          <w:highlight w:val="none"/>
          <w:u w:val="single"/>
          <w:lang w:eastAsia="zh-CN"/>
        </w:rPr>
        <w:t>昆明市妇幼保健院便携式彩色多普勒超声诊断仪等医疗</w:t>
      </w:r>
    </w:p>
    <w:p w14:paraId="3FCA3154">
      <w:pPr>
        <w:pStyle w:val="16"/>
        <w:spacing w:line="500" w:lineRule="exact"/>
        <w:jc w:val="center"/>
        <w:rPr>
          <w:rFonts w:hint="eastAsia" w:hAnsi="宋体" w:eastAsia="宋体"/>
          <w:b/>
          <w:sz w:val="36"/>
          <w:szCs w:val="36"/>
          <w:highlight w:val="none"/>
          <w:lang w:eastAsia="zh-CN"/>
        </w:rPr>
      </w:pPr>
      <w:r>
        <w:rPr>
          <w:rFonts w:hint="eastAsia" w:hAnsi="宋体"/>
          <w:b/>
          <w:bCs/>
          <w:sz w:val="36"/>
          <w:szCs w:val="36"/>
          <w:highlight w:val="none"/>
          <w:u w:val="single"/>
          <w:lang w:eastAsia="zh-CN"/>
        </w:rPr>
        <w:t>设备采购项目</w:t>
      </w:r>
    </w:p>
    <w:p w14:paraId="29F2FD00">
      <w:pPr>
        <w:pStyle w:val="16"/>
        <w:spacing w:line="500" w:lineRule="exact"/>
        <w:jc w:val="center"/>
        <w:rPr>
          <w:rFonts w:hAnsi="宋体"/>
          <w:b/>
          <w:sz w:val="36"/>
          <w:szCs w:val="36"/>
          <w:highlight w:val="none"/>
        </w:rPr>
      </w:pPr>
    </w:p>
    <w:p w14:paraId="694E5EC1">
      <w:pPr>
        <w:pStyle w:val="16"/>
        <w:spacing w:line="500" w:lineRule="exact"/>
        <w:jc w:val="center"/>
        <w:rPr>
          <w:rFonts w:hAnsi="宋体"/>
          <w:b/>
          <w:sz w:val="36"/>
          <w:szCs w:val="36"/>
          <w:highlight w:val="none"/>
        </w:rPr>
      </w:pPr>
    </w:p>
    <w:p w14:paraId="5843A0E2">
      <w:pPr>
        <w:pStyle w:val="16"/>
        <w:spacing w:line="780" w:lineRule="exact"/>
        <w:jc w:val="center"/>
        <w:rPr>
          <w:rFonts w:hint="eastAsia" w:hAnsi="宋体"/>
          <w:b/>
          <w:sz w:val="56"/>
          <w:szCs w:val="56"/>
          <w:highlight w:val="none"/>
        </w:rPr>
      </w:pPr>
    </w:p>
    <w:p w14:paraId="62AF1A81">
      <w:pPr>
        <w:pStyle w:val="16"/>
        <w:spacing w:line="780" w:lineRule="exact"/>
        <w:jc w:val="center"/>
        <w:rPr>
          <w:rFonts w:hAnsi="宋体"/>
          <w:b/>
          <w:sz w:val="36"/>
          <w:szCs w:val="36"/>
          <w:highlight w:val="none"/>
        </w:rPr>
      </w:pPr>
      <w:r>
        <w:rPr>
          <w:rFonts w:hint="eastAsia" w:hAnsi="宋体"/>
          <w:b/>
          <w:sz w:val="56"/>
          <w:szCs w:val="56"/>
          <w:highlight w:val="none"/>
        </w:rPr>
        <w:t>投 标 文 件</w:t>
      </w:r>
    </w:p>
    <w:p w14:paraId="20FF65EE">
      <w:pPr>
        <w:pStyle w:val="16"/>
        <w:spacing w:line="500" w:lineRule="exact"/>
        <w:jc w:val="center"/>
        <w:rPr>
          <w:rFonts w:hAnsi="宋体"/>
          <w:b/>
          <w:sz w:val="36"/>
          <w:szCs w:val="36"/>
          <w:highlight w:val="none"/>
        </w:rPr>
      </w:pPr>
    </w:p>
    <w:p w14:paraId="2B686100">
      <w:pPr>
        <w:pStyle w:val="16"/>
        <w:spacing w:line="500" w:lineRule="exact"/>
        <w:jc w:val="center"/>
        <w:rPr>
          <w:rFonts w:hAnsi="宋体"/>
          <w:b/>
          <w:sz w:val="36"/>
          <w:szCs w:val="36"/>
          <w:highlight w:val="none"/>
        </w:rPr>
      </w:pPr>
    </w:p>
    <w:p w14:paraId="218E9A93">
      <w:pPr>
        <w:pStyle w:val="16"/>
        <w:spacing w:line="500" w:lineRule="exact"/>
        <w:jc w:val="center"/>
        <w:rPr>
          <w:rFonts w:hAnsi="宋体"/>
          <w:b/>
          <w:sz w:val="36"/>
          <w:szCs w:val="36"/>
          <w:highlight w:val="none"/>
        </w:rPr>
      </w:pPr>
    </w:p>
    <w:p w14:paraId="0EC09E11">
      <w:pPr>
        <w:pStyle w:val="16"/>
        <w:spacing w:line="500" w:lineRule="exact"/>
        <w:jc w:val="center"/>
        <w:rPr>
          <w:rFonts w:hAnsi="宋体"/>
          <w:b/>
          <w:sz w:val="36"/>
          <w:szCs w:val="36"/>
          <w:highlight w:val="none"/>
        </w:rPr>
      </w:pPr>
    </w:p>
    <w:p w14:paraId="4757D5A0">
      <w:pPr>
        <w:pStyle w:val="16"/>
        <w:spacing w:line="500" w:lineRule="exact"/>
        <w:ind w:firstLine="3560" w:firstLineChars="1612"/>
        <w:rPr>
          <w:rFonts w:hAnsi="宋体"/>
          <w:b/>
          <w:sz w:val="22"/>
          <w:szCs w:val="22"/>
          <w:highlight w:val="none"/>
          <w:u w:val="single"/>
        </w:rPr>
      </w:pPr>
      <w:r>
        <w:rPr>
          <w:rFonts w:hint="eastAsia" w:hAnsi="宋体"/>
          <w:b/>
          <w:sz w:val="22"/>
          <w:szCs w:val="22"/>
          <w:highlight w:val="none"/>
        </w:rPr>
        <w:t>招标编号：</w:t>
      </w:r>
      <w:r>
        <w:rPr>
          <w:rFonts w:hint="eastAsia" w:hAnsi="宋体"/>
          <w:b/>
          <w:sz w:val="22"/>
          <w:szCs w:val="22"/>
          <w:highlight w:val="none"/>
          <w:u w:val="single"/>
        </w:rPr>
        <w:t xml:space="preserve">           </w:t>
      </w:r>
    </w:p>
    <w:p w14:paraId="5C297C37">
      <w:pPr>
        <w:pStyle w:val="16"/>
        <w:spacing w:line="500" w:lineRule="exact"/>
        <w:ind w:firstLine="3534" w:firstLineChars="1600"/>
        <w:jc w:val="both"/>
        <w:rPr>
          <w:rFonts w:hAnsi="宋体"/>
          <w:b/>
          <w:sz w:val="22"/>
          <w:szCs w:val="22"/>
          <w:highlight w:val="none"/>
        </w:rPr>
      </w:pPr>
      <w:r>
        <w:rPr>
          <w:rFonts w:hint="eastAsia" w:hAnsi="宋体"/>
          <w:b/>
          <w:sz w:val="22"/>
          <w:szCs w:val="22"/>
          <w:highlight w:val="none"/>
        </w:rPr>
        <w:t>标</w:t>
      </w:r>
      <w:r>
        <w:rPr>
          <w:rFonts w:hint="eastAsia" w:hAnsi="宋体"/>
          <w:b/>
          <w:sz w:val="22"/>
          <w:szCs w:val="22"/>
          <w:highlight w:val="none"/>
          <w:lang w:val="en-US" w:eastAsia="zh-CN"/>
        </w:rPr>
        <w:t xml:space="preserve">    </w:t>
      </w:r>
      <w:r>
        <w:rPr>
          <w:rFonts w:hint="eastAsia" w:hAnsi="宋体"/>
          <w:b/>
          <w:sz w:val="22"/>
          <w:szCs w:val="22"/>
          <w:highlight w:val="none"/>
        </w:rPr>
        <w:t>段：</w:t>
      </w:r>
      <w:r>
        <w:rPr>
          <w:rFonts w:hint="eastAsia" w:hAnsi="宋体"/>
          <w:b/>
          <w:sz w:val="22"/>
          <w:szCs w:val="22"/>
          <w:highlight w:val="none"/>
          <w:u w:val="single"/>
        </w:rPr>
        <w:t xml:space="preserve">           </w:t>
      </w:r>
    </w:p>
    <w:p w14:paraId="4130BCD8">
      <w:pPr>
        <w:pStyle w:val="16"/>
        <w:spacing w:line="500" w:lineRule="exact"/>
        <w:jc w:val="center"/>
        <w:rPr>
          <w:rFonts w:hAnsi="宋体"/>
          <w:b/>
          <w:sz w:val="15"/>
          <w:szCs w:val="15"/>
          <w:highlight w:val="none"/>
        </w:rPr>
      </w:pPr>
    </w:p>
    <w:p w14:paraId="3FAD9F12">
      <w:pPr>
        <w:pStyle w:val="16"/>
        <w:spacing w:line="500" w:lineRule="exact"/>
        <w:jc w:val="center"/>
        <w:rPr>
          <w:rFonts w:hAnsi="宋体"/>
          <w:b/>
          <w:sz w:val="15"/>
          <w:szCs w:val="15"/>
          <w:highlight w:val="none"/>
        </w:rPr>
      </w:pPr>
    </w:p>
    <w:p w14:paraId="505DD34D">
      <w:pPr>
        <w:pStyle w:val="16"/>
        <w:spacing w:line="500" w:lineRule="exact"/>
        <w:jc w:val="center"/>
        <w:rPr>
          <w:rFonts w:hAnsi="宋体"/>
          <w:b/>
          <w:szCs w:val="21"/>
          <w:highlight w:val="none"/>
        </w:rPr>
      </w:pPr>
    </w:p>
    <w:p w14:paraId="1FE0EFE8">
      <w:pPr>
        <w:pStyle w:val="16"/>
        <w:spacing w:line="500" w:lineRule="exact"/>
        <w:jc w:val="center"/>
        <w:rPr>
          <w:rFonts w:hAnsi="宋体"/>
          <w:b/>
          <w:szCs w:val="21"/>
          <w:highlight w:val="none"/>
        </w:rPr>
      </w:pPr>
    </w:p>
    <w:p w14:paraId="62928D41">
      <w:pPr>
        <w:spacing w:line="360" w:lineRule="auto"/>
        <w:ind w:firstLine="1732" w:firstLineChars="825"/>
        <w:rPr>
          <w:rFonts w:hAnsi="宋体"/>
          <w:szCs w:val="21"/>
          <w:highlight w:val="none"/>
        </w:rPr>
      </w:pPr>
    </w:p>
    <w:p w14:paraId="5B37BD8A">
      <w:pPr>
        <w:pStyle w:val="5"/>
        <w:jc w:val="center"/>
        <w:rPr>
          <w:rFonts w:hAnsi="宋体"/>
          <w:sz w:val="24"/>
          <w:highlight w:val="none"/>
        </w:rPr>
      </w:pPr>
      <w:r>
        <w:rPr>
          <w:rFonts w:hint="eastAsia" w:hAnsi="宋体"/>
          <w:szCs w:val="21"/>
          <w:highlight w:val="none"/>
        </w:rPr>
        <w:br w:type="page"/>
      </w:r>
      <w:bookmarkStart w:id="78" w:name="_Toc101004092"/>
      <w:bookmarkStart w:id="79" w:name="_Toc18425"/>
      <w:r>
        <w:rPr>
          <w:rFonts w:hint="eastAsia" w:ascii="宋体" w:hAnsi="宋体" w:eastAsia="宋体"/>
          <w:sz w:val="32"/>
          <w:szCs w:val="32"/>
          <w:highlight w:val="none"/>
        </w:rPr>
        <w:t>一、开标一览表</w:t>
      </w:r>
      <w:bookmarkEnd w:id="78"/>
      <w:bookmarkEnd w:id="79"/>
      <w:bookmarkStart w:id="80" w:name="_Toc213141093"/>
      <w:bookmarkStart w:id="81" w:name="_Toc13665001"/>
    </w:p>
    <w:bookmarkEnd w:id="80"/>
    <w:bookmarkEnd w:id="81"/>
    <w:p w14:paraId="57FB9CC3">
      <w:pPr>
        <w:rPr>
          <w:rFonts w:ascii="宋体" w:hAnsi="宋体"/>
          <w:highlight w:val="none"/>
        </w:rPr>
      </w:pPr>
    </w:p>
    <w:p w14:paraId="5A7944DF">
      <w:pPr>
        <w:pStyle w:val="16"/>
        <w:rPr>
          <w:rFonts w:hint="default" w:hAnsi="宋体" w:eastAsia="宋体"/>
          <w:sz w:val="24"/>
          <w:szCs w:val="24"/>
          <w:highlight w:val="none"/>
          <w:u w:val="single"/>
          <w:lang w:val="en-US" w:eastAsia="zh-CN"/>
        </w:rPr>
      </w:pPr>
      <w:r>
        <w:rPr>
          <w:rFonts w:hint="eastAsia" w:hAnsi="宋体"/>
          <w:b/>
          <w:sz w:val="24"/>
          <w:szCs w:val="24"/>
          <w:highlight w:val="none"/>
        </w:rPr>
        <w:t>项目名称：</w:t>
      </w:r>
      <w:r>
        <w:rPr>
          <w:rFonts w:hint="eastAsia" w:hAnsi="宋体"/>
          <w:b/>
          <w:sz w:val="24"/>
          <w:szCs w:val="24"/>
          <w:highlight w:val="none"/>
          <w:u w:val="single"/>
        </w:rPr>
        <w:t xml:space="preserve">              </w:t>
      </w:r>
      <w:r>
        <w:rPr>
          <w:rFonts w:hint="eastAsia" w:hAnsi="宋体"/>
          <w:b/>
          <w:sz w:val="24"/>
          <w:szCs w:val="24"/>
          <w:highlight w:val="none"/>
        </w:rPr>
        <w:t xml:space="preserve">    招标编号：</w:t>
      </w:r>
      <w:r>
        <w:rPr>
          <w:rFonts w:hint="eastAsia" w:hAnsi="宋体"/>
          <w:sz w:val="24"/>
          <w:szCs w:val="24"/>
          <w:highlight w:val="none"/>
          <w:u w:val="single"/>
        </w:rPr>
        <w:t xml:space="preserve">                  </w:t>
      </w:r>
      <w:r>
        <w:rPr>
          <w:rFonts w:hint="eastAsia" w:hAnsi="宋体"/>
          <w:sz w:val="24"/>
          <w:szCs w:val="24"/>
          <w:highlight w:val="none"/>
        </w:rPr>
        <w:t xml:space="preserve">  </w:t>
      </w:r>
      <w:r>
        <w:rPr>
          <w:rFonts w:hint="eastAsia" w:hAnsi="宋体"/>
          <w:b/>
          <w:bCs/>
          <w:sz w:val="24"/>
          <w:szCs w:val="24"/>
          <w:highlight w:val="none"/>
          <w:lang w:val="en-US" w:eastAsia="zh-CN"/>
        </w:rPr>
        <w:t>标段：</w:t>
      </w:r>
      <w:r>
        <w:rPr>
          <w:rFonts w:hint="eastAsia" w:hAnsi="宋体"/>
          <w:sz w:val="24"/>
          <w:szCs w:val="24"/>
          <w:highlight w:val="none"/>
          <w:u w:val="single"/>
          <w:lang w:val="en-US" w:eastAsia="zh-CN"/>
        </w:rPr>
        <w:t xml:space="preserve">        </w:t>
      </w:r>
    </w:p>
    <w:p w14:paraId="1CE0F1C3">
      <w:pPr>
        <w:pStyle w:val="16"/>
        <w:rPr>
          <w:rFonts w:hAnsi="宋体"/>
          <w:sz w:val="24"/>
          <w:szCs w:val="24"/>
          <w:highlight w:val="none"/>
          <w:u w:val="single"/>
        </w:rPr>
      </w:pPr>
      <w:r>
        <w:rPr>
          <w:rFonts w:hint="eastAsia" w:hAnsi="宋体"/>
          <w:sz w:val="24"/>
          <w:szCs w:val="24"/>
          <w:highlight w:val="none"/>
        </w:rPr>
        <w:t xml:space="preserve"> </w:t>
      </w:r>
    </w:p>
    <w:tbl>
      <w:tblPr>
        <w:tblStyle w:val="30"/>
        <w:tblW w:w="50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9"/>
        <w:gridCol w:w="2051"/>
        <w:gridCol w:w="1098"/>
        <w:gridCol w:w="1100"/>
        <w:gridCol w:w="1265"/>
        <w:gridCol w:w="1424"/>
        <w:gridCol w:w="1055"/>
      </w:tblGrid>
      <w:tr w14:paraId="63B98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7" w:hRule="atLeast"/>
          <w:jc w:val="center"/>
        </w:trPr>
        <w:tc>
          <w:tcPr>
            <w:tcW w:w="876" w:type="pct"/>
            <w:vAlign w:val="center"/>
          </w:tcPr>
          <w:p w14:paraId="26EC50FD">
            <w:pPr>
              <w:pStyle w:val="16"/>
              <w:jc w:val="center"/>
              <w:rPr>
                <w:rFonts w:hAnsi="宋体"/>
                <w:b/>
                <w:sz w:val="24"/>
                <w:szCs w:val="24"/>
                <w:highlight w:val="none"/>
              </w:rPr>
            </w:pPr>
            <w:r>
              <w:rPr>
                <w:rFonts w:hint="eastAsia" w:hAnsi="宋体"/>
                <w:b/>
                <w:sz w:val="24"/>
                <w:szCs w:val="24"/>
                <w:highlight w:val="none"/>
              </w:rPr>
              <w:t>投标人名称</w:t>
            </w:r>
          </w:p>
        </w:tc>
        <w:tc>
          <w:tcPr>
            <w:tcW w:w="1057" w:type="pct"/>
            <w:vAlign w:val="center"/>
          </w:tcPr>
          <w:p w14:paraId="1A001989">
            <w:pPr>
              <w:pStyle w:val="16"/>
              <w:jc w:val="center"/>
              <w:rPr>
                <w:rFonts w:hAnsi="宋体"/>
                <w:b/>
                <w:sz w:val="24"/>
                <w:szCs w:val="24"/>
                <w:highlight w:val="none"/>
              </w:rPr>
            </w:pPr>
            <w:r>
              <w:rPr>
                <w:rFonts w:hint="eastAsia" w:hAnsi="宋体"/>
                <w:b/>
                <w:sz w:val="24"/>
                <w:szCs w:val="24"/>
                <w:highlight w:val="none"/>
              </w:rPr>
              <w:t>投标总报价</w:t>
            </w:r>
          </w:p>
          <w:p w14:paraId="423CA096">
            <w:pPr>
              <w:pStyle w:val="16"/>
              <w:jc w:val="center"/>
              <w:rPr>
                <w:rFonts w:hAnsi="宋体"/>
                <w:b/>
                <w:sz w:val="24"/>
                <w:szCs w:val="24"/>
                <w:highlight w:val="none"/>
              </w:rPr>
            </w:pPr>
            <w:r>
              <w:rPr>
                <w:rFonts w:hint="eastAsia" w:hAnsi="宋体"/>
                <w:b/>
                <w:sz w:val="24"/>
                <w:szCs w:val="24"/>
                <w:highlight w:val="none"/>
              </w:rPr>
              <w:t>（万元）</w:t>
            </w:r>
          </w:p>
        </w:tc>
        <w:tc>
          <w:tcPr>
            <w:tcW w:w="566" w:type="pct"/>
            <w:vAlign w:val="center"/>
          </w:tcPr>
          <w:p w14:paraId="50FCC458">
            <w:pPr>
              <w:pStyle w:val="16"/>
              <w:jc w:val="center"/>
              <w:rPr>
                <w:rFonts w:hAnsi="宋体"/>
                <w:b/>
                <w:sz w:val="24"/>
                <w:szCs w:val="24"/>
                <w:highlight w:val="none"/>
              </w:rPr>
            </w:pPr>
            <w:r>
              <w:rPr>
                <w:rFonts w:hint="eastAsia" w:hAnsi="宋体"/>
                <w:b/>
                <w:sz w:val="24"/>
                <w:szCs w:val="24"/>
                <w:highlight w:val="none"/>
              </w:rPr>
              <w:t>交货期</w:t>
            </w:r>
          </w:p>
        </w:tc>
        <w:tc>
          <w:tcPr>
            <w:tcW w:w="567" w:type="pct"/>
            <w:vAlign w:val="center"/>
          </w:tcPr>
          <w:p w14:paraId="5D90CE5A">
            <w:pPr>
              <w:pStyle w:val="16"/>
              <w:jc w:val="center"/>
              <w:rPr>
                <w:rFonts w:hAnsi="宋体"/>
                <w:b/>
                <w:sz w:val="24"/>
                <w:szCs w:val="24"/>
                <w:highlight w:val="none"/>
              </w:rPr>
            </w:pPr>
            <w:r>
              <w:rPr>
                <w:rFonts w:hint="eastAsia" w:hAnsi="宋体"/>
                <w:b/>
                <w:sz w:val="24"/>
                <w:szCs w:val="24"/>
                <w:highlight w:val="none"/>
              </w:rPr>
              <w:t>质保期</w:t>
            </w:r>
          </w:p>
        </w:tc>
        <w:tc>
          <w:tcPr>
            <w:tcW w:w="652" w:type="pct"/>
            <w:vAlign w:val="center"/>
          </w:tcPr>
          <w:p w14:paraId="4E59B797">
            <w:pPr>
              <w:pStyle w:val="16"/>
              <w:jc w:val="center"/>
              <w:rPr>
                <w:rFonts w:hAnsi="宋体"/>
                <w:b/>
                <w:sz w:val="24"/>
                <w:szCs w:val="24"/>
                <w:highlight w:val="none"/>
              </w:rPr>
            </w:pPr>
            <w:r>
              <w:rPr>
                <w:rFonts w:hint="eastAsia" w:hAnsi="宋体"/>
                <w:b/>
                <w:sz w:val="24"/>
                <w:szCs w:val="24"/>
                <w:highlight w:val="none"/>
              </w:rPr>
              <w:t>交货地点</w:t>
            </w:r>
          </w:p>
        </w:tc>
        <w:tc>
          <w:tcPr>
            <w:tcW w:w="734" w:type="pct"/>
            <w:vAlign w:val="center"/>
          </w:tcPr>
          <w:p w14:paraId="2645F297">
            <w:pPr>
              <w:pStyle w:val="16"/>
              <w:jc w:val="center"/>
              <w:rPr>
                <w:rFonts w:hint="eastAsia" w:hAnsi="宋体" w:eastAsia="宋体"/>
                <w:b/>
                <w:sz w:val="24"/>
                <w:szCs w:val="24"/>
                <w:highlight w:val="none"/>
                <w:lang w:val="en-US" w:eastAsia="zh-CN"/>
              </w:rPr>
            </w:pPr>
            <w:r>
              <w:rPr>
                <w:rFonts w:hint="eastAsia" w:hAnsi="宋体"/>
                <w:b/>
                <w:sz w:val="24"/>
                <w:szCs w:val="24"/>
                <w:highlight w:val="none"/>
              </w:rPr>
              <w:t>投标保证金</w:t>
            </w:r>
            <w:r>
              <w:rPr>
                <w:rFonts w:hint="eastAsia" w:hAnsi="宋体"/>
                <w:b/>
                <w:sz w:val="24"/>
                <w:szCs w:val="24"/>
                <w:highlight w:val="none"/>
                <w:lang w:val="en-US" w:eastAsia="zh-CN"/>
              </w:rPr>
              <w:t>金额</w:t>
            </w:r>
          </w:p>
        </w:tc>
        <w:tc>
          <w:tcPr>
            <w:tcW w:w="544" w:type="pct"/>
            <w:vAlign w:val="center"/>
          </w:tcPr>
          <w:p w14:paraId="571F2C8E">
            <w:pPr>
              <w:pStyle w:val="16"/>
              <w:ind w:firstLine="241" w:firstLineChars="100"/>
              <w:jc w:val="center"/>
              <w:rPr>
                <w:rFonts w:hAnsi="宋体"/>
                <w:b/>
                <w:sz w:val="24"/>
                <w:szCs w:val="24"/>
                <w:highlight w:val="none"/>
              </w:rPr>
            </w:pPr>
            <w:r>
              <w:rPr>
                <w:rFonts w:hint="eastAsia" w:hAnsi="宋体"/>
                <w:b/>
                <w:sz w:val="24"/>
                <w:szCs w:val="24"/>
                <w:highlight w:val="none"/>
              </w:rPr>
              <w:t>备注</w:t>
            </w:r>
          </w:p>
        </w:tc>
      </w:tr>
      <w:tr w14:paraId="242E5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65" w:hRule="atLeast"/>
          <w:jc w:val="center"/>
        </w:trPr>
        <w:tc>
          <w:tcPr>
            <w:tcW w:w="876" w:type="pct"/>
            <w:vAlign w:val="center"/>
          </w:tcPr>
          <w:p w14:paraId="26541144">
            <w:pPr>
              <w:pStyle w:val="16"/>
              <w:jc w:val="center"/>
              <w:rPr>
                <w:rFonts w:hAnsi="宋体"/>
                <w:highlight w:val="none"/>
              </w:rPr>
            </w:pPr>
          </w:p>
        </w:tc>
        <w:tc>
          <w:tcPr>
            <w:tcW w:w="1057" w:type="pct"/>
            <w:vAlign w:val="center"/>
          </w:tcPr>
          <w:p w14:paraId="08BD194A">
            <w:pPr>
              <w:pStyle w:val="16"/>
              <w:jc w:val="center"/>
              <w:rPr>
                <w:rFonts w:hAnsi="宋体"/>
                <w:highlight w:val="none"/>
              </w:rPr>
            </w:pPr>
          </w:p>
        </w:tc>
        <w:tc>
          <w:tcPr>
            <w:tcW w:w="566" w:type="pct"/>
            <w:vAlign w:val="center"/>
          </w:tcPr>
          <w:p w14:paraId="371999EF">
            <w:pPr>
              <w:pStyle w:val="16"/>
              <w:jc w:val="center"/>
              <w:rPr>
                <w:rFonts w:hAnsi="宋体"/>
                <w:highlight w:val="none"/>
              </w:rPr>
            </w:pPr>
          </w:p>
        </w:tc>
        <w:tc>
          <w:tcPr>
            <w:tcW w:w="567" w:type="pct"/>
            <w:vAlign w:val="center"/>
          </w:tcPr>
          <w:p w14:paraId="648D0443">
            <w:pPr>
              <w:pStyle w:val="16"/>
              <w:jc w:val="center"/>
              <w:rPr>
                <w:rFonts w:hAnsi="宋体"/>
                <w:highlight w:val="none"/>
              </w:rPr>
            </w:pPr>
          </w:p>
        </w:tc>
        <w:tc>
          <w:tcPr>
            <w:tcW w:w="652" w:type="pct"/>
            <w:vAlign w:val="center"/>
          </w:tcPr>
          <w:p w14:paraId="34BA4531">
            <w:pPr>
              <w:pStyle w:val="16"/>
              <w:jc w:val="center"/>
              <w:rPr>
                <w:rFonts w:hAnsi="宋体"/>
                <w:highlight w:val="none"/>
              </w:rPr>
            </w:pPr>
          </w:p>
        </w:tc>
        <w:tc>
          <w:tcPr>
            <w:tcW w:w="734" w:type="pct"/>
            <w:vAlign w:val="center"/>
          </w:tcPr>
          <w:p w14:paraId="7539E39E">
            <w:pPr>
              <w:pStyle w:val="16"/>
              <w:jc w:val="center"/>
              <w:rPr>
                <w:rFonts w:hAnsi="宋体"/>
                <w:highlight w:val="none"/>
              </w:rPr>
            </w:pPr>
          </w:p>
        </w:tc>
        <w:tc>
          <w:tcPr>
            <w:tcW w:w="544" w:type="pct"/>
            <w:vAlign w:val="center"/>
          </w:tcPr>
          <w:p w14:paraId="22B6CFB2">
            <w:pPr>
              <w:pStyle w:val="16"/>
              <w:jc w:val="center"/>
              <w:rPr>
                <w:rFonts w:hAnsi="宋体"/>
                <w:highlight w:val="none"/>
              </w:rPr>
            </w:pPr>
          </w:p>
        </w:tc>
      </w:tr>
    </w:tbl>
    <w:p w14:paraId="1985B268">
      <w:pPr>
        <w:spacing w:line="360" w:lineRule="auto"/>
        <w:ind w:firstLine="2" w:firstLineChars="1"/>
        <w:rPr>
          <w:rFonts w:ascii="宋体" w:hAnsi="宋体"/>
          <w:b/>
          <w:sz w:val="24"/>
          <w:highlight w:val="none"/>
        </w:rPr>
      </w:pPr>
    </w:p>
    <w:p w14:paraId="48772C58">
      <w:pPr>
        <w:spacing w:line="360" w:lineRule="auto"/>
        <w:ind w:firstLine="2" w:firstLineChars="1"/>
        <w:rPr>
          <w:rFonts w:ascii="宋体" w:hAnsi="宋体"/>
          <w:b/>
          <w:sz w:val="24"/>
          <w:highlight w:val="none"/>
        </w:rPr>
      </w:pPr>
    </w:p>
    <w:p w14:paraId="27A47428">
      <w:pPr>
        <w:pStyle w:val="5"/>
        <w:jc w:val="center"/>
        <w:rPr>
          <w:rFonts w:ascii="宋体" w:hAnsi="宋体" w:eastAsia="宋体"/>
          <w:sz w:val="32"/>
          <w:szCs w:val="32"/>
          <w:highlight w:val="none"/>
        </w:rPr>
      </w:pPr>
      <w:r>
        <w:rPr>
          <w:rFonts w:hint="eastAsia" w:hAnsi="宋体"/>
          <w:szCs w:val="21"/>
          <w:highlight w:val="none"/>
        </w:rPr>
        <w:br w:type="page"/>
      </w:r>
      <w:bookmarkStart w:id="82" w:name="_Toc13665002"/>
      <w:bookmarkStart w:id="83" w:name="_Toc101004094"/>
      <w:bookmarkStart w:id="84" w:name="_Toc25350"/>
      <w:r>
        <w:rPr>
          <w:rFonts w:hint="eastAsia" w:ascii="宋体" w:hAnsi="宋体" w:eastAsia="宋体"/>
          <w:sz w:val="32"/>
          <w:szCs w:val="32"/>
          <w:highlight w:val="none"/>
        </w:rPr>
        <w:t>二、</w:t>
      </w:r>
      <w:r>
        <w:rPr>
          <w:rFonts w:ascii="宋体" w:hAnsi="宋体" w:eastAsia="宋体"/>
          <w:sz w:val="32"/>
          <w:szCs w:val="32"/>
          <w:highlight w:val="none"/>
        </w:rPr>
        <w:t>资格证明文件</w:t>
      </w:r>
      <w:bookmarkEnd w:id="82"/>
      <w:bookmarkEnd w:id="83"/>
      <w:bookmarkEnd w:id="84"/>
    </w:p>
    <w:p w14:paraId="2B38D146">
      <w:pPr>
        <w:pStyle w:val="5"/>
        <w:jc w:val="center"/>
        <w:rPr>
          <w:rFonts w:ascii="宋体" w:hAnsi="宋体" w:eastAsia="宋体"/>
          <w:sz w:val="32"/>
          <w:szCs w:val="32"/>
          <w:highlight w:val="none"/>
        </w:rPr>
      </w:pPr>
      <w:bookmarkStart w:id="85" w:name="_Toc101004095"/>
      <w:bookmarkStart w:id="86" w:name="_Toc13665003"/>
      <w:bookmarkStart w:id="87" w:name="_Toc2552"/>
      <w:r>
        <w:rPr>
          <w:rFonts w:ascii="宋体" w:hAnsi="宋体" w:eastAsia="宋体"/>
          <w:sz w:val="32"/>
          <w:szCs w:val="32"/>
          <w:highlight w:val="none"/>
        </w:rPr>
        <w:t>资格证明文件</w:t>
      </w:r>
      <w:bookmarkEnd w:id="85"/>
      <w:bookmarkEnd w:id="86"/>
      <w:bookmarkEnd w:id="87"/>
    </w:p>
    <w:p w14:paraId="200360A9">
      <w:pPr>
        <w:pStyle w:val="16"/>
        <w:rPr>
          <w:rFonts w:hAnsi="宋体"/>
          <w:sz w:val="24"/>
          <w:szCs w:val="24"/>
          <w:highlight w:val="none"/>
        </w:rPr>
      </w:pPr>
    </w:p>
    <w:p w14:paraId="00FF7346">
      <w:pPr>
        <w:pStyle w:val="16"/>
        <w:numPr>
          <w:ilvl w:val="0"/>
          <w:numId w:val="12"/>
        </w:numPr>
        <w:spacing w:line="360" w:lineRule="auto"/>
        <w:rPr>
          <w:rFonts w:hAnsi="宋体"/>
          <w:sz w:val="24"/>
          <w:szCs w:val="24"/>
          <w:highlight w:val="none"/>
        </w:rPr>
      </w:pPr>
      <w:r>
        <w:rPr>
          <w:rFonts w:hint="eastAsia" w:hAnsi="宋体"/>
          <w:sz w:val="24"/>
          <w:szCs w:val="24"/>
          <w:highlight w:val="none"/>
        </w:rPr>
        <w:t>投标人应按所附格式要求填写并提交。</w:t>
      </w:r>
    </w:p>
    <w:p w14:paraId="69273C3F">
      <w:pPr>
        <w:pStyle w:val="16"/>
        <w:numPr>
          <w:ilvl w:val="0"/>
          <w:numId w:val="12"/>
        </w:numPr>
        <w:spacing w:line="360" w:lineRule="auto"/>
        <w:rPr>
          <w:rFonts w:hAnsi="宋体"/>
          <w:sz w:val="24"/>
          <w:szCs w:val="24"/>
          <w:highlight w:val="none"/>
        </w:rPr>
      </w:pPr>
      <w:r>
        <w:rPr>
          <w:rFonts w:hint="eastAsia" w:hAnsi="宋体"/>
          <w:sz w:val="24"/>
          <w:szCs w:val="24"/>
          <w:highlight w:val="none"/>
        </w:rPr>
        <w:t>资格声明中的签字人应保证全部声明和填写的内容是真实的和正确的。</w:t>
      </w:r>
    </w:p>
    <w:p w14:paraId="6CCF1E96">
      <w:pPr>
        <w:pStyle w:val="16"/>
        <w:numPr>
          <w:ilvl w:val="0"/>
          <w:numId w:val="12"/>
        </w:numPr>
        <w:spacing w:line="360" w:lineRule="auto"/>
        <w:rPr>
          <w:rFonts w:hAnsi="宋体"/>
          <w:sz w:val="24"/>
          <w:szCs w:val="24"/>
          <w:highlight w:val="none"/>
        </w:rPr>
      </w:pPr>
      <w:r>
        <w:rPr>
          <w:rFonts w:hint="eastAsia" w:hAnsi="宋体"/>
          <w:sz w:val="24"/>
          <w:szCs w:val="24"/>
          <w:highlight w:val="none"/>
        </w:rPr>
        <w:t>投标人提交的材料将被保密，但不退还。</w:t>
      </w:r>
    </w:p>
    <w:p w14:paraId="76C7EBDA">
      <w:pPr>
        <w:pStyle w:val="16"/>
        <w:spacing w:line="600" w:lineRule="exact"/>
        <w:rPr>
          <w:rFonts w:hAnsi="宋体"/>
          <w:sz w:val="24"/>
          <w:szCs w:val="24"/>
          <w:highlight w:val="none"/>
        </w:rPr>
      </w:pPr>
    </w:p>
    <w:p w14:paraId="6217FEF8">
      <w:pPr>
        <w:pStyle w:val="16"/>
        <w:spacing w:line="600" w:lineRule="exact"/>
        <w:rPr>
          <w:rFonts w:hAnsi="宋体"/>
          <w:b/>
          <w:sz w:val="28"/>
          <w:szCs w:val="28"/>
          <w:highlight w:val="none"/>
        </w:rPr>
      </w:pPr>
      <w:r>
        <w:rPr>
          <w:rFonts w:hint="eastAsia" w:hAnsi="宋体"/>
          <w:szCs w:val="21"/>
          <w:highlight w:val="none"/>
        </w:rPr>
        <w:br w:type="page"/>
      </w:r>
      <w:r>
        <w:rPr>
          <w:rFonts w:hint="eastAsia" w:hAnsi="宋体"/>
          <w:b/>
          <w:sz w:val="28"/>
          <w:szCs w:val="28"/>
          <w:highlight w:val="none"/>
        </w:rPr>
        <w:t>格式1：</w:t>
      </w:r>
    </w:p>
    <w:p w14:paraId="38899EC6">
      <w:pPr>
        <w:pStyle w:val="5"/>
        <w:jc w:val="center"/>
        <w:rPr>
          <w:rFonts w:ascii="宋体" w:hAnsi="宋体" w:eastAsia="宋体"/>
          <w:sz w:val="32"/>
          <w:szCs w:val="32"/>
          <w:highlight w:val="none"/>
        </w:rPr>
      </w:pPr>
      <w:bookmarkStart w:id="88" w:name="_Toc213141104"/>
      <w:bookmarkStart w:id="89" w:name="_Toc493600016"/>
      <w:bookmarkStart w:id="90" w:name="_Toc13665004"/>
      <w:bookmarkStart w:id="91" w:name="_Toc101004096"/>
      <w:bookmarkStart w:id="92" w:name="_Toc17350"/>
      <w:r>
        <w:rPr>
          <w:rFonts w:hint="eastAsia" w:ascii="宋体" w:hAnsi="宋体" w:eastAsia="宋体"/>
          <w:sz w:val="32"/>
          <w:szCs w:val="32"/>
          <w:highlight w:val="none"/>
        </w:rPr>
        <w:t>营</w:t>
      </w:r>
      <w:r>
        <w:rPr>
          <w:rFonts w:hint="eastAsia" w:ascii="宋体" w:hAnsi="宋体" w:eastAsia="宋体"/>
          <w:sz w:val="32"/>
          <w:szCs w:val="32"/>
          <w:highlight w:val="none"/>
        </w:rPr>
        <w:t>业执照</w:t>
      </w:r>
      <w:bookmarkEnd w:id="88"/>
      <w:bookmarkEnd w:id="89"/>
      <w:bookmarkEnd w:id="90"/>
      <w:bookmarkEnd w:id="91"/>
      <w:r>
        <w:rPr>
          <w:rFonts w:hint="eastAsia" w:ascii="宋体" w:hAnsi="宋体" w:eastAsia="宋体"/>
          <w:sz w:val="32"/>
          <w:szCs w:val="32"/>
          <w:highlight w:val="none"/>
        </w:rPr>
        <w:t>或同等证明文件</w:t>
      </w:r>
      <w:bookmarkEnd w:id="92"/>
    </w:p>
    <w:p w14:paraId="46DFB959">
      <w:pPr>
        <w:pStyle w:val="16"/>
        <w:spacing w:line="500" w:lineRule="exact"/>
        <w:jc w:val="center"/>
        <w:rPr>
          <w:rFonts w:hAnsi="宋体"/>
          <w:sz w:val="24"/>
          <w:szCs w:val="24"/>
          <w:highlight w:val="none"/>
        </w:rPr>
      </w:pPr>
      <w:r>
        <w:rPr>
          <w:rFonts w:hint="eastAsia" w:hAnsi="宋体"/>
          <w:sz w:val="24"/>
          <w:szCs w:val="24"/>
          <w:highlight w:val="none"/>
        </w:rPr>
        <w:t>（</w:t>
      </w:r>
      <w:r>
        <w:rPr>
          <w:rFonts w:hint="eastAsia" w:hAnsi="宋体" w:cs="宋体"/>
          <w:sz w:val="24"/>
          <w:highlight w:val="none"/>
        </w:rPr>
        <w:t>扫描件</w:t>
      </w:r>
      <w:r>
        <w:rPr>
          <w:rFonts w:hint="eastAsia" w:hAnsi="宋体"/>
          <w:sz w:val="24"/>
          <w:szCs w:val="24"/>
          <w:highlight w:val="none"/>
        </w:rPr>
        <w:t>）</w:t>
      </w:r>
    </w:p>
    <w:p w14:paraId="0310427C">
      <w:pPr>
        <w:widowControl/>
        <w:jc w:val="left"/>
        <w:rPr>
          <w:rFonts w:ascii="宋体" w:hAnsi="宋体"/>
          <w:sz w:val="24"/>
          <w:highlight w:val="none"/>
        </w:rPr>
      </w:pPr>
      <w:r>
        <w:rPr>
          <w:rFonts w:hAnsi="宋体"/>
          <w:sz w:val="24"/>
          <w:highlight w:val="none"/>
        </w:rPr>
        <w:br w:type="page"/>
      </w:r>
    </w:p>
    <w:p w14:paraId="76B3DEBA">
      <w:pPr>
        <w:pStyle w:val="16"/>
        <w:spacing w:line="600" w:lineRule="exact"/>
        <w:rPr>
          <w:rFonts w:hAnsi="宋体"/>
          <w:b/>
          <w:sz w:val="28"/>
          <w:szCs w:val="28"/>
          <w:highlight w:val="none"/>
        </w:rPr>
      </w:pPr>
      <w:r>
        <w:rPr>
          <w:rFonts w:hint="eastAsia" w:hAnsi="宋体"/>
          <w:b/>
          <w:sz w:val="28"/>
          <w:szCs w:val="28"/>
          <w:highlight w:val="none"/>
        </w:rPr>
        <w:t>格式2：</w:t>
      </w:r>
    </w:p>
    <w:p w14:paraId="3D30505E">
      <w:pPr>
        <w:pStyle w:val="5"/>
        <w:jc w:val="center"/>
        <w:rPr>
          <w:rFonts w:ascii="宋体" w:hAnsi="宋体" w:eastAsia="宋体"/>
          <w:sz w:val="32"/>
          <w:szCs w:val="32"/>
          <w:highlight w:val="none"/>
        </w:rPr>
      </w:pPr>
      <w:bookmarkStart w:id="93" w:name="_Toc493600020"/>
      <w:bookmarkStart w:id="94" w:name="_Toc101004099"/>
      <w:bookmarkStart w:id="95" w:name="_Toc13665008"/>
      <w:bookmarkStart w:id="96" w:name="_Toc1437"/>
      <w:r>
        <w:rPr>
          <w:rFonts w:hint="eastAsia" w:ascii="宋体" w:hAnsi="宋体" w:eastAsia="宋体"/>
          <w:sz w:val="32"/>
          <w:szCs w:val="32"/>
          <w:highlight w:val="none"/>
        </w:rPr>
        <w:t>投标人财务状况报告</w:t>
      </w:r>
      <w:bookmarkEnd w:id="93"/>
      <w:bookmarkEnd w:id="94"/>
      <w:bookmarkEnd w:id="95"/>
      <w:bookmarkEnd w:id="96"/>
    </w:p>
    <w:p w14:paraId="35C11C37">
      <w:pPr>
        <w:pStyle w:val="16"/>
        <w:spacing w:line="600" w:lineRule="exact"/>
        <w:jc w:val="left"/>
        <w:rPr>
          <w:rFonts w:hAnsi="宋体"/>
          <w:sz w:val="24"/>
          <w:highlight w:val="none"/>
        </w:rPr>
      </w:pPr>
      <w:r>
        <w:rPr>
          <w:rFonts w:hint="eastAsia" w:hAnsi="宋体"/>
          <w:sz w:val="24"/>
          <w:highlight w:val="none"/>
        </w:rPr>
        <w:t>内容可为以下三者之一：</w:t>
      </w:r>
    </w:p>
    <w:p w14:paraId="6D8E8702">
      <w:pPr>
        <w:pStyle w:val="16"/>
        <w:spacing w:line="600" w:lineRule="exact"/>
        <w:rPr>
          <w:rFonts w:hAnsi="宋体"/>
          <w:sz w:val="24"/>
          <w:highlight w:val="none"/>
        </w:rPr>
      </w:pPr>
      <w:r>
        <w:rPr>
          <w:rFonts w:hint="eastAsia" w:hAnsi="宋体"/>
          <w:sz w:val="24"/>
          <w:highlight w:val="none"/>
        </w:rPr>
        <w:t>1）提交投标文件截止时间前三个月内基本开户银行出具的资信证明（扫描件）；</w:t>
      </w:r>
    </w:p>
    <w:p w14:paraId="658BF488">
      <w:pPr>
        <w:pStyle w:val="16"/>
        <w:spacing w:line="600" w:lineRule="exact"/>
        <w:rPr>
          <w:rFonts w:hint="eastAsia" w:hAnsi="宋体" w:eastAsia="宋体"/>
          <w:sz w:val="24"/>
          <w:highlight w:val="none"/>
          <w:lang w:eastAsia="zh-CN"/>
        </w:rPr>
      </w:pPr>
      <w:r>
        <w:rPr>
          <w:rFonts w:hint="eastAsia" w:hAnsi="宋体"/>
          <w:sz w:val="24"/>
          <w:highlight w:val="none"/>
        </w:rPr>
        <w:t>2）</w:t>
      </w:r>
      <w:r>
        <w:rPr>
          <w:rFonts w:hint="eastAsia" w:hAnsi="宋体"/>
          <w:sz w:val="24"/>
          <w:highlight w:val="none"/>
          <w:lang w:eastAsia="zh-CN"/>
        </w:rPr>
        <w:t>2024年或2025年</w:t>
      </w:r>
      <w:r>
        <w:rPr>
          <w:rFonts w:hint="eastAsia" w:hAnsi="宋体"/>
          <w:sz w:val="24"/>
          <w:highlight w:val="none"/>
        </w:rPr>
        <w:t>度经审计的财务报告（扫描件）</w:t>
      </w:r>
      <w:r>
        <w:rPr>
          <w:rFonts w:hint="eastAsia" w:hAnsi="宋体"/>
          <w:sz w:val="24"/>
          <w:highlight w:val="none"/>
          <w:lang w:eastAsia="zh-CN"/>
        </w:rPr>
        <w:t>；</w:t>
      </w:r>
    </w:p>
    <w:p w14:paraId="31FEF4EA">
      <w:pPr>
        <w:pStyle w:val="16"/>
        <w:numPr>
          <w:ilvl w:val="0"/>
          <w:numId w:val="13"/>
        </w:numPr>
        <w:spacing w:line="600" w:lineRule="exact"/>
        <w:rPr>
          <w:rFonts w:hint="eastAsia" w:hAnsi="宋体"/>
          <w:sz w:val="24"/>
          <w:highlight w:val="none"/>
        </w:rPr>
      </w:pPr>
      <w:r>
        <w:rPr>
          <w:rFonts w:hint="eastAsia" w:hAnsi="宋体"/>
          <w:sz w:val="24"/>
          <w:highlight w:val="none"/>
        </w:rPr>
        <w:t>财政部门认可的政府采购专业担保机构出具的投标担保函，须同时提供专业担保机构经财政部门认可的证明文件（扫描件）。</w:t>
      </w:r>
    </w:p>
    <w:p w14:paraId="60AF0077">
      <w:pPr>
        <w:pStyle w:val="16"/>
        <w:numPr>
          <w:ilvl w:val="0"/>
          <w:numId w:val="0"/>
        </w:numPr>
        <w:spacing w:line="600" w:lineRule="exact"/>
        <w:rPr>
          <w:rFonts w:hint="eastAsia" w:hAnsi="宋体"/>
          <w:sz w:val="24"/>
          <w:highlight w:val="none"/>
        </w:rPr>
      </w:pPr>
    </w:p>
    <w:p w14:paraId="1E33289C">
      <w:pPr>
        <w:pStyle w:val="16"/>
        <w:spacing w:line="600" w:lineRule="exact"/>
        <w:rPr>
          <w:rFonts w:hAnsi="宋体"/>
          <w:b/>
          <w:sz w:val="28"/>
          <w:szCs w:val="28"/>
          <w:highlight w:val="none"/>
        </w:rPr>
      </w:pPr>
      <w:r>
        <w:rPr>
          <w:rFonts w:hAnsi="宋体"/>
          <w:b/>
          <w:sz w:val="28"/>
          <w:szCs w:val="28"/>
          <w:highlight w:val="none"/>
        </w:rPr>
        <w:br w:type="page"/>
      </w:r>
      <w:r>
        <w:rPr>
          <w:rFonts w:hint="eastAsia" w:hAnsi="宋体"/>
          <w:b/>
          <w:sz w:val="28"/>
          <w:szCs w:val="28"/>
          <w:highlight w:val="none"/>
        </w:rPr>
        <w:t>格式3：</w:t>
      </w:r>
    </w:p>
    <w:p w14:paraId="41CA7EC8">
      <w:pPr>
        <w:pStyle w:val="5"/>
        <w:jc w:val="center"/>
        <w:rPr>
          <w:rFonts w:hint="eastAsia" w:ascii="宋体" w:hAnsi="宋体" w:eastAsia="宋体"/>
          <w:sz w:val="32"/>
          <w:szCs w:val="32"/>
          <w:highlight w:val="none"/>
        </w:rPr>
      </w:pPr>
      <w:bookmarkStart w:id="97" w:name="_Toc101004100"/>
      <w:bookmarkStart w:id="98" w:name="_Toc493600021"/>
      <w:bookmarkStart w:id="99" w:name="_Toc13665009"/>
      <w:bookmarkStart w:id="100" w:name="_Toc16580"/>
      <w:r>
        <w:rPr>
          <w:rFonts w:hint="eastAsia" w:ascii="宋体" w:hAnsi="宋体" w:eastAsia="宋体"/>
          <w:sz w:val="32"/>
          <w:szCs w:val="32"/>
          <w:highlight w:val="none"/>
        </w:rPr>
        <w:t>投标人依法缴纳税收的证明材料</w:t>
      </w:r>
      <w:bookmarkEnd w:id="97"/>
      <w:bookmarkEnd w:id="98"/>
      <w:bookmarkEnd w:id="99"/>
      <w:bookmarkEnd w:id="100"/>
    </w:p>
    <w:p w14:paraId="5B00D024">
      <w:pPr>
        <w:pStyle w:val="16"/>
        <w:spacing w:line="600" w:lineRule="exact"/>
        <w:rPr>
          <w:rFonts w:hint="eastAsia" w:hAnsi="宋体" w:eastAsia="宋体"/>
          <w:sz w:val="24"/>
          <w:highlight w:val="none"/>
          <w:lang w:val="en-US" w:eastAsia="zh-CN"/>
        </w:rPr>
      </w:pPr>
      <w:r>
        <w:rPr>
          <w:rFonts w:hint="eastAsia" w:hAnsi="宋体"/>
          <w:sz w:val="24"/>
          <w:highlight w:val="none"/>
        </w:rPr>
        <w:t>缴税所属时间在202</w:t>
      </w:r>
      <w:r>
        <w:rPr>
          <w:rFonts w:hint="eastAsia" w:hAnsi="宋体"/>
          <w:sz w:val="24"/>
          <w:highlight w:val="none"/>
          <w:lang w:val="en-US" w:eastAsia="zh-CN"/>
        </w:rPr>
        <w:t>5</w:t>
      </w:r>
      <w:r>
        <w:rPr>
          <w:rFonts w:hint="eastAsia" w:hAnsi="宋体"/>
          <w:sz w:val="24"/>
          <w:highlight w:val="none"/>
        </w:rPr>
        <w:t>年1月至投标截止日期前任意2个月的税务局税收通用缴款书扫描件或银行电子缴税（费）凭证扫描件或税务局出具纳税情况的相关证明扫描件（成立未满2个月的提供成立以来的纳税相关证明或相关情况说明；依法免税的投标人，应提供相应文件证明其依法免税）</w:t>
      </w:r>
      <w:r>
        <w:rPr>
          <w:rFonts w:hint="eastAsia" w:hAnsi="宋体"/>
          <w:sz w:val="24"/>
          <w:highlight w:val="none"/>
          <w:lang w:eastAsia="zh-CN"/>
        </w:rPr>
        <w:t>。</w:t>
      </w:r>
    </w:p>
    <w:p w14:paraId="11A75FB5">
      <w:pPr>
        <w:pStyle w:val="16"/>
        <w:spacing w:line="600" w:lineRule="exact"/>
        <w:rPr>
          <w:rFonts w:hAnsi="宋体"/>
          <w:b/>
          <w:sz w:val="28"/>
          <w:szCs w:val="28"/>
          <w:highlight w:val="none"/>
        </w:rPr>
      </w:pPr>
      <w:r>
        <w:rPr>
          <w:rFonts w:hAnsi="宋体"/>
          <w:b/>
          <w:sz w:val="28"/>
          <w:szCs w:val="28"/>
          <w:highlight w:val="none"/>
        </w:rPr>
        <w:br w:type="page"/>
      </w:r>
      <w:r>
        <w:rPr>
          <w:rFonts w:hint="eastAsia" w:hAnsi="宋体"/>
          <w:b/>
          <w:sz w:val="28"/>
          <w:szCs w:val="28"/>
          <w:highlight w:val="none"/>
        </w:rPr>
        <w:t>格式4：</w:t>
      </w:r>
    </w:p>
    <w:p w14:paraId="25263D87">
      <w:pPr>
        <w:pStyle w:val="5"/>
        <w:jc w:val="center"/>
        <w:rPr>
          <w:rFonts w:ascii="宋体" w:hAnsi="宋体" w:eastAsia="宋体"/>
          <w:sz w:val="32"/>
          <w:szCs w:val="32"/>
          <w:highlight w:val="none"/>
        </w:rPr>
      </w:pPr>
      <w:bookmarkStart w:id="101" w:name="_Toc13665010"/>
      <w:bookmarkStart w:id="102" w:name="_Toc493600022"/>
      <w:bookmarkStart w:id="103" w:name="_Toc101004101"/>
      <w:bookmarkStart w:id="104" w:name="_Toc25080"/>
      <w:r>
        <w:rPr>
          <w:rFonts w:hint="eastAsia" w:ascii="宋体" w:hAnsi="宋体" w:eastAsia="宋体"/>
          <w:sz w:val="32"/>
          <w:szCs w:val="32"/>
          <w:highlight w:val="none"/>
        </w:rPr>
        <w:t>投标人依法缴纳社会保障资金的证明材料</w:t>
      </w:r>
      <w:bookmarkEnd w:id="101"/>
      <w:bookmarkEnd w:id="102"/>
      <w:bookmarkEnd w:id="103"/>
      <w:bookmarkEnd w:id="104"/>
    </w:p>
    <w:p w14:paraId="615518F1">
      <w:pPr>
        <w:pStyle w:val="16"/>
        <w:spacing w:line="600" w:lineRule="exact"/>
        <w:rPr>
          <w:rFonts w:hAnsi="宋体"/>
          <w:b/>
          <w:sz w:val="28"/>
          <w:szCs w:val="28"/>
          <w:highlight w:val="none"/>
        </w:rPr>
      </w:pPr>
      <w:r>
        <w:rPr>
          <w:rFonts w:hint="eastAsia" w:hAnsi="宋体"/>
          <w:sz w:val="24"/>
          <w:highlight w:val="none"/>
        </w:rPr>
        <w:t>缴费所属时间在202</w:t>
      </w:r>
      <w:r>
        <w:rPr>
          <w:rFonts w:hint="eastAsia" w:hAnsi="宋体"/>
          <w:sz w:val="24"/>
          <w:highlight w:val="none"/>
          <w:lang w:val="en-US" w:eastAsia="zh-CN"/>
        </w:rPr>
        <w:t>5</w:t>
      </w:r>
      <w:r>
        <w:rPr>
          <w:rFonts w:hint="eastAsia" w:hAnsi="宋体"/>
          <w:sz w:val="24"/>
          <w:highlight w:val="none"/>
        </w:rPr>
        <w:t>年1月至投标截止日期前任意2个月的社会保险费缴款书扫描件或银行电子缴税（费）凭证扫描件或社保管理部门出具的有效的缴款证明扫描件（成立未满2个月的提供成立以来的社会保险费缴纳证明或相关情况说明；不需要缴纳社会保险费的投标人，应提供相应文件证明其不需要缴纳社会保险费）</w:t>
      </w:r>
      <w:r>
        <w:rPr>
          <w:rFonts w:hint="eastAsia" w:hAnsi="宋体"/>
          <w:sz w:val="24"/>
          <w:highlight w:val="none"/>
          <w:lang w:eastAsia="zh-CN"/>
        </w:rPr>
        <w:t>。</w:t>
      </w:r>
      <w:r>
        <w:rPr>
          <w:rFonts w:hAnsi="宋体"/>
          <w:b/>
          <w:sz w:val="28"/>
          <w:szCs w:val="28"/>
          <w:highlight w:val="none"/>
        </w:rPr>
        <w:br w:type="page"/>
      </w:r>
      <w:r>
        <w:rPr>
          <w:rFonts w:hint="eastAsia" w:hAnsi="宋体"/>
          <w:b/>
          <w:sz w:val="28"/>
          <w:szCs w:val="28"/>
          <w:highlight w:val="none"/>
        </w:rPr>
        <w:t>格式5：</w:t>
      </w:r>
    </w:p>
    <w:p w14:paraId="043504A2">
      <w:pPr>
        <w:pStyle w:val="5"/>
        <w:jc w:val="center"/>
        <w:rPr>
          <w:rFonts w:ascii="宋体" w:hAnsi="宋体" w:eastAsia="宋体"/>
          <w:sz w:val="32"/>
          <w:szCs w:val="32"/>
          <w:highlight w:val="none"/>
        </w:rPr>
      </w:pPr>
      <w:bookmarkStart w:id="105" w:name="_Toc13665011"/>
      <w:bookmarkStart w:id="106" w:name="_Toc493600023"/>
      <w:bookmarkStart w:id="107" w:name="_Toc101004102"/>
      <w:bookmarkStart w:id="108" w:name="_Toc18517"/>
      <w:r>
        <w:rPr>
          <w:rFonts w:hint="eastAsia" w:ascii="宋体" w:hAnsi="宋体" w:eastAsia="宋体"/>
          <w:sz w:val="32"/>
          <w:szCs w:val="32"/>
          <w:highlight w:val="none"/>
        </w:rPr>
        <w:t>投标人具备履行合同所必需的设备和专业技术能力的证明材料</w:t>
      </w:r>
      <w:bookmarkEnd w:id="105"/>
      <w:bookmarkEnd w:id="106"/>
      <w:r>
        <w:rPr>
          <w:rFonts w:hint="eastAsia" w:ascii="宋体" w:hAnsi="宋体" w:eastAsia="宋体"/>
          <w:sz w:val="32"/>
          <w:szCs w:val="32"/>
          <w:highlight w:val="none"/>
        </w:rPr>
        <w:t>或承诺函</w:t>
      </w:r>
      <w:bookmarkEnd w:id="107"/>
      <w:bookmarkEnd w:id="108"/>
    </w:p>
    <w:p w14:paraId="1363BC9E">
      <w:pPr>
        <w:pStyle w:val="16"/>
        <w:spacing w:line="600" w:lineRule="exact"/>
        <w:rPr>
          <w:rFonts w:hAnsi="宋体"/>
          <w:b/>
          <w:sz w:val="28"/>
          <w:szCs w:val="28"/>
          <w:highlight w:val="none"/>
        </w:rPr>
      </w:pPr>
    </w:p>
    <w:p w14:paraId="55B84E23">
      <w:pPr>
        <w:pStyle w:val="16"/>
        <w:spacing w:line="600" w:lineRule="exact"/>
        <w:rPr>
          <w:rFonts w:hAnsi="宋体"/>
          <w:b/>
          <w:sz w:val="28"/>
          <w:szCs w:val="28"/>
          <w:highlight w:val="none"/>
        </w:rPr>
      </w:pPr>
      <w:r>
        <w:rPr>
          <w:rFonts w:hAnsi="宋体"/>
          <w:b/>
          <w:sz w:val="28"/>
          <w:szCs w:val="28"/>
          <w:highlight w:val="none"/>
        </w:rPr>
        <w:br w:type="page"/>
      </w:r>
      <w:r>
        <w:rPr>
          <w:rFonts w:hint="eastAsia" w:hAnsi="宋体"/>
          <w:b/>
          <w:sz w:val="28"/>
          <w:szCs w:val="28"/>
          <w:highlight w:val="none"/>
        </w:rPr>
        <w:t>格式6：</w:t>
      </w:r>
    </w:p>
    <w:p w14:paraId="1C5BC292">
      <w:pPr>
        <w:pStyle w:val="5"/>
        <w:jc w:val="center"/>
        <w:rPr>
          <w:rFonts w:ascii="宋体" w:hAnsi="宋体" w:eastAsia="宋体"/>
          <w:sz w:val="32"/>
          <w:szCs w:val="32"/>
          <w:highlight w:val="none"/>
        </w:rPr>
      </w:pPr>
      <w:bookmarkStart w:id="109" w:name="_Toc493600024"/>
      <w:bookmarkStart w:id="110" w:name="_Toc101004103"/>
      <w:bookmarkStart w:id="111" w:name="_Toc13665012"/>
      <w:bookmarkStart w:id="112" w:name="_Toc12674"/>
      <w:r>
        <w:rPr>
          <w:rFonts w:hint="eastAsia" w:ascii="宋体" w:hAnsi="宋体" w:eastAsia="宋体"/>
          <w:sz w:val="32"/>
          <w:szCs w:val="32"/>
          <w:highlight w:val="none"/>
        </w:rPr>
        <w:t>参加政府采购活动前3年内在经营活动中没有重大违法记录的书面声明</w:t>
      </w:r>
      <w:bookmarkEnd w:id="109"/>
      <w:bookmarkEnd w:id="110"/>
      <w:bookmarkEnd w:id="111"/>
      <w:bookmarkEnd w:id="112"/>
    </w:p>
    <w:p w14:paraId="3A1AC621">
      <w:pPr>
        <w:ind w:firstLine="4410" w:firstLineChars="2100"/>
        <w:rPr>
          <w:rFonts w:ascii="宋体" w:hAnsi="宋体"/>
          <w:highlight w:val="none"/>
        </w:rPr>
      </w:pPr>
    </w:p>
    <w:p w14:paraId="77348F2F">
      <w:pPr>
        <w:ind w:firstLine="4410" w:firstLineChars="2100"/>
        <w:rPr>
          <w:rFonts w:ascii="宋体" w:hAnsi="宋体"/>
          <w:highlight w:val="none"/>
        </w:rPr>
      </w:pPr>
    </w:p>
    <w:p w14:paraId="64C93245">
      <w:pPr>
        <w:jc w:val="center"/>
        <w:rPr>
          <w:rFonts w:ascii="宋体" w:hAnsi="宋体"/>
          <w:highlight w:val="none"/>
        </w:rPr>
      </w:pPr>
      <w:r>
        <w:rPr>
          <w:rFonts w:hint="eastAsia" w:ascii="宋体" w:hAnsi="宋体"/>
          <w:highlight w:val="none"/>
        </w:rPr>
        <w:t>（投标自行承诺及说明，内容自拟）</w:t>
      </w:r>
    </w:p>
    <w:p w14:paraId="51BA592A">
      <w:pPr>
        <w:spacing w:line="360" w:lineRule="auto"/>
        <w:jc w:val="left"/>
        <w:rPr>
          <w:rFonts w:ascii="宋体" w:hAnsi="宋体"/>
          <w:sz w:val="24"/>
          <w:highlight w:val="none"/>
        </w:rPr>
      </w:pPr>
    </w:p>
    <w:p w14:paraId="57B5BB93">
      <w:pPr>
        <w:spacing w:line="360" w:lineRule="auto"/>
        <w:jc w:val="left"/>
        <w:rPr>
          <w:rFonts w:ascii="宋体" w:hAnsi="宋体"/>
          <w:sz w:val="24"/>
          <w:highlight w:val="none"/>
        </w:rPr>
      </w:pPr>
    </w:p>
    <w:p w14:paraId="1199F15E">
      <w:pPr>
        <w:spacing w:line="360" w:lineRule="auto"/>
        <w:jc w:val="left"/>
        <w:rPr>
          <w:rFonts w:ascii="宋体" w:hAnsi="宋体"/>
          <w:sz w:val="24"/>
          <w:highlight w:val="none"/>
        </w:rPr>
      </w:pPr>
    </w:p>
    <w:p w14:paraId="540478A2">
      <w:pPr>
        <w:spacing w:line="360" w:lineRule="auto"/>
        <w:jc w:val="left"/>
        <w:rPr>
          <w:rFonts w:ascii="宋体" w:hAnsi="宋体"/>
          <w:sz w:val="24"/>
          <w:highlight w:val="none"/>
        </w:rPr>
      </w:pPr>
    </w:p>
    <w:p w14:paraId="675C1AB3">
      <w:pPr>
        <w:spacing w:line="360" w:lineRule="auto"/>
        <w:jc w:val="left"/>
        <w:rPr>
          <w:rFonts w:ascii="宋体" w:hAnsi="宋体"/>
          <w:sz w:val="24"/>
          <w:highlight w:val="none"/>
        </w:rPr>
      </w:pPr>
    </w:p>
    <w:p w14:paraId="4BE3A444">
      <w:pPr>
        <w:spacing w:line="360" w:lineRule="auto"/>
        <w:jc w:val="left"/>
        <w:rPr>
          <w:rFonts w:ascii="宋体" w:hAnsi="宋体"/>
          <w:sz w:val="24"/>
          <w:highlight w:val="none"/>
        </w:rPr>
      </w:pPr>
    </w:p>
    <w:p w14:paraId="58A7C865">
      <w:pPr>
        <w:spacing w:line="360" w:lineRule="auto"/>
        <w:jc w:val="left"/>
        <w:rPr>
          <w:rFonts w:ascii="宋体" w:hAnsi="宋体"/>
          <w:sz w:val="24"/>
          <w:highlight w:val="none"/>
        </w:rPr>
      </w:pPr>
    </w:p>
    <w:p w14:paraId="214C05C7">
      <w:pPr>
        <w:spacing w:line="360" w:lineRule="auto"/>
        <w:ind w:left="3541" w:leftChars="1686"/>
        <w:jc w:val="left"/>
        <w:rPr>
          <w:rFonts w:ascii="宋体" w:hAnsi="宋体"/>
          <w:sz w:val="24"/>
          <w:highlight w:val="none"/>
          <w:u w:val="single"/>
        </w:rPr>
      </w:pPr>
    </w:p>
    <w:p w14:paraId="4F48DA74">
      <w:pPr>
        <w:spacing w:line="360" w:lineRule="auto"/>
        <w:jc w:val="left"/>
        <w:rPr>
          <w:rFonts w:ascii="宋体" w:hAnsi="宋体"/>
          <w:sz w:val="24"/>
          <w:highlight w:val="none"/>
        </w:rPr>
      </w:pPr>
    </w:p>
    <w:p w14:paraId="15B1CBA8">
      <w:pPr>
        <w:spacing w:line="360" w:lineRule="auto"/>
        <w:jc w:val="left"/>
        <w:rPr>
          <w:rFonts w:ascii="宋体" w:hAnsi="宋体"/>
          <w:sz w:val="24"/>
          <w:highlight w:val="none"/>
        </w:rPr>
      </w:pPr>
      <w:r>
        <w:rPr>
          <w:rFonts w:hint="eastAsia" w:ascii="宋体" w:hAnsi="宋体"/>
          <w:sz w:val="24"/>
          <w:highlight w:val="none"/>
        </w:rPr>
        <w:t>注：</w:t>
      </w:r>
    </w:p>
    <w:p w14:paraId="680D5431">
      <w:pPr>
        <w:spacing w:line="360" w:lineRule="auto"/>
        <w:jc w:val="left"/>
        <w:rPr>
          <w:rFonts w:ascii="宋体" w:hAnsi="宋体"/>
          <w:sz w:val="24"/>
          <w:highlight w:val="none"/>
        </w:rPr>
      </w:pPr>
      <w:r>
        <w:rPr>
          <w:rFonts w:hint="eastAsia" w:ascii="宋体" w:hAnsi="宋体"/>
          <w:sz w:val="24"/>
          <w:highlight w:val="none"/>
        </w:rPr>
        <w:t>重大违法记录，是指供应商因违法经营受到刑事处罚或者责令停产停业、吊销许可证或者执照、较大数额罚款（指200万元及以上罚款）等行政处罚。</w:t>
      </w:r>
    </w:p>
    <w:p w14:paraId="5FB57EC6">
      <w:pPr>
        <w:spacing w:line="360" w:lineRule="auto"/>
        <w:jc w:val="left"/>
        <w:rPr>
          <w:rFonts w:ascii="宋体" w:hAnsi="宋体"/>
          <w:sz w:val="24"/>
          <w:highlight w:val="none"/>
        </w:rPr>
      </w:pPr>
    </w:p>
    <w:p w14:paraId="7E5D55AB">
      <w:pPr>
        <w:widowControl/>
        <w:jc w:val="left"/>
        <w:rPr>
          <w:rFonts w:ascii="宋体" w:hAnsi="宋体"/>
          <w:sz w:val="24"/>
          <w:szCs w:val="20"/>
          <w:highlight w:val="none"/>
        </w:rPr>
      </w:pPr>
      <w:r>
        <w:rPr>
          <w:rFonts w:hAnsi="宋体"/>
          <w:sz w:val="24"/>
          <w:highlight w:val="none"/>
        </w:rPr>
        <w:br w:type="page"/>
      </w:r>
    </w:p>
    <w:p w14:paraId="28300A93">
      <w:pPr>
        <w:pStyle w:val="16"/>
        <w:spacing w:line="600" w:lineRule="exact"/>
        <w:jc w:val="left"/>
        <w:rPr>
          <w:rFonts w:hAnsi="宋体"/>
          <w:szCs w:val="21"/>
          <w:highlight w:val="none"/>
        </w:rPr>
      </w:pPr>
      <w:r>
        <w:rPr>
          <w:rFonts w:hint="eastAsia" w:hAnsi="宋体"/>
          <w:b/>
          <w:sz w:val="28"/>
          <w:szCs w:val="28"/>
          <w:highlight w:val="none"/>
        </w:rPr>
        <w:t>格式7：</w:t>
      </w:r>
    </w:p>
    <w:p w14:paraId="70F23E35">
      <w:pPr>
        <w:pStyle w:val="16"/>
        <w:spacing w:line="600" w:lineRule="exact"/>
        <w:jc w:val="left"/>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单位负责人为同一人或者存在直接控股、管理关系的不同供应商，不得参加同一合同项下的政府采购活动。为本项目提供整体设计、规范编制或者项目管理、监理、检测等服务的供应商，不得再参加本项目的采购活动的声明或承诺</w:t>
      </w:r>
      <w:r>
        <w:rPr>
          <w:rFonts w:hint="eastAsia" w:hAnsi="宋体" w:cs="Times New Roman"/>
          <w:kern w:val="2"/>
          <w:sz w:val="24"/>
          <w:szCs w:val="24"/>
          <w:highlight w:val="none"/>
          <w:lang w:val="en-US" w:eastAsia="zh-CN" w:bidi="ar-SA"/>
        </w:rPr>
        <w:t>。</w:t>
      </w:r>
    </w:p>
    <w:p w14:paraId="26943C24">
      <w:pPr>
        <w:spacing w:line="360" w:lineRule="auto"/>
        <w:ind w:left="3541" w:leftChars="1686"/>
        <w:jc w:val="left"/>
        <w:rPr>
          <w:rFonts w:ascii="宋体" w:hAnsi="宋体"/>
          <w:sz w:val="24"/>
          <w:highlight w:val="none"/>
          <w:u w:val="single"/>
        </w:rPr>
      </w:pPr>
    </w:p>
    <w:p w14:paraId="58F124DC">
      <w:pPr>
        <w:pStyle w:val="16"/>
        <w:spacing w:line="600" w:lineRule="exact"/>
        <w:rPr>
          <w:rFonts w:hAnsi="宋体"/>
          <w:b/>
          <w:sz w:val="28"/>
          <w:szCs w:val="28"/>
          <w:highlight w:val="none"/>
        </w:rPr>
      </w:pPr>
      <w:r>
        <w:rPr>
          <w:rFonts w:hAnsi="宋体"/>
          <w:b/>
          <w:sz w:val="28"/>
          <w:szCs w:val="28"/>
          <w:highlight w:val="none"/>
        </w:rPr>
        <w:br w:type="page"/>
      </w:r>
      <w:r>
        <w:rPr>
          <w:rFonts w:hAnsi="宋体"/>
          <w:b/>
          <w:sz w:val="28"/>
          <w:szCs w:val="28"/>
          <w:highlight w:val="none"/>
        </w:rPr>
        <w:t>格式</w:t>
      </w:r>
      <w:r>
        <w:rPr>
          <w:rFonts w:hint="eastAsia" w:hAnsi="宋体"/>
          <w:b/>
          <w:sz w:val="28"/>
          <w:szCs w:val="28"/>
          <w:highlight w:val="none"/>
        </w:rPr>
        <w:t>8：</w:t>
      </w:r>
      <w:r>
        <w:rPr>
          <w:rFonts w:hAnsi="宋体"/>
          <w:b/>
          <w:sz w:val="28"/>
          <w:szCs w:val="28"/>
          <w:highlight w:val="none"/>
        </w:rPr>
        <w:t xml:space="preserve"> </w:t>
      </w:r>
    </w:p>
    <w:p w14:paraId="70A63C69">
      <w:pPr>
        <w:pStyle w:val="5"/>
        <w:jc w:val="center"/>
        <w:rPr>
          <w:rFonts w:ascii="宋体" w:hAnsi="宋体" w:eastAsia="宋体"/>
          <w:sz w:val="32"/>
          <w:szCs w:val="32"/>
          <w:highlight w:val="none"/>
        </w:rPr>
      </w:pPr>
      <w:bookmarkStart w:id="113" w:name="_Toc13665015"/>
      <w:bookmarkStart w:id="114" w:name="_Toc213141108"/>
      <w:bookmarkStart w:id="115" w:name="_Toc101004104"/>
      <w:bookmarkStart w:id="116" w:name="_Toc493600027"/>
      <w:bookmarkStart w:id="117" w:name="_Toc29340"/>
      <w:r>
        <w:rPr>
          <w:rFonts w:hint="eastAsia" w:ascii="宋体" w:hAnsi="宋体" w:eastAsia="宋体"/>
          <w:sz w:val="32"/>
          <w:szCs w:val="32"/>
          <w:highlight w:val="none"/>
        </w:rPr>
        <w:t>制造商资格声明</w:t>
      </w:r>
      <w:bookmarkEnd w:id="113"/>
      <w:bookmarkEnd w:id="114"/>
      <w:bookmarkEnd w:id="115"/>
      <w:bookmarkEnd w:id="116"/>
      <w:r>
        <w:rPr>
          <w:rFonts w:hint="eastAsia" w:ascii="宋体" w:hAnsi="宋体" w:eastAsia="宋体"/>
          <w:sz w:val="32"/>
          <w:szCs w:val="32"/>
          <w:highlight w:val="none"/>
        </w:rPr>
        <w:t>（如有）</w:t>
      </w:r>
      <w:bookmarkEnd w:id="117"/>
    </w:p>
    <w:p w14:paraId="03B16418">
      <w:pPr>
        <w:numPr>
          <w:ilvl w:val="0"/>
          <w:numId w:val="14"/>
        </w:numPr>
        <w:ind w:left="357" w:hanging="357"/>
        <w:rPr>
          <w:rFonts w:ascii="宋体" w:hAnsi="宋体"/>
          <w:sz w:val="24"/>
          <w:highlight w:val="none"/>
        </w:rPr>
      </w:pPr>
      <w:r>
        <w:rPr>
          <w:rFonts w:hint="eastAsia" w:ascii="宋体" w:hAnsi="宋体"/>
          <w:sz w:val="24"/>
          <w:highlight w:val="none"/>
        </w:rPr>
        <w:t>名称及概况：</w:t>
      </w:r>
    </w:p>
    <w:p w14:paraId="135D8ADC">
      <w:pPr>
        <w:numPr>
          <w:ilvl w:val="1"/>
          <w:numId w:val="14"/>
        </w:numPr>
        <w:rPr>
          <w:rFonts w:ascii="宋体" w:hAnsi="宋体"/>
          <w:sz w:val="24"/>
          <w:highlight w:val="none"/>
        </w:rPr>
      </w:pPr>
      <w:r>
        <w:rPr>
          <w:rFonts w:hint="eastAsia" w:ascii="宋体" w:hAnsi="宋体"/>
          <w:sz w:val="24"/>
          <w:highlight w:val="none"/>
        </w:rPr>
        <w:t>制造商名称：</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00404B52">
      <w:pPr>
        <w:numPr>
          <w:ilvl w:val="1"/>
          <w:numId w:val="14"/>
        </w:numPr>
        <w:rPr>
          <w:rFonts w:ascii="宋体" w:hAnsi="宋体"/>
          <w:sz w:val="24"/>
          <w:highlight w:val="none"/>
        </w:rPr>
      </w:pPr>
      <w:r>
        <w:rPr>
          <w:rFonts w:hint="eastAsia" w:ascii="宋体" w:hAnsi="宋体"/>
          <w:sz w:val="24"/>
          <w:highlight w:val="none"/>
        </w:rPr>
        <w:t>总部地址：</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br w:type="textWrapping"/>
      </w:r>
      <w:r>
        <w:rPr>
          <w:rFonts w:hint="eastAsia" w:ascii="宋体" w:hAnsi="宋体"/>
          <w:sz w:val="24"/>
          <w:highlight w:val="none"/>
        </w:rPr>
        <w:t>电传／传真／电话号码：</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1650B61C">
      <w:pPr>
        <w:numPr>
          <w:ilvl w:val="1"/>
          <w:numId w:val="14"/>
        </w:numPr>
        <w:rPr>
          <w:rFonts w:ascii="宋体" w:hAnsi="宋体"/>
          <w:sz w:val="24"/>
          <w:highlight w:val="none"/>
        </w:rPr>
      </w:pPr>
      <w:r>
        <w:rPr>
          <w:rFonts w:hint="eastAsia" w:ascii="宋体" w:hAnsi="宋体"/>
          <w:sz w:val="24"/>
          <w:highlight w:val="none"/>
        </w:rPr>
        <w:t>成立和／或注册日期：</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0F05250D">
      <w:pPr>
        <w:numPr>
          <w:ilvl w:val="1"/>
          <w:numId w:val="14"/>
        </w:numPr>
        <w:rPr>
          <w:rFonts w:ascii="宋体" w:hAnsi="宋体"/>
          <w:sz w:val="24"/>
          <w:highlight w:val="none"/>
        </w:rPr>
      </w:pPr>
      <w:r>
        <w:rPr>
          <w:rFonts w:hint="eastAsia" w:ascii="宋体" w:hAnsi="宋体"/>
          <w:sz w:val="24"/>
          <w:highlight w:val="none"/>
        </w:rPr>
        <w:t>实收资本：</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11E76743">
      <w:pPr>
        <w:numPr>
          <w:ilvl w:val="1"/>
          <w:numId w:val="14"/>
        </w:numPr>
        <w:rPr>
          <w:rFonts w:ascii="宋体" w:hAnsi="宋体"/>
          <w:sz w:val="24"/>
          <w:highlight w:val="none"/>
        </w:rPr>
      </w:pPr>
      <w:r>
        <w:rPr>
          <w:rFonts w:hint="eastAsia" w:ascii="宋体" w:hAnsi="宋体"/>
          <w:sz w:val="24"/>
          <w:highlight w:val="none"/>
        </w:rPr>
        <w:t>近期资产负债表(到</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hint="eastAsia" w:ascii="宋体" w:hAnsi="宋体"/>
          <w:sz w:val="24"/>
          <w:highlight w:val="none"/>
        </w:rPr>
        <w:t>年</w:t>
      </w:r>
      <w:r>
        <w:rPr>
          <w:rFonts w:ascii="宋体" w:hAnsi="宋体"/>
          <w:sz w:val="24"/>
          <w:highlight w:val="none"/>
          <w:u w:val="single"/>
        </w:rPr>
        <w:tab/>
      </w:r>
      <w:r>
        <w:rPr>
          <w:rFonts w:ascii="宋体" w:hAnsi="宋体"/>
          <w:sz w:val="24"/>
          <w:highlight w:val="none"/>
          <w:u w:val="single"/>
        </w:rPr>
        <w:tab/>
      </w:r>
      <w:r>
        <w:rPr>
          <w:rFonts w:hint="eastAsia" w:ascii="宋体" w:hAnsi="宋体"/>
          <w:sz w:val="24"/>
          <w:highlight w:val="none"/>
        </w:rPr>
        <w:t>月</w:t>
      </w:r>
      <w:r>
        <w:rPr>
          <w:rFonts w:ascii="宋体" w:hAnsi="宋体"/>
          <w:sz w:val="24"/>
          <w:highlight w:val="none"/>
          <w:u w:val="single"/>
        </w:rPr>
        <w:tab/>
      </w:r>
      <w:r>
        <w:rPr>
          <w:rFonts w:ascii="宋体" w:hAnsi="宋体"/>
          <w:sz w:val="24"/>
          <w:highlight w:val="none"/>
          <w:u w:val="single"/>
        </w:rPr>
        <w:tab/>
      </w:r>
      <w:r>
        <w:rPr>
          <w:rFonts w:hint="eastAsia" w:ascii="宋体" w:hAnsi="宋体"/>
          <w:sz w:val="24"/>
          <w:highlight w:val="none"/>
        </w:rPr>
        <w:t>日止)</w:t>
      </w:r>
    </w:p>
    <w:p w14:paraId="15F35F03">
      <w:pPr>
        <w:ind w:left="840"/>
        <w:rPr>
          <w:rFonts w:ascii="宋体" w:hAnsi="宋体"/>
          <w:sz w:val="24"/>
          <w:highlight w:val="none"/>
          <w:u w:val="single"/>
        </w:rPr>
      </w:pPr>
      <w:r>
        <w:rPr>
          <w:rFonts w:hint="eastAsia" w:ascii="宋体" w:hAnsi="宋体"/>
          <w:sz w:val="24"/>
          <w:highlight w:val="none"/>
        </w:rPr>
        <w:t>①</w:t>
      </w:r>
      <w:r>
        <w:rPr>
          <w:rFonts w:ascii="宋体" w:hAnsi="宋体"/>
          <w:sz w:val="24"/>
          <w:highlight w:val="none"/>
        </w:rPr>
        <w:t xml:space="preserve"> </w:t>
      </w:r>
      <w:r>
        <w:rPr>
          <w:rFonts w:hint="eastAsia" w:ascii="宋体" w:hAnsi="宋体"/>
          <w:sz w:val="24"/>
          <w:highlight w:val="none"/>
        </w:rPr>
        <w:t>固定资产:</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2233182A">
      <w:pPr>
        <w:ind w:left="840"/>
        <w:rPr>
          <w:rFonts w:ascii="宋体" w:hAnsi="宋体"/>
          <w:sz w:val="24"/>
          <w:highlight w:val="none"/>
        </w:rPr>
      </w:pPr>
      <w:r>
        <w:rPr>
          <w:rFonts w:hint="eastAsia" w:ascii="宋体" w:hAnsi="宋体"/>
          <w:sz w:val="24"/>
          <w:highlight w:val="none"/>
        </w:rPr>
        <w:t>②</w:t>
      </w:r>
      <w:r>
        <w:rPr>
          <w:rFonts w:ascii="宋体" w:hAnsi="宋体"/>
          <w:sz w:val="24"/>
          <w:highlight w:val="none"/>
        </w:rPr>
        <w:t xml:space="preserve"> </w:t>
      </w:r>
      <w:r>
        <w:rPr>
          <w:rFonts w:hint="eastAsia" w:ascii="宋体" w:hAnsi="宋体"/>
          <w:sz w:val="24"/>
          <w:highlight w:val="none"/>
        </w:rPr>
        <w:t>流动资产:</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589F701C">
      <w:pPr>
        <w:ind w:left="840"/>
        <w:rPr>
          <w:rFonts w:ascii="宋体" w:hAnsi="宋体"/>
          <w:sz w:val="24"/>
          <w:highlight w:val="none"/>
          <w:u w:val="single"/>
        </w:rPr>
      </w:pPr>
      <w:r>
        <w:rPr>
          <w:rFonts w:hint="eastAsia" w:ascii="宋体" w:hAnsi="宋体"/>
          <w:sz w:val="24"/>
          <w:highlight w:val="none"/>
        </w:rPr>
        <w:t>③</w:t>
      </w:r>
      <w:r>
        <w:rPr>
          <w:rFonts w:ascii="宋体" w:hAnsi="宋体"/>
          <w:sz w:val="24"/>
          <w:highlight w:val="none"/>
        </w:rPr>
        <w:t xml:space="preserve"> </w:t>
      </w:r>
      <w:r>
        <w:rPr>
          <w:rFonts w:hint="eastAsia" w:ascii="宋体" w:hAnsi="宋体"/>
          <w:sz w:val="24"/>
          <w:highlight w:val="none"/>
        </w:rPr>
        <w:t>长期负债:</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0686E526">
      <w:pPr>
        <w:ind w:left="840"/>
        <w:rPr>
          <w:rFonts w:ascii="宋体" w:hAnsi="宋体"/>
          <w:sz w:val="24"/>
          <w:highlight w:val="none"/>
          <w:u w:val="single"/>
        </w:rPr>
      </w:pPr>
      <w:r>
        <w:rPr>
          <w:rFonts w:hint="eastAsia" w:ascii="宋体" w:hAnsi="宋体"/>
          <w:sz w:val="24"/>
          <w:highlight w:val="none"/>
        </w:rPr>
        <w:t>④</w:t>
      </w:r>
      <w:r>
        <w:rPr>
          <w:rFonts w:ascii="宋体" w:hAnsi="宋体"/>
          <w:sz w:val="24"/>
          <w:highlight w:val="none"/>
        </w:rPr>
        <w:t xml:space="preserve"> </w:t>
      </w:r>
      <w:r>
        <w:rPr>
          <w:rFonts w:hint="eastAsia" w:ascii="宋体" w:hAnsi="宋体"/>
          <w:sz w:val="24"/>
          <w:highlight w:val="none"/>
        </w:rPr>
        <w:t>流动负债:</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5DB22CB2">
      <w:pPr>
        <w:ind w:left="840"/>
        <w:rPr>
          <w:rFonts w:ascii="宋体" w:hAnsi="宋体"/>
          <w:sz w:val="24"/>
          <w:highlight w:val="none"/>
          <w:u w:val="single"/>
        </w:rPr>
      </w:pPr>
      <w:r>
        <w:rPr>
          <w:rFonts w:hint="eastAsia" w:ascii="宋体" w:hAnsi="宋体"/>
          <w:sz w:val="24"/>
          <w:highlight w:val="none"/>
        </w:rPr>
        <w:t>⑤</w:t>
      </w:r>
      <w:r>
        <w:rPr>
          <w:rFonts w:ascii="宋体" w:hAnsi="宋体"/>
          <w:sz w:val="24"/>
          <w:highlight w:val="none"/>
        </w:rPr>
        <w:t xml:space="preserve"> </w:t>
      </w:r>
      <w:r>
        <w:rPr>
          <w:rFonts w:hint="eastAsia" w:ascii="宋体" w:hAnsi="宋体"/>
          <w:sz w:val="24"/>
          <w:highlight w:val="none"/>
        </w:rPr>
        <w:t>净值:</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4C74042E">
      <w:pPr>
        <w:numPr>
          <w:ilvl w:val="1"/>
          <w:numId w:val="14"/>
        </w:numPr>
        <w:rPr>
          <w:rFonts w:ascii="宋体" w:hAnsi="宋体"/>
          <w:sz w:val="24"/>
          <w:highlight w:val="none"/>
        </w:rPr>
      </w:pPr>
      <w:r>
        <w:rPr>
          <w:rFonts w:hint="eastAsia" w:ascii="宋体" w:hAnsi="宋体"/>
          <w:sz w:val="24"/>
          <w:highlight w:val="none"/>
        </w:rPr>
        <w:t>主要负责人姓名：(可选填)</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6621FC37">
      <w:pPr>
        <w:numPr>
          <w:ilvl w:val="1"/>
          <w:numId w:val="14"/>
        </w:numPr>
        <w:rPr>
          <w:rFonts w:ascii="宋体" w:hAnsi="宋体"/>
          <w:sz w:val="24"/>
          <w:highlight w:val="none"/>
        </w:rPr>
      </w:pPr>
      <w:r>
        <w:rPr>
          <w:rFonts w:hint="eastAsia" w:ascii="宋体" w:hAnsi="宋体"/>
          <w:sz w:val="24"/>
          <w:highlight w:val="none"/>
        </w:rPr>
        <w:t>制造商在中国的代表的姓名和地址，(如有的话)</w:t>
      </w:r>
    </w:p>
    <w:p w14:paraId="05257257">
      <w:pPr>
        <w:ind w:firstLine="420"/>
        <w:rPr>
          <w:rFonts w:ascii="宋体" w:hAnsi="宋体"/>
          <w:sz w:val="24"/>
          <w:highlight w:val="none"/>
        </w:rPr>
      </w:pPr>
      <w:r>
        <w:rPr>
          <w:rFonts w:hint="eastAsia" w:ascii="宋体" w:hAnsi="宋体"/>
          <w:sz w:val="24"/>
          <w:highlight w:val="none"/>
        </w:rPr>
        <w:t>______________________________________________</w:t>
      </w:r>
    </w:p>
    <w:p w14:paraId="36255FBB">
      <w:pPr>
        <w:rPr>
          <w:rFonts w:ascii="宋体" w:hAnsi="宋体"/>
          <w:sz w:val="24"/>
          <w:highlight w:val="none"/>
        </w:rPr>
      </w:pPr>
      <w:r>
        <w:rPr>
          <w:rFonts w:hint="eastAsia" w:ascii="宋体" w:hAnsi="宋体"/>
          <w:sz w:val="24"/>
          <w:highlight w:val="none"/>
        </w:rPr>
        <w:t>2.</w:t>
      </w:r>
      <w:r>
        <w:rPr>
          <w:rFonts w:ascii="宋体" w:hAnsi="宋体"/>
          <w:sz w:val="24"/>
          <w:highlight w:val="none"/>
        </w:rPr>
        <w:t xml:space="preserve"> </w:t>
      </w:r>
      <w:r>
        <w:rPr>
          <w:rFonts w:hint="eastAsia" w:ascii="宋体" w:hAnsi="宋体"/>
          <w:sz w:val="24"/>
          <w:highlight w:val="none"/>
        </w:rPr>
        <w:t>(l)关于制造投标货物的设施及其它情况：</w:t>
      </w:r>
    </w:p>
    <w:p w14:paraId="736A6DF2">
      <w:pPr>
        <w:ind w:firstLine="420"/>
        <w:rPr>
          <w:rFonts w:ascii="宋体" w:hAnsi="宋体"/>
          <w:sz w:val="24"/>
          <w:highlight w:val="none"/>
        </w:rPr>
      </w:pPr>
      <w:r>
        <w:rPr>
          <w:rFonts w:hint="eastAsia" w:ascii="宋体" w:hAnsi="宋体"/>
          <w:sz w:val="24"/>
          <w:highlight w:val="none"/>
        </w:rPr>
        <w:t>工厂名称地址  生产的项目  年生产能力  职工人数</w:t>
      </w:r>
    </w:p>
    <w:p w14:paraId="28258B35">
      <w:pPr>
        <w:ind w:firstLine="420"/>
        <w:rPr>
          <w:rFonts w:ascii="宋体" w:hAnsi="宋体"/>
          <w:sz w:val="24"/>
          <w:highlight w:val="none"/>
        </w:rPr>
      </w:pPr>
      <w:r>
        <w:rPr>
          <w:rFonts w:hint="eastAsia" w:ascii="宋体" w:hAnsi="宋体"/>
          <w:sz w:val="24"/>
          <w:highlight w:val="none"/>
        </w:rPr>
        <w:t>___________   _________   __________  ________</w:t>
      </w:r>
      <w:r>
        <w:rPr>
          <w:rFonts w:ascii="宋体" w:hAnsi="宋体"/>
          <w:sz w:val="24"/>
          <w:highlight w:val="none"/>
          <w:u w:val="single"/>
        </w:rPr>
        <w:tab/>
      </w:r>
    </w:p>
    <w:p w14:paraId="1D063032">
      <w:pPr>
        <w:ind w:firstLine="420"/>
        <w:rPr>
          <w:rFonts w:ascii="宋体" w:hAnsi="宋体"/>
          <w:sz w:val="24"/>
          <w:highlight w:val="none"/>
        </w:rPr>
      </w:pPr>
      <w:r>
        <w:rPr>
          <w:rFonts w:hint="eastAsia" w:ascii="宋体" w:hAnsi="宋体"/>
          <w:sz w:val="24"/>
          <w:highlight w:val="none"/>
        </w:rPr>
        <w:t>___________   _________   __________  ________</w:t>
      </w:r>
      <w:r>
        <w:rPr>
          <w:rFonts w:ascii="宋体" w:hAnsi="宋体"/>
          <w:sz w:val="24"/>
          <w:highlight w:val="none"/>
          <w:u w:val="single"/>
        </w:rPr>
        <w:tab/>
      </w:r>
    </w:p>
    <w:p w14:paraId="146FEDF6">
      <w:pPr>
        <w:ind w:firstLine="240" w:firstLineChars="100"/>
        <w:rPr>
          <w:rFonts w:ascii="宋体" w:hAnsi="宋体"/>
          <w:sz w:val="24"/>
          <w:highlight w:val="none"/>
        </w:rPr>
      </w:pPr>
      <w:r>
        <w:rPr>
          <w:rFonts w:hint="eastAsia" w:ascii="宋体" w:hAnsi="宋体"/>
          <w:sz w:val="24"/>
          <w:highlight w:val="none"/>
        </w:rPr>
        <w:t>(2)本制造商不生产，而需从其它制造商购买的主要零部件：</w:t>
      </w:r>
    </w:p>
    <w:p w14:paraId="0BC69DBA">
      <w:pPr>
        <w:ind w:firstLine="240"/>
        <w:rPr>
          <w:rFonts w:ascii="宋体" w:hAnsi="宋体"/>
          <w:sz w:val="24"/>
          <w:highlight w:val="none"/>
        </w:rPr>
      </w:pPr>
      <w:r>
        <w:rPr>
          <w:rFonts w:hint="eastAsia" w:ascii="宋体" w:hAnsi="宋体"/>
          <w:sz w:val="24"/>
          <w:highlight w:val="none"/>
        </w:rPr>
        <w:t xml:space="preserve">制造商名称和地址  </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hint="eastAsia" w:ascii="宋体" w:hAnsi="宋体"/>
          <w:sz w:val="24"/>
          <w:highlight w:val="none"/>
        </w:rPr>
        <w:t>主要零部件名称</w:t>
      </w:r>
    </w:p>
    <w:p w14:paraId="7AEF4457">
      <w:pPr>
        <w:ind w:firstLine="240"/>
        <w:rPr>
          <w:rFonts w:ascii="宋体" w:hAnsi="宋体"/>
          <w:sz w:val="24"/>
          <w:highlight w:val="none"/>
          <w:u w:val="single"/>
        </w:rPr>
      </w:pPr>
      <w:r>
        <w:rPr>
          <w:rFonts w:hint="eastAsia" w:ascii="宋体" w:hAnsi="宋体"/>
          <w:sz w:val="24"/>
          <w:highlight w:val="none"/>
        </w:rPr>
        <w:t>_______________</w:t>
      </w:r>
      <w:r>
        <w:rPr>
          <w:rFonts w:ascii="宋体" w:hAnsi="宋体"/>
          <w:sz w:val="24"/>
          <w:highlight w:val="none"/>
          <w:u w:val="single"/>
        </w:rPr>
        <w:tab/>
      </w:r>
      <w:r>
        <w:rPr>
          <w:rFonts w:ascii="宋体" w:hAnsi="宋体"/>
          <w:sz w:val="24"/>
          <w:highlight w:val="none"/>
          <w:u w:val="single"/>
        </w:rPr>
        <w:tab/>
      </w:r>
      <w:r>
        <w:rPr>
          <w:rFonts w:hint="eastAsia" w:ascii="宋体" w:hAnsi="宋体"/>
          <w:sz w:val="24"/>
          <w:highlight w:val="none"/>
        </w:rPr>
        <w:t xml:space="preserve">   </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hint="eastAsia" w:ascii="宋体" w:hAnsi="宋体"/>
          <w:sz w:val="24"/>
          <w:highlight w:val="none"/>
        </w:rPr>
        <w:t>_______________</w:t>
      </w:r>
      <w:r>
        <w:rPr>
          <w:rFonts w:ascii="宋体" w:hAnsi="宋体"/>
          <w:sz w:val="24"/>
          <w:highlight w:val="none"/>
          <w:u w:val="single"/>
        </w:rPr>
        <w:tab/>
      </w:r>
    </w:p>
    <w:p w14:paraId="46BF8E32">
      <w:pPr>
        <w:ind w:firstLine="240"/>
        <w:rPr>
          <w:rFonts w:ascii="宋体" w:hAnsi="宋体"/>
          <w:sz w:val="24"/>
          <w:highlight w:val="none"/>
          <w:u w:val="single"/>
        </w:rPr>
      </w:pPr>
      <w:r>
        <w:rPr>
          <w:rFonts w:hint="eastAsia" w:ascii="宋体" w:hAnsi="宋体"/>
          <w:sz w:val="24"/>
          <w:highlight w:val="none"/>
        </w:rPr>
        <w:t>_______________</w:t>
      </w:r>
      <w:r>
        <w:rPr>
          <w:rFonts w:ascii="宋体" w:hAnsi="宋体"/>
          <w:sz w:val="24"/>
          <w:highlight w:val="none"/>
          <w:u w:val="single"/>
        </w:rPr>
        <w:tab/>
      </w:r>
      <w:r>
        <w:rPr>
          <w:rFonts w:ascii="宋体" w:hAnsi="宋体"/>
          <w:sz w:val="24"/>
          <w:highlight w:val="none"/>
          <w:u w:val="single"/>
        </w:rPr>
        <w:tab/>
      </w:r>
      <w:r>
        <w:rPr>
          <w:rFonts w:hint="eastAsia" w:ascii="宋体" w:hAnsi="宋体"/>
          <w:sz w:val="24"/>
          <w:highlight w:val="none"/>
        </w:rPr>
        <w:t xml:space="preserve">   </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hint="eastAsia" w:ascii="宋体" w:hAnsi="宋体"/>
          <w:sz w:val="24"/>
          <w:highlight w:val="none"/>
        </w:rPr>
        <w:t>_______________</w:t>
      </w:r>
      <w:r>
        <w:rPr>
          <w:rFonts w:ascii="宋体" w:hAnsi="宋体"/>
          <w:sz w:val="24"/>
          <w:highlight w:val="none"/>
          <w:u w:val="single"/>
        </w:rPr>
        <w:tab/>
      </w:r>
    </w:p>
    <w:p w14:paraId="7D2F3DB9">
      <w:pPr>
        <w:ind w:firstLine="420"/>
        <w:rPr>
          <w:rFonts w:ascii="宋体" w:hAnsi="宋体"/>
          <w:sz w:val="24"/>
          <w:highlight w:val="none"/>
          <w:u w:val="single"/>
        </w:rPr>
      </w:pPr>
      <w:r>
        <w:rPr>
          <w:rFonts w:hint="eastAsia" w:ascii="宋体" w:hAnsi="宋体"/>
          <w:sz w:val="24"/>
          <w:highlight w:val="none"/>
        </w:rPr>
        <w:t>3. 本制造商生产投标货物的经验(包括年限、项目业主、额定能力、商业运营的起始日期等)：_____________________________</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3850B998">
      <w:pPr>
        <w:ind w:firstLine="420"/>
        <w:rPr>
          <w:rFonts w:ascii="宋体" w:hAnsi="宋体"/>
          <w:sz w:val="24"/>
          <w:highlight w:val="none"/>
        </w:rPr>
      </w:pPr>
      <w:r>
        <w:rPr>
          <w:rFonts w:hint="eastAsia" w:ascii="宋体" w:hAnsi="宋体"/>
          <w:sz w:val="24"/>
          <w:highlight w:val="none"/>
        </w:rPr>
        <w:t>________________________________________________</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5B4C0620">
      <w:pPr>
        <w:rPr>
          <w:rFonts w:ascii="宋体" w:hAnsi="宋体"/>
          <w:sz w:val="24"/>
          <w:highlight w:val="none"/>
        </w:rPr>
      </w:pPr>
      <w:r>
        <w:rPr>
          <w:rFonts w:hint="eastAsia" w:ascii="宋体" w:hAnsi="宋体"/>
          <w:sz w:val="24"/>
          <w:highlight w:val="none"/>
        </w:rPr>
        <w:t>4. 近3年该货物主要销售给国内、外主要客户的名称地址：</w:t>
      </w:r>
    </w:p>
    <w:p w14:paraId="66CFD9F3">
      <w:pPr>
        <w:rPr>
          <w:rFonts w:ascii="宋体" w:hAnsi="宋体"/>
          <w:sz w:val="24"/>
          <w:highlight w:val="none"/>
        </w:rPr>
      </w:pPr>
      <w:r>
        <w:rPr>
          <w:rFonts w:hint="eastAsia" w:ascii="宋体" w:hAnsi="宋体"/>
          <w:sz w:val="24"/>
          <w:highlight w:val="none"/>
        </w:rPr>
        <w:t xml:space="preserve">  (1)出口销售</w:t>
      </w:r>
    </w:p>
    <w:p w14:paraId="77082B6E">
      <w:pPr>
        <w:rPr>
          <w:rFonts w:ascii="宋体" w:hAnsi="宋体"/>
          <w:sz w:val="24"/>
          <w:highlight w:val="none"/>
        </w:rPr>
      </w:pPr>
      <w:r>
        <w:rPr>
          <w:rFonts w:hint="eastAsia" w:ascii="宋体" w:hAnsi="宋体"/>
          <w:sz w:val="24"/>
          <w:highlight w:val="none"/>
        </w:rPr>
        <w:t xml:space="preserve">    </w:t>
      </w:r>
      <w:r>
        <w:rPr>
          <w:rFonts w:hint="eastAsia" w:ascii="宋体" w:hAnsi="宋体"/>
          <w:sz w:val="24"/>
          <w:highlight w:val="none"/>
          <w:u w:val="single"/>
        </w:rPr>
        <w:t>(名称和地址)</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hint="eastAsia" w:ascii="宋体" w:hAnsi="宋体"/>
          <w:sz w:val="24"/>
          <w:highlight w:val="none"/>
        </w:rPr>
        <w:t xml:space="preserve"> </w:t>
      </w:r>
      <w:r>
        <w:rPr>
          <w:rFonts w:ascii="宋体" w:hAnsi="宋体"/>
          <w:sz w:val="24"/>
          <w:highlight w:val="none"/>
        </w:rPr>
        <w:tab/>
      </w:r>
      <w:r>
        <w:rPr>
          <w:rFonts w:ascii="宋体" w:hAnsi="宋体"/>
          <w:sz w:val="24"/>
          <w:highlight w:val="none"/>
        </w:rPr>
        <w:t xml:space="preserve"> </w:t>
      </w:r>
      <w:r>
        <w:rPr>
          <w:rFonts w:hint="eastAsia" w:ascii="宋体" w:hAnsi="宋体"/>
          <w:sz w:val="24"/>
          <w:highlight w:val="none"/>
          <w:u w:val="single"/>
        </w:rPr>
        <w:t>(销售项目)</w:t>
      </w:r>
      <w:r>
        <w:rPr>
          <w:rFonts w:ascii="宋体" w:hAnsi="宋体"/>
          <w:sz w:val="24"/>
          <w:highlight w:val="non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0C117E93">
      <w:pPr>
        <w:rPr>
          <w:rFonts w:ascii="宋体" w:hAnsi="宋体"/>
          <w:sz w:val="24"/>
          <w:highlight w:val="none"/>
        </w:rPr>
      </w:pPr>
      <w:r>
        <w:rPr>
          <w:rFonts w:hint="eastAsia" w:ascii="宋体" w:hAnsi="宋体"/>
          <w:sz w:val="24"/>
          <w:highlight w:val="none"/>
        </w:rPr>
        <w:t xml:space="preserve">  (2)国内销售</w:t>
      </w:r>
    </w:p>
    <w:p w14:paraId="75440ECA">
      <w:pPr>
        <w:rPr>
          <w:rFonts w:ascii="宋体" w:hAnsi="宋体"/>
          <w:sz w:val="24"/>
          <w:highlight w:val="none"/>
        </w:rPr>
      </w:pPr>
      <w:r>
        <w:rPr>
          <w:rFonts w:hint="eastAsia" w:ascii="宋体" w:hAnsi="宋体"/>
          <w:sz w:val="24"/>
          <w:highlight w:val="none"/>
        </w:rPr>
        <w:t xml:space="preserve">    </w:t>
      </w:r>
      <w:r>
        <w:rPr>
          <w:rFonts w:hint="eastAsia" w:ascii="宋体" w:hAnsi="宋体"/>
          <w:sz w:val="24"/>
          <w:highlight w:val="none"/>
          <w:u w:val="single"/>
        </w:rPr>
        <w:t>(称和地址)</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hint="eastAsia" w:ascii="宋体" w:hAnsi="宋体"/>
          <w:sz w:val="24"/>
          <w:highlight w:val="none"/>
        </w:rPr>
        <w:t xml:space="preserve"> </w:t>
      </w:r>
      <w:r>
        <w:rPr>
          <w:rFonts w:ascii="宋体" w:hAnsi="宋体"/>
          <w:sz w:val="24"/>
          <w:highlight w:val="none"/>
        </w:rPr>
        <w:tab/>
      </w:r>
      <w:r>
        <w:rPr>
          <w:rFonts w:hint="eastAsia" w:ascii="宋体" w:hAnsi="宋体"/>
          <w:sz w:val="24"/>
          <w:highlight w:val="none"/>
        </w:rPr>
        <w:t xml:space="preserve"> </w:t>
      </w:r>
      <w:r>
        <w:rPr>
          <w:rFonts w:hint="eastAsia" w:ascii="宋体" w:hAnsi="宋体"/>
          <w:sz w:val="24"/>
          <w:highlight w:val="none"/>
          <w:u w:val="single"/>
        </w:rPr>
        <w:t>(销售项目)_______________</w:t>
      </w:r>
      <w:r>
        <w:rPr>
          <w:rFonts w:ascii="宋体" w:hAnsi="宋体"/>
          <w:sz w:val="24"/>
          <w:highlight w:val="none"/>
          <w:u w:val="single"/>
        </w:rPr>
        <w:tab/>
      </w:r>
    </w:p>
    <w:p w14:paraId="13C0BCC9">
      <w:pPr>
        <w:rPr>
          <w:rFonts w:ascii="宋体" w:hAnsi="宋体"/>
          <w:sz w:val="24"/>
          <w:highlight w:val="none"/>
        </w:rPr>
      </w:pPr>
      <w:r>
        <w:rPr>
          <w:rFonts w:hint="eastAsia" w:ascii="宋体" w:hAnsi="宋体"/>
          <w:sz w:val="24"/>
          <w:highlight w:val="none"/>
        </w:rPr>
        <w:t>5. 近三年的年营业额</w:t>
      </w:r>
    </w:p>
    <w:p w14:paraId="1213B19B">
      <w:pPr>
        <w:rPr>
          <w:rFonts w:ascii="宋体" w:hAnsi="宋体"/>
          <w:sz w:val="24"/>
          <w:highlight w:val="none"/>
        </w:rPr>
      </w:pPr>
      <w:r>
        <w:rPr>
          <w:rFonts w:hint="eastAsia" w:ascii="宋体" w:hAnsi="宋体"/>
          <w:sz w:val="24"/>
          <w:highlight w:val="none"/>
        </w:rPr>
        <w:t xml:space="preserve">    年份  </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hint="eastAsia" w:ascii="宋体" w:hAnsi="宋体"/>
          <w:sz w:val="24"/>
          <w:highlight w:val="none"/>
        </w:rPr>
        <w:t xml:space="preserve">国内  </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hint="eastAsia" w:ascii="宋体" w:hAnsi="宋体"/>
          <w:sz w:val="24"/>
          <w:highlight w:val="none"/>
        </w:rPr>
        <w:t xml:space="preserve">出口  </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hint="eastAsia" w:ascii="宋体" w:hAnsi="宋体"/>
          <w:sz w:val="24"/>
          <w:highlight w:val="none"/>
        </w:rPr>
        <w:t>总额</w:t>
      </w:r>
    </w:p>
    <w:p w14:paraId="41583C3B">
      <w:pPr>
        <w:rPr>
          <w:rFonts w:ascii="宋体" w:hAnsi="宋体"/>
          <w:sz w:val="24"/>
          <w:highlight w:val="none"/>
        </w:rPr>
      </w:pPr>
      <w:r>
        <w:rPr>
          <w:rFonts w:hint="eastAsia" w:ascii="宋体" w:hAnsi="宋体"/>
          <w:sz w:val="24"/>
          <w:highlight w:val="none"/>
        </w:rPr>
        <w:t xml:space="preserve">    </w:t>
      </w:r>
      <w:r>
        <w:rPr>
          <w:rFonts w:hint="eastAsia" w:ascii="宋体" w:hAnsi="宋体"/>
          <w:sz w:val="24"/>
          <w:highlight w:val="none"/>
          <w:u w:val="single"/>
        </w:rPr>
        <w:t xml:space="preserve">____   </w:t>
      </w:r>
      <w:r>
        <w:rPr>
          <w:rFonts w:ascii="宋体" w:hAnsi="宋体"/>
          <w:sz w:val="24"/>
          <w:highlight w:val="none"/>
          <w:u w:val="single"/>
        </w:rPr>
        <w:tab/>
      </w:r>
      <w:r>
        <w:rPr>
          <w:rFonts w:ascii="宋体" w:hAnsi="宋体"/>
          <w:sz w:val="24"/>
          <w:highlight w:val="none"/>
        </w:rPr>
        <w:tab/>
      </w:r>
      <w:r>
        <w:rPr>
          <w:rFonts w:hint="eastAsia" w:ascii="宋体" w:hAnsi="宋体"/>
          <w:sz w:val="24"/>
          <w:highlight w:val="none"/>
          <w:u w:val="single"/>
        </w:rPr>
        <w:t xml:space="preserve">____  </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hint="eastAsia" w:ascii="宋体" w:hAnsi="宋体"/>
          <w:sz w:val="24"/>
          <w:highlight w:val="none"/>
        </w:rPr>
        <w:t xml:space="preserve">  </w:t>
      </w:r>
      <w:r>
        <w:rPr>
          <w:rFonts w:ascii="宋体" w:hAnsi="宋体"/>
          <w:sz w:val="24"/>
          <w:highlight w:val="non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524D3284">
      <w:pPr>
        <w:rPr>
          <w:rFonts w:ascii="宋体" w:hAnsi="宋体"/>
          <w:sz w:val="24"/>
          <w:highlight w:val="none"/>
        </w:rPr>
      </w:pPr>
      <w:r>
        <w:rPr>
          <w:rFonts w:hint="eastAsia" w:ascii="宋体" w:hAnsi="宋体"/>
          <w:sz w:val="24"/>
          <w:highlight w:val="none"/>
        </w:rPr>
        <w:t xml:space="preserve">    </w:t>
      </w:r>
      <w:r>
        <w:rPr>
          <w:rFonts w:hint="eastAsia" w:ascii="宋体" w:hAnsi="宋体"/>
          <w:sz w:val="24"/>
          <w:highlight w:val="none"/>
          <w:u w:val="single"/>
        </w:rPr>
        <w:t xml:space="preserve">____  </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hint="eastAsia" w:ascii="宋体" w:hAnsi="宋体"/>
          <w:sz w:val="24"/>
          <w:highlight w:val="none"/>
        </w:rPr>
        <w:t xml:space="preserve">  </w:t>
      </w:r>
      <w:r>
        <w:rPr>
          <w:rFonts w:ascii="宋体" w:hAnsi="宋体"/>
          <w:sz w:val="24"/>
          <w:highlight w:val="non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hint="eastAsia" w:ascii="宋体" w:hAnsi="宋体"/>
          <w:sz w:val="24"/>
          <w:highlight w:val="none"/>
        </w:rPr>
        <w:t xml:space="preserve">  </w:t>
      </w:r>
      <w:r>
        <w:rPr>
          <w:rFonts w:ascii="宋体" w:hAnsi="宋体"/>
          <w:sz w:val="24"/>
          <w:highlight w:val="non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31677E83">
      <w:pPr>
        <w:rPr>
          <w:rFonts w:ascii="宋体" w:hAnsi="宋体"/>
          <w:sz w:val="24"/>
          <w:highlight w:val="none"/>
        </w:rPr>
      </w:pPr>
      <w:r>
        <w:rPr>
          <w:rFonts w:hint="eastAsia" w:ascii="宋体" w:hAnsi="宋体"/>
          <w:sz w:val="24"/>
          <w:highlight w:val="none"/>
        </w:rPr>
        <w:t>6. 易损件供应商的名称和地址：</w:t>
      </w:r>
    </w:p>
    <w:p w14:paraId="70FCDEF7">
      <w:pPr>
        <w:rPr>
          <w:rFonts w:ascii="宋体" w:hAnsi="宋体"/>
          <w:sz w:val="24"/>
          <w:highlight w:val="none"/>
        </w:rPr>
      </w:pPr>
      <w:r>
        <w:rPr>
          <w:rFonts w:hint="eastAsia" w:ascii="宋体" w:hAnsi="宋体"/>
          <w:sz w:val="24"/>
          <w:highlight w:val="none"/>
        </w:rPr>
        <w:t xml:space="preserve">    部件名称             </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hint="eastAsia" w:ascii="宋体" w:hAnsi="宋体"/>
          <w:sz w:val="24"/>
          <w:highlight w:val="none"/>
        </w:rPr>
        <w:t>供应商</w:t>
      </w:r>
    </w:p>
    <w:p w14:paraId="2C4BC135">
      <w:pPr>
        <w:rPr>
          <w:rFonts w:ascii="宋体" w:hAnsi="宋体"/>
          <w:sz w:val="24"/>
          <w:highlight w:val="none"/>
          <w:u w:val="single"/>
        </w:rPr>
      </w:pPr>
      <w:r>
        <w:rPr>
          <w:rFonts w:hint="eastAsia" w:ascii="宋体" w:hAnsi="宋体"/>
          <w:sz w:val="24"/>
          <w:highlight w:val="none"/>
        </w:rPr>
        <w:t xml:space="preserve">    </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rPr>
        <w:tab/>
      </w:r>
      <w:r>
        <w:rPr>
          <w:rFonts w:ascii="宋体" w:hAnsi="宋体"/>
          <w:sz w:val="24"/>
          <w:highlight w:val="non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4CC59C3D">
      <w:pPr>
        <w:rPr>
          <w:rFonts w:ascii="宋体" w:hAnsi="宋体"/>
          <w:sz w:val="24"/>
          <w:highlight w:val="none"/>
          <w:u w:val="single"/>
        </w:rPr>
      </w:pPr>
      <w:r>
        <w:rPr>
          <w:rFonts w:hint="eastAsia" w:ascii="宋体" w:hAnsi="宋体"/>
          <w:sz w:val="24"/>
          <w:highlight w:val="none"/>
        </w:rPr>
        <w:t xml:space="preserve">    </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rPr>
        <w:tab/>
      </w:r>
      <w:r>
        <w:rPr>
          <w:rFonts w:ascii="宋体" w:hAnsi="宋体"/>
          <w:sz w:val="24"/>
          <w:highlight w:val="non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576B0AFE">
      <w:pPr>
        <w:rPr>
          <w:rFonts w:ascii="宋体" w:hAnsi="宋体"/>
          <w:sz w:val="24"/>
          <w:highlight w:val="none"/>
        </w:rPr>
      </w:pPr>
      <w:r>
        <w:rPr>
          <w:rFonts w:hint="eastAsia" w:ascii="宋体" w:hAnsi="宋体"/>
          <w:sz w:val="24"/>
          <w:highlight w:val="none"/>
        </w:rPr>
        <w:t>7. 最近3年直接或通过贸易公司向中国提供的投标货物：</w:t>
      </w:r>
    </w:p>
    <w:p w14:paraId="344C58BC">
      <w:pPr>
        <w:rPr>
          <w:rFonts w:ascii="宋体" w:hAnsi="宋体"/>
          <w:sz w:val="24"/>
          <w:highlight w:val="none"/>
          <w:u w:val="single"/>
        </w:rPr>
      </w:pPr>
      <w:r>
        <w:rPr>
          <w:rFonts w:hint="eastAsia" w:ascii="宋体" w:hAnsi="宋体"/>
          <w:sz w:val="24"/>
          <w:highlight w:val="none"/>
        </w:rPr>
        <w:t>合同编号：</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7892EF6F">
      <w:pPr>
        <w:rPr>
          <w:rFonts w:ascii="宋体" w:hAnsi="宋体"/>
          <w:sz w:val="24"/>
          <w:highlight w:val="none"/>
          <w:u w:val="single"/>
        </w:rPr>
      </w:pPr>
      <w:r>
        <w:rPr>
          <w:rFonts w:hint="eastAsia" w:ascii="宋体" w:hAnsi="宋体"/>
          <w:sz w:val="24"/>
          <w:highlight w:val="none"/>
        </w:rPr>
        <w:t>签字日期：</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4E220A5C">
      <w:pPr>
        <w:rPr>
          <w:rFonts w:ascii="宋体" w:hAnsi="宋体"/>
          <w:sz w:val="24"/>
          <w:highlight w:val="none"/>
          <w:u w:val="single"/>
        </w:rPr>
      </w:pPr>
      <w:r>
        <w:rPr>
          <w:rFonts w:hint="eastAsia" w:ascii="宋体" w:hAnsi="宋体"/>
          <w:sz w:val="24"/>
          <w:highlight w:val="none"/>
        </w:rPr>
        <w:t>项目名称：</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42615397">
      <w:pPr>
        <w:rPr>
          <w:rFonts w:ascii="宋体" w:hAnsi="宋体"/>
          <w:sz w:val="24"/>
          <w:highlight w:val="none"/>
          <w:u w:val="single"/>
        </w:rPr>
      </w:pPr>
      <w:r>
        <w:rPr>
          <w:rFonts w:hint="eastAsia" w:ascii="宋体" w:hAnsi="宋体"/>
          <w:sz w:val="24"/>
          <w:highlight w:val="none"/>
        </w:rPr>
        <w:t>数    量：</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37C6F29D">
      <w:pPr>
        <w:rPr>
          <w:rFonts w:ascii="宋体" w:hAnsi="宋体"/>
          <w:sz w:val="24"/>
          <w:highlight w:val="none"/>
          <w:u w:val="single"/>
        </w:rPr>
      </w:pPr>
      <w:r>
        <w:rPr>
          <w:rFonts w:hint="eastAsia" w:ascii="宋体" w:hAnsi="宋体"/>
          <w:sz w:val="24"/>
          <w:highlight w:val="none"/>
        </w:rPr>
        <w:t>合同金额：</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693B1A79">
      <w:pPr>
        <w:rPr>
          <w:rFonts w:ascii="宋体" w:hAnsi="宋体"/>
          <w:sz w:val="24"/>
          <w:highlight w:val="none"/>
        </w:rPr>
      </w:pPr>
      <w:r>
        <w:rPr>
          <w:rFonts w:hint="eastAsia" w:ascii="宋体" w:hAnsi="宋体"/>
          <w:sz w:val="24"/>
          <w:highlight w:val="none"/>
        </w:rPr>
        <w:t>8. 有关开户银行的名称和地址:</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p>
    <w:p w14:paraId="3BDA2F79">
      <w:pPr>
        <w:rPr>
          <w:rFonts w:ascii="宋体" w:hAnsi="宋体"/>
          <w:sz w:val="24"/>
          <w:highlight w:val="none"/>
        </w:rPr>
      </w:pPr>
      <w:r>
        <w:rPr>
          <w:rFonts w:hint="eastAsia" w:ascii="宋体" w:hAnsi="宋体"/>
          <w:sz w:val="24"/>
          <w:highlight w:val="none"/>
        </w:rPr>
        <w:t>9. 制造商所属的集团公司。如有的话:</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4A901B48">
      <w:pPr>
        <w:rPr>
          <w:rFonts w:ascii="宋体" w:hAnsi="宋体"/>
          <w:sz w:val="24"/>
          <w:highlight w:val="none"/>
          <w:u w:val="single"/>
        </w:rPr>
      </w:pPr>
      <w:r>
        <w:rPr>
          <w:rFonts w:hint="eastAsia" w:ascii="宋体" w:hAnsi="宋体"/>
          <w:sz w:val="24"/>
          <w:highlight w:val="none"/>
        </w:rPr>
        <w:t>10</w:t>
      </w:r>
      <w:r>
        <w:rPr>
          <w:rFonts w:ascii="宋体" w:hAnsi="宋体"/>
          <w:sz w:val="24"/>
          <w:highlight w:val="none"/>
        </w:rPr>
        <w:t xml:space="preserve">. </w:t>
      </w:r>
      <w:r>
        <w:rPr>
          <w:rFonts w:hint="eastAsia" w:ascii="宋体" w:hAnsi="宋体"/>
          <w:sz w:val="24"/>
          <w:highlight w:val="none"/>
        </w:rPr>
        <w:t>其他情况：</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08A93DDA">
      <w:pPr>
        <w:ind w:firstLine="410" w:firstLineChars="171"/>
        <w:rPr>
          <w:rFonts w:ascii="宋体" w:hAnsi="宋体"/>
          <w:sz w:val="24"/>
          <w:highlight w:val="none"/>
        </w:rPr>
      </w:pPr>
      <w:r>
        <w:rPr>
          <w:rFonts w:hint="eastAsia" w:ascii="宋体" w:hAnsi="宋体"/>
          <w:sz w:val="24"/>
          <w:highlight w:val="none"/>
        </w:rPr>
        <w:t>兹证明上述声明是真实、正确的，并提供了全部能提供的资料和数据，我们同意遵照贵方要求出示有关证明文件。</w:t>
      </w:r>
    </w:p>
    <w:p w14:paraId="39BCA258">
      <w:pPr>
        <w:rPr>
          <w:rFonts w:ascii="宋体" w:hAnsi="宋体"/>
          <w:sz w:val="24"/>
          <w:highlight w:val="none"/>
        </w:rPr>
      </w:pPr>
    </w:p>
    <w:p w14:paraId="5A0D5483">
      <w:pPr>
        <w:rPr>
          <w:rFonts w:ascii="宋体" w:hAnsi="宋体"/>
          <w:sz w:val="24"/>
          <w:highlight w:val="none"/>
          <w:u w:val="single"/>
        </w:rPr>
      </w:pPr>
      <w:r>
        <w:rPr>
          <w:rFonts w:hint="eastAsia" w:ascii="宋体" w:hAnsi="宋体"/>
          <w:sz w:val="24"/>
          <w:highlight w:val="none"/>
        </w:rPr>
        <w:t>制造商名称（盖单位章）：</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69F52E2A">
      <w:pPr>
        <w:rPr>
          <w:rFonts w:ascii="宋体" w:hAnsi="宋体"/>
          <w:sz w:val="24"/>
          <w:highlight w:val="none"/>
        </w:rPr>
      </w:pPr>
      <w:r>
        <w:rPr>
          <w:rFonts w:hint="eastAsia" w:ascii="宋体" w:hAnsi="宋体"/>
          <w:sz w:val="24"/>
          <w:highlight w:val="none"/>
        </w:rPr>
        <w:t>签字人姓名和职务：</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1A32D7B6">
      <w:pPr>
        <w:rPr>
          <w:rFonts w:ascii="宋体" w:hAnsi="宋体"/>
          <w:sz w:val="24"/>
          <w:highlight w:val="none"/>
        </w:rPr>
      </w:pPr>
      <w:r>
        <w:rPr>
          <w:rFonts w:hint="eastAsia" w:ascii="宋体" w:hAnsi="宋体"/>
          <w:sz w:val="24"/>
          <w:highlight w:val="none"/>
        </w:rPr>
        <w:t>签</w:t>
      </w:r>
      <w:r>
        <w:rPr>
          <w:rFonts w:ascii="宋体" w:hAnsi="宋体"/>
          <w:sz w:val="24"/>
          <w:highlight w:val="none"/>
        </w:rPr>
        <w:tab/>
      </w:r>
      <w:r>
        <w:rPr>
          <w:rFonts w:hint="eastAsia" w:ascii="宋体" w:hAnsi="宋体"/>
          <w:sz w:val="24"/>
          <w:highlight w:val="none"/>
        </w:rPr>
        <w:t>字</w:t>
      </w:r>
      <w:r>
        <w:rPr>
          <w:rFonts w:ascii="宋体" w:hAnsi="宋体"/>
          <w:sz w:val="24"/>
          <w:highlight w:val="none"/>
        </w:rPr>
        <w:tab/>
      </w:r>
      <w:r>
        <w:rPr>
          <w:rFonts w:hint="eastAsia" w:ascii="宋体" w:hAnsi="宋体"/>
          <w:sz w:val="24"/>
          <w:highlight w:val="none"/>
        </w:rPr>
        <w:t>人</w:t>
      </w:r>
      <w:r>
        <w:rPr>
          <w:rFonts w:ascii="宋体" w:hAnsi="宋体"/>
          <w:sz w:val="24"/>
          <w:highlight w:val="none"/>
        </w:rPr>
        <w:tab/>
      </w:r>
      <w:r>
        <w:rPr>
          <w:rFonts w:hint="eastAsia" w:ascii="宋体" w:hAnsi="宋体"/>
          <w:sz w:val="24"/>
          <w:highlight w:val="none"/>
        </w:rPr>
        <w:t>签</w:t>
      </w:r>
      <w:r>
        <w:rPr>
          <w:rFonts w:ascii="宋体" w:hAnsi="宋体"/>
          <w:sz w:val="24"/>
          <w:highlight w:val="none"/>
        </w:rPr>
        <w:tab/>
      </w:r>
      <w:r>
        <w:rPr>
          <w:rFonts w:hint="eastAsia" w:ascii="宋体" w:hAnsi="宋体"/>
          <w:sz w:val="24"/>
          <w:highlight w:val="none"/>
        </w:rPr>
        <w:t>字：</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066B93C5">
      <w:pPr>
        <w:rPr>
          <w:rFonts w:ascii="宋体" w:hAnsi="宋体"/>
          <w:sz w:val="24"/>
          <w:highlight w:val="none"/>
        </w:rPr>
      </w:pPr>
      <w:r>
        <w:rPr>
          <w:rFonts w:hint="eastAsia" w:ascii="宋体" w:hAnsi="宋体"/>
          <w:sz w:val="24"/>
          <w:highlight w:val="none"/>
        </w:rPr>
        <w:t>签</w:t>
      </w:r>
      <w:r>
        <w:rPr>
          <w:rFonts w:ascii="宋体" w:hAnsi="宋体"/>
          <w:sz w:val="24"/>
          <w:highlight w:val="none"/>
        </w:rPr>
        <w:t xml:space="preserve">   </w:t>
      </w:r>
      <w:r>
        <w:rPr>
          <w:rFonts w:hint="eastAsia" w:ascii="宋体" w:hAnsi="宋体"/>
          <w:sz w:val="24"/>
          <w:highlight w:val="none"/>
        </w:rPr>
        <w:t>字</w:t>
      </w:r>
      <w:r>
        <w:rPr>
          <w:rFonts w:ascii="宋体" w:hAnsi="宋体"/>
          <w:sz w:val="24"/>
          <w:highlight w:val="none"/>
        </w:rPr>
        <w:t xml:space="preserve">  </w:t>
      </w:r>
      <w:r>
        <w:rPr>
          <w:rFonts w:hint="eastAsia" w:ascii="宋体" w:hAnsi="宋体"/>
          <w:sz w:val="24"/>
          <w:highlight w:val="none"/>
        </w:rPr>
        <w:t>日</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09DC9010">
      <w:pPr>
        <w:rPr>
          <w:rFonts w:ascii="宋体" w:hAnsi="宋体"/>
          <w:sz w:val="24"/>
          <w:highlight w:val="none"/>
        </w:rPr>
      </w:pPr>
      <w:r>
        <w:rPr>
          <w:rFonts w:hint="eastAsia" w:ascii="宋体" w:hAnsi="宋体"/>
          <w:sz w:val="24"/>
          <w:highlight w:val="none"/>
        </w:rPr>
        <w:t>传</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hint="eastAsia" w:ascii="宋体" w:hAnsi="宋体"/>
          <w:sz w:val="24"/>
          <w:highlight w:val="none"/>
        </w:rPr>
        <w:t>真：</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5706E442">
      <w:pPr>
        <w:rPr>
          <w:rFonts w:ascii="宋体" w:hAnsi="宋体"/>
          <w:sz w:val="24"/>
          <w:highlight w:val="none"/>
        </w:rPr>
      </w:pPr>
      <w:r>
        <w:rPr>
          <w:rFonts w:hint="eastAsia" w:ascii="宋体" w:hAnsi="宋体"/>
          <w:sz w:val="24"/>
          <w:highlight w:val="none"/>
        </w:rPr>
        <w:t>电</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hint="eastAsia" w:ascii="宋体" w:hAnsi="宋体"/>
          <w:sz w:val="24"/>
          <w:highlight w:val="none"/>
        </w:rPr>
        <w:t>话：</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5CFFCC02">
      <w:pPr>
        <w:rPr>
          <w:rFonts w:ascii="宋体" w:hAnsi="宋体"/>
          <w:sz w:val="24"/>
          <w:highlight w:val="none"/>
        </w:rPr>
      </w:pPr>
      <w:r>
        <w:rPr>
          <w:rFonts w:hint="eastAsia" w:ascii="宋体" w:hAnsi="宋体"/>
          <w:sz w:val="24"/>
          <w:highlight w:val="none"/>
        </w:rPr>
        <w:t>电</w:t>
      </w:r>
      <w:r>
        <w:rPr>
          <w:rFonts w:ascii="宋体" w:hAnsi="宋体"/>
          <w:sz w:val="24"/>
          <w:highlight w:val="none"/>
        </w:rPr>
        <w:t xml:space="preserve">   </w:t>
      </w:r>
      <w:r>
        <w:rPr>
          <w:rFonts w:hint="eastAsia" w:ascii="宋体" w:hAnsi="宋体"/>
          <w:sz w:val="24"/>
          <w:highlight w:val="none"/>
        </w:rPr>
        <w:t>子</w:t>
      </w:r>
      <w:r>
        <w:rPr>
          <w:rFonts w:ascii="宋体" w:hAnsi="宋体"/>
          <w:sz w:val="24"/>
          <w:highlight w:val="none"/>
        </w:rPr>
        <w:t xml:space="preserve">  </w:t>
      </w:r>
      <w:r>
        <w:rPr>
          <w:rFonts w:hint="eastAsia" w:ascii="宋体" w:hAnsi="宋体"/>
          <w:sz w:val="24"/>
          <w:highlight w:val="none"/>
        </w:rPr>
        <w:t>函</w:t>
      </w:r>
      <w:r>
        <w:rPr>
          <w:rFonts w:ascii="宋体" w:hAnsi="宋体"/>
          <w:sz w:val="24"/>
          <w:highlight w:val="none"/>
        </w:rPr>
        <w:t xml:space="preserve">   </w:t>
      </w:r>
      <w:r>
        <w:rPr>
          <w:rFonts w:hint="eastAsia" w:ascii="宋体" w:hAnsi="宋体"/>
          <w:sz w:val="24"/>
          <w:highlight w:val="none"/>
        </w:rPr>
        <w:t>件：</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246E1198">
      <w:pPr>
        <w:pStyle w:val="16"/>
        <w:spacing w:line="600" w:lineRule="exact"/>
        <w:rPr>
          <w:rFonts w:hAnsi="宋体"/>
          <w:b/>
          <w:sz w:val="28"/>
          <w:szCs w:val="28"/>
          <w:highlight w:val="none"/>
        </w:rPr>
      </w:pPr>
      <w:r>
        <w:rPr>
          <w:rFonts w:hAnsi="宋体"/>
          <w:highlight w:val="none"/>
        </w:rPr>
        <w:br w:type="page"/>
      </w:r>
      <w:r>
        <w:rPr>
          <w:rFonts w:hint="eastAsia" w:hAnsi="宋体"/>
          <w:b/>
          <w:sz w:val="28"/>
          <w:szCs w:val="28"/>
          <w:highlight w:val="none"/>
        </w:rPr>
        <w:t>格式9：</w:t>
      </w:r>
    </w:p>
    <w:p w14:paraId="06194DF8">
      <w:pPr>
        <w:pStyle w:val="5"/>
        <w:jc w:val="center"/>
        <w:rPr>
          <w:rFonts w:ascii="宋体" w:hAnsi="宋体" w:eastAsia="宋体"/>
          <w:sz w:val="32"/>
          <w:szCs w:val="32"/>
          <w:highlight w:val="none"/>
        </w:rPr>
      </w:pPr>
      <w:bookmarkStart w:id="118" w:name="_Toc101004105"/>
      <w:bookmarkStart w:id="119" w:name="_Toc1312"/>
      <w:r>
        <w:rPr>
          <w:rFonts w:hint="eastAsia" w:ascii="宋体" w:hAnsi="宋体" w:eastAsia="宋体"/>
          <w:sz w:val="32"/>
          <w:szCs w:val="32"/>
          <w:highlight w:val="none"/>
        </w:rPr>
        <w:t>医疗器械生产（经营）许可证、医疗器械注册证及附件</w:t>
      </w:r>
      <w:bookmarkEnd w:id="118"/>
      <w:bookmarkEnd w:id="119"/>
    </w:p>
    <w:p w14:paraId="6414AE51">
      <w:pPr>
        <w:pStyle w:val="16"/>
        <w:spacing w:line="600" w:lineRule="exact"/>
        <w:ind w:firstLine="475" w:firstLineChars="198"/>
        <w:rPr>
          <w:rFonts w:hAnsi="宋体"/>
          <w:kern w:val="0"/>
          <w:sz w:val="24"/>
          <w:szCs w:val="24"/>
          <w:highlight w:val="none"/>
        </w:rPr>
      </w:pPr>
      <w:r>
        <w:rPr>
          <w:rFonts w:hint="eastAsia" w:hAnsi="宋体"/>
          <w:kern w:val="0"/>
          <w:sz w:val="24"/>
          <w:szCs w:val="24"/>
          <w:highlight w:val="none"/>
        </w:rPr>
        <w:t>注：</w:t>
      </w:r>
    </w:p>
    <w:p w14:paraId="7647E098">
      <w:pPr>
        <w:pStyle w:val="16"/>
        <w:spacing w:line="600" w:lineRule="exact"/>
        <w:ind w:firstLine="475" w:firstLineChars="198"/>
        <w:rPr>
          <w:rFonts w:hAnsi="宋体"/>
          <w:kern w:val="0"/>
          <w:sz w:val="24"/>
          <w:szCs w:val="24"/>
          <w:highlight w:val="none"/>
        </w:rPr>
      </w:pPr>
      <w:r>
        <w:rPr>
          <w:rFonts w:hint="eastAsia" w:hAnsi="宋体"/>
          <w:kern w:val="0"/>
          <w:sz w:val="24"/>
          <w:szCs w:val="24"/>
          <w:highlight w:val="none"/>
        </w:rPr>
        <w:t>1、投标人如果是代理商或经销商，须提供医疗器械经营许可/备案证、所投产品制造商医疗器械生产许可/备案证（制造商工商注册地在中华人民共和国境外的，不做此要求）、所投产品的医疗器械注册证；投标人如果是制造商，须提供医疗器械生产许可/备案证（制造商工商注册地在中华人民共和国境外的，不做此要求）、所投产品的医疗器械注册证。医疗器械生产或经营许可/备案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22E5D03E">
      <w:pPr>
        <w:pStyle w:val="16"/>
        <w:spacing w:line="600" w:lineRule="exact"/>
        <w:rPr>
          <w:rFonts w:hAnsi="宋体"/>
          <w:b/>
          <w:kern w:val="0"/>
          <w:szCs w:val="21"/>
          <w:highlight w:val="none"/>
        </w:rPr>
      </w:pPr>
      <w:r>
        <w:rPr>
          <w:rFonts w:hAnsi="宋体"/>
          <w:b/>
          <w:kern w:val="0"/>
          <w:szCs w:val="21"/>
          <w:highlight w:val="none"/>
        </w:rPr>
        <w:t>按第五章项目需求顺序提供</w:t>
      </w:r>
      <w:r>
        <w:rPr>
          <w:rFonts w:hint="eastAsia" w:hAnsi="宋体"/>
          <w:b/>
          <w:kern w:val="0"/>
          <w:szCs w:val="21"/>
          <w:highlight w:val="none"/>
        </w:rPr>
        <w:t>：</w:t>
      </w:r>
    </w:p>
    <w:p w14:paraId="336CAA8E">
      <w:pPr>
        <w:pStyle w:val="16"/>
        <w:spacing w:line="600" w:lineRule="exact"/>
        <w:rPr>
          <w:rFonts w:hAnsi="宋体"/>
          <w:b/>
          <w:kern w:val="0"/>
          <w:szCs w:val="21"/>
          <w:highlight w:val="none"/>
        </w:rPr>
      </w:pPr>
      <w:r>
        <w:rPr>
          <w:rFonts w:hint="eastAsia" w:hAnsi="宋体"/>
          <w:b/>
          <w:kern w:val="0"/>
          <w:szCs w:val="21"/>
          <w:highlight w:val="none"/>
        </w:rPr>
        <w:t>序号1</w:t>
      </w:r>
    </w:p>
    <w:p w14:paraId="034BD220">
      <w:pPr>
        <w:pStyle w:val="16"/>
        <w:spacing w:line="600" w:lineRule="exact"/>
        <w:ind w:firstLine="475" w:firstLineChars="198"/>
        <w:rPr>
          <w:rFonts w:hAnsi="宋体"/>
          <w:kern w:val="0"/>
          <w:sz w:val="24"/>
          <w:szCs w:val="24"/>
          <w:highlight w:val="none"/>
        </w:rPr>
      </w:pPr>
    </w:p>
    <w:p w14:paraId="3571E20B">
      <w:pPr>
        <w:pStyle w:val="16"/>
        <w:spacing w:line="600" w:lineRule="exact"/>
        <w:ind w:firstLine="596" w:firstLineChars="198"/>
        <w:rPr>
          <w:rFonts w:hAnsi="宋体"/>
          <w:b/>
          <w:kern w:val="0"/>
          <w:sz w:val="30"/>
          <w:szCs w:val="30"/>
          <w:highlight w:val="none"/>
        </w:rPr>
      </w:pPr>
    </w:p>
    <w:p w14:paraId="32F417FD">
      <w:pPr>
        <w:pStyle w:val="16"/>
        <w:spacing w:line="600" w:lineRule="exact"/>
        <w:rPr>
          <w:rFonts w:hAnsi="宋体"/>
          <w:b/>
          <w:kern w:val="0"/>
          <w:sz w:val="30"/>
          <w:szCs w:val="30"/>
          <w:highlight w:val="none"/>
        </w:rPr>
      </w:pPr>
    </w:p>
    <w:p w14:paraId="5C78045B">
      <w:pPr>
        <w:pStyle w:val="16"/>
        <w:spacing w:line="600" w:lineRule="exact"/>
        <w:jc w:val="left"/>
        <w:rPr>
          <w:rFonts w:hAnsi="宋体"/>
          <w:b/>
          <w:sz w:val="28"/>
          <w:szCs w:val="28"/>
          <w:highlight w:val="none"/>
        </w:rPr>
      </w:pPr>
      <w:r>
        <w:rPr>
          <w:rFonts w:hAnsi="宋体"/>
          <w:highlight w:val="none"/>
        </w:rPr>
        <w:br w:type="page"/>
      </w:r>
      <w:r>
        <w:rPr>
          <w:rFonts w:hint="eastAsia" w:hAnsi="宋体"/>
          <w:b/>
          <w:sz w:val="28"/>
          <w:szCs w:val="28"/>
          <w:highlight w:val="none"/>
        </w:rPr>
        <w:t>格式10：</w:t>
      </w:r>
    </w:p>
    <w:p w14:paraId="580FEB88">
      <w:pPr>
        <w:pStyle w:val="16"/>
        <w:rPr>
          <w:rFonts w:hAnsi="宋体"/>
          <w:szCs w:val="21"/>
          <w:highlight w:val="none"/>
        </w:rPr>
      </w:pPr>
    </w:p>
    <w:p w14:paraId="4CDE8BC5">
      <w:pPr>
        <w:pStyle w:val="5"/>
        <w:jc w:val="center"/>
        <w:rPr>
          <w:rFonts w:ascii="宋体" w:hAnsi="宋体" w:eastAsia="宋体"/>
          <w:sz w:val="32"/>
          <w:szCs w:val="32"/>
          <w:highlight w:val="none"/>
        </w:rPr>
      </w:pPr>
      <w:bookmarkStart w:id="120" w:name="_Toc493600029"/>
      <w:bookmarkStart w:id="121" w:name="_Toc13665017"/>
      <w:bookmarkStart w:id="122" w:name="_Toc101004106"/>
      <w:bookmarkStart w:id="123" w:name="_Toc10507"/>
      <w:bookmarkStart w:id="124" w:name="_Toc327190555"/>
      <w:r>
        <w:rPr>
          <w:rFonts w:hint="eastAsia" w:ascii="宋体" w:hAnsi="宋体" w:eastAsia="宋体"/>
          <w:sz w:val="32"/>
          <w:szCs w:val="32"/>
          <w:highlight w:val="none"/>
        </w:rPr>
        <w:t>招标文件第一章“投标人资格要求”中要求提供的其他资格证明文件</w:t>
      </w:r>
      <w:bookmarkEnd w:id="120"/>
      <w:bookmarkEnd w:id="121"/>
      <w:bookmarkEnd w:id="122"/>
      <w:bookmarkEnd w:id="123"/>
    </w:p>
    <w:p w14:paraId="2F98D0DD">
      <w:pPr>
        <w:pStyle w:val="5"/>
        <w:jc w:val="center"/>
        <w:rPr>
          <w:rFonts w:ascii="宋体" w:hAnsi="宋体" w:eastAsia="宋体"/>
          <w:sz w:val="30"/>
          <w:szCs w:val="30"/>
          <w:highlight w:val="none"/>
        </w:rPr>
      </w:pPr>
      <w:r>
        <w:rPr>
          <w:rFonts w:ascii="宋体" w:hAnsi="宋体" w:eastAsia="宋体"/>
          <w:sz w:val="30"/>
          <w:szCs w:val="30"/>
          <w:highlight w:val="none"/>
        </w:rPr>
        <w:br w:type="page"/>
      </w:r>
      <w:bookmarkStart w:id="125" w:name="_Toc13665018"/>
      <w:bookmarkStart w:id="126" w:name="_Toc101004107"/>
      <w:bookmarkStart w:id="127" w:name="_Toc21521"/>
      <w:r>
        <w:rPr>
          <w:rFonts w:hint="eastAsia" w:ascii="宋体" w:hAnsi="宋体" w:eastAsia="宋体"/>
          <w:sz w:val="32"/>
          <w:szCs w:val="32"/>
          <w:highlight w:val="none"/>
        </w:rPr>
        <w:t>三</w:t>
      </w:r>
      <w:r>
        <w:rPr>
          <w:rFonts w:ascii="宋体" w:hAnsi="宋体" w:eastAsia="宋体"/>
          <w:sz w:val="32"/>
          <w:szCs w:val="32"/>
          <w:highlight w:val="none"/>
        </w:rPr>
        <w:t>、</w:t>
      </w:r>
      <w:r>
        <w:rPr>
          <w:rFonts w:hint="eastAsia" w:ascii="宋体" w:hAnsi="宋体" w:eastAsia="宋体"/>
          <w:sz w:val="32"/>
          <w:szCs w:val="32"/>
          <w:highlight w:val="none"/>
        </w:rPr>
        <w:t>商务</w:t>
      </w:r>
      <w:r>
        <w:rPr>
          <w:rFonts w:ascii="宋体" w:hAnsi="宋体" w:eastAsia="宋体"/>
          <w:sz w:val="32"/>
          <w:szCs w:val="32"/>
          <w:highlight w:val="none"/>
        </w:rPr>
        <w:t>部分</w:t>
      </w:r>
      <w:bookmarkEnd w:id="125"/>
      <w:bookmarkEnd w:id="126"/>
      <w:bookmarkEnd w:id="127"/>
    </w:p>
    <w:p w14:paraId="7780D6ED">
      <w:pPr>
        <w:pStyle w:val="16"/>
        <w:spacing w:line="600" w:lineRule="exact"/>
        <w:ind w:left="420"/>
        <w:rPr>
          <w:rFonts w:hAnsi="宋体"/>
          <w:b/>
          <w:sz w:val="28"/>
          <w:szCs w:val="28"/>
          <w:highlight w:val="none"/>
        </w:rPr>
      </w:pPr>
      <w:r>
        <w:rPr>
          <w:rFonts w:hint="eastAsia" w:hAnsi="宋体"/>
          <w:b/>
          <w:sz w:val="28"/>
          <w:szCs w:val="28"/>
          <w:highlight w:val="none"/>
        </w:rPr>
        <w:t>格式1：</w:t>
      </w:r>
    </w:p>
    <w:p w14:paraId="6838AE23">
      <w:pPr>
        <w:pStyle w:val="5"/>
        <w:jc w:val="center"/>
        <w:rPr>
          <w:rFonts w:ascii="宋体" w:hAnsi="宋体" w:eastAsia="宋体"/>
          <w:sz w:val="32"/>
          <w:szCs w:val="32"/>
          <w:highlight w:val="none"/>
        </w:rPr>
      </w:pPr>
      <w:bookmarkStart w:id="128" w:name="_Toc141099655"/>
      <w:bookmarkStart w:id="129" w:name="_Toc101004097"/>
      <w:bookmarkStart w:id="130" w:name="_Toc13665006"/>
      <w:bookmarkStart w:id="131" w:name="_Toc493600018"/>
      <w:bookmarkStart w:id="132" w:name="_Toc21277"/>
      <w:r>
        <w:rPr>
          <w:rFonts w:hint="eastAsia" w:ascii="宋体" w:hAnsi="宋体" w:eastAsia="宋体"/>
          <w:sz w:val="32"/>
          <w:szCs w:val="32"/>
          <w:highlight w:val="none"/>
        </w:rPr>
        <w:t>法定代表人身份证明书</w:t>
      </w:r>
      <w:bookmarkEnd w:id="128"/>
      <w:bookmarkEnd w:id="129"/>
      <w:bookmarkEnd w:id="130"/>
      <w:bookmarkEnd w:id="131"/>
      <w:bookmarkEnd w:id="132"/>
    </w:p>
    <w:p w14:paraId="034B91EA">
      <w:pPr>
        <w:spacing w:line="440" w:lineRule="exact"/>
        <w:jc w:val="center"/>
        <w:rPr>
          <w:rFonts w:ascii="宋体" w:hAnsi="宋体"/>
          <w:b/>
          <w:sz w:val="30"/>
          <w:szCs w:val="30"/>
          <w:highlight w:val="none"/>
        </w:rPr>
      </w:pPr>
    </w:p>
    <w:p w14:paraId="42D69E16">
      <w:pPr>
        <w:spacing w:line="360" w:lineRule="auto"/>
        <w:rPr>
          <w:rFonts w:hint="default" w:ascii="宋体" w:hAnsi="宋体" w:eastAsia="宋体"/>
          <w:sz w:val="24"/>
          <w:highlight w:val="none"/>
          <w:u w:val="single"/>
          <w:lang w:val="en-US" w:eastAsia="zh-CN"/>
        </w:rPr>
      </w:pPr>
      <w:r>
        <w:rPr>
          <w:rFonts w:hint="eastAsia" w:ascii="宋体" w:hAnsi="宋体"/>
          <w:sz w:val="24"/>
          <w:highlight w:val="none"/>
        </w:rPr>
        <w:t>投标人名称：</w:t>
      </w:r>
      <w:r>
        <w:rPr>
          <w:rFonts w:hint="eastAsia" w:ascii="宋体" w:hAnsi="宋体"/>
          <w:sz w:val="24"/>
          <w:highlight w:val="none"/>
          <w:u w:val="single"/>
          <w:lang w:val="en-US" w:eastAsia="zh-CN"/>
        </w:rPr>
        <w:t xml:space="preserve">                         </w:t>
      </w:r>
    </w:p>
    <w:p w14:paraId="192A07FB">
      <w:pPr>
        <w:spacing w:line="360" w:lineRule="auto"/>
        <w:rPr>
          <w:rFonts w:hint="default" w:ascii="宋体" w:hAnsi="宋体" w:eastAsia="宋体"/>
          <w:sz w:val="24"/>
          <w:highlight w:val="none"/>
          <w:u w:val="single"/>
          <w:lang w:val="en-US" w:eastAsia="zh-CN"/>
        </w:rPr>
      </w:pPr>
      <w:r>
        <w:rPr>
          <w:rFonts w:hint="eastAsia" w:ascii="宋体" w:hAnsi="宋体"/>
          <w:sz w:val="24"/>
          <w:highlight w:val="none"/>
        </w:rPr>
        <w:t>单位性质：</w:t>
      </w:r>
      <w:r>
        <w:rPr>
          <w:rFonts w:hint="eastAsia" w:ascii="宋体" w:hAnsi="宋体"/>
          <w:sz w:val="24"/>
          <w:highlight w:val="none"/>
          <w:u w:val="single"/>
          <w:lang w:val="en-US" w:eastAsia="zh-CN"/>
        </w:rPr>
        <w:t xml:space="preserve">                           </w:t>
      </w:r>
    </w:p>
    <w:p w14:paraId="12DB3400">
      <w:pPr>
        <w:spacing w:line="360" w:lineRule="auto"/>
        <w:rPr>
          <w:rFonts w:ascii="宋体" w:hAnsi="宋体"/>
          <w:sz w:val="24"/>
          <w:highlight w:val="none"/>
        </w:rPr>
      </w:pPr>
      <w:r>
        <w:rPr>
          <w:rFonts w:hint="eastAsia" w:ascii="宋体" w:hAnsi="宋体"/>
          <w:sz w:val="24"/>
          <w:highlight w:val="none"/>
        </w:rPr>
        <w:t>成立时间：</w:t>
      </w:r>
      <w:r>
        <w:rPr>
          <w:rFonts w:hint="eastAsia" w:ascii="宋体" w:hAnsi="宋体"/>
          <w:sz w:val="24"/>
          <w:highlight w:val="none"/>
          <w:u w:val="single"/>
          <w:lang w:val="en-US" w:eastAsia="zh-CN"/>
        </w:rPr>
        <w:t xml:space="preserve">      </w:t>
      </w:r>
      <w:r>
        <w:rPr>
          <w:rFonts w:hint="eastAsia" w:ascii="宋体" w:hAnsi="宋体"/>
          <w:sz w:val="24"/>
          <w:highlight w:val="none"/>
        </w:rPr>
        <w:t>年</w:t>
      </w:r>
      <w:r>
        <w:rPr>
          <w:rFonts w:hint="eastAsia" w:ascii="宋体" w:hAnsi="宋体"/>
          <w:sz w:val="24"/>
          <w:highlight w:val="none"/>
          <w:u w:val="single"/>
          <w:lang w:val="en-US" w:eastAsia="zh-CN"/>
        </w:rPr>
        <w:t xml:space="preserve">    </w:t>
      </w:r>
      <w:r>
        <w:rPr>
          <w:rFonts w:hint="eastAsia" w:ascii="宋体" w:hAnsi="宋体"/>
          <w:sz w:val="24"/>
          <w:highlight w:val="none"/>
        </w:rPr>
        <w:t>月</w:t>
      </w:r>
      <w:r>
        <w:rPr>
          <w:rFonts w:hint="eastAsia" w:ascii="宋体" w:hAnsi="宋体"/>
          <w:sz w:val="24"/>
          <w:highlight w:val="none"/>
          <w:u w:val="single"/>
          <w:lang w:val="en-US" w:eastAsia="zh-CN"/>
        </w:rPr>
        <w:t xml:space="preserve">       </w:t>
      </w:r>
      <w:r>
        <w:rPr>
          <w:rFonts w:hint="eastAsia" w:ascii="宋体" w:hAnsi="宋体"/>
          <w:sz w:val="24"/>
          <w:highlight w:val="none"/>
        </w:rPr>
        <w:t>日</w:t>
      </w:r>
    </w:p>
    <w:p w14:paraId="70FC78CF">
      <w:pPr>
        <w:spacing w:line="360" w:lineRule="auto"/>
        <w:rPr>
          <w:rFonts w:hint="default" w:ascii="宋体" w:hAnsi="宋体" w:eastAsia="宋体"/>
          <w:sz w:val="24"/>
          <w:highlight w:val="none"/>
          <w:u w:val="single"/>
          <w:lang w:val="en-US" w:eastAsia="zh-CN"/>
        </w:rPr>
      </w:pPr>
      <w:r>
        <w:rPr>
          <w:rFonts w:hint="eastAsia" w:ascii="宋体" w:hAnsi="宋体"/>
          <w:sz w:val="24"/>
          <w:highlight w:val="none"/>
        </w:rPr>
        <w:t>经营期限：</w:t>
      </w:r>
      <w:r>
        <w:rPr>
          <w:rFonts w:hint="eastAsia" w:ascii="宋体" w:hAnsi="宋体"/>
          <w:sz w:val="24"/>
          <w:highlight w:val="none"/>
          <w:u w:val="single"/>
          <w:lang w:val="en-US" w:eastAsia="zh-CN"/>
        </w:rPr>
        <w:t xml:space="preserve">                     </w:t>
      </w:r>
    </w:p>
    <w:p w14:paraId="1776A3EE">
      <w:pPr>
        <w:spacing w:line="360" w:lineRule="auto"/>
        <w:rPr>
          <w:rFonts w:hint="default" w:ascii="宋体" w:hAnsi="宋体" w:eastAsia="宋体"/>
          <w:sz w:val="24"/>
          <w:highlight w:val="none"/>
          <w:u w:val="single"/>
          <w:lang w:val="en-US" w:eastAsia="zh-CN"/>
        </w:rPr>
      </w:pPr>
      <w:r>
        <w:rPr>
          <w:rFonts w:hint="eastAsia" w:ascii="宋体" w:hAnsi="宋体"/>
          <w:sz w:val="24"/>
          <w:highlight w:val="none"/>
        </w:rPr>
        <w:t>姓名：</w:t>
      </w:r>
      <w:r>
        <w:rPr>
          <w:rFonts w:hint="eastAsia" w:ascii="宋体" w:hAnsi="宋体"/>
          <w:sz w:val="24"/>
          <w:highlight w:val="none"/>
          <w:u w:val="single"/>
          <w:lang w:val="en-US" w:eastAsia="zh-CN"/>
        </w:rPr>
        <w:t xml:space="preserve">      </w:t>
      </w:r>
      <w:r>
        <w:rPr>
          <w:rFonts w:hint="eastAsia" w:ascii="宋体" w:hAnsi="宋体"/>
          <w:sz w:val="24"/>
          <w:highlight w:val="none"/>
        </w:rPr>
        <w:t>性别：</w:t>
      </w:r>
      <w:r>
        <w:rPr>
          <w:rFonts w:hint="eastAsia" w:ascii="宋体" w:hAnsi="宋体"/>
          <w:sz w:val="24"/>
          <w:highlight w:val="none"/>
          <w:u w:val="single"/>
          <w:lang w:val="en-US" w:eastAsia="zh-CN"/>
        </w:rPr>
        <w:t xml:space="preserve">      </w:t>
      </w:r>
      <w:r>
        <w:rPr>
          <w:rFonts w:hint="eastAsia" w:ascii="宋体" w:hAnsi="宋体"/>
          <w:sz w:val="24"/>
          <w:highlight w:val="none"/>
        </w:rPr>
        <w:t>年龄：</w:t>
      </w:r>
      <w:r>
        <w:rPr>
          <w:rFonts w:hint="eastAsia" w:ascii="宋体" w:hAnsi="宋体"/>
          <w:sz w:val="24"/>
          <w:highlight w:val="none"/>
          <w:u w:val="single"/>
          <w:lang w:val="en-US" w:eastAsia="zh-CN"/>
        </w:rPr>
        <w:t xml:space="preserve">     </w:t>
      </w:r>
      <w:r>
        <w:rPr>
          <w:rFonts w:hint="eastAsia" w:ascii="宋体" w:hAnsi="宋体"/>
          <w:sz w:val="24"/>
          <w:highlight w:val="none"/>
        </w:rPr>
        <w:t>职务：</w:t>
      </w:r>
      <w:r>
        <w:rPr>
          <w:rFonts w:hint="eastAsia" w:ascii="宋体" w:hAnsi="宋体"/>
          <w:sz w:val="24"/>
          <w:highlight w:val="none"/>
          <w:u w:val="single"/>
          <w:lang w:val="en-US" w:eastAsia="zh-CN"/>
        </w:rPr>
        <w:t xml:space="preserve">       </w:t>
      </w:r>
    </w:p>
    <w:p w14:paraId="1B579E51">
      <w:pPr>
        <w:spacing w:line="360" w:lineRule="auto"/>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（投标人名称）</w:t>
      </w:r>
      <w:r>
        <w:rPr>
          <w:rFonts w:hint="eastAsia" w:ascii="宋体" w:hAnsi="宋体"/>
          <w:sz w:val="24"/>
          <w:highlight w:val="none"/>
        </w:rPr>
        <w:t>的法定代表人。</w:t>
      </w:r>
    </w:p>
    <w:p w14:paraId="24DE9400">
      <w:pPr>
        <w:spacing w:line="360" w:lineRule="auto"/>
        <w:rPr>
          <w:rFonts w:ascii="宋体" w:hAnsi="宋体"/>
          <w:sz w:val="24"/>
          <w:highlight w:val="none"/>
        </w:rPr>
      </w:pPr>
    </w:p>
    <w:p w14:paraId="7CF177B9">
      <w:pPr>
        <w:spacing w:line="360" w:lineRule="auto"/>
        <w:ind w:firstLine="480" w:firstLineChars="200"/>
        <w:rPr>
          <w:rFonts w:ascii="宋体" w:hAnsi="宋体"/>
          <w:sz w:val="24"/>
          <w:highlight w:val="none"/>
        </w:rPr>
      </w:pPr>
    </w:p>
    <w:p w14:paraId="1DC116E9">
      <w:pPr>
        <w:spacing w:line="360" w:lineRule="auto"/>
        <w:ind w:firstLine="480" w:firstLineChars="200"/>
        <w:rPr>
          <w:rFonts w:ascii="宋体" w:hAnsi="宋体"/>
          <w:sz w:val="24"/>
          <w:highlight w:val="none"/>
        </w:rPr>
      </w:pPr>
      <w:r>
        <w:rPr>
          <w:rFonts w:hint="eastAsia" w:ascii="宋体" w:hAnsi="宋体"/>
          <w:sz w:val="24"/>
          <w:highlight w:val="none"/>
        </w:rPr>
        <w:t>特此证明。</w:t>
      </w:r>
    </w:p>
    <w:p w14:paraId="52C02FE8">
      <w:pPr>
        <w:spacing w:line="360" w:lineRule="auto"/>
        <w:rPr>
          <w:rFonts w:ascii="宋体" w:hAnsi="宋体"/>
          <w:szCs w:val="21"/>
          <w:highlight w:val="none"/>
        </w:rPr>
      </w:pPr>
    </w:p>
    <w:p w14:paraId="414B0099">
      <w:pPr>
        <w:spacing w:line="360" w:lineRule="auto"/>
        <w:rPr>
          <w:rFonts w:ascii="宋体" w:hAnsi="宋体"/>
          <w:szCs w:val="21"/>
          <w:highlight w:val="none"/>
        </w:rPr>
      </w:pPr>
    </w:p>
    <w:p w14:paraId="362F6311">
      <w:pPr>
        <w:pStyle w:val="16"/>
        <w:spacing w:line="500" w:lineRule="exact"/>
        <w:ind w:left="420" w:firstLine="420"/>
        <w:jc w:val="left"/>
        <w:rPr>
          <w:rFonts w:hAnsi="宋体"/>
          <w:b/>
          <w:bCs/>
          <w:sz w:val="24"/>
          <w:szCs w:val="24"/>
          <w:highlight w:val="none"/>
        </w:rPr>
      </w:pPr>
      <w:r>
        <w:rPr>
          <w:rFonts w:hint="eastAsia" w:hAnsi="宋体"/>
          <w:b/>
          <w:bCs/>
          <w:sz w:val="24"/>
          <w:szCs w:val="24"/>
          <w:highlight w:val="none"/>
        </w:rPr>
        <w:t>注:</w:t>
      </w:r>
      <w:r>
        <w:rPr>
          <w:rFonts w:hint="eastAsia" w:hAnsi="宋体"/>
          <w:b/>
          <w:bCs/>
          <w:sz w:val="24"/>
          <w:highlight w:val="none"/>
        </w:rPr>
        <w:t>后附法定代表人身份证（扫描件）。</w:t>
      </w:r>
    </w:p>
    <w:p w14:paraId="57EBA2E1">
      <w:pPr>
        <w:spacing w:line="360" w:lineRule="auto"/>
        <w:rPr>
          <w:rFonts w:ascii="宋体" w:hAnsi="宋体"/>
          <w:szCs w:val="21"/>
          <w:highlight w:val="none"/>
        </w:rPr>
      </w:pPr>
    </w:p>
    <w:p w14:paraId="5BABBBF6">
      <w:pPr>
        <w:spacing w:line="360" w:lineRule="auto"/>
        <w:ind w:firstLine="3400" w:firstLineChars="1411"/>
        <w:rPr>
          <w:rFonts w:hint="eastAsia" w:ascii="宋体" w:hAnsi="宋体"/>
          <w:b/>
          <w:sz w:val="24"/>
          <w:highlight w:val="none"/>
        </w:rPr>
      </w:pPr>
    </w:p>
    <w:p w14:paraId="110B8047">
      <w:pPr>
        <w:spacing w:line="360" w:lineRule="auto"/>
        <w:ind w:firstLine="3400" w:firstLineChars="1411"/>
        <w:rPr>
          <w:rFonts w:hint="eastAsia" w:ascii="宋体" w:hAnsi="宋体"/>
          <w:b/>
          <w:sz w:val="24"/>
          <w:highlight w:val="none"/>
        </w:rPr>
      </w:pPr>
      <w:r>
        <w:rPr>
          <w:rFonts w:hint="eastAsia" w:ascii="宋体" w:hAnsi="宋体"/>
          <w:b/>
          <w:sz w:val="24"/>
          <w:highlight w:val="none"/>
        </w:rPr>
        <w:t>投标人：（电子签章）</w:t>
      </w:r>
    </w:p>
    <w:p w14:paraId="26ED05B9">
      <w:pPr>
        <w:spacing w:line="360" w:lineRule="auto"/>
        <w:ind w:firstLine="3400" w:firstLineChars="1411"/>
        <w:rPr>
          <w:rFonts w:hint="eastAsia" w:ascii="宋体" w:hAnsi="宋体"/>
          <w:b/>
          <w:sz w:val="24"/>
          <w:highlight w:val="none"/>
          <w:u w:val="single"/>
        </w:rPr>
      </w:pPr>
    </w:p>
    <w:p w14:paraId="1F79A691">
      <w:pPr>
        <w:spacing w:line="360" w:lineRule="auto"/>
        <w:ind w:firstLine="3400" w:firstLineChars="1411"/>
        <w:rPr>
          <w:rFonts w:hint="eastAsia" w:ascii="宋体" w:hAnsi="宋体"/>
          <w:b/>
          <w:sz w:val="24"/>
          <w:highlight w:val="none"/>
        </w:rPr>
      </w:pPr>
      <w:r>
        <w:rPr>
          <w:rFonts w:hint="eastAsia" w:ascii="宋体" w:hAnsi="宋体"/>
          <w:b/>
          <w:sz w:val="24"/>
          <w:highlight w:val="none"/>
          <w:u w:val="single"/>
          <w:lang w:val="en-US" w:eastAsia="zh-CN"/>
        </w:rPr>
        <w:t xml:space="preserve">    </w:t>
      </w:r>
      <w:r>
        <w:rPr>
          <w:rFonts w:hint="eastAsia" w:ascii="宋体" w:hAnsi="宋体"/>
          <w:b/>
          <w:sz w:val="24"/>
          <w:highlight w:val="none"/>
        </w:rPr>
        <w:t>年</w:t>
      </w:r>
      <w:r>
        <w:rPr>
          <w:rFonts w:hint="eastAsia" w:ascii="宋体" w:hAnsi="宋体"/>
          <w:b/>
          <w:sz w:val="24"/>
          <w:highlight w:val="none"/>
          <w:u w:val="single"/>
          <w:lang w:val="en-US" w:eastAsia="zh-CN"/>
        </w:rPr>
        <w:t xml:space="preserve">   </w:t>
      </w:r>
      <w:r>
        <w:rPr>
          <w:rFonts w:hint="eastAsia" w:ascii="宋体" w:hAnsi="宋体"/>
          <w:b/>
          <w:sz w:val="24"/>
          <w:highlight w:val="none"/>
        </w:rPr>
        <w:t>月</w:t>
      </w:r>
      <w:r>
        <w:rPr>
          <w:rFonts w:hint="eastAsia" w:ascii="宋体" w:hAnsi="宋体"/>
          <w:b/>
          <w:sz w:val="24"/>
          <w:highlight w:val="none"/>
          <w:u w:val="single"/>
          <w:lang w:val="en-US" w:eastAsia="zh-CN"/>
        </w:rPr>
        <w:t xml:space="preserve">   </w:t>
      </w:r>
      <w:r>
        <w:rPr>
          <w:rFonts w:hint="eastAsia" w:ascii="宋体" w:hAnsi="宋体"/>
          <w:b/>
          <w:sz w:val="24"/>
          <w:highlight w:val="none"/>
        </w:rPr>
        <w:t>日</w:t>
      </w:r>
    </w:p>
    <w:p w14:paraId="7D7FD58F">
      <w:pPr>
        <w:spacing w:line="360" w:lineRule="auto"/>
        <w:rPr>
          <w:rFonts w:ascii="宋体" w:hAnsi="宋体"/>
          <w:szCs w:val="21"/>
          <w:highlight w:val="none"/>
        </w:rPr>
      </w:pPr>
    </w:p>
    <w:p w14:paraId="35ACE927">
      <w:pPr>
        <w:pStyle w:val="16"/>
        <w:spacing w:line="600" w:lineRule="exact"/>
        <w:ind w:left="420"/>
        <w:rPr>
          <w:rFonts w:hAnsi="宋体"/>
          <w:b/>
          <w:sz w:val="28"/>
          <w:szCs w:val="28"/>
          <w:highlight w:val="none"/>
        </w:rPr>
      </w:pPr>
      <w:r>
        <w:rPr>
          <w:rFonts w:hAnsi="宋体"/>
          <w:b/>
          <w:szCs w:val="21"/>
          <w:highlight w:val="none"/>
        </w:rPr>
        <w:br w:type="page"/>
      </w:r>
      <w:r>
        <w:rPr>
          <w:rFonts w:hint="eastAsia" w:hAnsi="宋体"/>
          <w:b/>
          <w:sz w:val="28"/>
          <w:szCs w:val="28"/>
          <w:highlight w:val="none"/>
        </w:rPr>
        <w:t>格式2：</w:t>
      </w:r>
    </w:p>
    <w:p w14:paraId="249BEFA4">
      <w:pPr>
        <w:pStyle w:val="5"/>
        <w:jc w:val="center"/>
        <w:rPr>
          <w:rFonts w:ascii="宋体" w:hAnsi="宋体" w:eastAsia="宋体"/>
          <w:sz w:val="32"/>
          <w:szCs w:val="32"/>
          <w:highlight w:val="none"/>
        </w:rPr>
      </w:pPr>
      <w:bookmarkStart w:id="133" w:name="_Toc141099656"/>
      <w:bookmarkStart w:id="134" w:name="_Toc13665007"/>
      <w:bookmarkStart w:id="135" w:name="_Toc493600019"/>
      <w:bookmarkStart w:id="136" w:name="_Toc213141107"/>
      <w:bookmarkStart w:id="137" w:name="_Toc101004098"/>
      <w:bookmarkStart w:id="138" w:name="_Toc18514"/>
      <w:r>
        <w:rPr>
          <w:rFonts w:hint="eastAsia" w:ascii="宋体" w:hAnsi="宋体" w:eastAsia="宋体"/>
          <w:sz w:val="32"/>
          <w:szCs w:val="32"/>
          <w:highlight w:val="none"/>
        </w:rPr>
        <w:t>法定代表人授权委托书</w:t>
      </w:r>
      <w:bookmarkEnd w:id="133"/>
      <w:bookmarkEnd w:id="134"/>
      <w:bookmarkEnd w:id="135"/>
      <w:bookmarkEnd w:id="136"/>
      <w:bookmarkEnd w:id="137"/>
      <w:bookmarkEnd w:id="138"/>
    </w:p>
    <w:p w14:paraId="6B8F48F5">
      <w:pPr>
        <w:pStyle w:val="16"/>
        <w:spacing w:line="500" w:lineRule="exact"/>
        <w:ind w:left="420" w:firstLine="480" w:firstLineChars="200"/>
        <w:rPr>
          <w:rFonts w:hAnsi="宋体"/>
          <w:sz w:val="24"/>
          <w:szCs w:val="24"/>
          <w:highlight w:val="none"/>
        </w:rPr>
      </w:pPr>
    </w:p>
    <w:p w14:paraId="1E86363F">
      <w:pPr>
        <w:spacing w:line="360" w:lineRule="auto"/>
        <w:ind w:firstLine="480" w:firstLineChars="200"/>
        <w:rPr>
          <w:rFonts w:ascii="宋体" w:hAnsi="宋体"/>
          <w:sz w:val="24"/>
          <w:highlight w:val="none"/>
        </w:rPr>
      </w:pPr>
      <w:r>
        <w:rPr>
          <w:rFonts w:hint="eastAsia" w:ascii="宋体" w:hAnsi="宋体"/>
          <w:sz w:val="24"/>
          <w:highlight w:val="none"/>
        </w:rPr>
        <w:t>本授权书声明：</w:t>
      </w:r>
      <w:r>
        <w:rPr>
          <w:rFonts w:hint="eastAsia" w:ascii="宋体" w:hAnsi="宋体"/>
          <w:sz w:val="24"/>
          <w:highlight w:val="none"/>
          <w:u w:val="single"/>
        </w:rPr>
        <w:t xml:space="preserve">  （投标人全称） </w:t>
      </w:r>
      <w:r>
        <w:rPr>
          <w:rFonts w:hint="eastAsia" w:ascii="宋体" w:hAnsi="宋体"/>
          <w:sz w:val="24"/>
          <w:highlight w:val="none"/>
        </w:rPr>
        <w:t>的法定代表人代表本公司授权</w:t>
      </w:r>
      <w:r>
        <w:rPr>
          <w:rFonts w:hint="eastAsia" w:ascii="宋体" w:hAnsi="宋体"/>
          <w:sz w:val="24"/>
          <w:highlight w:val="none"/>
          <w:u w:val="single"/>
        </w:rPr>
        <w:t>（委托代理人姓名）</w:t>
      </w:r>
      <w:r>
        <w:rPr>
          <w:rFonts w:hint="eastAsia" w:ascii="宋体" w:hAnsi="宋体"/>
          <w:sz w:val="24"/>
          <w:highlight w:val="none"/>
        </w:rPr>
        <w:t>为本公司合法代理人，就贵方组织的有关</w:t>
      </w:r>
      <w:r>
        <w:rPr>
          <w:rFonts w:hint="eastAsia" w:ascii="宋体" w:hAnsi="宋体"/>
          <w:sz w:val="24"/>
          <w:highlight w:val="none"/>
          <w:u w:val="single"/>
        </w:rPr>
        <w:t>（采购项目名称）</w:t>
      </w:r>
      <w:r>
        <w:rPr>
          <w:rFonts w:hint="eastAsia" w:ascii="宋体" w:hAnsi="宋体"/>
          <w:sz w:val="24"/>
          <w:highlight w:val="none"/>
        </w:rPr>
        <w:t>项目（招标编号：</w:t>
      </w:r>
      <w:r>
        <w:rPr>
          <w:rFonts w:hint="eastAsia" w:ascii="宋体" w:hAnsi="宋体"/>
          <w:sz w:val="24"/>
          <w:highlight w:val="none"/>
          <w:u w:val="single"/>
          <w:lang w:val="en-US" w:eastAsia="zh-CN"/>
        </w:rPr>
        <w:t xml:space="preserve">    </w:t>
      </w:r>
      <w:r>
        <w:rPr>
          <w:rFonts w:hint="eastAsia" w:hAnsi="宋体"/>
          <w:sz w:val="24"/>
          <w:highlight w:val="none"/>
        </w:rPr>
        <w:t>标段：</w:t>
      </w:r>
      <w:r>
        <w:rPr>
          <w:rFonts w:hint="eastAsia" w:hAnsi="宋体"/>
          <w:sz w:val="24"/>
          <w:highlight w:val="none"/>
          <w:u w:val="single"/>
          <w:lang w:val="en-US" w:eastAsia="zh-CN"/>
        </w:rPr>
        <w:t xml:space="preserve">   </w:t>
      </w:r>
      <w:r>
        <w:rPr>
          <w:rFonts w:hint="eastAsia" w:hAnsi="宋体"/>
          <w:sz w:val="24"/>
          <w:highlight w:val="none"/>
        </w:rPr>
        <w:t xml:space="preserve"> </w:t>
      </w:r>
      <w:r>
        <w:rPr>
          <w:rFonts w:hint="eastAsia" w:ascii="宋体" w:hAnsi="宋体"/>
          <w:sz w:val="24"/>
          <w:highlight w:val="none"/>
        </w:rPr>
        <w:t>）的</w:t>
      </w:r>
      <w:r>
        <w:rPr>
          <w:rFonts w:ascii="宋体" w:hAnsi="宋体"/>
          <w:sz w:val="24"/>
          <w:highlight w:val="none"/>
        </w:rPr>
        <w:t>招标</w:t>
      </w:r>
      <w:r>
        <w:rPr>
          <w:rFonts w:hint="eastAsia" w:ascii="宋体" w:hAnsi="宋体"/>
          <w:sz w:val="24"/>
          <w:highlight w:val="none"/>
        </w:rPr>
        <w:t>，以本单位名义</w:t>
      </w:r>
      <w:r>
        <w:rPr>
          <w:rFonts w:ascii="宋体" w:hAnsi="宋体"/>
          <w:sz w:val="24"/>
          <w:highlight w:val="none"/>
        </w:rPr>
        <w:t>投标</w:t>
      </w:r>
      <w:r>
        <w:rPr>
          <w:rFonts w:hint="eastAsia" w:ascii="宋体" w:hAnsi="宋体"/>
          <w:sz w:val="24"/>
          <w:highlight w:val="none"/>
        </w:rPr>
        <w:t>。</w:t>
      </w:r>
      <w:r>
        <w:rPr>
          <w:rFonts w:ascii="宋体" w:hAnsi="宋体"/>
          <w:sz w:val="24"/>
          <w:highlight w:val="none"/>
        </w:rPr>
        <w:t>代理人在本项目投标过程中所签署的一切文件和处理与之有关的一切事务，我方均予承认。</w:t>
      </w:r>
    </w:p>
    <w:p w14:paraId="4E4456F3">
      <w:pPr>
        <w:pStyle w:val="16"/>
        <w:spacing w:line="500" w:lineRule="exact"/>
        <w:ind w:left="420" w:firstLine="420"/>
        <w:rPr>
          <w:rFonts w:hAnsi="宋体"/>
          <w:sz w:val="24"/>
          <w:szCs w:val="24"/>
          <w:highlight w:val="none"/>
        </w:rPr>
      </w:pPr>
      <w:r>
        <w:rPr>
          <w:rFonts w:hAnsi="宋体"/>
          <w:sz w:val="24"/>
          <w:szCs w:val="24"/>
          <w:highlight w:val="none"/>
        </w:rPr>
        <w:t>代理人无转委托权。</w:t>
      </w:r>
    </w:p>
    <w:p w14:paraId="78BF9053">
      <w:pPr>
        <w:pStyle w:val="16"/>
        <w:spacing w:line="500" w:lineRule="exact"/>
        <w:ind w:left="420" w:firstLine="420"/>
        <w:rPr>
          <w:rFonts w:hAnsi="宋体"/>
          <w:sz w:val="24"/>
          <w:szCs w:val="24"/>
          <w:highlight w:val="none"/>
        </w:rPr>
      </w:pPr>
    </w:p>
    <w:p w14:paraId="3F90505C">
      <w:pPr>
        <w:spacing w:line="360" w:lineRule="auto"/>
        <w:rPr>
          <w:rFonts w:ascii="宋体" w:hAnsi="宋体"/>
          <w:sz w:val="24"/>
          <w:highlight w:val="none"/>
        </w:rPr>
      </w:pPr>
      <w:r>
        <w:rPr>
          <w:rFonts w:hint="eastAsia" w:ascii="宋体" w:hAnsi="宋体"/>
          <w:sz w:val="24"/>
          <w:highlight w:val="none"/>
        </w:rPr>
        <w:t>投标人：（电子签章）</w:t>
      </w:r>
    </w:p>
    <w:p w14:paraId="5A77C4C7">
      <w:pPr>
        <w:spacing w:line="360" w:lineRule="auto"/>
        <w:rPr>
          <w:rFonts w:ascii="宋体" w:hAnsi="宋体"/>
          <w:sz w:val="24"/>
          <w:highlight w:val="none"/>
        </w:rPr>
      </w:pPr>
      <w:r>
        <w:rPr>
          <w:rFonts w:hint="eastAsia" w:ascii="宋体" w:hAnsi="宋体"/>
          <w:sz w:val="24"/>
          <w:highlight w:val="none"/>
        </w:rPr>
        <w:t>法定代表人或其委托代理人：（电子签名</w:t>
      </w:r>
      <w:r>
        <w:rPr>
          <w:rFonts w:hint="eastAsia" w:ascii="宋体" w:hAnsi="宋体"/>
          <w:sz w:val="24"/>
          <w:highlight w:val="none"/>
          <w:lang w:val="en-US" w:eastAsia="zh-CN"/>
        </w:rPr>
        <w:t>或电子签章</w:t>
      </w:r>
      <w:r>
        <w:rPr>
          <w:rFonts w:hint="eastAsia" w:ascii="宋体" w:hAnsi="宋体"/>
          <w:sz w:val="24"/>
          <w:highlight w:val="none"/>
        </w:rPr>
        <w:t>）</w:t>
      </w:r>
    </w:p>
    <w:p w14:paraId="2E02AC2F">
      <w:pPr>
        <w:spacing w:line="360" w:lineRule="auto"/>
        <w:ind w:firstLine="2" w:firstLineChars="1"/>
        <w:rPr>
          <w:rFonts w:ascii="宋体" w:hAnsi="宋体"/>
          <w:b/>
          <w:sz w:val="24"/>
          <w:highlight w:val="none"/>
        </w:rPr>
      </w:pPr>
      <w:r>
        <w:rPr>
          <w:rFonts w:hint="eastAsia" w:ascii="宋体" w:hAnsi="宋体"/>
          <w:sz w:val="24"/>
          <w:highlight w:val="none"/>
        </w:rPr>
        <w:t>日期：</w:t>
      </w:r>
      <w:r>
        <w:rPr>
          <w:rFonts w:hint="eastAsia" w:ascii="宋体" w:hAnsi="宋体"/>
          <w:sz w:val="24"/>
          <w:highlight w:val="none"/>
          <w:u w:val="single"/>
          <w:lang w:val="en-US" w:eastAsia="zh-CN"/>
        </w:rPr>
        <w:t xml:space="preserve">    </w:t>
      </w:r>
      <w:r>
        <w:rPr>
          <w:rFonts w:hint="eastAsia" w:ascii="宋体" w:hAnsi="宋体"/>
          <w:sz w:val="24"/>
          <w:highlight w:val="none"/>
        </w:rPr>
        <w:t>年</w:t>
      </w:r>
      <w:r>
        <w:rPr>
          <w:rFonts w:hint="eastAsia" w:ascii="宋体" w:hAnsi="宋体"/>
          <w:sz w:val="24"/>
          <w:highlight w:val="none"/>
          <w:u w:val="single"/>
          <w:lang w:val="en-US" w:eastAsia="zh-CN"/>
        </w:rPr>
        <w:t xml:space="preserve">   </w:t>
      </w:r>
      <w:r>
        <w:rPr>
          <w:rFonts w:hint="eastAsia" w:ascii="宋体" w:hAnsi="宋体"/>
          <w:sz w:val="24"/>
          <w:highlight w:val="none"/>
        </w:rPr>
        <w:t>月</w:t>
      </w:r>
      <w:r>
        <w:rPr>
          <w:rFonts w:hint="eastAsia" w:ascii="宋体" w:hAnsi="宋体"/>
          <w:sz w:val="24"/>
          <w:highlight w:val="none"/>
          <w:u w:val="single"/>
          <w:lang w:val="en-US" w:eastAsia="zh-CN"/>
        </w:rPr>
        <w:t xml:space="preserve">   </w:t>
      </w:r>
      <w:r>
        <w:rPr>
          <w:rFonts w:hint="eastAsia" w:ascii="宋体" w:hAnsi="宋体"/>
          <w:sz w:val="24"/>
          <w:highlight w:val="none"/>
        </w:rPr>
        <w:t>日</w:t>
      </w:r>
    </w:p>
    <w:p w14:paraId="67AFA1D9">
      <w:pPr>
        <w:spacing w:line="360" w:lineRule="auto"/>
        <w:jc w:val="left"/>
        <w:rPr>
          <w:rFonts w:ascii="宋体" w:hAnsi="宋体"/>
          <w:b/>
          <w:sz w:val="24"/>
          <w:highlight w:val="none"/>
        </w:rPr>
      </w:pPr>
    </w:p>
    <w:p w14:paraId="71A8A836">
      <w:pPr>
        <w:pStyle w:val="16"/>
        <w:spacing w:line="500" w:lineRule="exact"/>
        <w:ind w:left="420"/>
        <w:rPr>
          <w:rFonts w:hAnsi="宋体"/>
          <w:highlight w:val="none"/>
        </w:rPr>
      </w:pPr>
    </w:p>
    <w:tbl>
      <w:tblPr>
        <w:tblStyle w:val="30"/>
        <w:tblW w:w="5868" w:type="dxa"/>
        <w:tblInd w:w="720" w:type="dxa"/>
        <w:tblLayout w:type="fixed"/>
        <w:tblCellMar>
          <w:top w:w="0" w:type="dxa"/>
          <w:left w:w="108" w:type="dxa"/>
          <w:bottom w:w="0" w:type="dxa"/>
          <w:right w:w="108" w:type="dxa"/>
        </w:tblCellMar>
      </w:tblPr>
      <w:tblGrid>
        <w:gridCol w:w="2217"/>
        <w:gridCol w:w="3651"/>
      </w:tblGrid>
      <w:tr w14:paraId="67B567AB">
        <w:tblPrEx>
          <w:tblCellMar>
            <w:top w:w="0" w:type="dxa"/>
            <w:left w:w="108" w:type="dxa"/>
            <w:bottom w:w="0" w:type="dxa"/>
            <w:right w:w="108" w:type="dxa"/>
          </w:tblCellMar>
        </w:tblPrEx>
        <w:tc>
          <w:tcPr>
            <w:tcW w:w="2217" w:type="dxa"/>
            <w:tcBorders>
              <w:top w:val="nil"/>
              <w:left w:val="nil"/>
              <w:bottom w:val="nil"/>
              <w:right w:val="nil"/>
            </w:tcBorders>
          </w:tcPr>
          <w:p w14:paraId="1D172CEF">
            <w:pPr>
              <w:pStyle w:val="16"/>
              <w:spacing w:line="500" w:lineRule="exact"/>
              <w:ind w:left="420"/>
              <w:rPr>
                <w:rFonts w:hAnsi="宋体"/>
                <w:highlight w:val="none"/>
              </w:rPr>
            </w:pPr>
            <w:r>
              <w:rPr>
                <w:rFonts w:hint="eastAsia" w:hAnsi="宋体"/>
                <w:highlight w:val="none"/>
              </w:rPr>
              <w:t xml:space="preserve">附： </w:t>
            </w:r>
          </w:p>
        </w:tc>
        <w:tc>
          <w:tcPr>
            <w:tcW w:w="3651" w:type="dxa"/>
            <w:tcBorders>
              <w:top w:val="nil"/>
              <w:left w:val="nil"/>
              <w:bottom w:val="nil"/>
              <w:right w:val="nil"/>
            </w:tcBorders>
          </w:tcPr>
          <w:p w14:paraId="7E9139B6">
            <w:pPr>
              <w:pStyle w:val="16"/>
              <w:spacing w:line="500" w:lineRule="exact"/>
              <w:ind w:left="420"/>
              <w:rPr>
                <w:rFonts w:hAnsi="宋体"/>
                <w:highlight w:val="none"/>
              </w:rPr>
            </w:pPr>
            <w:r>
              <w:rPr>
                <w:rFonts w:hint="eastAsia" w:hAnsi="宋体"/>
                <w:highlight w:val="none"/>
              </w:rPr>
              <w:tab/>
            </w:r>
            <w:r>
              <w:rPr>
                <w:rFonts w:hint="eastAsia" w:hAnsi="宋体"/>
                <w:highlight w:val="none"/>
              </w:rPr>
              <w:tab/>
            </w:r>
            <w:r>
              <w:rPr>
                <w:rFonts w:hint="eastAsia" w:hAnsi="宋体"/>
                <w:highlight w:val="none"/>
              </w:rPr>
              <w:tab/>
            </w:r>
            <w:r>
              <w:rPr>
                <w:rFonts w:hint="eastAsia" w:hAnsi="宋体"/>
                <w:highlight w:val="none"/>
              </w:rPr>
              <w:tab/>
            </w:r>
            <w:r>
              <w:rPr>
                <w:rFonts w:hint="eastAsia" w:hAnsi="宋体"/>
                <w:highlight w:val="none"/>
              </w:rPr>
              <w:tab/>
            </w:r>
          </w:p>
        </w:tc>
      </w:tr>
      <w:tr w14:paraId="2A4E95DF">
        <w:tblPrEx>
          <w:tblCellMar>
            <w:top w:w="0" w:type="dxa"/>
            <w:left w:w="108" w:type="dxa"/>
            <w:bottom w:w="0" w:type="dxa"/>
            <w:right w:w="108" w:type="dxa"/>
          </w:tblCellMar>
        </w:tblPrEx>
        <w:tc>
          <w:tcPr>
            <w:tcW w:w="2217" w:type="dxa"/>
            <w:tcBorders>
              <w:top w:val="nil"/>
              <w:left w:val="nil"/>
              <w:bottom w:val="nil"/>
              <w:right w:val="nil"/>
            </w:tcBorders>
          </w:tcPr>
          <w:p w14:paraId="3A1854B5">
            <w:pPr>
              <w:pStyle w:val="16"/>
              <w:spacing w:line="500" w:lineRule="exact"/>
              <w:ind w:left="420"/>
              <w:jc w:val="distribute"/>
              <w:rPr>
                <w:rFonts w:hAnsi="宋体"/>
                <w:highlight w:val="none"/>
              </w:rPr>
            </w:pPr>
            <w:r>
              <w:rPr>
                <w:rFonts w:hint="eastAsia" w:hAnsi="宋体"/>
                <w:highlight w:val="none"/>
              </w:rPr>
              <w:t>委托代理人姓名：</w:t>
            </w:r>
          </w:p>
        </w:tc>
        <w:tc>
          <w:tcPr>
            <w:tcW w:w="3651" w:type="dxa"/>
            <w:tcBorders>
              <w:top w:val="nil"/>
              <w:left w:val="nil"/>
              <w:bottom w:val="nil"/>
              <w:right w:val="nil"/>
            </w:tcBorders>
          </w:tcPr>
          <w:p w14:paraId="716372EA">
            <w:pPr>
              <w:pStyle w:val="16"/>
              <w:spacing w:line="500" w:lineRule="exact"/>
              <w:ind w:left="420"/>
              <w:rPr>
                <w:rFonts w:hAnsi="宋体"/>
                <w:highlight w:val="none"/>
              </w:rPr>
            </w:pPr>
          </w:p>
        </w:tc>
      </w:tr>
      <w:tr w14:paraId="25A9F0B3">
        <w:tblPrEx>
          <w:tblCellMar>
            <w:top w:w="0" w:type="dxa"/>
            <w:left w:w="108" w:type="dxa"/>
            <w:bottom w:w="0" w:type="dxa"/>
            <w:right w:w="108" w:type="dxa"/>
          </w:tblCellMar>
        </w:tblPrEx>
        <w:tc>
          <w:tcPr>
            <w:tcW w:w="2217" w:type="dxa"/>
            <w:tcBorders>
              <w:top w:val="nil"/>
              <w:left w:val="nil"/>
              <w:bottom w:val="nil"/>
              <w:right w:val="nil"/>
            </w:tcBorders>
          </w:tcPr>
          <w:p w14:paraId="489B1004">
            <w:pPr>
              <w:pStyle w:val="16"/>
              <w:spacing w:line="500" w:lineRule="exact"/>
              <w:ind w:left="420"/>
              <w:jc w:val="distribute"/>
              <w:rPr>
                <w:rFonts w:hAnsi="宋体"/>
                <w:highlight w:val="none"/>
              </w:rPr>
            </w:pPr>
            <w:r>
              <w:rPr>
                <w:rFonts w:hint="eastAsia" w:hAnsi="宋体"/>
                <w:highlight w:val="none"/>
              </w:rPr>
              <w:t>职       务：</w:t>
            </w:r>
          </w:p>
        </w:tc>
        <w:tc>
          <w:tcPr>
            <w:tcW w:w="3651" w:type="dxa"/>
            <w:tcBorders>
              <w:top w:val="nil"/>
              <w:left w:val="nil"/>
              <w:bottom w:val="nil"/>
              <w:right w:val="nil"/>
            </w:tcBorders>
          </w:tcPr>
          <w:p w14:paraId="59666B4F">
            <w:pPr>
              <w:pStyle w:val="16"/>
              <w:spacing w:line="500" w:lineRule="exact"/>
              <w:ind w:left="420"/>
              <w:rPr>
                <w:rFonts w:hAnsi="宋体"/>
                <w:highlight w:val="none"/>
              </w:rPr>
            </w:pPr>
          </w:p>
        </w:tc>
      </w:tr>
      <w:tr w14:paraId="4F67083B">
        <w:tblPrEx>
          <w:tblCellMar>
            <w:top w:w="0" w:type="dxa"/>
            <w:left w:w="108" w:type="dxa"/>
            <w:bottom w:w="0" w:type="dxa"/>
            <w:right w:w="108" w:type="dxa"/>
          </w:tblCellMar>
        </w:tblPrEx>
        <w:tc>
          <w:tcPr>
            <w:tcW w:w="2217" w:type="dxa"/>
            <w:tcBorders>
              <w:top w:val="nil"/>
              <w:left w:val="nil"/>
              <w:bottom w:val="nil"/>
              <w:right w:val="nil"/>
            </w:tcBorders>
          </w:tcPr>
          <w:p w14:paraId="2BBFDA0C">
            <w:pPr>
              <w:pStyle w:val="16"/>
              <w:spacing w:line="500" w:lineRule="exact"/>
              <w:ind w:left="420"/>
              <w:jc w:val="distribute"/>
              <w:rPr>
                <w:rFonts w:hAnsi="宋体"/>
                <w:highlight w:val="none"/>
              </w:rPr>
            </w:pPr>
            <w:r>
              <w:rPr>
                <w:rFonts w:hint="eastAsia" w:hAnsi="宋体"/>
                <w:highlight w:val="none"/>
              </w:rPr>
              <w:t>身份证号码：</w:t>
            </w:r>
          </w:p>
        </w:tc>
        <w:tc>
          <w:tcPr>
            <w:tcW w:w="3651" w:type="dxa"/>
            <w:tcBorders>
              <w:top w:val="nil"/>
              <w:left w:val="nil"/>
              <w:bottom w:val="nil"/>
              <w:right w:val="nil"/>
            </w:tcBorders>
          </w:tcPr>
          <w:p w14:paraId="0DE1C05E">
            <w:pPr>
              <w:pStyle w:val="16"/>
              <w:spacing w:line="500" w:lineRule="exact"/>
              <w:ind w:left="420"/>
              <w:rPr>
                <w:rFonts w:hAnsi="宋体"/>
                <w:highlight w:val="none"/>
              </w:rPr>
            </w:pPr>
          </w:p>
        </w:tc>
      </w:tr>
      <w:tr w14:paraId="31424E98">
        <w:tblPrEx>
          <w:tblCellMar>
            <w:top w:w="0" w:type="dxa"/>
            <w:left w:w="108" w:type="dxa"/>
            <w:bottom w:w="0" w:type="dxa"/>
            <w:right w:w="108" w:type="dxa"/>
          </w:tblCellMar>
        </w:tblPrEx>
        <w:tc>
          <w:tcPr>
            <w:tcW w:w="2217" w:type="dxa"/>
            <w:tcBorders>
              <w:top w:val="nil"/>
              <w:left w:val="nil"/>
              <w:bottom w:val="nil"/>
              <w:right w:val="nil"/>
            </w:tcBorders>
          </w:tcPr>
          <w:p w14:paraId="034BCDDE">
            <w:pPr>
              <w:pStyle w:val="16"/>
              <w:spacing w:line="500" w:lineRule="exact"/>
              <w:ind w:left="420"/>
              <w:jc w:val="distribute"/>
              <w:rPr>
                <w:rFonts w:hAnsi="宋体"/>
                <w:highlight w:val="none"/>
              </w:rPr>
            </w:pPr>
            <w:r>
              <w:rPr>
                <w:rFonts w:hint="eastAsia" w:hAnsi="宋体"/>
                <w:highlight w:val="none"/>
              </w:rPr>
              <w:t>详 细  地 址：</w:t>
            </w:r>
          </w:p>
        </w:tc>
        <w:tc>
          <w:tcPr>
            <w:tcW w:w="3651" w:type="dxa"/>
            <w:tcBorders>
              <w:top w:val="nil"/>
              <w:left w:val="nil"/>
              <w:bottom w:val="nil"/>
              <w:right w:val="nil"/>
            </w:tcBorders>
          </w:tcPr>
          <w:p w14:paraId="3079EEB7">
            <w:pPr>
              <w:pStyle w:val="16"/>
              <w:spacing w:line="500" w:lineRule="exact"/>
              <w:ind w:left="420"/>
              <w:rPr>
                <w:rFonts w:hAnsi="宋体"/>
                <w:highlight w:val="none"/>
              </w:rPr>
            </w:pPr>
          </w:p>
        </w:tc>
      </w:tr>
      <w:tr w14:paraId="38D8FC07">
        <w:tblPrEx>
          <w:tblCellMar>
            <w:top w:w="0" w:type="dxa"/>
            <w:left w:w="108" w:type="dxa"/>
            <w:bottom w:w="0" w:type="dxa"/>
            <w:right w:w="108" w:type="dxa"/>
          </w:tblCellMar>
        </w:tblPrEx>
        <w:tc>
          <w:tcPr>
            <w:tcW w:w="2217" w:type="dxa"/>
            <w:tcBorders>
              <w:top w:val="nil"/>
              <w:left w:val="nil"/>
              <w:bottom w:val="nil"/>
              <w:right w:val="nil"/>
            </w:tcBorders>
          </w:tcPr>
          <w:p w14:paraId="2135750D">
            <w:pPr>
              <w:pStyle w:val="16"/>
              <w:spacing w:line="500" w:lineRule="exact"/>
              <w:ind w:left="420"/>
              <w:jc w:val="distribute"/>
              <w:rPr>
                <w:rFonts w:hAnsi="宋体"/>
                <w:highlight w:val="none"/>
              </w:rPr>
            </w:pPr>
            <w:r>
              <w:rPr>
                <w:rFonts w:hint="eastAsia" w:hAnsi="宋体"/>
                <w:highlight w:val="none"/>
              </w:rPr>
              <w:t>电       话：</w:t>
            </w:r>
          </w:p>
        </w:tc>
        <w:tc>
          <w:tcPr>
            <w:tcW w:w="3651" w:type="dxa"/>
            <w:tcBorders>
              <w:top w:val="nil"/>
              <w:left w:val="nil"/>
              <w:bottom w:val="nil"/>
              <w:right w:val="nil"/>
            </w:tcBorders>
          </w:tcPr>
          <w:p w14:paraId="3ED497E7">
            <w:pPr>
              <w:pStyle w:val="16"/>
              <w:spacing w:line="500" w:lineRule="exact"/>
              <w:ind w:left="420"/>
              <w:rPr>
                <w:rFonts w:hAnsi="宋体"/>
                <w:highlight w:val="none"/>
              </w:rPr>
            </w:pPr>
          </w:p>
        </w:tc>
      </w:tr>
    </w:tbl>
    <w:p w14:paraId="7B40E152">
      <w:pPr>
        <w:pStyle w:val="16"/>
        <w:spacing w:line="500" w:lineRule="exact"/>
        <w:ind w:left="420" w:firstLine="420"/>
        <w:rPr>
          <w:rFonts w:hAnsi="宋体"/>
          <w:sz w:val="24"/>
          <w:szCs w:val="24"/>
          <w:highlight w:val="none"/>
        </w:rPr>
      </w:pPr>
    </w:p>
    <w:p w14:paraId="49B706AF">
      <w:pPr>
        <w:pStyle w:val="16"/>
        <w:spacing w:line="500" w:lineRule="exact"/>
        <w:ind w:left="420" w:firstLine="420"/>
        <w:rPr>
          <w:rFonts w:hint="eastAsia" w:hAnsi="宋体"/>
          <w:b/>
          <w:bCs/>
          <w:sz w:val="24"/>
          <w:highlight w:val="none"/>
        </w:rPr>
      </w:pPr>
      <w:r>
        <w:rPr>
          <w:rFonts w:hint="eastAsia" w:hAnsi="宋体"/>
          <w:b/>
          <w:bCs/>
          <w:sz w:val="24"/>
          <w:szCs w:val="24"/>
          <w:highlight w:val="none"/>
        </w:rPr>
        <w:t>注</w:t>
      </w:r>
      <w:r>
        <w:rPr>
          <w:rFonts w:hint="eastAsia" w:hAnsi="宋体"/>
          <w:b/>
          <w:bCs/>
          <w:sz w:val="24"/>
          <w:highlight w:val="none"/>
        </w:rPr>
        <w:t>:1.在投标文件中附委托代理人身份证（扫描件）。</w:t>
      </w:r>
    </w:p>
    <w:p w14:paraId="58BE2AF0">
      <w:pPr>
        <w:pStyle w:val="16"/>
        <w:spacing w:line="500" w:lineRule="exact"/>
        <w:ind w:firstLine="1205" w:firstLineChars="500"/>
        <w:rPr>
          <w:rFonts w:hAnsi="宋体"/>
          <w:b/>
          <w:bCs/>
          <w:sz w:val="24"/>
          <w:highlight w:val="none"/>
        </w:rPr>
      </w:pPr>
      <w:r>
        <w:rPr>
          <w:rFonts w:hint="eastAsia" w:hAnsi="宋体"/>
          <w:b/>
          <w:bCs/>
          <w:sz w:val="24"/>
          <w:highlight w:val="none"/>
        </w:rPr>
        <w:t>2.若法定代表人参与投标该内容可不填写。</w:t>
      </w:r>
    </w:p>
    <w:p w14:paraId="7826FAB9">
      <w:pPr>
        <w:widowControl/>
        <w:jc w:val="left"/>
        <w:rPr>
          <w:rFonts w:ascii="宋体" w:hAnsi="宋体"/>
          <w:b/>
          <w:sz w:val="28"/>
          <w:szCs w:val="28"/>
          <w:highlight w:val="none"/>
        </w:rPr>
      </w:pPr>
      <w:r>
        <w:rPr>
          <w:rFonts w:hAnsi="宋体"/>
          <w:b/>
          <w:sz w:val="28"/>
          <w:szCs w:val="28"/>
          <w:highlight w:val="none"/>
        </w:rPr>
        <w:br w:type="page"/>
      </w:r>
    </w:p>
    <w:p w14:paraId="1799C889">
      <w:pPr>
        <w:pStyle w:val="16"/>
        <w:spacing w:line="600" w:lineRule="exact"/>
        <w:jc w:val="left"/>
        <w:rPr>
          <w:rFonts w:hAnsi="宋体"/>
          <w:b/>
          <w:sz w:val="28"/>
          <w:szCs w:val="28"/>
          <w:highlight w:val="none"/>
        </w:rPr>
      </w:pPr>
      <w:r>
        <w:rPr>
          <w:rFonts w:hint="eastAsia" w:hAnsi="宋体"/>
          <w:b/>
          <w:sz w:val="28"/>
          <w:szCs w:val="28"/>
          <w:highlight w:val="none"/>
        </w:rPr>
        <w:t>格式3：</w:t>
      </w:r>
    </w:p>
    <w:p w14:paraId="4C67031B">
      <w:pPr>
        <w:pStyle w:val="5"/>
        <w:jc w:val="center"/>
        <w:rPr>
          <w:rFonts w:ascii="宋体" w:hAnsi="宋体" w:eastAsia="宋体"/>
          <w:sz w:val="32"/>
          <w:szCs w:val="32"/>
          <w:highlight w:val="none"/>
        </w:rPr>
      </w:pPr>
      <w:bookmarkStart w:id="139" w:name="_Toc493600031"/>
      <w:bookmarkStart w:id="140" w:name="_Toc13665019"/>
      <w:bookmarkStart w:id="141" w:name="_Toc101004108"/>
      <w:bookmarkStart w:id="142" w:name="_Toc31126"/>
      <w:r>
        <w:rPr>
          <w:rFonts w:hint="eastAsia" w:ascii="宋体" w:hAnsi="宋体" w:eastAsia="宋体"/>
          <w:sz w:val="32"/>
          <w:szCs w:val="32"/>
          <w:highlight w:val="none"/>
        </w:rPr>
        <w:t>投 标 函</w:t>
      </w:r>
      <w:bookmarkEnd w:id="139"/>
      <w:bookmarkEnd w:id="140"/>
      <w:bookmarkEnd w:id="141"/>
      <w:bookmarkEnd w:id="142"/>
    </w:p>
    <w:p w14:paraId="3FB72924">
      <w:pPr>
        <w:pStyle w:val="16"/>
        <w:spacing w:line="360" w:lineRule="exact"/>
        <w:rPr>
          <w:rFonts w:hAnsi="宋体"/>
          <w:sz w:val="24"/>
          <w:szCs w:val="24"/>
          <w:highlight w:val="none"/>
        </w:rPr>
      </w:pPr>
      <w:r>
        <w:rPr>
          <w:rFonts w:hint="eastAsia" w:hAnsi="宋体"/>
          <w:sz w:val="24"/>
          <w:szCs w:val="24"/>
          <w:highlight w:val="none"/>
        </w:rPr>
        <w:t>致：</w:t>
      </w:r>
      <w:r>
        <w:rPr>
          <w:rFonts w:hint="eastAsia" w:hAnsi="宋体"/>
          <w:sz w:val="24"/>
          <w:szCs w:val="24"/>
          <w:highlight w:val="none"/>
          <w:u w:val="single"/>
        </w:rPr>
        <w:t xml:space="preserve">                    </w:t>
      </w:r>
    </w:p>
    <w:p w14:paraId="43A26015">
      <w:pPr>
        <w:pStyle w:val="16"/>
        <w:spacing w:line="360" w:lineRule="exact"/>
        <w:ind w:firstLine="482"/>
        <w:rPr>
          <w:rFonts w:hAnsi="宋体"/>
          <w:sz w:val="24"/>
          <w:szCs w:val="24"/>
          <w:highlight w:val="none"/>
        </w:rPr>
      </w:pPr>
      <w:r>
        <w:rPr>
          <w:rFonts w:hint="eastAsia" w:hAnsi="宋体"/>
          <w:sz w:val="24"/>
          <w:szCs w:val="24"/>
          <w:highlight w:val="none"/>
        </w:rPr>
        <w:t>我方仔细研究了</w:t>
      </w:r>
      <w:r>
        <w:rPr>
          <w:rFonts w:hint="eastAsia" w:hAnsi="宋体"/>
          <w:sz w:val="24"/>
          <w:szCs w:val="24"/>
          <w:highlight w:val="none"/>
          <w:u w:val="single"/>
        </w:rPr>
        <w:t xml:space="preserve">（采购项目名称）   </w:t>
      </w:r>
      <w:r>
        <w:rPr>
          <w:rFonts w:hint="eastAsia" w:hAnsi="宋体"/>
          <w:sz w:val="24"/>
          <w:szCs w:val="24"/>
          <w:highlight w:val="none"/>
        </w:rPr>
        <w:t>（招标编号：</w:t>
      </w:r>
      <w:r>
        <w:rPr>
          <w:rFonts w:hint="eastAsia" w:hAnsi="宋体"/>
          <w:sz w:val="24"/>
          <w:szCs w:val="24"/>
          <w:highlight w:val="none"/>
          <w:u w:val="single"/>
        </w:rPr>
        <w:t xml:space="preserve">           标段：   </w:t>
      </w:r>
      <w:r>
        <w:rPr>
          <w:rFonts w:hint="eastAsia" w:hAnsi="宋体"/>
          <w:sz w:val="24"/>
          <w:szCs w:val="24"/>
          <w:highlight w:val="none"/>
        </w:rPr>
        <w:t>）</w:t>
      </w:r>
      <w:r>
        <w:rPr>
          <w:rFonts w:hAnsi="宋体"/>
          <w:sz w:val="24"/>
          <w:szCs w:val="24"/>
          <w:highlight w:val="none"/>
        </w:rPr>
        <w:t>项目招标</w:t>
      </w:r>
      <w:r>
        <w:rPr>
          <w:rFonts w:hint="eastAsia" w:hAnsi="宋体"/>
          <w:sz w:val="24"/>
          <w:szCs w:val="24"/>
          <w:highlight w:val="none"/>
        </w:rPr>
        <w:t>文件的全部内容，正式授权</w:t>
      </w:r>
      <w:r>
        <w:rPr>
          <w:rFonts w:hint="eastAsia" w:hAnsi="宋体"/>
          <w:sz w:val="24"/>
          <w:szCs w:val="24"/>
          <w:highlight w:val="none"/>
          <w:u w:val="single"/>
        </w:rPr>
        <w:t xml:space="preserve">   （姓名和职务）     </w:t>
      </w:r>
      <w:r>
        <w:rPr>
          <w:rFonts w:hint="eastAsia" w:hAnsi="宋体"/>
          <w:sz w:val="24"/>
          <w:szCs w:val="24"/>
          <w:highlight w:val="none"/>
        </w:rPr>
        <w:t>全权代表投标人</w:t>
      </w:r>
      <w:r>
        <w:rPr>
          <w:rFonts w:hint="eastAsia" w:hAnsi="宋体"/>
          <w:sz w:val="24"/>
          <w:szCs w:val="24"/>
          <w:highlight w:val="none"/>
          <w:u w:val="single"/>
        </w:rPr>
        <w:t xml:space="preserve">  （投标人全称）   </w:t>
      </w:r>
      <w:r>
        <w:rPr>
          <w:rFonts w:hAnsi="宋体"/>
          <w:sz w:val="24"/>
          <w:szCs w:val="24"/>
          <w:highlight w:val="none"/>
        </w:rPr>
        <w:t>参加投标，并</w:t>
      </w:r>
      <w:r>
        <w:rPr>
          <w:rFonts w:hint="eastAsia" w:hAnsi="宋体"/>
          <w:sz w:val="24"/>
          <w:szCs w:val="24"/>
          <w:highlight w:val="none"/>
        </w:rPr>
        <w:t>提交电子</w:t>
      </w:r>
      <w:r>
        <w:rPr>
          <w:rFonts w:hAnsi="宋体"/>
          <w:sz w:val="24"/>
          <w:szCs w:val="24"/>
          <w:highlight w:val="none"/>
        </w:rPr>
        <w:t>投标</w:t>
      </w:r>
      <w:r>
        <w:rPr>
          <w:rFonts w:hint="eastAsia" w:hAnsi="宋体"/>
          <w:sz w:val="24"/>
          <w:szCs w:val="24"/>
          <w:highlight w:val="none"/>
        </w:rPr>
        <w:t>文件</w:t>
      </w:r>
      <w:r>
        <w:rPr>
          <w:rFonts w:hAnsi="宋体"/>
          <w:sz w:val="24"/>
          <w:szCs w:val="24"/>
          <w:highlight w:val="none"/>
        </w:rPr>
        <w:t>。</w:t>
      </w:r>
    </w:p>
    <w:p w14:paraId="4CBE6362">
      <w:pPr>
        <w:pStyle w:val="16"/>
        <w:spacing w:line="360" w:lineRule="exact"/>
        <w:ind w:firstLine="420"/>
        <w:rPr>
          <w:rFonts w:hAnsi="宋体"/>
          <w:sz w:val="24"/>
          <w:szCs w:val="24"/>
          <w:highlight w:val="none"/>
        </w:rPr>
      </w:pPr>
      <w:r>
        <w:rPr>
          <w:rFonts w:hint="eastAsia" w:hAnsi="宋体"/>
          <w:sz w:val="24"/>
          <w:szCs w:val="24"/>
          <w:highlight w:val="none"/>
        </w:rPr>
        <w:t>据此函，签字人兹宣布同意如下：</w:t>
      </w:r>
    </w:p>
    <w:p w14:paraId="082F47B1">
      <w:pPr>
        <w:pStyle w:val="16"/>
        <w:spacing w:line="360" w:lineRule="exact"/>
        <w:ind w:left="660" w:leftChars="200" w:hanging="240" w:hangingChars="100"/>
        <w:rPr>
          <w:rFonts w:hAnsi="宋体"/>
          <w:sz w:val="24"/>
          <w:szCs w:val="24"/>
          <w:highlight w:val="none"/>
        </w:rPr>
      </w:pPr>
      <w:r>
        <w:rPr>
          <w:rFonts w:hint="eastAsia" w:hAnsi="宋体"/>
          <w:sz w:val="24"/>
          <w:szCs w:val="24"/>
          <w:highlight w:val="none"/>
        </w:rPr>
        <w:t>1、按招标文件项目需求及技术要求和投标报价汇总表，投标总报价（大写）</w:t>
      </w:r>
      <w:r>
        <w:rPr>
          <w:rFonts w:hint="eastAsia" w:hAnsi="宋体"/>
          <w:sz w:val="24"/>
          <w:szCs w:val="24"/>
          <w:highlight w:val="none"/>
          <w:u w:val="single"/>
        </w:rPr>
        <w:t xml:space="preserve">       </w:t>
      </w:r>
      <w:r>
        <w:rPr>
          <w:rFonts w:hint="eastAsia" w:hAnsi="宋体"/>
          <w:sz w:val="24"/>
          <w:szCs w:val="24"/>
          <w:highlight w:val="none"/>
        </w:rPr>
        <w:t>元，人民币(</w:t>
      </w:r>
      <w:r>
        <w:rPr>
          <w:rFonts w:hint="eastAsia" w:hAnsi="宋体"/>
          <w:sz w:val="24"/>
          <w:szCs w:val="24"/>
          <w:highlight w:val="none"/>
          <w:lang w:val="en-US" w:eastAsia="zh-CN"/>
        </w:rPr>
        <w:t>¥</w:t>
      </w:r>
      <w:r>
        <w:rPr>
          <w:rFonts w:hint="eastAsia" w:hAnsi="宋体"/>
          <w:sz w:val="24"/>
          <w:szCs w:val="24"/>
          <w:highlight w:val="none"/>
          <w:u w:val="single"/>
        </w:rPr>
        <w:t xml:space="preserve">       </w:t>
      </w:r>
      <w:r>
        <w:rPr>
          <w:rFonts w:hint="eastAsia" w:hAnsi="宋体"/>
          <w:sz w:val="24"/>
          <w:szCs w:val="24"/>
          <w:highlight w:val="none"/>
        </w:rPr>
        <w:t xml:space="preserve"> )，在</w:t>
      </w:r>
      <w:r>
        <w:rPr>
          <w:rFonts w:hint="eastAsia" w:hAnsi="宋体"/>
          <w:sz w:val="24"/>
          <w:highlight w:val="none"/>
          <w:u w:val="single"/>
        </w:rPr>
        <w:t xml:space="preserve">  （交货期）   </w:t>
      </w:r>
      <w:r>
        <w:rPr>
          <w:rFonts w:hint="eastAsia" w:hAnsi="宋体"/>
          <w:sz w:val="24"/>
          <w:highlight w:val="none"/>
        </w:rPr>
        <w:t>完成交货</w:t>
      </w:r>
      <w:r>
        <w:rPr>
          <w:rFonts w:hint="eastAsia" w:hAnsi="宋体"/>
          <w:sz w:val="24"/>
          <w:szCs w:val="24"/>
          <w:highlight w:val="none"/>
        </w:rPr>
        <w:t>。</w:t>
      </w:r>
    </w:p>
    <w:p w14:paraId="4B96DC95">
      <w:pPr>
        <w:pStyle w:val="16"/>
        <w:spacing w:line="360" w:lineRule="exact"/>
        <w:ind w:firstLine="420"/>
        <w:rPr>
          <w:rFonts w:hAnsi="宋体"/>
          <w:spacing w:val="-10"/>
          <w:sz w:val="24"/>
          <w:highlight w:val="none"/>
        </w:rPr>
      </w:pPr>
      <w:r>
        <w:rPr>
          <w:rFonts w:hint="eastAsia" w:hAnsi="宋体"/>
          <w:sz w:val="24"/>
          <w:highlight w:val="none"/>
        </w:rPr>
        <w:t>2、</w:t>
      </w:r>
      <w:r>
        <w:rPr>
          <w:rFonts w:hint="eastAsia" w:hAnsi="宋体"/>
          <w:spacing w:val="-10"/>
          <w:sz w:val="24"/>
          <w:highlight w:val="none"/>
        </w:rPr>
        <w:t>我方已</w:t>
      </w:r>
      <w:r>
        <w:rPr>
          <w:rFonts w:hAnsi="宋体"/>
          <w:spacing w:val="-10"/>
          <w:sz w:val="24"/>
          <w:highlight w:val="none"/>
        </w:rPr>
        <w:t>详细审查全部招标文件，包括</w:t>
      </w:r>
      <w:r>
        <w:rPr>
          <w:rFonts w:hint="eastAsia" w:hAnsi="宋体"/>
          <w:i w:val="0"/>
          <w:iCs/>
          <w:spacing w:val="-10"/>
          <w:sz w:val="24"/>
          <w:highlight w:val="none"/>
          <w:u w:val="single"/>
        </w:rPr>
        <w:t>（澄清</w:t>
      </w:r>
      <w:r>
        <w:rPr>
          <w:rFonts w:hAnsi="宋体"/>
          <w:i w:val="0"/>
          <w:iCs/>
          <w:spacing w:val="-10"/>
          <w:sz w:val="24"/>
          <w:highlight w:val="none"/>
          <w:u w:val="single"/>
        </w:rPr>
        <w:t>文件</w:t>
      </w:r>
      <w:r>
        <w:rPr>
          <w:rFonts w:hint="eastAsia" w:hAnsi="宋体"/>
          <w:i w:val="0"/>
          <w:iCs/>
          <w:spacing w:val="-10"/>
          <w:sz w:val="24"/>
          <w:highlight w:val="none"/>
          <w:u w:val="single"/>
        </w:rPr>
        <w:t>）</w:t>
      </w:r>
      <w:r>
        <w:rPr>
          <w:rFonts w:hAnsi="宋体"/>
          <w:i w:val="0"/>
          <w:iCs/>
          <w:spacing w:val="-10"/>
          <w:sz w:val="24"/>
          <w:highlight w:val="none"/>
          <w:u w:val="single"/>
        </w:rPr>
        <w:t>(如果有</w:t>
      </w:r>
      <w:r>
        <w:rPr>
          <w:rFonts w:hAnsi="宋体"/>
          <w:spacing w:val="-10"/>
          <w:sz w:val="24"/>
          <w:highlight w:val="none"/>
          <w:u w:val="single"/>
        </w:rPr>
        <w:t>的话)</w:t>
      </w:r>
      <w:r>
        <w:rPr>
          <w:rFonts w:hAnsi="宋体"/>
          <w:spacing w:val="-10"/>
          <w:sz w:val="24"/>
          <w:highlight w:val="none"/>
        </w:rPr>
        <w:t>。我</w:t>
      </w:r>
      <w:r>
        <w:rPr>
          <w:rFonts w:hint="eastAsia" w:hAnsi="宋体"/>
          <w:spacing w:val="-10"/>
          <w:sz w:val="24"/>
          <w:highlight w:val="none"/>
        </w:rPr>
        <w:t>方</w:t>
      </w:r>
      <w:r>
        <w:rPr>
          <w:rFonts w:hAnsi="宋体"/>
          <w:spacing w:val="-10"/>
          <w:sz w:val="24"/>
          <w:highlight w:val="none"/>
        </w:rPr>
        <w:t>完全理解</w:t>
      </w:r>
      <w:r>
        <w:rPr>
          <w:rFonts w:hint="eastAsia" w:hAnsi="宋体"/>
          <w:spacing w:val="-10"/>
          <w:sz w:val="24"/>
          <w:highlight w:val="none"/>
        </w:rPr>
        <w:t>相关文件要求，</w:t>
      </w:r>
      <w:r>
        <w:rPr>
          <w:rFonts w:hAnsi="宋体"/>
          <w:spacing w:val="-10"/>
          <w:sz w:val="24"/>
          <w:highlight w:val="none"/>
        </w:rPr>
        <w:t>并</w:t>
      </w:r>
      <w:r>
        <w:rPr>
          <w:rFonts w:hint="eastAsia" w:hAnsi="宋体"/>
          <w:spacing w:val="-10"/>
          <w:sz w:val="24"/>
          <w:highlight w:val="none"/>
        </w:rPr>
        <w:t>承担</w:t>
      </w:r>
      <w:r>
        <w:rPr>
          <w:rFonts w:hAnsi="宋体"/>
          <w:spacing w:val="-10"/>
          <w:sz w:val="24"/>
          <w:highlight w:val="none"/>
        </w:rPr>
        <w:t>对这方面有不明及误解的</w:t>
      </w:r>
      <w:r>
        <w:rPr>
          <w:rFonts w:hint="eastAsia" w:hAnsi="宋体"/>
          <w:spacing w:val="-10"/>
          <w:sz w:val="24"/>
          <w:highlight w:val="none"/>
        </w:rPr>
        <w:t>后果</w:t>
      </w:r>
      <w:r>
        <w:rPr>
          <w:rFonts w:hAnsi="宋体"/>
          <w:spacing w:val="-10"/>
          <w:sz w:val="24"/>
          <w:highlight w:val="none"/>
        </w:rPr>
        <w:t>。</w:t>
      </w:r>
    </w:p>
    <w:p w14:paraId="0A2E456C">
      <w:pPr>
        <w:pStyle w:val="16"/>
        <w:spacing w:line="360" w:lineRule="exact"/>
        <w:ind w:firstLine="420"/>
        <w:rPr>
          <w:rFonts w:hAnsi="宋体"/>
          <w:sz w:val="24"/>
          <w:highlight w:val="none"/>
        </w:rPr>
      </w:pPr>
      <w:r>
        <w:rPr>
          <w:rFonts w:hint="eastAsia" w:hAnsi="宋体"/>
          <w:sz w:val="24"/>
          <w:szCs w:val="24"/>
          <w:highlight w:val="none"/>
        </w:rPr>
        <w:t>3、在投标人须知规定的开标日期起遵循本投标文件，并在投标人须知第17.1条规定的投标文件有效期满之前均具有约束力。</w:t>
      </w:r>
    </w:p>
    <w:p w14:paraId="3D0A99D6">
      <w:pPr>
        <w:pStyle w:val="16"/>
        <w:spacing w:line="360" w:lineRule="exact"/>
        <w:ind w:firstLine="420"/>
        <w:rPr>
          <w:rFonts w:hAnsi="宋体"/>
          <w:sz w:val="24"/>
          <w:szCs w:val="24"/>
          <w:highlight w:val="none"/>
        </w:rPr>
      </w:pPr>
      <w:r>
        <w:rPr>
          <w:rFonts w:hint="eastAsia" w:hAnsi="宋体"/>
          <w:sz w:val="24"/>
          <w:szCs w:val="24"/>
          <w:highlight w:val="none"/>
        </w:rPr>
        <w:t>4、</w:t>
      </w:r>
      <w:r>
        <w:rPr>
          <w:rFonts w:hAnsi="宋体"/>
          <w:sz w:val="24"/>
          <w:highlight w:val="none"/>
        </w:rPr>
        <w:t>同意投标人须知中关于投标保证金不予退还的规定。</w:t>
      </w:r>
    </w:p>
    <w:p w14:paraId="7B1E1531">
      <w:pPr>
        <w:pStyle w:val="16"/>
        <w:spacing w:line="360" w:lineRule="exact"/>
        <w:ind w:firstLine="420"/>
        <w:rPr>
          <w:rFonts w:hAnsi="宋体"/>
          <w:sz w:val="24"/>
          <w:szCs w:val="24"/>
          <w:highlight w:val="none"/>
        </w:rPr>
      </w:pPr>
      <w:r>
        <w:rPr>
          <w:rFonts w:hint="eastAsia" w:hAnsi="宋体"/>
          <w:sz w:val="24"/>
          <w:szCs w:val="24"/>
          <w:highlight w:val="none"/>
        </w:rPr>
        <w:t>5、同意应贵方要求提供与本投标有关的任何数据或资料</w:t>
      </w:r>
      <w:r>
        <w:rPr>
          <w:rFonts w:hAnsi="宋体"/>
          <w:sz w:val="24"/>
          <w:szCs w:val="24"/>
          <w:highlight w:val="none"/>
        </w:rPr>
        <w:t>，并保证数据和资料的完整性和真实性。</w:t>
      </w:r>
    </w:p>
    <w:p w14:paraId="09019159">
      <w:pPr>
        <w:pStyle w:val="16"/>
        <w:spacing w:line="360" w:lineRule="exact"/>
        <w:ind w:firstLine="420"/>
        <w:rPr>
          <w:rFonts w:hAnsi="宋体"/>
          <w:sz w:val="24"/>
          <w:szCs w:val="24"/>
          <w:highlight w:val="none"/>
        </w:rPr>
      </w:pPr>
      <w:r>
        <w:rPr>
          <w:rFonts w:hint="eastAsia" w:hAnsi="宋体"/>
          <w:sz w:val="24"/>
          <w:szCs w:val="24"/>
          <w:highlight w:val="none"/>
        </w:rPr>
        <w:t>6、完全理解贵方不一定要接受最低报价的投标人为中标人的行为。</w:t>
      </w:r>
    </w:p>
    <w:p w14:paraId="742C3CA1">
      <w:pPr>
        <w:pStyle w:val="16"/>
        <w:spacing w:line="360" w:lineRule="exact"/>
        <w:ind w:firstLine="420"/>
        <w:rPr>
          <w:rFonts w:hAnsi="宋体"/>
          <w:sz w:val="24"/>
          <w:szCs w:val="24"/>
          <w:highlight w:val="none"/>
        </w:rPr>
      </w:pPr>
      <w:r>
        <w:rPr>
          <w:rFonts w:hint="eastAsia" w:hAnsi="宋体"/>
          <w:sz w:val="24"/>
          <w:szCs w:val="24"/>
          <w:highlight w:val="none"/>
        </w:rPr>
        <w:t>7、</w:t>
      </w:r>
      <w:r>
        <w:rPr>
          <w:rFonts w:hAnsi="宋体"/>
          <w:sz w:val="24"/>
          <w:szCs w:val="24"/>
          <w:highlight w:val="none"/>
        </w:rPr>
        <w:t>如我方中标：</w:t>
      </w:r>
    </w:p>
    <w:p w14:paraId="4087DCBB">
      <w:pPr>
        <w:pStyle w:val="16"/>
        <w:spacing w:line="360" w:lineRule="exact"/>
        <w:ind w:firstLine="420"/>
        <w:rPr>
          <w:rFonts w:hAnsi="宋体"/>
          <w:sz w:val="24"/>
          <w:szCs w:val="24"/>
          <w:highlight w:val="none"/>
        </w:rPr>
      </w:pPr>
      <w:r>
        <w:rPr>
          <w:rFonts w:hAnsi="宋体"/>
          <w:sz w:val="24"/>
          <w:szCs w:val="24"/>
          <w:highlight w:val="none"/>
        </w:rPr>
        <w:t>（1）我方承诺在收到中标通知书后，在中标通知书规定的期限内与你方签订合同</w:t>
      </w:r>
      <w:r>
        <w:rPr>
          <w:rFonts w:hint="eastAsia" w:hAnsi="宋体"/>
          <w:sz w:val="24"/>
          <w:szCs w:val="24"/>
          <w:highlight w:val="none"/>
        </w:rPr>
        <w:t>，并</w:t>
      </w:r>
      <w:r>
        <w:rPr>
          <w:rFonts w:hAnsi="宋体"/>
          <w:sz w:val="24"/>
          <w:szCs w:val="24"/>
          <w:highlight w:val="none"/>
        </w:rPr>
        <w:t>履行</w:t>
      </w:r>
      <w:r>
        <w:rPr>
          <w:rFonts w:hint="eastAsia" w:hAnsi="宋体"/>
          <w:sz w:val="24"/>
          <w:szCs w:val="24"/>
          <w:highlight w:val="none"/>
        </w:rPr>
        <w:t>相应的</w:t>
      </w:r>
      <w:r>
        <w:rPr>
          <w:rFonts w:hAnsi="宋体"/>
          <w:sz w:val="24"/>
          <w:szCs w:val="24"/>
          <w:highlight w:val="none"/>
        </w:rPr>
        <w:t>合同责任和义务。</w:t>
      </w:r>
    </w:p>
    <w:p w14:paraId="27AB2CFA">
      <w:pPr>
        <w:pStyle w:val="16"/>
        <w:spacing w:line="360" w:lineRule="exact"/>
        <w:ind w:firstLine="420"/>
        <w:rPr>
          <w:rFonts w:hAnsi="宋体"/>
          <w:sz w:val="24"/>
          <w:szCs w:val="24"/>
          <w:highlight w:val="none"/>
        </w:rPr>
      </w:pPr>
      <w:r>
        <w:rPr>
          <w:rFonts w:hAnsi="宋体"/>
          <w:sz w:val="24"/>
          <w:szCs w:val="24"/>
          <w:highlight w:val="none"/>
        </w:rPr>
        <w:t>（2）我方承诺按照招标文件规定向你方递交履约担保。</w:t>
      </w:r>
    </w:p>
    <w:p w14:paraId="2BBF49F7">
      <w:pPr>
        <w:pStyle w:val="16"/>
        <w:spacing w:line="360" w:lineRule="exact"/>
        <w:ind w:firstLine="420"/>
        <w:rPr>
          <w:rFonts w:hAnsi="宋体"/>
          <w:sz w:val="24"/>
          <w:szCs w:val="24"/>
          <w:highlight w:val="none"/>
        </w:rPr>
      </w:pPr>
      <w:r>
        <w:rPr>
          <w:rFonts w:hint="eastAsia" w:hAnsi="宋体"/>
          <w:sz w:val="24"/>
          <w:szCs w:val="24"/>
          <w:highlight w:val="none"/>
        </w:rPr>
        <w:t>（3）</w:t>
      </w:r>
      <w:r>
        <w:rPr>
          <w:rFonts w:hAnsi="宋体"/>
          <w:sz w:val="24"/>
          <w:szCs w:val="24"/>
          <w:highlight w:val="none"/>
        </w:rPr>
        <w:t>我方承诺</w:t>
      </w:r>
      <w:r>
        <w:rPr>
          <w:rFonts w:hint="eastAsia" w:hAnsi="宋体"/>
          <w:sz w:val="24"/>
          <w:szCs w:val="24"/>
          <w:highlight w:val="none"/>
        </w:rPr>
        <w:t>将承担售后服务及保修责任。</w:t>
      </w:r>
    </w:p>
    <w:p w14:paraId="06678BD9">
      <w:pPr>
        <w:pStyle w:val="16"/>
        <w:spacing w:line="360" w:lineRule="exact"/>
        <w:ind w:firstLine="420"/>
        <w:rPr>
          <w:rFonts w:hAnsi="宋体"/>
          <w:sz w:val="24"/>
          <w:szCs w:val="24"/>
          <w:highlight w:val="none"/>
        </w:rPr>
      </w:pPr>
      <w:r>
        <w:rPr>
          <w:rFonts w:hint="eastAsia" w:hAnsi="宋体"/>
          <w:sz w:val="24"/>
          <w:szCs w:val="24"/>
          <w:highlight w:val="none"/>
        </w:rPr>
        <w:t>8、我方在此声明，所递交的投标文件及有关资料内容完整、真实和准确。</w:t>
      </w:r>
    </w:p>
    <w:p w14:paraId="3D5EE86F">
      <w:pPr>
        <w:pStyle w:val="16"/>
        <w:spacing w:line="360" w:lineRule="exact"/>
        <w:ind w:firstLine="420"/>
        <w:rPr>
          <w:rFonts w:hAnsi="宋体"/>
          <w:sz w:val="24"/>
          <w:szCs w:val="24"/>
          <w:highlight w:val="none"/>
        </w:rPr>
      </w:pPr>
      <w:r>
        <w:rPr>
          <w:rFonts w:hint="eastAsia" w:hAnsi="宋体"/>
          <w:sz w:val="24"/>
          <w:szCs w:val="24"/>
          <w:highlight w:val="none"/>
        </w:rPr>
        <w:t>9、</w:t>
      </w:r>
      <w:r>
        <w:rPr>
          <w:rFonts w:hAnsi="宋体"/>
          <w:sz w:val="24"/>
          <w:szCs w:val="24"/>
          <w:highlight w:val="none"/>
          <w:u w:val="single"/>
        </w:rPr>
        <w:t xml:space="preserve">                                       </w:t>
      </w:r>
      <w:r>
        <w:rPr>
          <w:rFonts w:hAnsi="宋体"/>
          <w:sz w:val="24"/>
          <w:szCs w:val="24"/>
          <w:highlight w:val="none"/>
        </w:rPr>
        <w:t>（</w:t>
      </w:r>
      <w:r>
        <w:rPr>
          <w:rFonts w:hint="eastAsia" w:hAnsi="宋体"/>
          <w:sz w:val="24"/>
          <w:szCs w:val="24"/>
          <w:highlight w:val="none"/>
        </w:rPr>
        <w:t>其他</w:t>
      </w:r>
      <w:r>
        <w:rPr>
          <w:rFonts w:hAnsi="宋体"/>
          <w:sz w:val="24"/>
          <w:szCs w:val="24"/>
          <w:highlight w:val="none"/>
        </w:rPr>
        <w:t>补充说明）。</w:t>
      </w:r>
    </w:p>
    <w:p w14:paraId="33E100F8">
      <w:pPr>
        <w:pStyle w:val="16"/>
        <w:spacing w:line="360" w:lineRule="exact"/>
        <w:ind w:firstLine="420"/>
        <w:rPr>
          <w:rFonts w:hAnsi="宋体"/>
          <w:sz w:val="24"/>
          <w:szCs w:val="24"/>
          <w:highlight w:val="none"/>
        </w:rPr>
      </w:pPr>
    </w:p>
    <w:p w14:paraId="1862297E">
      <w:pPr>
        <w:pStyle w:val="16"/>
        <w:spacing w:line="360" w:lineRule="exact"/>
        <w:ind w:firstLine="420"/>
        <w:rPr>
          <w:rFonts w:hAnsi="宋体"/>
          <w:sz w:val="24"/>
          <w:szCs w:val="24"/>
          <w:highlight w:val="none"/>
        </w:rPr>
      </w:pPr>
      <w:r>
        <w:rPr>
          <w:rFonts w:hint="eastAsia" w:hAnsi="宋体"/>
          <w:sz w:val="24"/>
          <w:szCs w:val="24"/>
          <w:highlight w:val="none"/>
        </w:rPr>
        <w:t>与本投标有关的正式通讯地址为：</w:t>
      </w:r>
    </w:p>
    <w:p w14:paraId="7658FB9E">
      <w:pPr>
        <w:pStyle w:val="16"/>
        <w:spacing w:line="360" w:lineRule="exact"/>
        <w:ind w:firstLine="420"/>
        <w:rPr>
          <w:rFonts w:hAnsi="宋体"/>
          <w:sz w:val="24"/>
          <w:szCs w:val="24"/>
          <w:highlight w:val="none"/>
        </w:rPr>
      </w:pPr>
      <w:r>
        <w:rPr>
          <w:rFonts w:hint="eastAsia" w:hAnsi="宋体"/>
          <w:sz w:val="24"/>
          <w:szCs w:val="24"/>
          <w:highlight w:val="none"/>
        </w:rPr>
        <w:t>地址：</w:t>
      </w:r>
      <w:r>
        <w:rPr>
          <w:rFonts w:hint="eastAsia" w:hAnsi="宋体"/>
          <w:sz w:val="24"/>
          <w:szCs w:val="24"/>
          <w:highlight w:val="none"/>
          <w:u w:val="single"/>
        </w:rPr>
        <w:t xml:space="preserve">                                </w:t>
      </w:r>
      <w:r>
        <w:rPr>
          <w:rFonts w:hint="eastAsia" w:hAnsi="宋体"/>
          <w:sz w:val="24"/>
          <w:szCs w:val="24"/>
          <w:highlight w:val="none"/>
        </w:rPr>
        <w:t xml:space="preserve"> 邮政编码：</w:t>
      </w:r>
      <w:r>
        <w:rPr>
          <w:rFonts w:hint="eastAsia" w:hAnsi="宋体"/>
          <w:sz w:val="24"/>
          <w:szCs w:val="24"/>
          <w:highlight w:val="none"/>
          <w:u w:val="single"/>
        </w:rPr>
        <w:t xml:space="preserve">             </w:t>
      </w:r>
    </w:p>
    <w:p w14:paraId="1077166E">
      <w:pPr>
        <w:pStyle w:val="16"/>
        <w:spacing w:line="360" w:lineRule="exact"/>
        <w:ind w:firstLine="420"/>
        <w:rPr>
          <w:rFonts w:hAnsi="宋体"/>
          <w:sz w:val="24"/>
          <w:szCs w:val="24"/>
          <w:highlight w:val="none"/>
          <w:u w:val="single"/>
        </w:rPr>
      </w:pPr>
      <w:r>
        <w:rPr>
          <w:rFonts w:hint="eastAsia" w:hAnsi="宋体"/>
          <w:sz w:val="24"/>
          <w:szCs w:val="24"/>
          <w:highlight w:val="none"/>
        </w:rPr>
        <w:t>电话：</w:t>
      </w:r>
      <w:r>
        <w:rPr>
          <w:rFonts w:hint="eastAsia" w:hAnsi="宋体"/>
          <w:sz w:val="24"/>
          <w:szCs w:val="24"/>
          <w:highlight w:val="none"/>
          <w:u w:val="single"/>
        </w:rPr>
        <w:t xml:space="preserve">                                 </w:t>
      </w:r>
      <w:r>
        <w:rPr>
          <w:rFonts w:hint="eastAsia" w:hAnsi="宋体"/>
          <w:sz w:val="24"/>
          <w:szCs w:val="24"/>
          <w:highlight w:val="none"/>
        </w:rPr>
        <w:t>传真：</w:t>
      </w:r>
      <w:r>
        <w:rPr>
          <w:rFonts w:hint="eastAsia" w:hAnsi="宋体"/>
          <w:sz w:val="24"/>
          <w:szCs w:val="24"/>
          <w:highlight w:val="none"/>
          <w:u w:val="single"/>
        </w:rPr>
        <w:t xml:space="preserve"> </w:t>
      </w:r>
      <w:r>
        <w:rPr>
          <w:rFonts w:hAnsi="宋体"/>
          <w:sz w:val="24"/>
          <w:szCs w:val="24"/>
          <w:highlight w:val="none"/>
          <w:u w:val="single"/>
        </w:rPr>
        <w:t xml:space="preserve">                </w:t>
      </w:r>
    </w:p>
    <w:p w14:paraId="5E8CA873">
      <w:pPr>
        <w:pStyle w:val="16"/>
        <w:spacing w:line="360" w:lineRule="exact"/>
        <w:ind w:firstLine="420"/>
        <w:rPr>
          <w:rFonts w:hAnsi="宋体"/>
          <w:sz w:val="24"/>
          <w:szCs w:val="24"/>
          <w:highlight w:val="none"/>
          <w:u w:val="single"/>
        </w:rPr>
      </w:pPr>
      <w:r>
        <w:rPr>
          <w:rFonts w:hint="eastAsia" w:hAnsi="宋体"/>
          <w:sz w:val="24"/>
          <w:szCs w:val="24"/>
          <w:highlight w:val="none"/>
        </w:rPr>
        <w:t>开户名称：</w:t>
      </w:r>
      <w:r>
        <w:rPr>
          <w:rFonts w:hint="eastAsia" w:hAnsi="宋体"/>
          <w:sz w:val="24"/>
          <w:szCs w:val="24"/>
          <w:highlight w:val="none"/>
          <w:u w:val="single"/>
        </w:rPr>
        <w:t xml:space="preserve">                                                    </w:t>
      </w:r>
    </w:p>
    <w:p w14:paraId="133E0FFA">
      <w:pPr>
        <w:pStyle w:val="16"/>
        <w:spacing w:line="360" w:lineRule="exact"/>
        <w:ind w:firstLine="420"/>
        <w:rPr>
          <w:rFonts w:hAnsi="宋体"/>
          <w:sz w:val="24"/>
          <w:szCs w:val="24"/>
          <w:highlight w:val="none"/>
          <w:u w:val="single"/>
        </w:rPr>
      </w:pPr>
      <w:r>
        <w:rPr>
          <w:rFonts w:hint="eastAsia" w:hAnsi="宋体"/>
          <w:sz w:val="24"/>
          <w:szCs w:val="24"/>
          <w:highlight w:val="none"/>
        </w:rPr>
        <w:t>开户银行：</w:t>
      </w:r>
      <w:r>
        <w:rPr>
          <w:rFonts w:hint="eastAsia" w:hAnsi="宋体"/>
          <w:sz w:val="24"/>
          <w:szCs w:val="24"/>
          <w:highlight w:val="none"/>
          <w:u w:val="single"/>
        </w:rPr>
        <w:t xml:space="preserve">                                                    </w:t>
      </w:r>
    </w:p>
    <w:p w14:paraId="0E81C58C">
      <w:pPr>
        <w:pStyle w:val="16"/>
        <w:spacing w:line="360" w:lineRule="exact"/>
        <w:ind w:firstLine="420"/>
        <w:rPr>
          <w:rFonts w:hAnsi="宋体"/>
          <w:sz w:val="24"/>
          <w:szCs w:val="24"/>
          <w:highlight w:val="none"/>
          <w:u w:val="single"/>
        </w:rPr>
      </w:pPr>
      <w:r>
        <w:rPr>
          <w:rFonts w:hint="eastAsia" w:hAnsi="宋体"/>
          <w:sz w:val="24"/>
          <w:szCs w:val="24"/>
          <w:highlight w:val="none"/>
          <w:lang w:eastAsia="zh-CN"/>
        </w:rPr>
        <w:t>账    号：</w:t>
      </w:r>
      <w:r>
        <w:rPr>
          <w:rFonts w:hint="eastAsia" w:hAnsi="宋体"/>
          <w:sz w:val="24"/>
          <w:szCs w:val="24"/>
          <w:highlight w:val="none"/>
          <w:u w:val="single"/>
        </w:rPr>
        <w:t xml:space="preserve">                                                    </w:t>
      </w:r>
    </w:p>
    <w:p w14:paraId="6ED1D07C">
      <w:pPr>
        <w:pStyle w:val="16"/>
        <w:spacing w:line="360" w:lineRule="exact"/>
        <w:ind w:firstLine="420"/>
        <w:rPr>
          <w:rFonts w:hAnsi="宋体"/>
          <w:sz w:val="24"/>
          <w:szCs w:val="24"/>
          <w:highlight w:val="none"/>
        </w:rPr>
      </w:pPr>
      <w:r>
        <w:rPr>
          <w:rFonts w:hint="eastAsia" w:hAnsi="宋体"/>
          <w:sz w:val="24"/>
          <w:szCs w:val="24"/>
          <w:highlight w:val="none"/>
        </w:rPr>
        <w:t>投标人（电子签章）：</w:t>
      </w:r>
      <w:r>
        <w:rPr>
          <w:rFonts w:hint="eastAsia" w:hAnsi="宋体"/>
          <w:sz w:val="24"/>
          <w:szCs w:val="24"/>
          <w:highlight w:val="none"/>
          <w:u w:val="single"/>
        </w:rPr>
        <w:t xml:space="preserve">                       </w:t>
      </w:r>
    </w:p>
    <w:p w14:paraId="15BB2181">
      <w:pPr>
        <w:pStyle w:val="16"/>
        <w:spacing w:line="360" w:lineRule="exact"/>
        <w:ind w:firstLine="420"/>
        <w:rPr>
          <w:rFonts w:hAnsi="宋体"/>
          <w:sz w:val="24"/>
          <w:szCs w:val="24"/>
          <w:highlight w:val="none"/>
        </w:rPr>
      </w:pPr>
      <w:r>
        <w:rPr>
          <w:rFonts w:hint="eastAsia" w:hAnsi="宋体"/>
          <w:sz w:val="24"/>
          <w:szCs w:val="24"/>
          <w:highlight w:val="none"/>
        </w:rPr>
        <w:t>法定代表人（</w:t>
      </w:r>
      <w:r>
        <w:rPr>
          <w:rFonts w:hint="eastAsia" w:ascii="宋体" w:hAnsi="宋体"/>
          <w:sz w:val="24"/>
          <w:highlight w:val="none"/>
        </w:rPr>
        <w:t>电子签名</w:t>
      </w:r>
      <w:r>
        <w:rPr>
          <w:rFonts w:hint="eastAsia" w:ascii="宋体" w:hAnsi="宋体"/>
          <w:sz w:val="24"/>
          <w:highlight w:val="none"/>
          <w:lang w:val="en-US" w:eastAsia="zh-CN"/>
        </w:rPr>
        <w:t>或电子签章</w:t>
      </w:r>
      <w:r>
        <w:rPr>
          <w:rFonts w:hint="eastAsia" w:hAnsi="宋体"/>
          <w:sz w:val="24"/>
          <w:szCs w:val="24"/>
          <w:highlight w:val="none"/>
        </w:rPr>
        <w:t>）：</w:t>
      </w:r>
      <w:r>
        <w:rPr>
          <w:rFonts w:hint="eastAsia" w:hAnsi="宋体"/>
          <w:sz w:val="24"/>
          <w:szCs w:val="24"/>
          <w:highlight w:val="none"/>
          <w:u w:val="single"/>
        </w:rPr>
        <w:t xml:space="preserve">                       </w:t>
      </w:r>
      <w:r>
        <w:rPr>
          <w:rFonts w:hint="eastAsia" w:hAnsi="宋体"/>
          <w:sz w:val="24"/>
          <w:szCs w:val="24"/>
          <w:highlight w:val="none"/>
        </w:rPr>
        <w:t xml:space="preserve">                </w:t>
      </w:r>
    </w:p>
    <w:p w14:paraId="4444021A">
      <w:pPr>
        <w:spacing w:line="360" w:lineRule="auto"/>
        <w:ind w:firstLine="480" w:firstLineChars="200"/>
        <w:rPr>
          <w:rFonts w:ascii="宋体" w:hAnsi="宋体"/>
          <w:b/>
          <w:sz w:val="24"/>
          <w:highlight w:val="none"/>
        </w:rPr>
      </w:pPr>
      <w:r>
        <w:rPr>
          <w:rFonts w:hint="eastAsia" w:ascii="宋体" w:hAnsi="宋体"/>
          <w:sz w:val="24"/>
          <w:highlight w:val="none"/>
        </w:rPr>
        <w:t>日期：</w:t>
      </w:r>
      <w:r>
        <w:rPr>
          <w:rFonts w:hint="eastAsia" w:ascii="宋体" w:hAnsi="宋体"/>
          <w:sz w:val="24"/>
          <w:highlight w:val="none"/>
          <w:u w:val="single"/>
          <w:lang w:val="en-US" w:eastAsia="zh-CN"/>
        </w:rPr>
        <w:t xml:space="preserve">    </w:t>
      </w:r>
      <w:r>
        <w:rPr>
          <w:rFonts w:hint="eastAsia" w:ascii="宋体" w:hAnsi="宋体"/>
          <w:sz w:val="24"/>
          <w:highlight w:val="none"/>
        </w:rPr>
        <w:t>年</w:t>
      </w:r>
      <w:r>
        <w:rPr>
          <w:rFonts w:hint="eastAsia" w:ascii="宋体" w:hAnsi="宋体"/>
          <w:sz w:val="24"/>
          <w:highlight w:val="none"/>
          <w:u w:val="single"/>
          <w:lang w:val="en-US" w:eastAsia="zh-CN"/>
        </w:rPr>
        <w:t xml:space="preserve">   </w:t>
      </w:r>
      <w:r>
        <w:rPr>
          <w:rFonts w:hint="eastAsia" w:ascii="宋体" w:hAnsi="宋体"/>
          <w:sz w:val="24"/>
          <w:highlight w:val="none"/>
        </w:rPr>
        <w:t>月</w:t>
      </w:r>
      <w:r>
        <w:rPr>
          <w:rFonts w:hint="eastAsia" w:ascii="宋体" w:hAnsi="宋体"/>
          <w:sz w:val="24"/>
          <w:highlight w:val="none"/>
          <w:u w:val="single"/>
          <w:lang w:val="en-US" w:eastAsia="zh-CN"/>
        </w:rPr>
        <w:t xml:space="preserve">   </w:t>
      </w:r>
      <w:r>
        <w:rPr>
          <w:rFonts w:hint="eastAsia" w:ascii="宋体" w:hAnsi="宋体"/>
          <w:sz w:val="24"/>
          <w:highlight w:val="none"/>
        </w:rPr>
        <w:t>日</w:t>
      </w:r>
    </w:p>
    <w:p w14:paraId="454F907E">
      <w:pPr>
        <w:pStyle w:val="16"/>
        <w:spacing w:line="360" w:lineRule="exact"/>
        <w:ind w:firstLine="420"/>
        <w:rPr>
          <w:rFonts w:hAnsi="宋体"/>
          <w:sz w:val="24"/>
          <w:szCs w:val="24"/>
          <w:highlight w:val="none"/>
        </w:rPr>
      </w:pPr>
    </w:p>
    <w:p w14:paraId="0937C8B1">
      <w:pPr>
        <w:pStyle w:val="16"/>
        <w:spacing w:line="600" w:lineRule="exact"/>
        <w:jc w:val="left"/>
        <w:rPr>
          <w:rFonts w:hAnsi="宋体"/>
          <w:highlight w:val="none"/>
        </w:rPr>
        <w:sectPr>
          <w:headerReference r:id="rId7" w:type="first"/>
          <w:footerReference r:id="rId9" w:type="first"/>
          <w:footerReference r:id="rId8" w:type="default"/>
          <w:pgSz w:w="11906" w:h="16838"/>
          <w:pgMar w:top="1134" w:right="1276" w:bottom="1134" w:left="1276" w:header="680" w:footer="680" w:gutter="0"/>
          <w:pgBorders>
            <w:top w:val="none" w:sz="0" w:space="0"/>
            <w:left w:val="none" w:sz="0" w:space="0"/>
            <w:bottom w:val="none" w:sz="0" w:space="0"/>
            <w:right w:val="none" w:sz="0" w:space="0"/>
          </w:pgBorders>
          <w:pgNumType w:fmt="decimal" w:start="1"/>
          <w:cols w:space="720" w:num="1"/>
          <w:titlePg/>
          <w:docGrid w:linePitch="331" w:charSpace="0"/>
        </w:sectPr>
      </w:pPr>
      <w:r>
        <w:rPr>
          <w:rFonts w:hAnsi="宋体"/>
          <w:sz w:val="24"/>
          <w:szCs w:val="24"/>
          <w:highlight w:val="none"/>
        </w:rPr>
        <w:br w:type="page"/>
      </w:r>
    </w:p>
    <w:p w14:paraId="24F4B07D">
      <w:pPr>
        <w:pStyle w:val="16"/>
        <w:spacing w:line="600" w:lineRule="exact"/>
        <w:jc w:val="left"/>
        <w:rPr>
          <w:rFonts w:hAnsi="宋体"/>
          <w:b/>
          <w:sz w:val="28"/>
          <w:szCs w:val="28"/>
          <w:highlight w:val="none"/>
        </w:rPr>
      </w:pPr>
      <w:r>
        <w:rPr>
          <w:rFonts w:hint="eastAsia" w:hAnsi="宋体"/>
          <w:b/>
          <w:sz w:val="28"/>
          <w:szCs w:val="28"/>
          <w:highlight w:val="none"/>
        </w:rPr>
        <w:t>格式4：</w:t>
      </w:r>
    </w:p>
    <w:bookmarkEnd w:id="124"/>
    <w:p w14:paraId="60A2AED6">
      <w:pPr>
        <w:pStyle w:val="5"/>
        <w:jc w:val="center"/>
        <w:rPr>
          <w:rFonts w:ascii="宋体" w:hAnsi="宋体" w:eastAsia="宋体"/>
          <w:sz w:val="32"/>
          <w:szCs w:val="32"/>
          <w:highlight w:val="none"/>
        </w:rPr>
      </w:pPr>
      <w:bookmarkStart w:id="143" w:name="_Toc101004109"/>
      <w:bookmarkStart w:id="144" w:name="_Toc13665021"/>
      <w:bookmarkStart w:id="145" w:name="_Toc493600033"/>
      <w:bookmarkStart w:id="146" w:name="_Toc15182"/>
      <w:r>
        <w:rPr>
          <w:rFonts w:hint="eastAsia" w:ascii="宋体" w:hAnsi="宋体" w:eastAsia="宋体"/>
          <w:sz w:val="32"/>
          <w:szCs w:val="32"/>
          <w:highlight w:val="none"/>
        </w:rPr>
        <w:t>货物报价</w:t>
      </w:r>
      <w:r>
        <w:rPr>
          <w:rFonts w:ascii="宋体" w:hAnsi="宋体" w:eastAsia="宋体"/>
          <w:sz w:val="32"/>
          <w:szCs w:val="32"/>
          <w:highlight w:val="none"/>
        </w:rPr>
        <w:t>表</w:t>
      </w:r>
      <w:bookmarkEnd w:id="143"/>
      <w:bookmarkEnd w:id="144"/>
      <w:bookmarkEnd w:id="145"/>
      <w:bookmarkEnd w:id="146"/>
    </w:p>
    <w:p w14:paraId="2F980985">
      <w:pPr>
        <w:pStyle w:val="16"/>
        <w:spacing w:after="120" w:afterLines="50"/>
        <w:rPr>
          <w:rFonts w:hAnsi="宋体"/>
          <w:sz w:val="24"/>
          <w:szCs w:val="24"/>
          <w:highlight w:val="none"/>
          <w:u w:val="single"/>
        </w:rPr>
      </w:pPr>
      <w:r>
        <w:rPr>
          <w:rFonts w:hAnsi="宋体"/>
          <w:b/>
          <w:sz w:val="24"/>
          <w:highlight w:val="none"/>
        </w:rPr>
        <w:t>项目名称：</w:t>
      </w:r>
      <w:r>
        <w:rPr>
          <w:rFonts w:hAnsi="宋体"/>
          <w:b/>
          <w:sz w:val="24"/>
          <w:highlight w:val="none"/>
          <w:u w:val="single"/>
        </w:rPr>
        <w:t xml:space="preserve">                 </w:t>
      </w:r>
      <w:r>
        <w:rPr>
          <w:rFonts w:hint="eastAsia" w:hAnsi="宋体"/>
          <w:b/>
          <w:sz w:val="24"/>
          <w:highlight w:val="none"/>
          <w:u w:val="single"/>
        </w:rPr>
        <w:t xml:space="preserve">      </w:t>
      </w:r>
      <w:r>
        <w:rPr>
          <w:rFonts w:hAnsi="宋体"/>
          <w:b/>
          <w:sz w:val="24"/>
          <w:highlight w:val="none"/>
          <w:u w:val="single"/>
        </w:rPr>
        <w:t xml:space="preserve">   </w:t>
      </w:r>
      <w:r>
        <w:rPr>
          <w:rFonts w:hAnsi="宋体"/>
          <w:b/>
          <w:sz w:val="24"/>
          <w:highlight w:val="none"/>
        </w:rPr>
        <w:t xml:space="preserve">                     招标编号：</w:t>
      </w:r>
      <w:r>
        <w:rPr>
          <w:rFonts w:hAnsi="宋体"/>
          <w:b/>
          <w:sz w:val="24"/>
          <w:highlight w:val="none"/>
          <w:u w:val="single"/>
        </w:rPr>
        <w:t xml:space="preserve">                </w:t>
      </w:r>
      <w:r>
        <w:rPr>
          <w:rFonts w:hint="eastAsia" w:hAnsi="宋体"/>
          <w:b/>
          <w:sz w:val="24"/>
          <w:highlight w:val="none"/>
        </w:rPr>
        <w:t xml:space="preserve">         </w:t>
      </w:r>
      <w:r>
        <w:rPr>
          <w:rFonts w:hint="eastAsia" w:hAnsi="宋体"/>
          <w:b/>
          <w:bCs/>
          <w:sz w:val="24"/>
          <w:szCs w:val="24"/>
          <w:highlight w:val="none"/>
          <w:lang w:val="en-US" w:eastAsia="zh-CN"/>
        </w:rPr>
        <w:t>标段：</w:t>
      </w:r>
      <w:r>
        <w:rPr>
          <w:rFonts w:hint="eastAsia" w:hAnsi="宋体"/>
          <w:sz w:val="24"/>
          <w:szCs w:val="24"/>
          <w:highlight w:val="none"/>
          <w:u w:val="single"/>
          <w:lang w:val="en-US" w:eastAsia="zh-CN"/>
        </w:rPr>
        <w:t xml:space="preserve">        </w:t>
      </w:r>
      <w:r>
        <w:rPr>
          <w:rFonts w:hint="eastAsia" w:hAnsi="宋体"/>
          <w:b/>
          <w:sz w:val="24"/>
          <w:highlight w:val="none"/>
        </w:rPr>
        <w:t xml:space="preserve">     </w:t>
      </w:r>
    </w:p>
    <w:p w14:paraId="17EE5896">
      <w:pPr>
        <w:rPr>
          <w:rFonts w:ascii="宋体" w:hAnsi="宋体"/>
          <w:vanish/>
          <w:highlight w:val="none"/>
        </w:rPr>
      </w:pPr>
    </w:p>
    <w:tbl>
      <w:tblPr>
        <w:tblStyle w:val="30"/>
        <w:tblW w:w="14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54"/>
        <w:gridCol w:w="1721"/>
        <w:gridCol w:w="1004"/>
        <w:gridCol w:w="1134"/>
        <w:gridCol w:w="992"/>
        <w:gridCol w:w="1418"/>
        <w:gridCol w:w="2104"/>
        <w:gridCol w:w="1607"/>
        <w:gridCol w:w="851"/>
        <w:gridCol w:w="1232"/>
        <w:gridCol w:w="1512"/>
        <w:gridCol w:w="573"/>
        <w:gridCol w:w="25"/>
      </w:tblGrid>
      <w:tr w14:paraId="4FF39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gridAfter w:val="1"/>
          <w:wAfter w:w="25" w:type="dxa"/>
          <w:jc w:val="center"/>
        </w:trPr>
        <w:tc>
          <w:tcPr>
            <w:tcW w:w="454" w:type="dxa"/>
            <w:vAlign w:val="center"/>
          </w:tcPr>
          <w:p w14:paraId="584B34B1">
            <w:pPr>
              <w:widowControl/>
              <w:jc w:val="center"/>
              <w:rPr>
                <w:rFonts w:ascii="宋体" w:hAnsi="宋体"/>
                <w:szCs w:val="21"/>
                <w:highlight w:val="none"/>
              </w:rPr>
            </w:pPr>
            <w:r>
              <w:rPr>
                <w:rFonts w:ascii="宋体" w:hAnsi="宋体"/>
                <w:szCs w:val="21"/>
                <w:highlight w:val="none"/>
              </w:rPr>
              <w:t>序号</w:t>
            </w:r>
          </w:p>
        </w:tc>
        <w:tc>
          <w:tcPr>
            <w:tcW w:w="1721" w:type="dxa"/>
            <w:vAlign w:val="center"/>
          </w:tcPr>
          <w:p w14:paraId="7976494B">
            <w:pPr>
              <w:widowControl/>
              <w:jc w:val="center"/>
              <w:rPr>
                <w:rFonts w:ascii="宋体" w:hAnsi="宋体"/>
                <w:szCs w:val="21"/>
                <w:highlight w:val="none"/>
              </w:rPr>
            </w:pPr>
            <w:r>
              <w:rPr>
                <w:rFonts w:hint="eastAsia" w:ascii="宋体" w:hAnsi="宋体"/>
                <w:szCs w:val="21"/>
                <w:highlight w:val="none"/>
              </w:rPr>
              <w:t>货物</w:t>
            </w:r>
            <w:r>
              <w:rPr>
                <w:rFonts w:ascii="宋体" w:hAnsi="宋体"/>
                <w:szCs w:val="21"/>
                <w:highlight w:val="none"/>
              </w:rPr>
              <w:t>名称</w:t>
            </w:r>
          </w:p>
        </w:tc>
        <w:tc>
          <w:tcPr>
            <w:tcW w:w="1004" w:type="dxa"/>
            <w:vAlign w:val="center"/>
          </w:tcPr>
          <w:p w14:paraId="569C5029">
            <w:pPr>
              <w:widowControl/>
              <w:jc w:val="center"/>
              <w:rPr>
                <w:rFonts w:ascii="宋体" w:hAnsi="宋体"/>
                <w:szCs w:val="21"/>
                <w:highlight w:val="none"/>
              </w:rPr>
            </w:pPr>
            <w:r>
              <w:rPr>
                <w:rFonts w:hint="eastAsia" w:ascii="宋体" w:hAnsi="宋体"/>
                <w:szCs w:val="21"/>
                <w:highlight w:val="none"/>
              </w:rPr>
              <w:t>医疗器械注册证号</w:t>
            </w:r>
          </w:p>
        </w:tc>
        <w:tc>
          <w:tcPr>
            <w:tcW w:w="1134" w:type="dxa"/>
            <w:vAlign w:val="center"/>
          </w:tcPr>
          <w:p w14:paraId="762529FC">
            <w:pPr>
              <w:widowControl/>
              <w:jc w:val="center"/>
              <w:rPr>
                <w:rFonts w:ascii="宋体" w:hAnsi="宋体"/>
                <w:szCs w:val="21"/>
                <w:highlight w:val="none"/>
              </w:rPr>
            </w:pPr>
            <w:r>
              <w:rPr>
                <w:rFonts w:ascii="宋体" w:hAnsi="宋体"/>
                <w:szCs w:val="21"/>
                <w:highlight w:val="none"/>
              </w:rPr>
              <w:t>制造商名称</w:t>
            </w:r>
            <w:r>
              <w:rPr>
                <w:rFonts w:hint="eastAsia" w:ascii="宋体" w:hAnsi="宋体"/>
                <w:szCs w:val="21"/>
                <w:highlight w:val="none"/>
              </w:rPr>
              <w:t>、</w:t>
            </w:r>
            <w:r>
              <w:rPr>
                <w:rFonts w:ascii="宋体" w:hAnsi="宋体"/>
                <w:szCs w:val="21"/>
                <w:highlight w:val="none"/>
              </w:rPr>
              <w:t>国别</w:t>
            </w:r>
          </w:p>
        </w:tc>
        <w:tc>
          <w:tcPr>
            <w:tcW w:w="992" w:type="dxa"/>
            <w:vAlign w:val="center"/>
          </w:tcPr>
          <w:p w14:paraId="5A3CB437">
            <w:pPr>
              <w:widowControl/>
              <w:jc w:val="center"/>
              <w:rPr>
                <w:rFonts w:ascii="宋体" w:hAnsi="宋体"/>
                <w:szCs w:val="21"/>
                <w:highlight w:val="none"/>
              </w:rPr>
            </w:pPr>
            <w:r>
              <w:rPr>
                <w:rFonts w:hint="eastAsia" w:ascii="宋体" w:hAnsi="宋体"/>
                <w:szCs w:val="21"/>
                <w:highlight w:val="none"/>
              </w:rPr>
              <w:t>品牌</w:t>
            </w:r>
          </w:p>
        </w:tc>
        <w:tc>
          <w:tcPr>
            <w:tcW w:w="1418" w:type="dxa"/>
            <w:vAlign w:val="center"/>
          </w:tcPr>
          <w:p w14:paraId="094FB6C4">
            <w:pPr>
              <w:widowControl/>
              <w:jc w:val="center"/>
              <w:rPr>
                <w:rFonts w:ascii="宋体" w:hAnsi="宋体"/>
                <w:szCs w:val="21"/>
                <w:highlight w:val="none"/>
              </w:rPr>
            </w:pPr>
            <w:r>
              <w:rPr>
                <w:rFonts w:ascii="宋体" w:hAnsi="宋体"/>
                <w:szCs w:val="21"/>
                <w:highlight w:val="none"/>
              </w:rPr>
              <w:t>型号和规格</w:t>
            </w:r>
          </w:p>
        </w:tc>
        <w:tc>
          <w:tcPr>
            <w:tcW w:w="2104" w:type="dxa"/>
            <w:vAlign w:val="center"/>
          </w:tcPr>
          <w:p w14:paraId="36E5BAE8">
            <w:pPr>
              <w:widowControl/>
              <w:jc w:val="center"/>
              <w:rPr>
                <w:rFonts w:ascii="宋体" w:hAnsi="宋体"/>
                <w:szCs w:val="21"/>
                <w:highlight w:val="none"/>
              </w:rPr>
            </w:pPr>
            <w:r>
              <w:rPr>
                <w:rFonts w:hint="eastAsia" w:ascii="宋体" w:hAnsi="宋体"/>
                <w:szCs w:val="21"/>
                <w:highlight w:val="none"/>
              </w:rPr>
              <w:t>制造商规模类型</w:t>
            </w:r>
          </w:p>
        </w:tc>
        <w:tc>
          <w:tcPr>
            <w:tcW w:w="1607" w:type="dxa"/>
            <w:vAlign w:val="center"/>
          </w:tcPr>
          <w:p w14:paraId="64D20835">
            <w:pPr>
              <w:widowControl/>
              <w:jc w:val="center"/>
              <w:rPr>
                <w:rFonts w:ascii="宋体" w:hAnsi="宋体"/>
                <w:szCs w:val="21"/>
                <w:highlight w:val="none"/>
              </w:rPr>
            </w:pPr>
            <w:r>
              <w:rPr>
                <w:rFonts w:hint="eastAsia" w:ascii="宋体" w:hAnsi="宋体"/>
                <w:szCs w:val="21"/>
                <w:highlight w:val="none"/>
              </w:rPr>
              <w:t>制造商授权</w:t>
            </w:r>
          </w:p>
        </w:tc>
        <w:tc>
          <w:tcPr>
            <w:tcW w:w="851" w:type="dxa"/>
            <w:vAlign w:val="center"/>
          </w:tcPr>
          <w:p w14:paraId="17D41435">
            <w:pPr>
              <w:jc w:val="center"/>
              <w:rPr>
                <w:rFonts w:ascii="宋体" w:hAnsi="宋体"/>
                <w:szCs w:val="21"/>
                <w:highlight w:val="none"/>
              </w:rPr>
            </w:pPr>
            <w:r>
              <w:rPr>
                <w:rFonts w:hint="eastAsia" w:ascii="宋体" w:hAnsi="宋体"/>
                <w:szCs w:val="21"/>
                <w:highlight w:val="none"/>
              </w:rPr>
              <w:t>数量</w:t>
            </w:r>
          </w:p>
          <w:p w14:paraId="03B3F915">
            <w:pPr>
              <w:jc w:val="center"/>
              <w:rPr>
                <w:rFonts w:ascii="宋体" w:hAnsi="宋体"/>
                <w:szCs w:val="21"/>
                <w:highlight w:val="none"/>
              </w:rPr>
            </w:pPr>
            <w:r>
              <w:rPr>
                <w:rFonts w:hint="eastAsia" w:ascii="宋体" w:hAnsi="宋体"/>
                <w:szCs w:val="21"/>
                <w:highlight w:val="none"/>
              </w:rPr>
              <w:t>（1）</w:t>
            </w:r>
          </w:p>
        </w:tc>
        <w:tc>
          <w:tcPr>
            <w:tcW w:w="1232" w:type="dxa"/>
            <w:vAlign w:val="center"/>
          </w:tcPr>
          <w:p w14:paraId="65A2F3DA">
            <w:pPr>
              <w:widowControl/>
              <w:jc w:val="center"/>
              <w:rPr>
                <w:rFonts w:ascii="宋体" w:hAnsi="宋体"/>
                <w:szCs w:val="21"/>
                <w:highlight w:val="none"/>
              </w:rPr>
            </w:pPr>
            <w:r>
              <w:rPr>
                <w:rFonts w:hint="eastAsia" w:ascii="宋体" w:hAnsi="宋体"/>
                <w:szCs w:val="21"/>
                <w:highlight w:val="none"/>
              </w:rPr>
              <w:t>单价（元）</w:t>
            </w:r>
          </w:p>
          <w:p w14:paraId="17B857B5">
            <w:pPr>
              <w:jc w:val="center"/>
              <w:rPr>
                <w:rFonts w:ascii="宋体" w:hAnsi="宋体"/>
                <w:szCs w:val="21"/>
                <w:highlight w:val="none"/>
              </w:rPr>
            </w:pPr>
            <w:r>
              <w:rPr>
                <w:rFonts w:hint="eastAsia" w:ascii="宋体" w:hAnsi="宋体"/>
                <w:szCs w:val="21"/>
                <w:highlight w:val="none"/>
              </w:rPr>
              <w:t>（2）</w:t>
            </w:r>
          </w:p>
        </w:tc>
        <w:tc>
          <w:tcPr>
            <w:tcW w:w="1512" w:type="dxa"/>
            <w:vAlign w:val="center"/>
          </w:tcPr>
          <w:p w14:paraId="1C68F230">
            <w:pPr>
              <w:jc w:val="center"/>
              <w:rPr>
                <w:rFonts w:ascii="宋体" w:hAnsi="宋体"/>
                <w:szCs w:val="21"/>
                <w:highlight w:val="none"/>
              </w:rPr>
            </w:pPr>
            <w:r>
              <w:rPr>
                <w:rFonts w:hint="eastAsia" w:ascii="宋体" w:hAnsi="宋体"/>
                <w:szCs w:val="21"/>
                <w:highlight w:val="none"/>
              </w:rPr>
              <w:t>合计（元）</w:t>
            </w:r>
          </w:p>
          <w:p w14:paraId="020414C5">
            <w:pPr>
              <w:widowControl/>
              <w:jc w:val="center"/>
              <w:rPr>
                <w:rFonts w:ascii="宋体" w:hAnsi="宋体"/>
                <w:szCs w:val="21"/>
                <w:highlight w:val="none"/>
              </w:rPr>
            </w:pPr>
            <w:r>
              <w:rPr>
                <w:rFonts w:hint="eastAsia" w:ascii="宋体" w:hAnsi="宋体"/>
                <w:szCs w:val="21"/>
                <w:highlight w:val="none"/>
              </w:rPr>
              <w:t>（</w:t>
            </w:r>
            <w:r>
              <w:rPr>
                <w:rFonts w:ascii="宋体" w:hAnsi="宋体"/>
                <w:szCs w:val="21"/>
                <w:highlight w:val="none"/>
              </w:rPr>
              <w:t>3</w:t>
            </w: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w:t>
            </w:r>
          </w:p>
        </w:tc>
        <w:tc>
          <w:tcPr>
            <w:tcW w:w="573" w:type="dxa"/>
            <w:vAlign w:val="center"/>
          </w:tcPr>
          <w:p w14:paraId="5B3CF7B2">
            <w:pPr>
              <w:widowControl/>
              <w:jc w:val="center"/>
              <w:rPr>
                <w:rFonts w:ascii="宋体" w:hAnsi="宋体"/>
                <w:szCs w:val="21"/>
                <w:highlight w:val="none"/>
              </w:rPr>
            </w:pPr>
            <w:r>
              <w:rPr>
                <w:rFonts w:ascii="宋体" w:hAnsi="宋体"/>
                <w:szCs w:val="21"/>
                <w:highlight w:val="none"/>
              </w:rPr>
              <w:t>备注</w:t>
            </w:r>
          </w:p>
        </w:tc>
      </w:tr>
      <w:tr w14:paraId="26EE3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gridAfter w:val="1"/>
          <w:wAfter w:w="25" w:type="dxa"/>
          <w:trHeight w:val="284" w:hRule="atLeast"/>
          <w:jc w:val="center"/>
        </w:trPr>
        <w:tc>
          <w:tcPr>
            <w:tcW w:w="454" w:type="dxa"/>
            <w:vAlign w:val="center"/>
          </w:tcPr>
          <w:p w14:paraId="03D2F5C0">
            <w:pPr>
              <w:widowControl/>
              <w:jc w:val="center"/>
              <w:rPr>
                <w:rFonts w:ascii="宋体" w:hAnsi="宋体"/>
                <w:szCs w:val="21"/>
                <w:highlight w:val="none"/>
              </w:rPr>
            </w:pPr>
            <w:r>
              <w:rPr>
                <w:rFonts w:hint="eastAsia" w:ascii="宋体" w:hAnsi="宋体"/>
                <w:szCs w:val="21"/>
                <w:highlight w:val="none"/>
              </w:rPr>
              <w:t>1</w:t>
            </w:r>
          </w:p>
        </w:tc>
        <w:tc>
          <w:tcPr>
            <w:tcW w:w="1721" w:type="dxa"/>
          </w:tcPr>
          <w:p w14:paraId="5DDAAB74">
            <w:pPr>
              <w:widowControl/>
              <w:jc w:val="center"/>
              <w:rPr>
                <w:rFonts w:ascii="宋体" w:hAnsi="宋体"/>
                <w:szCs w:val="21"/>
                <w:highlight w:val="none"/>
              </w:rPr>
            </w:pPr>
          </w:p>
        </w:tc>
        <w:tc>
          <w:tcPr>
            <w:tcW w:w="1004" w:type="dxa"/>
            <w:vAlign w:val="center"/>
          </w:tcPr>
          <w:p w14:paraId="12030771">
            <w:pPr>
              <w:rPr>
                <w:rFonts w:ascii="宋体" w:hAnsi="宋体" w:cs="宋体"/>
                <w:sz w:val="22"/>
                <w:szCs w:val="22"/>
                <w:highlight w:val="none"/>
              </w:rPr>
            </w:pPr>
          </w:p>
        </w:tc>
        <w:tc>
          <w:tcPr>
            <w:tcW w:w="1134" w:type="dxa"/>
          </w:tcPr>
          <w:p w14:paraId="7E686EE9">
            <w:pPr>
              <w:widowControl/>
              <w:rPr>
                <w:rFonts w:ascii="宋体" w:hAnsi="宋体"/>
                <w:szCs w:val="21"/>
                <w:highlight w:val="none"/>
              </w:rPr>
            </w:pPr>
          </w:p>
        </w:tc>
        <w:tc>
          <w:tcPr>
            <w:tcW w:w="992" w:type="dxa"/>
            <w:vAlign w:val="center"/>
          </w:tcPr>
          <w:p w14:paraId="728DF100">
            <w:pPr>
              <w:widowControl/>
              <w:rPr>
                <w:rFonts w:ascii="宋体" w:hAnsi="宋体"/>
                <w:szCs w:val="21"/>
                <w:highlight w:val="none"/>
              </w:rPr>
            </w:pPr>
          </w:p>
        </w:tc>
        <w:tc>
          <w:tcPr>
            <w:tcW w:w="1418" w:type="dxa"/>
          </w:tcPr>
          <w:p w14:paraId="5B9FA31E">
            <w:pPr>
              <w:widowControl/>
              <w:rPr>
                <w:rFonts w:ascii="宋体" w:hAnsi="宋体"/>
                <w:szCs w:val="21"/>
                <w:highlight w:val="none"/>
              </w:rPr>
            </w:pPr>
          </w:p>
        </w:tc>
        <w:tc>
          <w:tcPr>
            <w:tcW w:w="2104" w:type="dxa"/>
          </w:tcPr>
          <w:p w14:paraId="5B1494C7">
            <w:pPr>
              <w:widowControl/>
              <w:rPr>
                <w:rFonts w:ascii="宋体" w:hAnsi="宋体"/>
                <w:szCs w:val="21"/>
                <w:highlight w:val="none"/>
              </w:rPr>
            </w:pPr>
          </w:p>
        </w:tc>
        <w:tc>
          <w:tcPr>
            <w:tcW w:w="1607" w:type="dxa"/>
          </w:tcPr>
          <w:p w14:paraId="0B24C710">
            <w:pPr>
              <w:widowControl/>
              <w:rPr>
                <w:rFonts w:ascii="宋体" w:hAnsi="宋体"/>
                <w:szCs w:val="21"/>
                <w:highlight w:val="none"/>
              </w:rPr>
            </w:pPr>
          </w:p>
        </w:tc>
        <w:tc>
          <w:tcPr>
            <w:tcW w:w="851" w:type="dxa"/>
            <w:vAlign w:val="center"/>
          </w:tcPr>
          <w:p w14:paraId="2DC082E7">
            <w:pPr>
              <w:widowControl/>
              <w:jc w:val="center"/>
              <w:rPr>
                <w:rFonts w:ascii="宋体" w:hAnsi="宋体"/>
                <w:szCs w:val="21"/>
                <w:highlight w:val="none"/>
              </w:rPr>
            </w:pPr>
          </w:p>
        </w:tc>
        <w:tc>
          <w:tcPr>
            <w:tcW w:w="1232" w:type="dxa"/>
          </w:tcPr>
          <w:p w14:paraId="05331684">
            <w:pPr>
              <w:widowControl/>
              <w:rPr>
                <w:rFonts w:ascii="宋体" w:hAnsi="宋体"/>
                <w:szCs w:val="21"/>
                <w:highlight w:val="none"/>
              </w:rPr>
            </w:pPr>
          </w:p>
        </w:tc>
        <w:tc>
          <w:tcPr>
            <w:tcW w:w="1512" w:type="dxa"/>
          </w:tcPr>
          <w:p w14:paraId="159AAD14">
            <w:pPr>
              <w:widowControl/>
              <w:rPr>
                <w:rFonts w:ascii="宋体" w:hAnsi="宋体"/>
                <w:szCs w:val="21"/>
                <w:highlight w:val="none"/>
              </w:rPr>
            </w:pPr>
          </w:p>
        </w:tc>
        <w:tc>
          <w:tcPr>
            <w:tcW w:w="573" w:type="dxa"/>
          </w:tcPr>
          <w:p w14:paraId="28ECBBD8">
            <w:pPr>
              <w:widowControl/>
              <w:rPr>
                <w:rFonts w:ascii="宋体" w:hAnsi="宋体"/>
                <w:szCs w:val="21"/>
                <w:highlight w:val="none"/>
              </w:rPr>
            </w:pPr>
          </w:p>
        </w:tc>
      </w:tr>
      <w:tr w14:paraId="00390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gridAfter w:val="1"/>
          <w:wAfter w:w="25" w:type="dxa"/>
          <w:trHeight w:val="284" w:hRule="atLeast"/>
          <w:jc w:val="center"/>
        </w:trPr>
        <w:tc>
          <w:tcPr>
            <w:tcW w:w="454" w:type="dxa"/>
            <w:vAlign w:val="center"/>
          </w:tcPr>
          <w:p w14:paraId="1496F53A">
            <w:pPr>
              <w:widowControl/>
              <w:jc w:val="center"/>
              <w:rPr>
                <w:rFonts w:ascii="宋体" w:hAnsi="宋体"/>
                <w:szCs w:val="21"/>
                <w:highlight w:val="none"/>
              </w:rPr>
            </w:pPr>
            <w:r>
              <w:rPr>
                <w:rFonts w:hint="eastAsia" w:ascii="宋体" w:hAnsi="宋体"/>
                <w:szCs w:val="21"/>
                <w:highlight w:val="none"/>
              </w:rPr>
              <w:t>2</w:t>
            </w:r>
          </w:p>
        </w:tc>
        <w:tc>
          <w:tcPr>
            <w:tcW w:w="1721" w:type="dxa"/>
          </w:tcPr>
          <w:p w14:paraId="5D8E25D2">
            <w:pPr>
              <w:widowControl/>
              <w:jc w:val="center"/>
              <w:rPr>
                <w:rFonts w:ascii="宋体" w:hAnsi="宋体"/>
                <w:szCs w:val="21"/>
                <w:highlight w:val="none"/>
              </w:rPr>
            </w:pPr>
          </w:p>
        </w:tc>
        <w:tc>
          <w:tcPr>
            <w:tcW w:w="1004" w:type="dxa"/>
            <w:vAlign w:val="center"/>
          </w:tcPr>
          <w:p w14:paraId="74210A42">
            <w:pPr>
              <w:rPr>
                <w:rFonts w:ascii="宋体" w:hAnsi="宋体" w:cs="宋体"/>
                <w:sz w:val="22"/>
                <w:szCs w:val="22"/>
                <w:highlight w:val="none"/>
              </w:rPr>
            </w:pPr>
          </w:p>
        </w:tc>
        <w:tc>
          <w:tcPr>
            <w:tcW w:w="1134" w:type="dxa"/>
          </w:tcPr>
          <w:p w14:paraId="39FBE10C">
            <w:pPr>
              <w:widowControl/>
              <w:rPr>
                <w:rFonts w:ascii="宋体" w:hAnsi="宋体"/>
                <w:szCs w:val="21"/>
                <w:highlight w:val="none"/>
              </w:rPr>
            </w:pPr>
          </w:p>
        </w:tc>
        <w:tc>
          <w:tcPr>
            <w:tcW w:w="992" w:type="dxa"/>
            <w:vAlign w:val="center"/>
          </w:tcPr>
          <w:p w14:paraId="33537758">
            <w:pPr>
              <w:widowControl/>
              <w:rPr>
                <w:rFonts w:ascii="宋体" w:hAnsi="宋体"/>
                <w:szCs w:val="21"/>
                <w:highlight w:val="none"/>
              </w:rPr>
            </w:pPr>
          </w:p>
        </w:tc>
        <w:tc>
          <w:tcPr>
            <w:tcW w:w="1418" w:type="dxa"/>
          </w:tcPr>
          <w:p w14:paraId="033AAB64">
            <w:pPr>
              <w:widowControl/>
              <w:rPr>
                <w:rFonts w:ascii="宋体" w:hAnsi="宋体"/>
                <w:szCs w:val="21"/>
                <w:highlight w:val="none"/>
              </w:rPr>
            </w:pPr>
          </w:p>
        </w:tc>
        <w:tc>
          <w:tcPr>
            <w:tcW w:w="2104" w:type="dxa"/>
          </w:tcPr>
          <w:p w14:paraId="5594A23A">
            <w:pPr>
              <w:widowControl/>
              <w:rPr>
                <w:rFonts w:ascii="宋体" w:hAnsi="宋体"/>
                <w:szCs w:val="21"/>
                <w:highlight w:val="none"/>
              </w:rPr>
            </w:pPr>
          </w:p>
        </w:tc>
        <w:tc>
          <w:tcPr>
            <w:tcW w:w="1607" w:type="dxa"/>
          </w:tcPr>
          <w:p w14:paraId="1E1BCB8C">
            <w:pPr>
              <w:widowControl/>
              <w:rPr>
                <w:rFonts w:ascii="宋体" w:hAnsi="宋体"/>
                <w:szCs w:val="21"/>
                <w:highlight w:val="none"/>
              </w:rPr>
            </w:pPr>
          </w:p>
        </w:tc>
        <w:tc>
          <w:tcPr>
            <w:tcW w:w="851" w:type="dxa"/>
            <w:vAlign w:val="center"/>
          </w:tcPr>
          <w:p w14:paraId="7ABB0CAE">
            <w:pPr>
              <w:widowControl/>
              <w:jc w:val="center"/>
              <w:rPr>
                <w:rFonts w:ascii="宋体" w:hAnsi="宋体"/>
                <w:szCs w:val="21"/>
                <w:highlight w:val="none"/>
              </w:rPr>
            </w:pPr>
          </w:p>
        </w:tc>
        <w:tc>
          <w:tcPr>
            <w:tcW w:w="1232" w:type="dxa"/>
          </w:tcPr>
          <w:p w14:paraId="6CF8C9E9">
            <w:pPr>
              <w:widowControl/>
              <w:rPr>
                <w:rFonts w:ascii="宋体" w:hAnsi="宋体"/>
                <w:szCs w:val="21"/>
                <w:highlight w:val="none"/>
              </w:rPr>
            </w:pPr>
          </w:p>
        </w:tc>
        <w:tc>
          <w:tcPr>
            <w:tcW w:w="1512" w:type="dxa"/>
          </w:tcPr>
          <w:p w14:paraId="16631F93">
            <w:pPr>
              <w:widowControl/>
              <w:rPr>
                <w:rFonts w:ascii="宋体" w:hAnsi="宋体"/>
                <w:szCs w:val="21"/>
                <w:highlight w:val="none"/>
              </w:rPr>
            </w:pPr>
          </w:p>
        </w:tc>
        <w:tc>
          <w:tcPr>
            <w:tcW w:w="573" w:type="dxa"/>
          </w:tcPr>
          <w:p w14:paraId="13487506">
            <w:pPr>
              <w:widowControl/>
              <w:rPr>
                <w:rFonts w:ascii="宋体" w:hAnsi="宋体"/>
                <w:szCs w:val="21"/>
                <w:highlight w:val="none"/>
              </w:rPr>
            </w:pPr>
          </w:p>
        </w:tc>
      </w:tr>
      <w:tr w14:paraId="2AA4D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gridAfter w:val="1"/>
          <w:wAfter w:w="25" w:type="dxa"/>
          <w:trHeight w:val="284" w:hRule="atLeast"/>
          <w:jc w:val="center"/>
        </w:trPr>
        <w:tc>
          <w:tcPr>
            <w:tcW w:w="454" w:type="dxa"/>
            <w:vAlign w:val="center"/>
          </w:tcPr>
          <w:p w14:paraId="13B136DD">
            <w:pPr>
              <w:widowControl/>
              <w:jc w:val="center"/>
              <w:rPr>
                <w:rFonts w:ascii="宋体" w:hAnsi="宋体"/>
                <w:szCs w:val="21"/>
                <w:highlight w:val="none"/>
              </w:rPr>
            </w:pPr>
            <w:r>
              <w:rPr>
                <w:rFonts w:ascii="宋体" w:hAnsi="宋体"/>
                <w:szCs w:val="21"/>
                <w:highlight w:val="none"/>
              </w:rPr>
              <w:t>3</w:t>
            </w:r>
          </w:p>
        </w:tc>
        <w:tc>
          <w:tcPr>
            <w:tcW w:w="1721" w:type="dxa"/>
          </w:tcPr>
          <w:p w14:paraId="14F23320">
            <w:pPr>
              <w:widowControl/>
              <w:jc w:val="center"/>
              <w:rPr>
                <w:rFonts w:ascii="宋体" w:hAnsi="宋体"/>
                <w:szCs w:val="21"/>
                <w:highlight w:val="none"/>
              </w:rPr>
            </w:pPr>
          </w:p>
        </w:tc>
        <w:tc>
          <w:tcPr>
            <w:tcW w:w="1004" w:type="dxa"/>
            <w:vAlign w:val="center"/>
          </w:tcPr>
          <w:p w14:paraId="60FCC48D">
            <w:pPr>
              <w:rPr>
                <w:rFonts w:ascii="宋体" w:hAnsi="宋体" w:cs="宋体"/>
                <w:sz w:val="22"/>
                <w:szCs w:val="22"/>
                <w:highlight w:val="none"/>
              </w:rPr>
            </w:pPr>
          </w:p>
        </w:tc>
        <w:tc>
          <w:tcPr>
            <w:tcW w:w="1134" w:type="dxa"/>
          </w:tcPr>
          <w:p w14:paraId="0EA60919">
            <w:pPr>
              <w:widowControl/>
              <w:rPr>
                <w:rFonts w:ascii="宋体" w:hAnsi="宋体"/>
                <w:szCs w:val="21"/>
                <w:highlight w:val="none"/>
              </w:rPr>
            </w:pPr>
          </w:p>
        </w:tc>
        <w:tc>
          <w:tcPr>
            <w:tcW w:w="992" w:type="dxa"/>
            <w:vAlign w:val="center"/>
          </w:tcPr>
          <w:p w14:paraId="349F7E12">
            <w:pPr>
              <w:widowControl/>
              <w:rPr>
                <w:rFonts w:ascii="宋体" w:hAnsi="宋体"/>
                <w:szCs w:val="21"/>
                <w:highlight w:val="none"/>
              </w:rPr>
            </w:pPr>
          </w:p>
        </w:tc>
        <w:tc>
          <w:tcPr>
            <w:tcW w:w="1418" w:type="dxa"/>
          </w:tcPr>
          <w:p w14:paraId="6F6AF4D6">
            <w:pPr>
              <w:widowControl/>
              <w:rPr>
                <w:rFonts w:ascii="宋体" w:hAnsi="宋体"/>
                <w:szCs w:val="21"/>
                <w:highlight w:val="none"/>
              </w:rPr>
            </w:pPr>
          </w:p>
        </w:tc>
        <w:tc>
          <w:tcPr>
            <w:tcW w:w="2104" w:type="dxa"/>
          </w:tcPr>
          <w:p w14:paraId="4645B0E8">
            <w:pPr>
              <w:widowControl/>
              <w:rPr>
                <w:rFonts w:ascii="宋体" w:hAnsi="宋体"/>
                <w:szCs w:val="21"/>
                <w:highlight w:val="none"/>
              </w:rPr>
            </w:pPr>
          </w:p>
        </w:tc>
        <w:tc>
          <w:tcPr>
            <w:tcW w:w="1607" w:type="dxa"/>
          </w:tcPr>
          <w:p w14:paraId="5F26EBDF">
            <w:pPr>
              <w:widowControl/>
              <w:rPr>
                <w:rFonts w:ascii="宋体" w:hAnsi="宋体"/>
                <w:szCs w:val="21"/>
                <w:highlight w:val="none"/>
              </w:rPr>
            </w:pPr>
          </w:p>
        </w:tc>
        <w:tc>
          <w:tcPr>
            <w:tcW w:w="851" w:type="dxa"/>
            <w:vAlign w:val="center"/>
          </w:tcPr>
          <w:p w14:paraId="18231B7E">
            <w:pPr>
              <w:widowControl/>
              <w:jc w:val="center"/>
              <w:rPr>
                <w:rFonts w:ascii="宋体" w:hAnsi="宋体"/>
                <w:sz w:val="22"/>
                <w:szCs w:val="22"/>
                <w:highlight w:val="none"/>
              </w:rPr>
            </w:pPr>
          </w:p>
        </w:tc>
        <w:tc>
          <w:tcPr>
            <w:tcW w:w="1232" w:type="dxa"/>
          </w:tcPr>
          <w:p w14:paraId="2242149F">
            <w:pPr>
              <w:widowControl/>
              <w:rPr>
                <w:rFonts w:ascii="宋体" w:hAnsi="宋体"/>
                <w:szCs w:val="21"/>
                <w:highlight w:val="none"/>
              </w:rPr>
            </w:pPr>
          </w:p>
        </w:tc>
        <w:tc>
          <w:tcPr>
            <w:tcW w:w="1512" w:type="dxa"/>
          </w:tcPr>
          <w:p w14:paraId="0EE587D1">
            <w:pPr>
              <w:widowControl/>
              <w:rPr>
                <w:rFonts w:ascii="宋体" w:hAnsi="宋体"/>
                <w:szCs w:val="21"/>
                <w:highlight w:val="none"/>
              </w:rPr>
            </w:pPr>
          </w:p>
        </w:tc>
        <w:tc>
          <w:tcPr>
            <w:tcW w:w="573" w:type="dxa"/>
          </w:tcPr>
          <w:p w14:paraId="362DE399">
            <w:pPr>
              <w:widowControl/>
              <w:rPr>
                <w:rFonts w:ascii="宋体" w:hAnsi="宋体"/>
                <w:szCs w:val="21"/>
                <w:highlight w:val="none"/>
              </w:rPr>
            </w:pPr>
          </w:p>
        </w:tc>
      </w:tr>
      <w:tr w14:paraId="7A5D3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gridAfter w:val="1"/>
          <w:wAfter w:w="25" w:type="dxa"/>
          <w:trHeight w:val="284" w:hRule="atLeast"/>
          <w:jc w:val="center"/>
        </w:trPr>
        <w:tc>
          <w:tcPr>
            <w:tcW w:w="454" w:type="dxa"/>
            <w:vAlign w:val="center"/>
          </w:tcPr>
          <w:p w14:paraId="09792A16">
            <w:pPr>
              <w:widowControl/>
              <w:jc w:val="center"/>
              <w:rPr>
                <w:rFonts w:ascii="宋体" w:hAnsi="宋体"/>
                <w:szCs w:val="21"/>
                <w:highlight w:val="none"/>
              </w:rPr>
            </w:pPr>
            <w:r>
              <w:rPr>
                <w:rFonts w:hint="eastAsia" w:ascii="宋体" w:hAnsi="宋体"/>
                <w:szCs w:val="21"/>
                <w:highlight w:val="none"/>
              </w:rPr>
              <w:t>4</w:t>
            </w:r>
          </w:p>
        </w:tc>
        <w:tc>
          <w:tcPr>
            <w:tcW w:w="1721" w:type="dxa"/>
          </w:tcPr>
          <w:p w14:paraId="1E1D8DA9">
            <w:pPr>
              <w:widowControl/>
              <w:jc w:val="center"/>
              <w:rPr>
                <w:rFonts w:ascii="宋体" w:hAnsi="宋体"/>
                <w:szCs w:val="21"/>
                <w:highlight w:val="none"/>
              </w:rPr>
            </w:pPr>
            <w:r>
              <w:rPr>
                <w:rFonts w:ascii="宋体" w:hAnsi="宋体"/>
                <w:szCs w:val="21"/>
                <w:highlight w:val="none"/>
              </w:rPr>
              <w:t>……</w:t>
            </w:r>
          </w:p>
        </w:tc>
        <w:tc>
          <w:tcPr>
            <w:tcW w:w="1004" w:type="dxa"/>
            <w:vAlign w:val="center"/>
          </w:tcPr>
          <w:p w14:paraId="077B9CB9">
            <w:pPr>
              <w:rPr>
                <w:rFonts w:ascii="宋体" w:hAnsi="宋体" w:cs="宋体"/>
                <w:sz w:val="22"/>
                <w:szCs w:val="22"/>
                <w:highlight w:val="none"/>
              </w:rPr>
            </w:pPr>
          </w:p>
        </w:tc>
        <w:tc>
          <w:tcPr>
            <w:tcW w:w="1134" w:type="dxa"/>
          </w:tcPr>
          <w:p w14:paraId="341DA93E">
            <w:pPr>
              <w:widowControl/>
              <w:rPr>
                <w:rFonts w:ascii="宋体" w:hAnsi="宋体"/>
                <w:szCs w:val="21"/>
                <w:highlight w:val="none"/>
              </w:rPr>
            </w:pPr>
          </w:p>
        </w:tc>
        <w:tc>
          <w:tcPr>
            <w:tcW w:w="992" w:type="dxa"/>
            <w:vAlign w:val="center"/>
          </w:tcPr>
          <w:p w14:paraId="3E241E05">
            <w:pPr>
              <w:widowControl/>
              <w:rPr>
                <w:rFonts w:ascii="宋体" w:hAnsi="宋体"/>
                <w:szCs w:val="21"/>
                <w:highlight w:val="none"/>
              </w:rPr>
            </w:pPr>
          </w:p>
        </w:tc>
        <w:tc>
          <w:tcPr>
            <w:tcW w:w="1418" w:type="dxa"/>
          </w:tcPr>
          <w:p w14:paraId="7CCF6D4F">
            <w:pPr>
              <w:widowControl/>
              <w:rPr>
                <w:rFonts w:ascii="宋体" w:hAnsi="宋体"/>
                <w:szCs w:val="21"/>
                <w:highlight w:val="none"/>
              </w:rPr>
            </w:pPr>
          </w:p>
        </w:tc>
        <w:tc>
          <w:tcPr>
            <w:tcW w:w="2104" w:type="dxa"/>
          </w:tcPr>
          <w:p w14:paraId="3B70D492">
            <w:pPr>
              <w:widowControl/>
              <w:rPr>
                <w:rFonts w:ascii="宋体" w:hAnsi="宋体"/>
                <w:szCs w:val="21"/>
                <w:highlight w:val="none"/>
              </w:rPr>
            </w:pPr>
          </w:p>
        </w:tc>
        <w:tc>
          <w:tcPr>
            <w:tcW w:w="1607" w:type="dxa"/>
          </w:tcPr>
          <w:p w14:paraId="44997CA9">
            <w:pPr>
              <w:widowControl/>
              <w:rPr>
                <w:rFonts w:ascii="宋体" w:hAnsi="宋体"/>
                <w:szCs w:val="21"/>
                <w:highlight w:val="none"/>
              </w:rPr>
            </w:pPr>
          </w:p>
        </w:tc>
        <w:tc>
          <w:tcPr>
            <w:tcW w:w="851" w:type="dxa"/>
            <w:vAlign w:val="center"/>
          </w:tcPr>
          <w:p w14:paraId="00914BC0">
            <w:pPr>
              <w:widowControl/>
              <w:jc w:val="center"/>
              <w:rPr>
                <w:rFonts w:ascii="宋体" w:hAnsi="宋体"/>
                <w:sz w:val="22"/>
                <w:szCs w:val="22"/>
                <w:highlight w:val="none"/>
              </w:rPr>
            </w:pPr>
          </w:p>
        </w:tc>
        <w:tc>
          <w:tcPr>
            <w:tcW w:w="1232" w:type="dxa"/>
          </w:tcPr>
          <w:p w14:paraId="3CCD4AAA">
            <w:pPr>
              <w:widowControl/>
              <w:rPr>
                <w:rFonts w:ascii="宋体" w:hAnsi="宋体"/>
                <w:szCs w:val="21"/>
                <w:highlight w:val="none"/>
              </w:rPr>
            </w:pPr>
          </w:p>
        </w:tc>
        <w:tc>
          <w:tcPr>
            <w:tcW w:w="1512" w:type="dxa"/>
          </w:tcPr>
          <w:p w14:paraId="5E9B3CC9">
            <w:pPr>
              <w:widowControl/>
              <w:rPr>
                <w:rFonts w:ascii="宋体" w:hAnsi="宋体"/>
                <w:szCs w:val="21"/>
                <w:highlight w:val="none"/>
              </w:rPr>
            </w:pPr>
          </w:p>
        </w:tc>
        <w:tc>
          <w:tcPr>
            <w:tcW w:w="573" w:type="dxa"/>
          </w:tcPr>
          <w:p w14:paraId="39107AFF">
            <w:pPr>
              <w:widowControl/>
              <w:rPr>
                <w:rFonts w:ascii="宋体" w:hAnsi="宋体"/>
                <w:szCs w:val="21"/>
                <w:highlight w:val="none"/>
              </w:rPr>
            </w:pPr>
          </w:p>
        </w:tc>
      </w:tr>
      <w:tr w14:paraId="3C21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gridAfter w:val="1"/>
          <w:wAfter w:w="25" w:type="dxa"/>
          <w:trHeight w:val="284" w:hRule="atLeast"/>
          <w:jc w:val="center"/>
        </w:trPr>
        <w:tc>
          <w:tcPr>
            <w:tcW w:w="454" w:type="dxa"/>
            <w:vAlign w:val="center"/>
          </w:tcPr>
          <w:p w14:paraId="5C2848DA">
            <w:pPr>
              <w:widowControl/>
              <w:jc w:val="center"/>
              <w:rPr>
                <w:rFonts w:ascii="宋体" w:hAnsi="宋体"/>
                <w:szCs w:val="21"/>
                <w:highlight w:val="none"/>
              </w:rPr>
            </w:pPr>
          </w:p>
        </w:tc>
        <w:tc>
          <w:tcPr>
            <w:tcW w:w="1721" w:type="dxa"/>
          </w:tcPr>
          <w:p w14:paraId="5FF587BE">
            <w:pPr>
              <w:widowControl/>
              <w:jc w:val="left"/>
              <w:rPr>
                <w:rFonts w:ascii="宋体" w:hAnsi="宋体"/>
                <w:szCs w:val="21"/>
                <w:highlight w:val="none"/>
              </w:rPr>
            </w:pPr>
          </w:p>
        </w:tc>
        <w:tc>
          <w:tcPr>
            <w:tcW w:w="1004" w:type="dxa"/>
            <w:vAlign w:val="center"/>
          </w:tcPr>
          <w:p w14:paraId="6DA896B5">
            <w:pPr>
              <w:rPr>
                <w:rFonts w:ascii="宋体" w:hAnsi="宋体" w:cs="宋体"/>
                <w:sz w:val="22"/>
                <w:szCs w:val="22"/>
                <w:highlight w:val="none"/>
              </w:rPr>
            </w:pPr>
          </w:p>
        </w:tc>
        <w:tc>
          <w:tcPr>
            <w:tcW w:w="1134" w:type="dxa"/>
          </w:tcPr>
          <w:p w14:paraId="3DCC8876">
            <w:pPr>
              <w:widowControl/>
              <w:rPr>
                <w:rFonts w:ascii="宋体" w:hAnsi="宋体"/>
                <w:szCs w:val="21"/>
                <w:highlight w:val="none"/>
              </w:rPr>
            </w:pPr>
          </w:p>
        </w:tc>
        <w:tc>
          <w:tcPr>
            <w:tcW w:w="992" w:type="dxa"/>
            <w:vAlign w:val="center"/>
          </w:tcPr>
          <w:p w14:paraId="35E5BBA1">
            <w:pPr>
              <w:widowControl/>
              <w:rPr>
                <w:rFonts w:ascii="宋体" w:hAnsi="宋体"/>
                <w:szCs w:val="21"/>
                <w:highlight w:val="none"/>
              </w:rPr>
            </w:pPr>
          </w:p>
        </w:tc>
        <w:tc>
          <w:tcPr>
            <w:tcW w:w="1418" w:type="dxa"/>
          </w:tcPr>
          <w:p w14:paraId="799955F4">
            <w:pPr>
              <w:widowControl/>
              <w:rPr>
                <w:rFonts w:ascii="宋体" w:hAnsi="宋体"/>
                <w:szCs w:val="21"/>
                <w:highlight w:val="none"/>
              </w:rPr>
            </w:pPr>
          </w:p>
        </w:tc>
        <w:tc>
          <w:tcPr>
            <w:tcW w:w="2104" w:type="dxa"/>
          </w:tcPr>
          <w:p w14:paraId="550E3C9F">
            <w:pPr>
              <w:widowControl/>
              <w:rPr>
                <w:rFonts w:ascii="宋体" w:hAnsi="宋体"/>
                <w:szCs w:val="21"/>
                <w:highlight w:val="none"/>
              </w:rPr>
            </w:pPr>
          </w:p>
        </w:tc>
        <w:tc>
          <w:tcPr>
            <w:tcW w:w="1607" w:type="dxa"/>
          </w:tcPr>
          <w:p w14:paraId="1FE68EF4">
            <w:pPr>
              <w:widowControl/>
              <w:rPr>
                <w:rFonts w:ascii="宋体" w:hAnsi="宋体"/>
                <w:szCs w:val="21"/>
                <w:highlight w:val="none"/>
              </w:rPr>
            </w:pPr>
          </w:p>
        </w:tc>
        <w:tc>
          <w:tcPr>
            <w:tcW w:w="851" w:type="dxa"/>
            <w:vAlign w:val="center"/>
          </w:tcPr>
          <w:p w14:paraId="61C7D8A7">
            <w:pPr>
              <w:widowControl/>
              <w:jc w:val="center"/>
              <w:rPr>
                <w:rFonts w:ascii="宋体" w:hAnsi="宋体"/>
                <w:sz w:val="22"/>
                <w:szCs w:val="22"/>
                <w:highlight w:val="none"/>
              </w:rPr>
            </w:pPr>
          </w:p>
        </w:tc>
        <w:tc>
          <w:tcPr>
            <w:tcW w:w="1232" w:type="dxa"/>
          </w:tcPr>
          <w:p w14:paraId="4D61EE48">
            <w:pPr>
              <w:widowControl/>
              <w:rPr>
                <w:rFonts w:ascii="宋体" w:hAnsi="宋体"/>
                <w:szCs w:val="21"/>
                <w:highlight w:val="none"/>
              </w:rPr>
            </w:pPr>
          </w:p>
        </w:tc>
        <w:tc>
          <w:tcPr>
            <w:tcW w:w="1512" w:type="dxa"/>
          </w:tcPr>
          <w:p w14:paraId="5E178ADA">
            <w:pPr>
              <w:widowControl/>
              <w:rPr>
                <w:rFonts w:ascii="宋体" w:hAnsi="宋体"/>
                <w:szCs w:val="21"/>
                <w:highlight w:val="none"/>
              </w:rPr>
            </w:pPr>
          </w:p>
        </w:tc>
        <w:tc>
          <w:tcPr>
            <w:tcW w:w="573" w:type="dxa"/>
          </w:tcPr>
          <w:p w14:paraId="32CF974D">
            <w:pPr>
              <w:widowControl/>
              <w:rPr>
                <w:rFonts w:ascii="宋体" w:hAnsi="宋体"/>
                <w:szCs w:val="21"/>
                <w:highlight w:val="none"/>
              </w:rPr>
            </w:pPr>
          </w:p>
        </w:tc>
      </w:tr>
      <w:tr w14:paraId="2221C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jc w:val="center"/>
        </w:trPr>
        <w:tc>
          <w:tcPr>
            <w:tcW w:w="454" w:type="dxa"/>
          </w:tcPr>
          <w:p w14:paraId="30C7637B">
            <w:pPr>
              <w:widowControl/>
              <w:jc w:val="right"/>
              <w:rPr>
                <w:rFonts w:ascii="宋体" w:hAnsi="宋体"/>
                <w:szCs w:val="21"/>
                <w:highlight w:val="none"/>
              </w:rPr>
            </w:pPr>
          </w:p>
        </w:tc>
        <w:tc>
          <w:tcPr>
            <w:tcW w:w="14173" w:type="dxa"/>
            <w:gridSpan w:val="12"/>
          </w:tcPr>
          <w:p w14:paraId="62C9FBA0">
            <w:pPr>
              <w:widowControl/>
              <w:rPr>
                <w:rFonts w:ascii="宋体" w:hAnsi="宋体"/>
                <w:szCs w:val="21"/>
                <w:highlight w:val="none"/>
              </w:rPr>
            </w:pPr>
            <w:r>
              <w:rPr>
                <w:rFonts w:hint="eastAsia" w:ascii="宋体" w:hAnsi="宋体"/>
                <w:szCs w:val="21"/>
                <w:highlight w:val="none"/>
              </w:rPr>
              <w:t>总计（元）：</w:t>
            </w:r>
          </w:p>
        </w:tc>
      </w:tr>
    </w:tbl>
    <w:p w14:paraId="19A75779">
      <w:pPr>
        <w:rPr>
          <w:rFonts w:ascii="宋体" w:hAnsi="宋体"/>
          <w:vanish/>
          <w:highlight w:val="none"/>
        </w:rPr>
      </w:pPr>
    </w:p>
    <w:p w14:paraId="6FA26583">
      <w:pPr>
        <w:rPr>
          <w:rFonts w:ascii="宋体" w:hAnsi="宋体"/>
          <w:b/>
          <w:bCs/>
          <w:szCs w:val="21"/>
          <w:highlight w:val="none"/>
        </w:rPr>
      </w:pPr>
      <w:r>
        <w:rPr>
          <w:rFonts w:hint="eastAsia" w:ascii="宋体" w:hAnsi="宋体"/>
          <w:b/>
          <w:bCs/>
          <w:szCs w:val="21"/>
          <w:highlight w:val="none"/>
        </w:rPr>
        <w:t>注：</w:t>
      </w:r>
      <w:r>
        <w:rPr>
          <w:rFonts w:ascii="宋体" w:hAnsi="宋体"/>
          <w:b/>
          <w:bCs/>
          <w:szCs w:val="21"/>
          <w:highlight w:val="none"/>
        </w:rPr>
        <w:t>1</w:t>
      </w:r>
      <w:r>
        <w:rPr>
          <w:rFonts w:hint="eastAsia" w:ascii="宋体" w:hAnsi="宋体"/>
          <w:b/>
          <w:bCs/>
          <w:szCs w:val="21"/>
          <w:highlight w:val="none"/>
          <w:lang w:val="en-US" w:eastAsia="zh-CN"/>
        </w:rPr>
        <w:t>.</w:t>
      </w:r>
      <w:r>
        <w:rPr>
          <w:rFonts w:hint="eastAsia" w:ascii="宋体" w:hAnsi="宋体"/>
          <w:b/>
          <w:bCs/>
          <w:szCs w:val="21"/>
          <w:highlight w:val="none"/>
        </w:rPr>
        <w:t>投标人必须根据招标文件第五章“项目需求及技术要求”中“采购标的物清单”中的采购货物，按顺序逐项报价并填报此表，不得缺项漏项或任意合并项目报价；不得删除或修改本表要求填报的内容，否则评委可视为未响应招标文件实质性要求。</w:t>
      </w:r>
    </w:p>
    <w:p w14:paraId="7FEBF5EA">
      <w:pPr>
        <w:rPr>
          <w:rFonts w:ascii="宋体" w:hAnsi="宋体"/>
          <w:b/>
          <w:bCs/>
          <w:szCs w:val="21"/>
          <w:highlight w:val="none"/>
        </w:rPr>
      </w:pPr>
      <w:r>
        <w:rPr>
          <w:rFonts w:hint="eastAsia" w:ascii="宋体" w:hAnsi="宋体"/>
          <w:b/>
          <w:bCs/>
          <w:szCs w:val="21"/>
          <w:highlight w:val="none"/>
          <w:lang w:eastAsia="zh-CN"/>
        </w:rPr>
        <w:t>2.</w:t>
      </w:r>
      <w:r>
        <w:rPr>
          <w:rFonts w:hint="eastAsia" w:ascii="宋体" w:hAnsi="宋体"/>
          <w:b/>
          <w:bCs/>
          <w:szCs w:val="21"/>
          <w:highlight w:val="none"/>
        </w:rPr>
        <w:t>本表填报报价应当包含招标文件第二章“投标人须知”中“投标报价”要求的所有报价。</w:t>
      </w:r>
    </w:p>
    <w:p w14:paraId="7B392403">
      <w:pPr>
        <w:rPr>
          <w:rFonts w:ascii="宋体" w:hAnsi="宋体"/>
          <w:b/>
          <w:bCs/>
          <w:szCs w:val="21"/>
          <w:highlight w:val="none"/>
        </w:rPr>
      </w:pPr>
      <w:r>
        <w:rPr>
          <w:rFonts w:hint="eastAsia" w:ascii="宋体" w:hAnsi="宋体"/>
          <w:b/>
          <w:bCs/>
          <w:szCs w:val="21"/>
          <w:highlight w:val="none"/>
          <w:lang w:eastAsia="zh-CN"/>
        </w:rPr>
        <w:t>3.</w:t>
      </w:r>
      <w:r>
        <w:rPr>
          <w:rFonts w:hint="eastAsia" w:ascii="宋体" w:hAnsi="宋体"/>
          <w:b/>
          <w:bCs/>
          <w:szCs w:val="21"/>
          <w:highlight w:val="none"/>
        </w:rPr>
        <w:t>在“制造商</w:t>
      </w:r>
      <w:r>
        <w:rPr>
          <w:rFonts w:hint="eastAsia" w:ascii="宋体" w:hAnsi="宋体"/>
          <w:b/>
          <w:szCs w:val="21"/>
          <w:highlight w:val="none"/>
        </w:rPr>
        <w:t>授权</w:t>
      </w:r>
      <w:r>
        <w:rPr>
          <w:rFonts w:hint="eastAsia" w:ascii="宋体" w:hAnsi="宋体"/>
          <w:b/>
          <w:bCs/>
          <w:szCs w:val="21"/>
          <w:highlight w:val="none"/>
        </w:rPr>
        <w:t>”列中</w:t>
      </w:r>
      <w:r>
        <w:rPr>
          <w:rFonts w:hint="eastAsia" w:ascii="宋体" w:hAnsi="宋体"/>
          <w:b/>
          <w:szCs w:val="21"/>
          <w:highlight w:val="none"/>
        </w:rPr>
        <w:t>填写授权主体的名称。若多级授权的，须填写从制造商到投标人的完整授权路径；招标文件不</w:t>
      </w:r>
      <w:r>
        <w:rPr>
          <w:rFonts w:hint="eastAsia" w:ascii="宋体" w:hAnsi="宋体"/>
          <w:b/>
          <w:bCs/>
          <w:szCs w:val="21"/>
          <w:highlight w:val="none"/>
        </w:rPr>
        <w:t>要求提供制造商授权的，不用填写该列。</w:t>
      </w:r>
    </w:p>
    <w:p w14:paraId="00CA25E5">
      <w:pPr>
        <w:rPr>
          <w:rFonts w:ascii="宋体" w:hAnsi="宋体"/>
          <w:b/>
          <w:highlight w:val="none"/>
        </w:rPr>
      </w:pPr>
      <w:r>
        <w:rPr>
          <w:rFonts w:hint="eastAsia" w:ascii="宋体" w:hAnsi="宋体"/>
          <w:b/>
          <w:bCs/>
          <w:szCs w:val="21"/>
          <w:highlight w:val="none"/>
          <w:lang w:eastAsia="zh-CN"/>
        </w:rPr>
        <w:t>4.</w:t>
      </w:r>
      <w:r>
        <w:rPr>
          <w:rFonts w:hint="eastAsia" w:ascii="宋体" w:hAnsi="宋体"/>
          <w:b/>
          <w:bCs/>
          <w:szCs w:val="21"/>
          <w:highlight w:val="none"/>
        </w:rPr>
        <w:t>在“制造商规模类型”列中如实填写“中型企业</w:t>
      </w:r>
      <w:r>
        <w:rPr>
          <w:rFonts w:hint="eastAsia" w:ascii="宋体" w:hAnsi="宋体"/>
          <w:b/>
          <w:bCs/>
          <w:szCs w:val="21"/>
          <w:highlight w:val="none"/>
          <w:lang w:eastAsia="zh-CN"/>
        </w:rPr>
        <w:t>”“</w:t>
      </w:r>
      <w:r>
        <w:rPr>
          <w:rFonts w:hint="eastAsia" w:ascii="宋体" w:hAnsi="宋体"/>
          <w:b/>
          <w:bCs/>
          <w:szCs w:val="21"/>
          <w:highlight w:val="none"/>
        </w:rPr>
        <w:t>小型企业</w:t>
      </w:r>
      <w:r>
        <w:rPr>
          <w:rFonts w:hint="eastAsia" w:ascii="宋体" w:hAnsi="宋体"/>
          <w:b/>
          <w:bCs/>
          <w:szCs w:val="21"/>
          <w:highlight w:val="none"/>
          <w:lang w:eastAsia="zh-CN"/>
        </w:rPr>
        <w:t>”“</w:t>
      </w:r>
      <w:r>
        <w:rPr>
          <w:rFonts w:hint="eastAsia" w:ascii="宋体" w:hAnsi="宋体"/>
          <w:b/>
          <w:bCs/>
          <w:szCs w:val="21"/>
          <w:highlight w:val="none"/>
        </w:rPr>
        <w:t>微型企业</w:t>
      </w:r>
      <w:r>
        <w:rPr>
          <w:rFonts w:hint="eastAsia" w:ascii="宋体" w:hAnsi="宋体"/>
          <w:b/>
          <w:bCs/>
          <w:szCs w:val="21"/>
          <w:highlight w:val="none"/>
          <w:lang w:eastAsia="zh-CN"/>
        </w:rPr>
        <w:t>”“</w:t>
      </w:r>
      <w:r>
        <w:rPr>
          <w:rFonts w:hint="eastAsia" w:ascii="宋体" w:hAnsi="宋体"/>
          <w:b/>
          <w:bCs/>
          <w:szCs w:val="21"/>
          <w:highlight w:val="none"/>
        </w:rPr>
        <w:t>残疾人福利性单位</w:t>
      </w:r>
      <w:r>
        <w:rPr>
          <w:rFonts w:hint="eastAsia" w:ascii="宋体" w:hAnsi="宋体"/>
          <w:b/>
          <w:bCs/>
          <w:szCs w:val="21"/>
          <w:highlight w:val="none"/>
          <w:lang w:eastAsia="zh-CN"/>
        </w:rPr>
        <w:t>”“</w:t>
      </w:r>
      <w:r>
        <w:rPr>
          <w:rFonts w:hint="eastAsia" w:ascii="宋体" w:hAnsi="宋体"/>
          <w:b/>
          <w:bCs/>
          <w:szCs w:val="21"/>
          <w:highlight w:val="none"/>
        </w:rPr>
        <w:t>监狱企业”或“其他”，并按招标文件要求提供《中小企业声明函》。本项填报的制造商规模类型应与《中小企业声明函》中的规模一致，若出现内容矛盾、前后不一致的，以《中小企业声明函》为准。</w:t>
      </w:r>
    </w:p>
    <w:p w14:paraId="70B35182">
      <w:pPr>
        <w:rPr>
          <w:rFonts w:ascii="宋体" w:hAnsi="宋体"/>
          <w:b/>
          <w:szCs w:val="21"/>
          <w:highlight w:val="none"/>
        </w:rPr>
      </w:pPr>
      <w:r>
        <w:rPr>
          <w:rFonts w:hint="eastAsia" w:ascii="宋体" w:hAnsi="宋体"/>
          <w:b/>
          <w:szCs w:val="21"/>
          <w:highlight w:val="none"/>
          <w:lang w:eastAsia="zh-CN"/>
        </w:rPr>
        <w:t>5.</w:t>
      </w:r>
      <w:r>
        <w:rPr>
          <w:rFonts w:hint="eastAsia" w:ascii="宋体" w:hAnsi="宋体"/>
          <w:b/>
          <w:szCs w:val="21"/>
          <w:highlight w:val="none"/>
        </w:rPr>
        <w:t>投标人所报价货物（产品）品牌、规格型号须与医疗器械注册证保持一致，须与技术规格偏离表投标品牌、型号保持一致。</w:t>
      </w:r>
    </w:p>
    <w:p w14:paraId="4BF2E1E9">
      <w:pPr>
        <w:rPr>
          <w:rFonts w:ascii="宋体" w:hAnsi="宋体"/>
          <w:b/>
          <w:highlight w:val="none"/>
        </w:rPr>
      </w:pPr>
    </w:p>
    <w:p w14:paraId="38DA5D4D">
      <w:pPr>
        <w:rPr>
          <w:rFonts w:ascii="宋体" w:hAnsi="宋体"/>
          <w:b/>
          <w:highlight w:val="none"/>
        </w:rPr>
      </w:pPr>
    </w:p>
    <w:p w14:paraId="7E8E71C3">
      <w:pPr>
        <w:spacing w:line="360" w:lineRule="auto"/>
        <w:rPr>
          <w:rFonts w:ascii="宋体" w:hAnsi="宋体"/>
          <w:sz w:val="24"/>
          <w:highlight w:val="none"/>
        </w:rPr>
      </w:pPr>
      <w:r>
        <w:rPr>
          <w:rFonts w:hint="eastAsia" w:ascii="宋体" w:hAnsi="宋体"/>
          <w:sz w:val="24"/>
          <w:highlight w:val="none"/>
        </w:rPr>
        <w:t>投标人：</w:t>
      </w:r>
      <w:r>
        <w:rPr>
          <w:rFonts w:ascii="宋体" w:hAnsi="宋体"/>
          <w:sz w:val="24"/>
          <w:highlight w:val="none"/>
          <w:u w:val="single"/>
        </w:rPr>
        <w:t xml:space="preserve">                                 </w:t>
      </w:r>
      <w:r>
        <w:rPr>
          <w:rFonts w:hint="eastAsia" w:ascii="宋体" w:hAnsi="宋体"/>
          <w:sz w:val="24"/>
          <w:highlight w:val="none"/>
        </w:rPr>
        <w:t>（电子签章）</w:t>
      </w:r>
    </w:p>
    <w:p w14:paraId="17644D74">
      <w:pPr>
        <w:spacing w:line="360" w:lineRule="auto"/>
        <w:rPr>
          <w:rFonts w:ascii="宋体" w:hAnsi="宋体"/>
          <w:sz w:val="24"/>
          <w:highlight w:val="none"/>
        </w:rPr>
      </w:pPr>
      <w:r>
        <w:rPr>
          <w:rFonts w:hint="eastAsia" w:ascii="宋体" w:hAnsi="宋体"/>
          <w:sz w:val="24"/>
          <w:highlight w:val="none"/>
        </w:rPr>
        <w:t>法定代表人或其委托代理人：</w:t>
      </w:r>
      <w:r>
        <w:rPr>
          <w:rFonts w:ascii="宋体" w:hAnsi="宋体"/>
          <w:sz w:val="24"/>
          <w:highlight w:val="none"/>
          <w:u w:val="single"/>
        </w:rPr>
        <w:t xml:space="preserve">               </w:t>
      </w:r>
      <w:r>
        <w:rPr>
          <w:rFonts w:hint="eastAsia" w:ascii="宋体" w:hAnsi="宋体"/>
          <w:sz w:val="24"/>
          <w:highlight w:val="none"/>
        </w:rPr>
        <w:t>（电子签名</w:t>
      </w:r>
      <w:r>
        <w:rPr>
          <w:rFonts w:hint="eastAsia" w:ascii="宋体" w:hAnsi="宋体"/>
          <w:sz w:val="24"/>
          <w:highlight w:val="none"/>
          <w:lang w:val="en-US" w:eastAsia="zh-CN"/>
        </w:rPr>
        <w:t>或电子签章</w:t>
      </w:r>
      <w:r>
        <w:rPr>
          <w:rFonts w:hint="eastAsia" w:ascii="宋体" w:hAnsi="宋体"/>
          <w:sz w:val="24"/>
          <w:highlight w:val="none"/>
        </w:rPr>
        <w:t>）</w:t>
      </w:r>
    </w:p>
    <w:p w14:paraId="30B6F651">
      <w:pPr>
        <w:spacing w:line="360" w:lineRule="auto"/>
        <w:ind w:firstLine="2" w:firstLineChars="1"/>
        <w:rPr>
          <w:rFonts w:ascii="宋体" w:hAnsi="宋体"/>
          <w:b/>
          <w:sz w:val="24"/>
          <w:highlight w:val="none"/>
        </w:rPr>
      </w:pPr>
      <w:r>
        <w:rPr>
          <w:rFonts w:hint="eastAsia" w:ascii="宋体" w:hAnsi="宋体"/>
          <w:sz w:val="24"/>
          <w:highlight w:val="none"/>
        </w:rPr>
        <w:t>日期：</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年</w:t>
      </w:r>
      <w:r>
        <w:rPr>
          <w:rFonts w:ascii="宋体" w:hAnsi="宋体"/>
          <w:sz w:val="24"/>
          <w:highlight w:val="none"/>
          <w:u w:val="single"/>
        </w:rPr>
        <w:t xml:space="preserve">       </w:t>
      </w:r>
      <w:r>
        <w:rPr>
          <w:rFonts w:hint="eastAsia" w:ascii="宋体" w:hAnsi="宋体"/>
          <w:sz w:val="24"/>
          <w:highlight w:val="none"/>
        </w:rPr>
        <w:t>月</w:t>
      </w:r>
      <w:r>
        <w:rPr>
          <w:rFonts w:ascii="宋体" w:hAnsi="宋体"/>
          <w:sz w:val="24"/>
          <w:highlight w:val="none"/>
          <w:u w:val="single"/>
        </w:rPr>
        <w:t xml:space="preserve">       </w:t>
      </w:r>
      <w:r>
        <w:rPr>
          <w:rFonts w:hint="eastAsia" w:ascii="宋体" w:hAnsi="宋体"/>
          <w:sz w:val="24"/>
          <w:highlight w:val="none"/>
        </w:rPr>
        <w:t>日</w:t>
      </w:r>
    </w:p>
    <w:p w14:paraId="6069A27F">
      <w:pPr>
        <w:pStyle w:val="16"/>
        <w:rPr>
          <w:rFonts w:hAnsi="宋体"/>
          <w:szCs w:val="21"/>
          <w:highlight w:val="none"/>
        </w:rPr>
        <w:sectPr>
          <w:pgSz w:w="16838" w:h="11906" w:orient="landscape"/>
          <w:pgMar w:top="1134" w:right="1276" w:bottom="1134" w:left="1276" w:header="680" w:footer="680" w:gutter="0"/>
          <w:pgBorders>
            <w:top w:val="none" w:sz="0" w:space="0"/>
            <w:left w:val="none" w:sz="0" w:space="0"/>
            <w:bottom w:val="none" w:sz="0" w:space="0"/>
            <w:right w:val="none" w:sz="0" w:space="0"/>
          </w:pgBorders>
          <w:pgNumType w:fmt="decimal"/>
          <w:cols w:space="720" w:num="1"/>
          <w:titlePg/>
          <w:docGrid w:linePitch="331" w:charSpace="0"/>
        </w:sectPr>
      </w:pPr>
    </w:p>
    <w:p w14:paraId="29096718">
      <w:pPr>
        <w:spacing w:line="588" w:lineRule="exact"/>
        <w:jc w:val="left"/>
        <w:rPr>
          <w:rFonts w:ascii="宋体" w:hAnsi="宋体"/>
          <w:sz w:val="24"/>
          <w:highlight w:val="none"/>
        </w:rPr>
      </w:pPr>
      <w:r>
        <w:rPr>
          <w:rFonts w:hint="eastAsia" w:ascii="宋体" w:hAnsi="宋体"/>
          <w:b/>
          <w:sz w:val="28"/>
          <w:szCs w:val="28"/>
          <w:highlight w:val="none"/>
        </w:rPr>
        <w:t>格式5：</w:t>
      </w:r>
    </w:p>
    <w:p w14:paraId="39F315DF">
      <w:pPr>
        <w:pStyle w:val="5"/>
        <w:jc w:val="center"/>
        <w:rPr>
          <w:rFonts w:ascii="宋体" w:hAnsi="宋体" w:eastAsia="宋体"/>
          <w:sz w:val="32"/>
          <w:szCs w:val="32"/>
          <w:highlight w:val="none"/>
        </w:rPr>
      </w:pPr>
      <w:bookmarkStart w:id="147" w:name="_Toc101004110"/>
      <w:bookmarkStart w:id="148" w:name="_Toc7438"/>
      <w:r>
        <w:rPr>
          <w:rFonts w:hint="eastAsia" w:ascii="宋体" w:hAnsi="宋体" w:eastAsia="宋体"/>
          <w:sz w:val="32"/>
          <w:szCs w:val="32"/>
          <w:highlight w:val="none"/>
        </w:rPr>
        <w:t>中小企业声明函（货物）</w:t>
      </w:r>
      <w:bookmarkEnd w:id="147"/>
      <w:r>
        <w:rPr>
          <w:rFonts w:hint="eastAsia" w:ascii="宋体" w:hAnsi="宋体" w:eastAsia="宋体"/>
          <w:sz w:val="32"/>
          <w:szCs w:val="32"/>
          <w:highlight w:val="none"/>
        </w:rPr>
        <w:t>（如有）</w:t>
      </w:r>
      <w:bookmarkEnd w:id="148"/>
    </w:p>
    <w:p w14:paraId="53113738">
      <w:pPr>
        <w:spacing w:line="360" w:lineRule="auto"/>
        <w:ind w:right="422" w:rightChars="201" w:firstLine="504" w:firstLineChars="200"/>
        <w:rPr>
          <w:rFonts w:ascii="宋体" w:hAnsi="宋体"/>
          <w:spacing w:val="6"/>
          <w:sz w:val="24"/>
          <w:highlight w:val="none"/>
        </w:rPr>
      </w:pPr>
    </w:p>
    <w:p w14:paraId="004008AB">
      <w:pPr>
        <w:spacing w:line="360" w:lineRule="auto"/>
        <w:ind w:firstLine="504" w:firstLineChars="200"/>
        <w:rPr>
          <w:rFonts w:ascii="宋体" w:hAnsi="宋体"/>
          <w:spacing w:val="6"/>
          <w:sz w:val="24"/>
          <w:highlight w:val="none"/>
        </w:rPr>
      </w:pPr>
      <w:r>
        <w:rPr>
          <w:rFonts w:hint="eastAsia" w:ascii="宋体" w:hAnsi="宋体"/>
          <w:spacing w:val="6"/>
          <w:sz w:val="24"/>
          <w:highlight w:val="none"/>
        </w:rPr>
        <w:t>本公司（联合体）郑重声明，根据《政府采购促进中小企业发展管理办法》（财库﹝2020﹞46号）的规定，本公司（联合体）参加</w:t>
      </w:r>
      <w:r>
        <w:rPr>
          <w:rFonts w:hint="eastAsia" w:ascii="宋体" w:hAnsi="宋体"/>
          <w:spacing w:val="6"/>
          <w:sz w:val="24"/>
          <w:highlight w:val="none"/>
          <w:u w:val="single"/>
        </w:rPr>
        <w:t xml:space="preserve"> </w:t>
      </w:r>
      <w:r>
        <w:rPr>
          <w:rFonts w:ascii="宋体" w:hAnsi="宋体"/>
          <w:spacing w:val="6"/>
          <w:sz w:val="24"/>
          <w:highlight w:val="none"/>
          <w:u w:val="single"/>
        </w:rPr>
        <w:t xml:space="preserve">  </w:t>
      </w:r>
      <w:r>
        <w:rPr>
          <w:rFonts w:hint="eastAsia" w:ascii="宋体" w:hAnsi="宋体"/>
          <w:spacing w:val="6"/>
          <w:sz w:val="24"/>
          <w:highlight w:val="none"/>
          <w:u w:val="single"/>
        </w:rPr>
        <w:t xml:space="preserve">（ 单 位 名 称 ） </w:t>
      </w:r>
      <w:r>
        <w:rPr>
          <w:rFonts w:ascii="宋体" w:hAnsi="宋体"/>
          <w:spacing w:val="6"/>
          <w:sz w:val="24"/>
          <w:highlight w:val="none"/>
          <w:u w:val="single"/>
        </w:rPr>
        <w:t xml:space="preserve">  </w:t>
      </w:r>
      <w:r>
        <w:rPr>
          <w:rFonts w:hint="eastAsia" w:ascii="宋体" w:hAnsi="宋体"/>
          <w:spacing w:val="6"/>
          <w:sz w:val="24"/>
          <w:highlight w:val="none"/>
          <w:u w:val="single"/>
        </w:rPr>
        <w:t xml:space="preserve"> </w:t>
      </w:r>
      <w:r>
        <w:rPr>
          <w:rFonts w:hint="eastAsia" w:ascii="宋体" w:hAnsi="宋体"/>
          <w:spacing w:val="6"/>
          <w:sz w:val="24"/>
          <w:highlight w:val="none"/>
        </w:rPr>
        <w:t>的</w:t>
      </w:r>
      <w:r>
        <w:rPr>
          <w:rFonts w:hint="eastAsia" w:ascii="宋体" w:hAnsi="宋体"/>
          <w:spacing w:val="6"/>
          <w:sz w:val="24"/>
          <w:highlight w:val="none"/>
          <w:u w:val="single"/>
        </w:rPr>
        <w:t xml:space="preserve"> </w:t>
      </w:r>
      <w:r>
        <w:rPr>
          <w:rFonts w:ascii="宋体" w:hAnsi="宋体"/>
          <w:spacing w:val="6"/>
          <w:sz w:val="24"/>
          <w:highlight w:val="none"/>
          <w:u w:val="single"/>
        </w:rPr>
        <w:t xml:space="preserve">   </w:t>
      </w:r>
      <w:r>
        <w:rPr>
          <w:rFonts w:hint="eastAsia" w:ascii="宋体" w:hAnsi="宋体"/>
          <w:spacing w:val="6"/>
          <w:sz w:val="24"/>
          <w:highlight w:val="none"/>
          <w:u w:val="single"/>
        </w:rPr>
        <w:t xml:space="preserve">（ 项 目 名 称 ） </w:t>
      </w:r>
      <w:r>
        <w:rPr>
          <w:rFonts w:ascii="宋体" w:hAnsi="宋体"/>
          <w:spacing w:val="6"/>
          <w:sz w:val="24"/>
          <w:highlight w:val="none"/>
          <w:u w:val="single"/>
        </w:rPr>
        <w:t xml:space="preserve">  </w:t>
      </w:r>
      <w:r>
        <w:rPr>
          <w:rFonts w:hint="eastAsia" w:ascii="宋体" w:hAnsi="宋体"/>
          <w:spacing w:val="6"/>
          <w:sz w:val="24"/>
          <w:highlight w:val="none"/>
        </w:rPr>
        <w:t xml:space="preserve"> 采购活动，提供的货物全部由符合政策要求的中小企业制造。相关企业 （含联合体中的中小企业、签订分包意向协议的中小企业）的具体情况如下：</w:t>
      </w:r>
    </w:p>
    <w:p w14:paraId="72FCD36A">
      <w:pPr>
        <w:spacing w:line="360" w:lineRule="auto"/>
        <w:ind w:firstLine="504" w:firstLineChars="200"/>
        <w:rPr>
          <w:rFonts w:ascii="宋体" w:hAnsi="宋体"/>
          <w:spacing w:val="6"/>
          <w:sz w:val="24"/>
          <w:highlight w:val="none"/>
        </w:rPr>
      </w:pPr>
      <w:r>
        <w:rPr>
          <w:rFonts w:hint="eastAsia" w:ascii="宋体" w:hAnsi="宋体"/>
          <w:spacing w:val="6"/>
          <w:sz w:val="24"/>
          <w:highlight w:val="none"/>
        </w:rPr>
        <w:t xml:space="preserve"> 1.</w:t>
      </w:r>
      <w:r>
        <w:rPr>
          <w:rFonts w:hint="eastAsia" w:ascii="宋体" w:hAnsi="宋体"/>
          <w:spacing w:val="6"/>
          <w:sz w:val="24"/>
          <w:highlight w:val="none"/>
          <w:u w:val="single"/>
        </w:rPr>
        <w:t xml:space="preserve"> </w:t>
      </w:r>
      <w:r>
        <w:rPr>
          <w:rFonts w:ascii="宋体" w:hAnsi="宋体"/>
          <w:spacing w:val="6"/>
          <w:sz w:val="24"/>
          <w:highlight w:val="none"/>
          <w:u w:val="single"/>
        </w:rPr>
        <w:t xml:space="preserve">   </w:t>
      </w:r>
      <w:r>
        <w:rPr>
          <w:rFonts w:hint="eastAsia" w:ascii="宋体" w:hAnsi="宋体"/>
          <w:spacing w:val="6"/>
          <w:sz w:val="24"/>
          <w:highlight w:val="none"/>
          <w:u w:val="single"/>
        </w:rPr>
        <w:t>（ 标 的 名 称 ）</w:t>
      </w:r>
      <w:r>
        <w:rPr>
          <w:rFonts w:hint="eastAsia" w:ascii="宋体" w:hAnsi="宋体"/>
          <w:spacing w:val="6"/>
          <w:sz w:val="24"/>
          <w:highlight w:val="none"/>
        </w:rPr>
        <w:t xml:space="preserve"> ，属于</w:t>
      </w:r>
      <w:r>
        <w:rPr>
          <w:rFonts w:hint="eastAsia" w:ascii="宋体" w:hAnsi="宋体"/>
          <w:spacing w:val="6"/>
          <w:sz w:val="24"/>
          <w:highlight w:val="none"/>
          <w:u w:val="single"/>
        </w:rPr>
        <w:t xml:space="preserve"> （二）工业  </w:t>
      </w:r>
      <w:r>
        <w:rPr>
          <w:rFonts w:hint="eastAsia" w:ascii="宋体" w:hAnsi="宋体"/>
          <w:spacing w:val="6"/>
          <w:sz w:val="24"/>
          <w:highlight w:val="none"/>
        </w:rPr>
        <w:t>行 业 ；制造商为</w:t>
      </w:r>
      <w:r>
        <w:rPr>
          <w:rFonts w:hint="eastAsia" w:ascii="宋体" w:hAnsi="宋体"/>
          <w:spacing w:val="6"/>
          <w:sz w:val="24"/>
          <w:highlight w:val="none"/>
          <w:u w:val="single"/>
        </w:rPr>
        <w:t xml:space="preserve"> </w:t>
      </w:r>
      <w:r>
        <w:rPr>
          <w:rFonts w:ascii="宋体" w:hAnsi="宋体"/>
          <w:spacing w:val="6"/>
          <w:sz w:val="24"/>
          <w:highlight w:val="none"/>
          <w:u w:val="single"/>
        </w:rPr>
        <w:t xml:space="preserve">  </w:t>
      </w:r>
      <w:r>
        <w:rPr>
          <w:rFonts w:hint="eastAsia" w:ascii="宋体" w:hAnsi="宋体"/>
          <w:spacing w:val="6"/>
          <w:sz w:val="24"/>
          <w:highlight w:val="none"/>
          <w:u w:val="single"/>
        </w:rPr>
        <w:t xml:space="preserve">（ 企 业 名 称 ） </w:t>
      </w:r>
      <w:r>
        <w:rPr>
          <w:rFonts w:ascii="宋体" w:hAnsi="宋体"/>
          <w:spacing w:val="6"/>
          <w:sz w:val="24"/>
          <w:highlight w:val="none"/>
          <w:u w:val="single"/>
        </w:rPr>
        <w:t xml:space="preserve"> </w:t>
      </w:r>
      <w:r>
        <w:rPr>
          <w:rFonts w:hint="eastAsia" w:ascii="宋体" w:hAnsi="宋体"/>
          <w:spacing w:val="6"/>
          <w:sz w:val="24"/>
          <w:highlight w:val="none"/>
          <w:u w:val="single"/>
        </w:rPr>
        <w:t xml:space="preserve"> </w:t>
      </w:r>
      <w:r>
        <w:rPr>
          <w:rFonts w:hint="eastAsia" w:ascii="宋体" w:hAnsi="宋体"/>
          <w:spacing w:val="6"/>
          <w:sz w:val="24"/>
          <w:highlight w:val="none"/>
        </w:rPr>
        <w:t>，从业人员</w:t>
      </w:r>
      <w:r>
        <w:rPr>
          <w:rFonts w:ascii="宋体" w:hAnsi="宋体"/>
          <w:spacing w:val="6"/>
          <w:sz w:val="24"/>
          <w:highlight w:val="none"/>
          <w:u w:val="single"/>
        </w:rPr>
        <w:t xml:space="preserve">    </w:t>
      </w:r>
      <w:r>
        <w:rPr>
          <w:rFonts w:hint="eastAsia" w:ascii="宋体" w:hAnsi="宋体"/>
          <w:spacing w:val="6"/>
          <w:sz w:val="24"/>
          <w:highlight w:val="none"/>
        </w:rPr>
        <w:t>人，营业收入为</w:t>
      </w:r>
      <w:r>
        <w:rPr>
          <w:rFonts w:ascii="宋体" w:hAnsi="宋体"/>
          <w:spacing w:val="6"/>
          <w:sz w:val="24"/>
          <w:highlight w:val="none"/>
          <w:u w:val="single"/>
        </w:rPr>
        <w:t xml:space="preserve">     </w:t>
      </w:r>
      <w:r>
        <w:rPr>
          <w:rFonts w:hint="eastAsia" w:ascii="宋体" w:hAnsi="宋体"/>
          <w:spacing w:val="6"/>
          <w:sz w:val="24"/>
          <w:highlight w:val="none"/>
        </w:rPr>
        <w:t>万元，资产总额为</w:t>
      </w:r>
      <w:r>
        <w:rPr>
          <w:rFonts w:ascii="宋体" w:hAnsi="宋体"/>
          <w:spacing w:val="6"/>
          <w:sz w:val="24"/>
          <w:highlight w:val="none"/>
          <w:u w:val="single"/>
        </w:rPr>
        <w:t xml:space="preserve">      </w:t>
      </w:r>
      <w:r>
        <w:rPr>
          <w:rFonts w:hint="eastAsia" w:ascii="宋体" w:hAnsi="宋体"/>
          <w:spacing w:val="6"/>
          <w:sz w:val="24"/>
          <w:highlight w:val="none"/>
        </w:rPr>
        <w:t>万元</w:t>
      </w:r>
      <w:r>
        <w:rPr>
          <w:rFonts w:hint="eastAsia" w:ascii="宋体" w:hAnsi="宋体"/>
          <w:spacing w:val="6"/>
          <w:sz w:val="24"/>
          <w:highlight w:val="none"/>
          <w:vertAlign w:val="superscript"/>
        </w:rPr>
        <w:t>1</w:t>
      </w:r>
      <w:r>
        <w:rPr>
          <w:rFonts w:hint="eastAsia" w:ascii="宋体" w:hAnsi="宋体"/>
          <w:spacing w:val="6"/>
          <w:sz w:val="24"/>
          <w:highlight w:val="none"/>
        </w:rPr>
        <w:t>，属于</w:t>
      </w:r>
      <w:r>
        <w:rPr>
          <w:rFonts w:hint="eastAsia" w:ascii="宋体" w:hAnsi="宋体"/>
          <w:spacing w:val="6"/>
          <w:sz w:val="24"/>
          <w:highlight w:val="none"/>
          <w:u w:val="single"/>
        </w:rPr>
        <w:t xml:space="preserve"> </w:t>
      </w:r>
      <w:r>
        <w:rPr>
          <w:rFonts w:ascii="宋体" w:hAnsi="宋体"/>
          <w:spacing w:val="6"/>
          <w:sz w:val="24"/>
          <w:highlight w:val="none"/>
          <w:u w:val="single"/>
        </w:rPr>
        <w:t xml:space="preserve"> </w:t>
      </w:r>
      <w:r>
        <w:rPr>
          <w:rFonts w:hint="eastAsia" w:ascii="宋体" w:hAnsi="宋体"/>
          <w:spacing w:val="6"/>
          <w:sz w:val="24"/>
          <w:highlight w:val="none"/>
          <w:u w:val="single"/>
        </w:rPr>
        <w:t xml:space="preserve">（ 中 型 企 业 、 小 型 企 业 、 微 型 企 业 ） </w:t>
      </w:r>
      <w:r>
        <w:rPr>
          <w:rFonts w:hint="eastAsia" w:ascii="宋体" w:hAnsi="宋体"/>
          <w:spacing w:val="6"/>
          <w:sz w:val="24"/>
          <w:highlight w:val="none"/>
        </w:rPr>
        <w:t xml:space="preserve">； </w:t>
      </w:r>
    </w:p>
    <w:p w14:paraId="57BE0D2C">
      <w:pPr>
        <w:spacing w:line="360" w:lineRule="auto"/>
        <w:ind w:firstLine="504" w:firstLineChars="200"/>
        <w:rPr>
          <w:rFonts w:ascii="宋体" w:hAnsi="宋体"/>
          <w:spacing w:val="6"/>
          <w:sz w:val="24"/>
          <w:highlight w:val="none"/>
        </w:rPr>
      </w:pPr>
      <w:r>
        <w:rPr>
          <w:rFonts w:hint="eastAsia" w:ascii="宋体" w:hAnsi="宋体"/>
          <w:spacing w:val="6"/>
          <w:sz w:val="24"/>
          <w:highlight w:val="none"/>
        </w:rPr>
        <w:t>2.</w:t>
      </w:r>
      <w:r>
        <w:rPr>
          <w:rFonts w:hint="eastAsia" w:ascii="宋体" w:hAnsi="宋体"/>
          <w:spacing w:val="6"/>
          <w:sz w:val="24"/>
          <w:highlight w:val="none"/>
          <w:u w:val="single"/>
        </w:rPr>
        <w:t xml:space="preserve"> </w:t>
      </w:r>
      <w:r>
        <w:rPr>
          <w:rFonts w:ascii="宋体" w:hAnsi="宋体"/>
          <w:spacing w:val="6"/>
          <w:sz w:val="24"/>
          <w:highlight w:val="none"/>
          <w:u w:val="single"/>
        </w:rPr>
        <w:t xml:space="preserve">   </w:t>
      </w:r>
      <w:r>
        <w:rPr>
          <w:rFonts w:hint="eastAsia" w:ascii="宋体" w:hAnsi="宋体"/>
          <w:spacing w:val="6"/>
          <w:sz w:val="24"/>
          <w:highlight w:val="none"/>
          <w:u w:val="single"/>
        </w:rPr>
        <w:t>（ 标 的 名 称 ）</w:t>
      </w:r>
      <w:r>
        <w:rPr>
          <w:rFonts w:hint="eastAsia" w:ascii="宋体" w:hAnsi="宋体"/>
          <w:spacing w:val="6"/>
          <w:sz w:val="24"/>
          <w:highlight w:val="none"/>
        </w:rPr>
        <w:t xml:space="preserve"> ，属于</w:t>
      </w:r>
      <w:r>
        <w:rPr>
          <w:rFonts w:hint="eastAsia" w:ascii="宋体" w:hAnsi="宋体"/>
          <w:spacing w:val="6"/>
          <w:sz w:val="24"/>
          <w:highlight w:val="none"/>
          <w:u w:val="single"/>
        </w:rPr>
        <w:t xml:space="preserve">（二）工业 </w:t>
      </w:r>
      <w:r>
        <w:rPr>
          <w:rFonts w:hint="eastAsia" w:ascii="宋体" w:hAnsi="宋体"/>
          <w:spacing w:val="6"/>
          <w:sz w:val="24"/>
          <w:highlight w:val="none"/>
        </w:rPr>
        <w:t>行 业 ；制造商为</w:t>
      </w:r>
      <w:r>
        <w:rPr>
          <w:rFonts w:hint="eastAsia" w:ascii="宋体" w:hAnsi="宋体"/>
          <w:spacing w:val="6"/>
          <w:sz w:val="24"/>
          <w:highlight w:val="none"/>
          <w:u w:val="single"/>
        </w:rPr>
        <w:t xml:space="preserve"> </w:t>
      </w:r>
      <w:r>
        <w:rPr>
          <w:rFonts w:ascii="宋体" w:hAnsi="宋体"/>
          <w:spacing w:val="6"/>
          <w:sz w:val="24"/>
          <w:highlight w:val="none"/>
          <w:u w:val="single"/>
        </w:rPr>
        <w:t xml:space="preserve">  </w:t>
      </w:r>
      <w:r>
        <w:rPr>
          <w:rFonts w:hint="eastAsia" w:ascii="宋体" w:hAnsi="宋体"/>
          <w:spacing w:val="6"/>
          <w:sz w:val="24"/>
          <w:highlight w:val="none"/>
          <w:u w:val="single"/>
        </w:rPr>
        <w:t xml:space="preserve">（ 企 业 名 称 ） </w:t>
      </w:r>
      <w:r>
        <w:rPr>
          <w:rFonts w:ascii="宋体" w:hAnsi="宋体"/>
          <w:spacing w:val="6"/>
          <w:sz w:val="24"/>
          <w:highlight w:val="none"/>
          <w:u w:val="single"/>
        </w:rPr>
        <w:t xml:space="preserve"> </w:t>
      </w:r>
      <w:r>
        <w:rPr>
          <w:rFonts w:hint="eastAsia" w:ascii="宋体" w:hAnsi="宋体"/>
          <w:spacing w:val="6"/>
          <w:sz w:val="24"/>
          <w:highlight w:val="none"/>
          <w:u w:val="single"/>
        </w:rPr>
        <w:t xml:space="preserve"> </w:t>
      </w:r>
      <w:r>
        <w:rPr>
          <w:rFonts w:hint="eastAsia" w:ascii="宋体" w:hAnsi="宋体"/>
          <w:spacing w:val="6"/>
          <w:sz w:val="24"/>
          <w:highlight w:val="none"/>
        </w:rPr>
        <w:t>，从业人员</w:t>
      </w:r>
      <w:r>
        <w:rPr>
          <w:rFonts w:ascii="宋体" w:hAnsi="宋体"/>
          <w:spacing w:val="6"/>
          <w:sz w:val="24"/>
          <w:highlight w:val="none"/>
          <w:u w:val="single"/>
        </w:rPr>
        <w:t xml:space="preserve">    </w:t>
      </w:r>
      <w:r>
        <w:rPr>
          <w:rFonts w:hint="eastAsia" w:ascii="宋体" w:hAnsi="宋体"/>
          <w:spacing w:val="6"/>
          <w:sz w:val="24"/>
          <w:highlight w:val="none"/>
        </w:rPr>
        <w:t>人，营业收入为</w:t>
      </w:r>
      <w:r>
        <w:rPr>
          <w:rFonts w:ascii="宋体" w:hAnsi="宋体"/>
          <w:spacing w:val="6"/>
          <w:sz w:val="24"/>
          <w:highlight w:val="none"/>
          <w:u w:val="single"/>
        </w:rPr>
        <w:t xml:space="preserve">     </w:t>
      </w:r>
      <w:r>
        <w:rPr>
          <w:rFonts w:hint="eastAsia" w:ascii="宋体" w:hAnsi="宋体"/>
          <w:spacing w:val="6"/>
          <w:sz w:val="24"/>
          <w:highlight w:val="none"/>
        </w:rPr>
        <w:t>万元，资产总额为</w:t>
      </w:r>
      <w:r>
        <w:rPr>
          <w:rFonts w:ascii="宋体" w:hAnsi="宋体"/>
          <w:spacing w:val="6"/>
          <w:sz w:val="24"/>
          <w:highlight w:val="none"/>
          <w:u w:val="single"/>
        </w:rPr>
        <w:t xml:space="preserve">      </w:t>
      </w:r>
      <w:r>
        <w:rPr>
          <w:rFonts w:hint="eastAsia" w:ascii="宋体" w:hAnsi="宋体"/>
          <w:spacing w:val="6"/>
          <w:sz w:val="24"/>
          <w:highlight w:val="none"/>
        </w:rPr>
        <w:t>万元</w:t>
      </w:r>
      <w:r>
        <w:rPr>
          <w:rFonts w:hint="eastAsia" w:ascii="宋体" w:hAnsi="宋体"/>
          <w:spacing w:val="6"/>
          <w:sz w:val="24"/>
          <w:highlight w:val="none"/>
          <w:vertAlign w:val="superscript"/>
        </w:rPr>
        <w:t>1</w:t>
      </w:r>
      <w:r>
        <w:rPr>
          <w:rFonts w:hint="eastAsia" w:ascii="宋体" w:hAnsi="宋体"/>
          <w:spacing w:val="6"/>
          <w:sz w:val="24"/>
          <w:highlight w:val="none"/>
        </w:rPr>
        <w:t>，属于</w:t>
      </w:r>
      <w:r>
        <w:rPr>
          <w:rFonts w:hint="eastAsia" w:ascii="宋体" w:hAnsi="宋体"/>
          <w:spacing w:val="6"/>
          <w:sz w:val="24"/>
          <w:highlight w:val="none"/>
          <w:u w:val="single"/>
        </w:rPr>
        <w:t xml:space="preserve"> </w:t>
      </w:r>
      <w:r>
        <w:rPr>
          <w:rFonts w:ascii="宋体" w:hAnsi="宋体"/>
          <w:spacing w:val="6"/>
          <w:sz w:val="24"/>
          <w:highlight w:val="none"/>
          <w:u w:val="single"/>
        </w:rPr>
        <w:t xml:space="preserve"> </w:t>
      </w:r>
      <w:r>
        <w:rPr>
          <w:rFonts w:hint="eastAsia" w:ascii="宋体" w:hAnsi="宋体"/>
          <w:spacing w:val="6"/>
          <w:sz w:val="24"/>
          <w:highlight w:val="none"/>
          <w:u w:val="single"/>
        </w:rPr>
        <w:t xml:space="preserve">（ 中 型 企 业 、 小 型 企 业 、 微 型 企 业 ） </w:t>
      </w:r>
      <w:r>
        <w:rPr>
          <w:rFonts w:hint="eastAsia" w:ascii="宋体" w:hAnsi="宋体"/>
          <w:spacing w:val="6"/>
          <w:sz w:val="24"/>
          <w:highlight w:val="none"/>
        </w:rPr>
        <w:t>；</w:t>
      </w:r>
    </w:p>
    <w:p w14:paraId="193B754B">
      <w:pPr>
        <w:pStyle w:val="13"/>
        <w:rPr>
          <w:rFonts w:ascii="宋体" w:hAnsi="宋体"/>
          <w:sz w:val="24"/>
          <w:highlight w:val="none"/>
        </w:rPr>
      </w:pPr>
    </w:p>
    <w:p w14:paraId="15C6B937">
      <w:pPr>
        <w:pStyle w:val="13"/>
        <w:ind w:firstLine="480" w:firstLineChars="200"/>
        <w:rPr>
          <w:rFonts w:ascii="宋体" w:hAnsi="宋体"/>
          <w:sz w:val="24"/>
          <w:highlight w:val="none"/>
        </w:rPr>
      </w:pPr>
      <w:r>
        <w:rPr>
          <w:rFonts w:hint="eastAsia" w:ascii="宋体" w:hAnsi="宋体"/>
          <w:sz w:val="24"/>
          <w:highlight w:val="none"/>
        </w:rPr>
        <w:t>……</w:t>
      </w:r>
    </w:p>
    <w:p w14:paraId="33C8BAA4">
      <w:pPr>
        <w:spacing w:line="360" w:lineRule="auto"/>
        <w:ind w:firstLine="504" w:firstLineChars="200"/>
        <w:rPr>
          <w:rFonts w:ascii="宋体" w:hAnsi="宋体"/>
          <w:spacing w:val="6"/>
          <w:sz w:val="24"/>
          <w:highlight w:val="none"/>
        </w:rPr>
      </w:pPr>
      <w:r>
        <w:rPr>
          <w:rFonts w:hint="eastAsia" w:ascii="宋体" w:hAnsi="宋体"/>
          <w:spacing w:val="6"/>
          <w:sz w:val="24"/>
          <w:highlight w:val="none"/>
        </w:rPr>
        <w:t xml:space="preserve">以上企业，不属于大企业的分支机构，不存在控股股东为大企业的情形，也不存在与大企业的负责人为同一人的情形。 </w:t>
      </w:r>
    </w:p>
    <w:p w14:paraId="4159A795">
      <w:pPr>
        <w:spacing w:line="360" w:lineRule="auto"/>
        <w:ind w:firstLine="504" w:firstLineChars="200"/>
        <w:rPr>
          <w:rFonts w:ascii="宋体" w:hAnsi="宋体"/>
          <w:spacing w:val="6"/>
          <w:sz w:val="24"/>
          <w:highlight w:val="none"/>
        </w:rPr>
      </w:pPr>
      <w:r>
        <w:rPr>
          <w:rFonts w:hint="eastAsia" w:ascii="宋体" w:hAnsi="宋体"/>
          <w:spacing w:val="6"/>
          <w:sz w:val="24"/>
          <w:highlight w:val="none"/>
        </w:rPr>
        <w:t xml:space="preserve">本企业对上述声明内容的真实性负责。如有虚假，将依法承担相应责任。 </w:t>
      </w:r>
    </w:p>
    <w:p w14:paraId="60E60E6C">
      <w:pPr>
        <w:spacing w:line="360" w:lineRule="auto"/>
        <w:ind w:firstLine="504" w:firstLineChars="200"/>
        <w:rPr>
          <w:rFonts w:ascii="宋体" w:hAnsi="宋体"/>
          <w:spacing w:val="6"/>
          <w:sz w:val="24"/>
          <w:highlight w:val="none"/>
        </w:rPr>
      </w:pPr>
    </w:p>
    <w:p w14:paraId="7AEE2FF5">
      <w:pPr>
        <w:spacing w:line="360" w:lineRule="auto"/>
        <w:ind w:firstLine="504" w:firstLineChars="200"/>
        <w:jc w:val="center"/>
        <w:rPr>
          <w:rFonts w:ascii="宋体" w:hAnsi="宋体"/>
          <w:spacing w:val="6"/>
          <w:sz w:val="24"/>
          <w:highlight w:val="none"/>
        </w:rPr>
      </w:pPr>
      <w:r>
        <w:rPr>
          <w:rFonts w:hint="eastAsia" w:ascii="宋体" w:hAnsi="宋体"/>
          <w:spacing w:val="6"/>
          <w:sz w:val="24"/>
          <w:highlight w:val="none"/>
        </w:rPr>
        <w:t xml:space="preserve"> </w:t>
      </w:r>
      <w:r>
        <w:rPr>
          <w:rFonts w:ascii="宋体" w:hAnsi="宋体"/>
          <w:spacing w:val="6"/>
          <w:sz w:val="24"/>
          <w:highlight w:val="none"/>
        </w:rPr>
        <w:t xml:space="preserve">                        </w:t>
      </w:r>
      <w:r>
        <w:rPr>
          <w:rFonts w:hint="eastAsia" w:ascii="宋体" w:hAnsi="宋体"/>
          <w:spacing w:val="6"/>
          <w:sz w:val="24"/>
          <w:highlight w:val="none"/>
        </w:rPr>
        <w:t>企业名称（电子签章）：</w:t>
      </w:r>
    </w:p>
    <w:p w14:paraId="2DEBD9AD">
      <w:pPr>
        <w:autoSpaceDE w:val="0"/>
        <w:autoSpaceDN w:val="0"/>
        <w:adjustRightInd w:val="0"/>
        <w:ind w:firstLine="6804" w:firstLineChars="2700"/>
        <w:jc w:val="left"/>
        <w:rPr>
          <w:rFonts w:ascii="宋体" w:hAnsi="宋体" w:cs="Malgun Gothic Semilight"/>
          <w:kern w:val="0"/>
          <w:sz w:val="32"/>
          <w:szCs w:val="32"/>
          <w:highlight w:val="none"/>
        </w:rPr>
      </w:pPr>
      <w:r>
        <w:rPr>
          <w:rFonts w:hint="eastAsia" w:ascii="宋体" w:hAnsi="宋体"/>
          <w:spacing w:val="6"/>
          <w:sz w:val="24"/>
          <w:highlight w:val="none"/>
        </w:rPr>
        <w:t>日 期</w:t>
      </w:r>
      <w:r>
        <w:rPr>
          <w:rFonts w:hint="eastAsia" w:ascii="宋体" w:hAnsi="宋体" w:cs="Malgun Gothic Semilight"/>
          <w:kern w:val="0"/>
          <w:sz w:val="24"/>
          <w:highlight w:val="none"/>
        </w:rPr>
        <w:t xml:space="preserve"> </w:t>
      </w:r>
    </w:p>
    <w:p w14:paraId="772C4646">
      <w:pPr>
        <w:autoSpaceDE w:val="0"/>
        <w:autoSpaceDN w:val="0"/>
        <w:adjustRightInd w:val="0"/>
        <w:ind w:left="-141" w:leftChars="-67"/>
        <w:jc w:val="left"/>
        <w:rPr>
          <w:rFonts w:ascii="宋体" w:hAnsi="宋体" w:cs="Malgun Gothic Semilight"/>
          <w:kern w:val="0"/>
          <w:sz w:val="32"/>
          <w:szCs w:val="32"/>
          <w:highlight w:val="none"/>
        </w:rPr>
      </w:pPr>
    </w:p>
    <w:p w14:paraId="2AA76A6D">
      <w:pPr>
        <w:autoSpaceDE w:val="0"/>
        <w:autoSpaceDN w:val="0"/>
        <w:adjustRightInd w:val="0"/>
        <w:ind w:left="-141" w:leftChars="-67"/>
        <w:jc w:val="left"/>
        <w:rPr>
          <w:rFonts w:ascii="宋体" w:hAnsi="宋体" w:cs="Malgun Gothic Semilight"/>
          <w:kern w:val="0"/>
          <w:sz w:val="32"/>
          <w:szCs w:val="32"/>
          <w:highlight w:val="none"/>
        </w:rPr>
      </w:pPr>
      <w:r>
        <w:rPr>
          <w:rFonts w:hint="eastAsia" w:ascii="宋体" w:hAnsi="宋体" w:cs="Malgun Gothic Semilight"/>
          <w:kern w:val="0"/>
          <w:sz w:val="32"/>
          <w:szCs w:val="32"/>
          <w:highlight w:val="none"/>
        </w:rPr>
        <w:t xml:space="preserve"> </w:t>
      </w:r>
    </w:p>
    <w:p w14:paraId="382A45F1">
      <w:pPr>
        <w:autoSpaceDE w:val="0"/>
        <w:autoSpaceDN w:val="0"/>
        <w:adjustRightInd w:val="0"/>
        <w:ind w:left="-141" w:leftChars="-67"/>
        <w:jc w:val="left"/>
        <w:rPr>
          <w:rFonts w:ascii="宋体" w:hAnsi="宋体" w:cs="Malgun Gothic Semilight"/>
          <w:b/>
          <w:bCs/>
          <w:kern w:val="0"/>
          <w:sz w:val="32"/>
          <w:szCs w:val="32"/>
          <w:highlight w:val="none"/>
        </w:rPr>
      </w:pPr>
    </w:p>
    <w:p w14:paraId="1500AA43">
      <w:pPr>
        <w:autoSpaceDE w:val="0"/>
        <w:autoSpaceDN w:val="0"/>
        <w:adjustRightInd w:val="0"/>
        <w:jc w:val="left"/>
        <w:rPr>
          <w:rFonts w:hAnsi="宋体"/>
          <w:b/>
          <w:bCs/>
          <w:spacing w:val="6"/>
          <w:sz w:val="24"/>
          <w:highlight w:val="none"/>
        </w:rPr>
      </w:pPr>
      <w:r>
        <w:rPr>
          <w:rFonts w:hint="eastAsia" w:hAnsi="宋体"/>
          <w:b/>
          <w:bCs/>
          <w:spacing w:val="6"/>
          <w:sz w:val="24"/>
          <w:highlight w:val="none"/>
        </w:rPr>
        <w:t>注：</w:t>
      </w:r>
    </w:p>
    <w:p w14:paraId="762BE967">
      <w:pPr>
        <w:pStyle w:val="13"/>
        <w:spacing w:line="360" w:lineRule="auto"/>
        <w:rPr>
          <w:rFonts w:ascii="宋体" w:hAnsi="宋体"/>
          <w:b/>
          <w:highlight w:val="none"/>
        </w:rPr>
      </w:pPr>
      <w:r>
        <w:rPr>
          <w:rFonts w:hint="eastAsia" w:ascii="宋体" w:hAnsi="宋体"/>
          <w:b/>
          <w:highlight w:val="none"/>
        </w:rPr>
        <w:t>上表中从业人员、营业收入、资产总额填报上一年度数据，无上一年度数据的新成立企业可不填报。</w:t>
      </w:r>
    </w:p>
    <w:p w14:paraId="481F0F3A">
      <w:pPr>
        <w:pStyle w:val="13"/>
        <w:spacing w:line="360" w:lineRule="auto"/>
        <w:rPr>
          <w:rFonts w:ascii="宋体" w:hAnsi="宋体"/>
          <w:b/>
          <w:highlight w:val="none"/>
        </w:rPr>
      </w:pPr>
      <w:r>
        <w:rPr>
          <w:rFonts w:hint="eastAsia" w:ascii="宋体" w:hAnsi="宋体"/>
          <w:b/>
          <w:highlight w:val="none"/>
          <w:lang w:eastAsia="zh-CN"/>
        </w:rPr>
        <w:t>1.</w:t>
      </w:r>
      <w:r>
        <w:rPr>
          <w:rFonts w:hint="eastAsia" w:ascii="宋体" w:hAnsi="宋体"/>
          <w:b/>
          <w:highlight w:val="none"/>
        </w:rPr>
        <w:t>中小企业提供本企业制造的货物参与投标时，须提供本企业的《中小企业声明函》；中小企业提供其他中小企业制造的货物参与投标时（货物由中小企业制造，即货物由中小企业生产且使用该中小企业商号或者注册商标），须在《中小企业声明函》中如实填报制造商信息；</w:t>
      </w:r>
    </w:p>
    <w:p w14:paraId="0A2BE55E">
      <w:pPr>
        <w:pStyle w:val="13"/>
        <w:spacing w:line="360" w:lineRule="auto"/>
        <w:rPr>
          <w:rFonts w:ascii="宋体" w:hAnsi="宋体"/>
          <w:b/>
          <w:highlight w:val="none"/>
        </w:rPr>
      </w:pPr>
      <w:r>
        <w:rPr>
          <w:rFonts w:hint="eastAsia" w:ascii="宋体" w:hAnsi="宋体"/>
          <w:b/>
          <w:highlight w:val="none"/>
          <w:lang w:eastAsia="zh-CN"/>
        </w:rPr>
        <w:t>2.</w:t>
      </w:r>
      <w:r>
        <w:rPr>
          <w:rFonts w:hint="eastAsia" w:ascii="宋体" w:hAnsi="宋体"/>
          <w:b/>
          <w:highlight w:val="none"/>
        </w:rPr>
        <w:t>在货物采购项目中，供应商提供的货物既有中小企业制造货物，也有大型企业制造货物的，不享受《政府采购促进中小企业发展管理办法》规定的中小企业扶持政策。</w:t>
      </w:r>
    </w:p>
    <w:p w14:paraId="2919BD13">
      <w:pPr>
        <w:pStyle w:val="13"/>
        <w:spacing w:line="360" w:lineRule="auto"/>
        <w:rPr>
          <w:rFonts w:ascii="宋体" w:hAnsi="宋体"/>
          <w:b/>
          <w:highlight w:val="none"/>
        </w:rPr>
      </w:pPr>
      <w:r>
        <w:rPr>
          <w:rFonts w:hint="eastAsia" w:ascii="宋体" w:hAnsi="宋体"/>
          <w:b/>
          <w:highlight w:val="none"/>
          <w:lang w:eastAsia="zh-CN"/>
        </w:rPr>
        <w:t>3.</w:t>
      </w:r>
      <w:r>
        <w:rPr>
          <w:rFonts w:hint="eastAsia" w:ascii="宋体" w:hAnsi="宋体"/>
          <w:b/>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A147856">
      <w:pPr>
        <w:pStyle w:val="13"/>
        <w:spacing w:line="360" w:lineRule="auto"/>
        <w:rPr>
          <w:rFonts w:ascii="宋体" w:hAnsi="宋体"/>
          <w:b/>
          <w:highlight w:val="none"/>
        </w:rPr>
      </w:pPr>
      <w:r>
        <w:rPr>
          <w:rFonts w:hint="eastAsia" w:ascii="宋体" w:hAnsi="宋体"/>
          <w:b/>
          <w:highlight w:val="none"/>
          <w:lang w:eastAsia="zh-CN"/>
        </w:rPr>
        <w:t>4.</w:t>
      </w:r>
      <w:r>
        <w:rPr>
          <w:rFonts w:hint="eastAsia" w:ascii="宋体" w:hAnsi="宋体"/>
          <w:b/>
          <w:highlight w:val="none"/>
        </w:rPr>
        <w:t>投标人须核对《关于印发中小企业划型标准规定的通知》（工信部联企业〔2011〕300号）规定的中小企业划型标准，如实填写声明函。所声明的从业人员人数、营业收入金额等不符合中小企业划型标准规定或未按招标文件明确的所属行业填写的，评标委员会将不予进行价格扣除。根据政府采购主管部门关于政府采购信息公示的相关要求，如中标单位为小型（或微型）企业，其投标文件中所提供的中小企业声明函需在云南省政府采购网随中标结果一并公示，请各投标单位如实提供及填写本单位企业情况。</w:t>
      </w:r>
    </w:p>
    <w:p w14:paraId="4E023C82">
      <w:pPr>
        <w:pStyle w:val="13"/>
        <w:spacing w:line="360" w:lineRule="auto"/>
        <w:rPr>
          <w:rFonts w:ascii="宋体" w:hAnsi="宋体" w:cs="仿宋"/>
          <w:b/>
          <w:bCs/>
          <w:kern w:val="0"/>
          <w:sz w:val="32"/>
          <w:szCs w:val="32"/>
          <w:highlight w:val="none"/>
        </w:rPr>
      </w:pPr>
      <w:r>
        <w:rPr>
          <w:rFonts w:hint="eastAsia" w:ascii="宋体" w:hAnsi="宋体"/>
          <w:b/>
          <w:highlight w:val="none"/>
          <w:lang w:eastAsia="zh-CN"/>
        </w:rPr>
        <w:t>5.</w:t>
      </w:r>
      <w:r>
        <w:rPr>
          <w:rFonts w:hint="eastAsia" w:ascii="宋体" w:hAnsi="宋体"/>
          <w:b/>
          <w:highlight w:val="none"/>
        </w:rPr>
        <w:t>本项目标的所属《关于印发中小企业划型标准规定的通知》（工信部联企业〔2011〕300号）中所列“（二）工业（包括采矿业，制造业，电力、热力、燃气及水生产和供应业）”的行业。（（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4CBB206">
      <w:pPr>
        <w:pStyle w:val="16"/>
        <w:spacing w:line="500" w:lineRule="exact"/>
        <w:ind w:firstLine="281" w:firstLineChars="100"/>
        <w:jc w:val="left"/>
        <w:rPr>
          <w:rFonts w:hAnsi="宋体"/>
          <w:b/>
          <w:sz w:val="28"/>
          <w:szCs w:val="28"/>
          <w:highlight w:val="none"/>
        </w:rPr>
      </w:pPr>
      <w:r>
        <w:rPr>
          <w:rFonts w:hAnsi="宋体"/>
          <w:b/>
          <w:sz w:val="28"/>
          <w:szCs w:val="28"/>
          <w:highlight w:val="none"/>
        </w:rPr>
        <w:br w:type="page"/>
      </w:r>
      <w:r>
        <w:rPr>
          <w:rFonts w:hint="eastAsia" w:hAnsi="宋体"/>
          <w:b/>
          <w:sz w:val="28"/>
          <w:szCs w:val="28"/>
          <w:highlight w:val="none"/>
        </w:rPr>
        <w:t>格式6：</w:t>
      </w:r>
    </w:p>
    <w:p w14:paraId="344FDFED">
      <w:pPr>
        <w:pStyle w:val="5"/>
        <w:jc w:val="center"/>
        <w:rPr>
          <w:rFonts w:ascii="宋体" w:hAnsi="宋体" w:eastAsia="宋体"/>
          <w:sz w:val="32"/>
          <w:szCs w:val="32"/>
          <w:highlight w:val="none"/>
        </w:rPr>
      </w:pPr>
      <w:bookmarkStart w:id="149" w:name="_Toc13665024"/>
      <w:bookmarkStart w:id="150" w:name="_Toc101004111"/>
      <w:bookmarkStart w:id="151" w:name="_Toc19656"/>
      <w:r>
        <w:rPr>
          <w:rFonts w:hint="eastAsia" w:ascii="宋体" w:hAnsi="宋体" w:eastAsia="宋体"/>
          <w:sz w:val="32"/>
          <w:szCs w:val="32"/>
          <w:highlight w:val="none"/>
        </w:rPr>
        <w:t>残疾人福利性单位声明函</w:t>
      </w:r>
      <w:bookmarkEnd w:id="149"/>
      <w:bookmarkEnd w:id="150"/>
      <w:bookmarkEnd w:id="151"/>
    </w:p>
    <w:p w14:paraId="231CD67D">
      <w:pPr>
        <w:spacing w:line="588" w:lineRule="exact"/>
        <w:ind w:firstLine="624" w:firstLineChars="200"/>
        <w:rPr>
          <w:rFonts w:ascii="仿宋_GB2312" w:eastAsia="仿宋_GB2312"/>
          <w:spacing w:val="6"/>
          <w:sz w:val="30"/>
          <w:szCs w:val="30"/>
          <w:highlight w:val="none"/>
        </w:rPr>
      </w:pPr>
    </w:p>
    <w:p w14:paraId="5CA1E1C4">
      <w:pPr>
        <w:spacing w:line="588" w:lineRule="exact"/>
        <w:ind w:firstLine="624" w:firstLineChars="200"/>
        <w:rPr>
          <w:rFonts w:ascii="仿宋_GB2312" w:eastAsia="仿宋_GB2312"/>
          <w:spacing w:val="6"/>
          <w:sz w:val="30"/>
          <w:szCs w:val="30"/>
          <w:highlight w:val="none"/>
        </w:rPr>
      </w:pPr>
    </w:p>
    <w:p w14:paraId="52E0C1BF">
      <w:pPr>
        <w:spacing w:line="588" w:lineRule="exact"/>
        <w:ind w:firstLine="504" w:firstLineChars="200"/>
        <w:rPr>
          <w:rFonts w:ascii="宋体" w:hAnsi="宋体"/>
          <w:spacing w:val="6"/>
          <w:sz w:val="24"/>
          <w:highlight w:val="none"/>
        </w:rPr>
      </w:pPr>
      <w:r>
        <w:rPr>
          <w:rFonts w:hint="eastAsia" w:ascii="宋体" w:hAnsi="宋体"/>
          <w:spacing w:val="6"/>
          <w:sz w:val="24"/>
          <w:highlight w:val="none"/>
        </w:rPr>
        <w:t>本单位郑重声明，根据《财政部 民政部 中国残疾人联合会关于促进残疾人就业政府采购政策的通知》（财库</w:t>
      </w:r>
      <w:r>
        <w:rPr>
          <w:rFonts w:hint="eastAsia" w:ascii="宋体" w:hAnsi="宋体"/>
          <w:spacing w:val="6"/>
          <w:sz w:val="24"/>
          <w:highlight w:val="none"/>
          <w:lang w:eastAsia="zh-CN"/>
        </w:rPr>
        <w:t>〔2017〕141号</w:t>
      </w:r>
      <w:r>
        <w:rPr>
          <w:rFonts w:hint="eastAsia" w:ascii="宋体" w:hAnsi="宋体"/>
          <w:spacing w:val="6"/>
          <w:sz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C0FA06">
      <w:pPr>
        <w:spacing w:line="588" w:lineRule="exact"/>
        <w:ind w:firstLine="504" w:firstLineChars="200"/>
        <w:rPr>
          <w:rFonts w:ascii="宋体" w:hAnsi="宋体"/>
          <w:spacing w:val="6"/>
          <w:sz w:val="24"/>
          <w:highlight w:val="none"/>
        </w:rPr>
      </w:pPr>
      <w:r>
        <w:rPr>
          <w:rFonts w:hint="eastAsia" w:ascii="宋体" w:hAnsi="宋体"/>
          <w:spacing w:val="6"/>
          <w:sz w:val="24"/>
          <w:highlight w:val="none"/>
        </w:rPr>
        <w:t>本单位对上述声明的真实性负责。如有虚假，将依法承担相应责任。</w:t>
      </w:r>
    </w:p>
    <w:p w14:paraId="33BBB356">
      <w:pPr>
        <w:spacing w:line="588" w:lineRule="exact"/>
        <w:ind w:firstLine="504" w:firstLineChars="200"/>
        <w:rPr>
          <w:rFonts w:ascii="宋体" w:hAnsi="宋体"/>
          <w:spacing w:val="6"/>
          <w:sz w:val="24"/>
          <w:highlight w:val="none"/>
        </w:rPr>
      </w:pPr>
    </w:p>
    <w:p w14:paraId="1BF069BA">
      <w:pPr>
        <w:spacing w:line="588" w:lineRule="exact"/>
        <w:ind w:firstLine="504" w:firstLineChars="200"/>
        <w:rPr>
          <w:rFonts w:ascii="宋体" w:hAnsi="宋体"/>
          <w:spacing w:val="6"/>
          <w:sz w:val="24"/>
          <w:highlight w:val="none"/>
        </w:rPr>
      </w:pPr>
    </w:p>
    <w:p w14:paraId="163E99C4">
      <w:pPr>
        <w:tabs>
          <w:tab w:val="left" w:pos="4860"/>
        </w:tabs>
        <w:spacing w:line="588" w:lineRule="exact"/>
        <w:ind w:right="1560" w:firstLine="504" w:firstLineChars="200"/>
        <w:jc w:val="center"/>
        <w:rPr>
          <w:rFonts w:ascii="宋体" w:hAnsi="宋体"/>
          <w:spacing w:val="6"/>
          <w:sz w:val="24"/>
          <w:highlight w:val="none"/>
        </w:rPr>
      </w:pPr>
      <w:r>
        <w:rPr>
          <w:rFonts w:hint="eastAsia" w:ascii="宋体" w:hAnsi="宋体"/>
          <w:spacing w:val="6"/>
          <w:sz w:val="24"/>
          <w:highlight w:val="none"/>
        </w:rPr>
        <w:t xml:space="preserve">               单位名称（电子签章）：</w:t>
      </w:r>
    </w:p>
    <w:p w14:paraId="2D24EA20">
      <w:pPr>
        <w:tabs>
          <w:tab w:val="left" w:pos="4860"/>
        </w:tabs>
        <w:spacing w:line="588" w:lineRule="exact"/>
        <w:ind w:right="1560" w:firstLine="504" w:firstLineChars="200"/>
        <w:jc w:val="center"/>
        <w:rPr>
          <w:rFonts w:ascii="宋体" w:hAnsi="宋体"/>
          <w:spacing w:val="6"/>
          <w:sz w:val="24"/>
          <w:highlight w:val="none"/>
        </w:rPr>
      </w:pPr>
      <w:r>
        <w:rPr>
          <w:rFonts w:hint="eastAsia" w:ascii="宋体" w:hAnsi="宋体"/>
          <w:spacing w:val="6"/>
          <w:sz w:val="24"/>
          <w:highlight w:val="none"/>
        </w:rPr>
        <w:t xml:space="preserve">       日  期：</w:t>
      </w:r>
    </w:p>
    <w:p w14:paraId="43321B9A">
      <w:pPr>
        <w:spacing w:line="588" w:lineRule="exact"/>
        <w:rPr>
          <w:rFonts w:ascii="宋体" w:hAnsi="宋体"/>
          <w:sz w:val="24"/>
          <w:highlight w:val="none"/>
        </w:rPr>
      </w:pPr>
    </w:p>
    <w:p w14:paraId="3EC3105C">
      <w:pPr>
        <w:spacing w:line="588" w:lineRule="exact"/>
        <w:rPr>
          <w:highlight w:val="none"/>
        </w:rPr>
      </w:pPr>
    </w:p>
    <w:p w14:paraId="46052B61">
      <w:pPr>
        <w:spacing w:line="588" w:lineRule="exact"/>
        <w:rPr>
          <w:highlight w:val="none"/>
        </w:rPr>
      </w:pPr>
    </w:p>
    <w:p w14:paraId="3200239E">
      <w:pPr>
        <w:spacing w:line="588" w:lineRule="exact"/>
        <w:rPr>
          <w:highlight w:val="none"/>
        </w:rPr>
      </w:pPr>
    </w:p>
    <w:p w14:paraId="52E549AB">
      <w:pPr>
        <w:spacing w:line="588" w:lineRule="exact"/>
        <w:rPr>
          <w:rFonts w:ascii="宋体" w:hAnsi="宋体"/>
          <w:b/>
          <w:sz w:val="24"/>
          <w:highlight w:val="none"/>
        </w:rPr>
      </w:pPr>
      <w:r>
        <w:rPr>
          <w:rFonts w:ascii="宋体" w:hAnsi="宋体"/>
          <w:b/>
          <w:sz w:val="24"/>
          <w:highlight w:val="none"/>
        </w:rPr>
        <w:t>注</w:t>
      </w:r>
      <w:r>
        <w:rPr>
          <w:rFonts w:hint="eastAsia" w:ascii="宋体" w:hAnsi="宋体"/>
          <w:b/>
          <w:sz w:val="24"/>
          <w:highlight w:val="none"/>
        </w:rPr>
        <w:t>：中标供应商为残疾人福利性单位的，其《残疾人福利性单位声明函》将随中标结果同时公告，接受社会监督。供应商提供的《残疾人福利性单位声明函》与事实不符的，依照</w:t>
      </w:r>
      <w:r>
        <w:rPr>
          <w:rFonts w:hint="eastAsia" w:ascii="宋体" w:hAnsi="宋体"/>
          <w:b/>
          <w:sz w:val="24"/>
          <w:highlight w:val="none"/>
          <w:lang w:eastAsia="zh-CN"/>
        </w:rPr>
        <w:t>《中华人民共和国政府采购法》</w:t>
      </w:r>
      <w:r>
        <w:rPr>
          <w:rFonts w:hint="eastAsia" w:ascii="宋体" w:hAnsi="宋体"/>
          <w:b/>
          <w:sz w:val="24"/>
          <w:highlight w:val="none"/>
        </w:rPr>
        <w:t>第七十七条第一款的规定追究法律责任。</w:t>
      </w:r>
    </w:p>
    <w:p w14:paraId="5B554410">
      <w:pPr>
        <w:widowControl/>
        <w:rPr>
          <w:rFonts w:ascii="宋体"/>
          <w:b/>
          <w:sz w:val="28"/>
          <w:szCs w:val="28"/>
          <w:highlight w:val="none"/>
        </w:rPr>
      </w:pPr>
      <w:r>
        <w:rPr>
          <w:rFonts w:ascii="宋体" w:hAnsi="宋体"/>
          <w:b/>
          <w:sz w:val="24"/>
          <w:highlight w:val="none"/>
        </w:rPr>
        <w:br w:type="page"/>
      </w:r>
      <w:r>
        <w:rPr>
          <w:rFonts w:hint="eastAsia" w:ascii="宋体" w:hAnsi="宋体"/>
          <w:b/>
          <w:sz w:val="28"/>
          <w:szCs w:val="28"/>
          <w:highlight w:val="none"/>
        </w:rPr>
        <w:t>格式7：</w:t>
      </w:r>
    </w:p>
    <w:p w14:paraId="3E236574">
      <w:pPr>
        <w:pStyle w:val="5"/>
        <w:jc w:val="center"/>
        <w:rPr>
          <w:rFonts w:ascii="宋体" w:hAnsi="宋体" w:eastAsia="宋体"/>
          <w:sz w:val="32"/>
          <w:szCs w:val="32"/>
          <w:highlight w:val="none"/>
        </w:rPr>
      </w:pPr>
      <w:bookmarkStart w:id="152" w:name="_Toc101004112"/>
      <w:bookmarkStart w:id="153" w:name="_Toc13665025"/>
      <w:bookmarkStart w:id="154" w:name="_Toc8599"/>
      <w:r>
        <w:rPr>
          <w:rFonts w:hint="eastAsia" w:ascii="宋体" w:hAnsi="宋体" w:eastAsia="宋体"/>
          <w:sz w:val="32"/>
          <w:szCs w:val="32"/>
          <w:highlight w:val="none"/>
        </w:rPr>
        <w:t>监狱企业证明文件</w:t>
      </w:r>
      <w:bookmarkEnd w:id="152"/>
      <w:bookmarkEnd w:id="153"/>
      <w:bookmarkEnd w:id="154"/>
    </w:p>
    <w:p w14:paraId="469E90ED">
      <w:pPr>
        <w:spacing w:line="360" w:lineRule="auto"/>
        <w:ind w:firstLine="420" w:firstLineChars="200"/>
        <w:jc w:val="left"/>
        <w:rPr>
          <w:rFonts w:ascii="宋体" w:hAnsi="宋体"/>
          <w:szCs w:val="21"/>
          <w:highlight w:val="none"/>
        </w:rPr>
      </w:pPr>
      <w:r>
        <w:rPr>
          <w:rFonts w:hint="eastAsia" w:ascii="宋体" w:hAnsi="宋体"/>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61AD807">
      <w:pPr>
        <w:spacing w:line="360" w:lineRule="auto"/>
        <w:ind w:firstLine="315" w:firstLineChars="150"/>
        <w:jc w:val="left"/>
        <w:rPr>
          <w:rFonts w:ascii="宋体" w:hAnsi="宋体"/>
          <w:szCs w:val="21"/>
          <w:highlight w:val="none"/>
        </w:rPr>
      </w:pPr>
      <w:r>
        <w:rPr>
          <w:rFonts w:hint="eastAsia" w:ascii="宋体" w:hAnsi="宋体"/>
          <w:szCs w:val="21"/>
          <w:highlight w:val="none"/>
        </w:rPr>
        <w:t>监狱企业参加政府采购活动时，应当提供由省级以上监狱管理局、戒毒管理局（含新疆生产建设兵团）出具的属于监狱企业的证明文件。</w:t>
      </w:r>
    </w:p>
    <w:p w14:paraId="49EADE1C">
      <w:pPr>
        <w:widowControl/>
        <w:rPr>
          <w:rFonts w:hAnsi="宋体"/>
          <w:b/>
          <w:sz w:val="28"/>
          <w:szCs w:val="28"/>
          <w:highlight w:val="none"/>
        </w:rPr>
      </w:pPr>
      <w:r>
        <w:rPr>
          <w:rFonts w:hint="eastAsia" w:hAnsi="宋体"/>
          <w:sz w:val="24"/>
          <w:highlight w:val="none"/>
        </w:rPr>
        <w:br w:type="page"/>
      </w:r>
      <w:r>
        <w:rPr>
          <w:rFonts w:hint="eastAsia" w:ascii="宋体" w:hAnsi="宋体"/>
          <w:b/>
          <w:sz w:val="28"/>
          <w:szCs w:val="28"/>
          <w:highlight w:val="none"/>
        </w:rPr>
        <w:t>格式8：</w:t>
      </w:r>
    </w:p>
    <w:p w14:paraId="683512B7">
      <w:pPr>
        <w:pStyle w:val="5"/>
        <w:jc w:val="center"/>
        <w:rPr>
          <w:rFonts w:ascii="宋体" w:hAnsi="宋体" w:eastAsia="宋体"/>
          <w:sz w:val="32"/>
          <w:szCs w:val="32"/>
          <w:highlight w:val="none"/>
        </w:rPr>
      </w:pPr>
      <w:bookmarkStart w:id="155" w:name="_Toc493600035"/>
      <w:bookmarkStart w:id="156" w:name="_Toc213141100"/>
      <w:bookmarkStart w:id="157" w:name="_Toc13665026"/>
      <w:bookmarkStart w:id="158" w:name="_Toc101004113"/>
      <w:bookmarkStart w:id="159" w:name="_Toc3687"/>
      <w:r>
        <w:rPr>
          <w:rFonts w:hint="eastAsia" w:ascii="宋体" w:hAnsi="宋体" w:eastAsia="宋体"/>
          <w:sz w:val="32"/>
          <w:szCs w:val="32"/>
          <w:highlight w:val="none"/>
        </w:rPr>
        <w:t>商务条款偏离表</w:t>
      </w:r>
      <w:bookmarkEnd w:id="155"/>
      <w:bookmarkEnd w:id="156"/>
      <w:bookmarkEnd w:id="157"/>
      <w:bookmarkEnd w:id="158"/>
      <w:bookmarkEnd w:id="159"/>
    </w:p>
    <w:p w14:paraId="2846CC5B">
      <w:pPr>
        <w:pStyle w:val="16"/>
        <w:spacing w:line="400" w:lineRule="exact"/>
        <w:ind w:firstLine="480" w:firstLineChars="200"/>
        <w:rPr>
          <w:rFonts w:hAnsi="宋体"/>
          <w:sz w:val="24"/>
          <w:szCs w:val="24"/>
          <w:highlight w:val="none"/>
        </w:rPr>
      </w:pPr>
      <w:r>
        <w:rPr>
          <w:rFonts w:hint="eastAsia" w:hAnsi="宋体"/>
          <w:sz w:val="24"/>
          <w:szCs w:val="24"/>
          <w:highlight w:val="none"/>
        </w:rPr>
        <w:t>投标人须逐条对应招标文件中要求的商务条款，认真填写该表。</w:t>
      </w:r>
    </w:p>
    <w:p w14:paraId="29CC969F">
      <w:pPr>
        <w:pStyle w:val="16"/>
        <w:spacing w:line="400" w:lineRule="exact"/>
        <w:ind w:firstLine="480" w:firstLineChars="200"/>
        <w:rPr>
          <w:rFonts w:hAnsi="宋体"/>
          <w:sz w:val="24"/>
          <w:szCs w:val="24"/>
          <w:highlight w:val="none"/>
        </w:rPr>
      </w:pPr>
      <w:r>
        <w:rPr>
          <w:rFonts w:hint="eastAsia" w:hAnsi="宋体"/>
          <w:sz w:val="24"/>
          <w:szCs w:val="24"/>
          <w:highlight w:val="none"/>
        </w:rPr>
        <w:t>商务条款是指：招标文件第五章《</w:t>
      </w:r>
      <w:r>
        <w:rPr>
          <w:rFonts w:hint="eastAsia" w:hAnsi="宋体"/>
          <w:b/>
          <w:sz w:val="24"/>
          <w:szCs w:val="24"/>
          <w:highlight w:val="none"/>
        </w:rPr>
        <w:t>项目需求及技术要求</w:t>
      </w:r>
      <w:r>
        <w:rPr>
          <w:rFonts w:hint="eastAsia" w:hAnsi="宋体"/>
          <w:sz w:val="24"/>
          <w:szCs w:val="24"/>
          <w:highlight w:val="none"/>
        </w:rPr>
        <w:t>》中</w:t>
      </w:r>
      <w:r>
        <w:rPr>
          <w:rFonts w:hint="eastAsia" w:hAnsi="宋体"/>
          <w:b/>
          <w:sz w:val="24"/>
          <w:highlight w:val="none"/>
          <w:u w:val="double"/>
        </w:rPr>
        <w:t>商务要求</w:t>
      </w:r>
      <w:r>
        <w:rPr>
          <w:rFonts w:hint="eastAsia" w:hAnsi="宋体"/>
          <w:sz w:val="24"/>
          <w:szCs w:val="24"/>
          <w:highlight w:val="none"/>
        </w:rPr>
        <w:t>和《</w:t>
      </w:r>
      <w:r>
        <w:rPr>
          <w:rFonts w:hint="eastAsia" w:hAnsi="宋体"/>
          <w:b/>
          <w:bCs/>
          <w:sz w:val="24"/>
          <w:szCs w:val="24"/>
          <w:highlight w:val="none"/>
        </w:rPr>
        <w:t>合同条款资料表》</w:t>
      </w:r>
      <w:r>
        <w:rPr>
          <w:rFonts w:hint="eastAsia" w:hAnsi="宋体"/>
          <w:sz w:val="24"/>
          <w:szCs w:val="24"/>
          <w:highlight w:val="none"/>
        </w:rPr>
        <w:t>中要求的</w:t>
      </w:r>
      <w:r>
        <w:rPr>
          <w:rFonts w:hint="eastAsia" w:hAnsi="宋体"/>
          <w:b/>
          <w:sz w:val="24"/>
          <w:highlight w:val="none"/>
        </w:rPr>
        <w:t>交货期、质保期、付款方式、质量要求、售后服务等要求。</w:t>
      </w:r>
    </w:p>
    <w:p w14:paraId="6A8D4189">
      <w:pPr>
        <w:pStyle w:val="16"/>
        <w:rPr>
          <w:rFonts w:hAnsi="宋体"/>
          <w:b/>
          <w:sz w:val="24"/>
          <w:szCs w:val="24"/>
          <w:highlight w:val="none"/>
        </w:rPr>
      </w:pPr>
    </w:p>
    <w:p w14:paraId="5C884F7B">
      <w:pPr>
        <w:pStyle w:val="16"/>
        <w:rPr>
          <w:rFonts w:hAnsi="宋体"/>
          <w:b/>
          <w:sz w:val="24"/>
          <w:szCs w:val="24"/>
          <w:highlight w:val="none"/>
          <w:u w:val="single"/>
        </w:rPr>
      </w:pPr>
      <w:r>
        <w:rPr>
          <w:rFonts w:hint="eastAsia" w:hAnsi="宋体"/>
          <w:b/>
          <w:sz w:val="24"/>
          <w:szCs w:val="24"/>
          <w:highlight w:val="none"/>
        </w:rPr>
        <w:t>项目名称：</w:t>
      </w:r>
      <w:r>
        <w:rPr>
          <w:rFonts w:hint="eastAsia" w:hAnsi="宋体"/>
          <w:b/>
          <w:sz w:val="24"/>
          <w:szCs w:val="24"/>
          <w:highlight w:val="none"/>
          <w:u w:val="single"/>
        </w:rPr>
        <w:t xml:space="preserve">          </w:t>
      </w:r>
      <w:r>
        <w:rPr>
          <w:rFonts w:hint="eastAsia" w:hAnsi="宋体"/>
          <w:b/>
          <w:sz w:val="24"/>
          <w:szCs w:val="24"/>
          <w:highlight w:val="none"/>
        </w:rPr>
        <w:t xml:space="preserve">           招标编号：</w:t>
      </w:r>
      <w:r>
        <w:rPr>
          <w:rFonts w:hint="eastAsia" w:hAnsi="宋体"/>
          <w:b/>
          <w:sz w:val="24"/>
          <w:szCs w:val="24"/>
          <w:highlight w:val="none"/>
          <w:u w:val="single"/>
        </w:rPr>
        <w:t xml:space="preserve">                </w:t>
      </w:r>
      <w:r>
        <w:rPr>
          <w:rFonts w:hint="eastAsia" w:hAnsi="宋体"/>
          <w:b/>
          <w:sz w:val="24"/>
          <w:szCs w:val="24"/>
          <w:highlight w:val="none"/>
        </w:rPr>
        <w:t xml:space="preserve">    </w:t>
      </w:r>
      <w:r>
        <w:rPr>
          <w:rFonts w:hint="eastAsia" w:hAnsi="宋体"/>
          <w:b/>
          <w:sz w:val="24"/>
          <w:szCs w:val="24"/>
          <w:highlight w:val="none"/>
          <w:lang w:val="en-US" w:eastAsia="zh-CN"/>
        </w:rPr>
        <w:t>标段：</w:t>
      </w:r>
      <w:r>
        <w:rPr>
          <w:rFonts w:hint="eastAsia" w:hAnsi="宋体"/>
          <w:b/>
          <w:sz w:val="24"/>
          <w:szCs w:val="24"/>
          <w:highlight w:val="none"/>
          <w:u w:val="single"/>
          <w:lang w:val="en-US" w:eastAsia="zh-CN"/>
        </w:rPr>
        <w:t xml:space="preserve">        </w:t>
      </w:r>
      <w:r>
        <w:rPr>
          <w:rFonts w:hint="eastAsia" w:hAnsi="宋体"/>
          <w:b/>
          <w:sz w:val="24"/>
          <w:szCs w:val="24"/>
          <w:highlight w:val="none"/>
        </w:rPr>
        <w:t xml:space="preserve"> </w:t>
      </w:r>
    </w:p>
    <w:tbl>
      <w:tblPr>
        <w:tblStyle w:val="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2820"/>
        <w:gridCol w:w="2632"/>
        <w:gridCol w:w="1727"/>
        <w:gridCol w:w="1717"/>
      </w:tblGrid>
      <w:tr w14:paraId="5AD21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vAlign w:val="center"/>
          </w:tcPr>
          <w:p w14:paraId="01000F02">
            <w:pPr>
              <w:pStyle w:val="16"/>
              <w:jc w:val="center"/>
              <w:rPr>
                <w:rFonts w:hAnsi="宋体"/>
                <w:b/>
                <w:highlight w:val="none"/>
              </w:rPr>
            </w:pPr>
            <w:r>
              <w:rPr>
                <w:rFonts w:hint="eastAsia" w:hAnsi="宋体"/>
                <w:b/>
                <w:highlight w:val="none"/>
              </w:rPr>
              <w:t>序号</w:t>
            </w:r>
          </w:p>
        </w:tc>
        <w:tc>
          <w:tcPr>
            <w:tcW w:w="1473" w:type="pct"/>
            <w:vAlign w:val="center"/>
          </w:tcPr>
          <w:p w14:paraId="796D1132">
            <w:pPr>
              <w:pStyle w:val="16"/>
              <w:jc w:val="center"/>
              <w:rPr>
                <w:rFonts w:hAnsi="宋体"/>
                <w:b/>
                <w:highlight w:val="none"/>
              </w:rPr>
            </w:pPr>
            <w:r>
              <w:rPr>
                <w:rFonts w:hint="eastAsia" w:hAnsi="宋体"/>
                <w:b/>
                <w:highlight w:val="none"/>
              </w:rPr>
              <w:t>招标文件的商务条款</w:t>
            </w:r>
          </w:p>
        </w:tc>
        <w:tc>
          <w:tcPr>
            <w:tcW w:w="1375" w:type="pct"/>
            <w:vAlign w:val="center"/>
          </w:tcPr>
          <w:p w14:paraId="53A2B035">
            <w:pPr>
              <w:pStyle w:val="16"/>
              <w:jc w:val="center"/>
              <w:rPr>
                <w:rFonts w:hAnsi="宋体"/>
                <w:b/>
                <w:highlight w:val="none"/>
              </w:rPr>
            </w:pPr>
            <w:r>
              <w:rPr>
                <w:rFonts w:hint="eastAsia" w:hAnsi="宋体"/>
                <w:b/>
                <w:highlight w:val="none"/>
              </w:rPr>
              <w:t>投标文件的商务条款</w:t>
            </w:r>
          </w:p>
        </w:tc>
        <w:tc>
          <w:tcPr>
            <w:tcW w:w="902" w:type="pct"/>
            <w:vAlign w:val="center"/>
          </w:tcPr>
          <w:p w14:paraId="4123CC7F">
            <w:pPr>
              <w:pStyle w:val="16"/>
              <w:jc w:val="center"/>
              <w:rPr>
                <w:rFonts w:hAnsi="宋体"/>
                <w:b/>
                <w:highlight w:val="none"/>
              </w:rPr>
            </w:pPr>
            <w:r>
              <w:rPr>
                <w:rFonts w:hint="eastAsia" w:hAnsi="宋体"/>
                <w:b/>
                <w:highlight w:val="none"/>
              </w:rPr>
              <w:t>响应情况说明</w:t>
            </w:r>
          </w:p>
        </w:tc>
        <w:tc>
          <w:tcPr>
            <w:tcW w:w="897" w:type="pct"/>
            <w:vAlign w:val="center"/>
          </w:tcPr>
          <w:p w14:paraId="6C394D25">
            <w:pPr>
              <w:pStyle w:val="16"/>
              <w:jc w:val="center"/>
              <w:rPr>
                <w:rFonts w:hAnsi="宋体"/>
                <w:b/>
                <w:bCs/>
                <w:sz w:val="24"/>
                <w:highlight w:val="none"/>
              </w:rPr>
            </w:pPr>
            <w:r>
              <w:rPr>
                <w:rFonts w:hint="eastAsia" w:hAnsi="宋体"/>
                <w:b/>
                <w:bCs/>
                <w:sz w:val="24"/>
                <w:highlight w:val="none"/>
              </w:rPr>
              <w:t>商务条件支持资料索引</w:t>
            </w:r>
          </w:p>
          <w:p w14:paraId="24A4FA09">
            <w:pPr>
              <w:pStyle w:val="16"/>
              <w:jc w:val="center"/>
              <w:rPr>
                <w:rFonts w:hAnsi="宋体"/>
                <w:b/>
                <w:highlight w:val="none"/>
              </w:rPr>
            </w:pPr>
            <w:r>
              <w:rPr>
                <w:rFonts w:hint="eastAsia" w:hAnsi="宋体"/>
                <w:b/>
                <w:sz w:val="24"/>
                <w:szCs w:val="24"/>
                <w:highlight w:val="none"/>
              </w:rPr>
              <w:t>（页码及条目号等）</w:t>
            </w:r>
          </w:p>
        </w:tc>
      </w:tr>
      <w:tr w14:paraId="78E28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Pr>
          <w:p w14:paraId="21319417">
            <w:pPr>
              <w:pStyle w:val="16"/>
              <w:rPr>
                <w:rFonts w:hAnsi="宋体"/>
                <w:highlight w:val="none"/>
              </w:rPr>
            </w:pPr>
          </w:p>
        </w:tc>
        <w:tc>
          <w:tcPr>
            <w:tcW w:w="1473" w:type="pct"/>
          </w:tcPr>
          <w:p w14:paraId="1BF5CD98">
            <w:pPr>
              <w:pStyle w:val="16"/>
              <w:rPr>
                <w:rFonts w:hAnsi="宋体"/>
                <w:highlight w:val="none"/>
              </w:rPr>
            </w:pPr>
          </w:p>
        </w:tc>
        <w:tc>
          <w:tcPr>
            <w:tcW w:w="1375" w:type="pct"/>
          </w:tcPr>
          <w:p w14:paraId="037C958E">
            <w:pPr>
              <w:pStyle w:val="16"/>
              <w:rPr>
                <w:rFonts w:hAnsi="宋体"/>
                <w:highlight w:val="none"/>
              </w:rPr>
            </w:pPr>
          </w:p>
        </w:tc>
        <w:tc>
          <w:tcPr>
            <w:tcW w:w="902" w:type="pct"/>
          </w:tcPr>
          <w:p w14:paraId="4A965FE7">
            <w:pPr>
              <w:pStyle w:val="16"/>
              <w:rPr>
                <w:rFonts w:hAnsi="宋体"/>
                <w:highlight w:val="none"/>
              </w:rPr>
            </w:pPr>
          </w:p>
        </w:tc>
        <w:tc>
          <w:tcPr>
            <w:tcW w:w="897" w:type="pct"/>
          </w:tcPr>
          <w:p w14:paraId="12DDA7C8">
            <w:pPr>
              <w:pStyle w:val="16"/>
              <w:rPr>
                <w:rFonts w:hAnsi="宋体"/>
                <w:highlight w:val="none"/>
              </w:rPr>
            </w:pPr>
          </w:p>
        </w:tc>
      </w:tr>
      <w:tr w14:paraId="58407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Pr>
          <w:p w14:paraId="681DB138">
            <w:pPr>
              <w:pStyle w:val="16"/>
              <w:rPr>
                <w:rFonts w:hAnsi="宋体"/>
                <w:highlight w:val="none"/>
              </w:rPr>
            </w:pPr>
          </w:p>
        </w:tc>
        <w:tc>
          <w:tcPr>
            <w:tcW w:w="1473" w:type="pct"/>
          </w:tcPr>
          <w:p w14:paraId="3656D324">
            <w:pPr>
              <w:pStyle w:val="16"/>
              <w:rPr>
                <w:rFonts w:hAnsi="宋体"/>
                <w:highlight w:val="none"/>
              </w:rPr>
            </w:pPr>
          </w:p>
        </w:tc>
        <w:tc>
          <w:tcPr>
            <w:tcW w:w="1375" w:type="pct"/>
          </w:tcPr>
          <w:p w14:paraId="2414B4CD">
            <w:pPr>
              <w:pStyle w:val="16"/>
              <w:rPr>
                <w:rFonts w:hAnsi="宋体"/>
                <w:highlight w:val="none"/>
              </w:rPr>
            </w:pPr>
          </w:p>
        </w:tc>
        <w:tc>
          <w:tcPr>
            <w:tcW w:w="902" w:type="pct"/>
          </w:tcPr>
          <w:p w14:paraId="05652EDD">
            <w:pPr>
              <w:pStyle w:val="16"/>
              <w:rPr>
                <w:rFonts w:hAnsi="宋体"/>
                <w:highlight w:val="none"/>
              </w:rPr>
            </w:pPr>
          </w:p>
        </w:tc>
        <w:tc>
          <w:tcPr>
            <w:tcW w:w="897" w:type="pct"/>
          </w:tcPr>
          <w:p w14:paraId="6ED9AC8E">
            <w:pPr>
              <w:pStyle w:val="16"/>
              <w:rPr>
                <w:rFonts w:hAnsi="宋体"/>
                <w:highlight w:val="none"/>
              </w:rPr>
            </w:pPr>
          </w:p>
        </w:tc>
      </w:tr>
      <w:tr w14:paraId="24D7E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Pr>
          <w:p w14:paraId="425381C9">
            <w:pPr>
              <w:pStyle w:val="16"/>
              <w:rPr>
                <w:rFonts w:hAnsi="宋体"/>
                <w:highlight w:val="none"/>
              </w:rPr>
            </w:pPr>
          </w:p>
        </w:tc>
        <w:tc>
          <w:tcPr>
            <w:tcW w:w="1473" w:type="pct"/>
          </w:tcPr>
          <w:p w14:paraId="4EB66962">
            <w:pPr>
              <w:pStyle w:val="16"/>
              <w:rPr>
                <w:rFonts w:hAnsi="宋体"/>
                <w:highlight w:val="none"/>
              </w:rPr>
            </w:pPr>
          </w:p>
        </w:tc>
        <w:tc>
          <w:tcPr>
            <w:tcW w:w="1375" w:type="pct"/>
          </w:tcPr>
          <w:p w14:paraId="34B1303D">
            <w:pPr>
              <w:pStyle w:val="16"/>
              <w:rPr>
                <w:rFonts w:hAnsi="宋体"/>
                <w:highlight w:val="none"/>
              </w:rPr>
            </w:pPr>
          </w:p>
        </w:tc>
        <w:tc>
          <w:tcPr>
            <w:tcW w:w="902" w:type="pct"/>
          </w:tcPr>
          <w:p w14:paraId="3942A61A">
            <w:pPr>
              <w:pStyle w:val="16"/>
              <w:rPr>
                <w:rFonts w:hAnsi="宋体"/>
                <w:highlight w:val="none"/>
              </w:rPr>
            </w:pPr>
          </w:p>
        </w:tc>
        <w:tc>
          <w:tcPr>
            <w:tcW w:w="897" w:type="pct"/>
          </w:tcPr>
          <w:p w14:paraId="408F066E">
            <w:pPr>
              <w:pStyle w:val="16"/>
              <w:rPr>
                <w:rFonts w:hAnsi="宋体"/>
                <w:highlight w:val="none"/>
              </w:rPr>
            </w:pPr>
          </w:p>
        </w:tc>
      </w:tr>
      <w:tr w14:paraId="016C1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Pr>
          <w:p w14:paraId="78D1859B">
            <w:pPr>
              <w:pStyle w:val="16"/>
              <w:rPr>
                <w:rFonts w:hAnsi="宋体"/>
                <w:highlight w:val="none"/>
              </w:rPr>
            </w:pPr>
          </w:p>
        </w:tc>
        <w:tc>
          <w:tcPr>
            <w:tcW w:w="1473" w:type="pct"/>
          </w:tcPr>
          <w:p w14:paraId="2E6D61B6">
            <w:pPr>
              <w:pStyle w:val="16"/>
              <w:rPr>
                <w:rFonts w:hAnsi="宋体"/>
                <w:highlight w:val="none"/>
              </w:rPr>
            </w:pPr>
          </w:p>
        </w:tc>
        <w:tc>
          <w:tcPr>
            <w:tcW w:w="1375" w:type="pct"/>
          </w:tcPr>
          <w:p w14:paraId="325FD238">
            <w:pPr>
              <w:pStyle w:val="16"/>
              <w:rPr>
                <w:rFonts w:hAnsi="宋体"/>
                <w:highlight w:val="none"/>
              </w:rPr>
            </w:pPr>
          </w:p>
        </w:tc>
        <w:tc>
          <w:tcPr>
            <w:tcW w:w="902" w:type="pct"/>
          </w:tcPr>
          <w:p w14:paraId="29675BF6">
            <w:pPr>
              <w:pStyle w:val="16"/>
              <w:rPr>
                <w:rFonts w:hAnsi="宋体"/>
                <w:highlight w:val="none"/>
              </w:rPr>
            </w:pPr>
          </w:p>
        </w:tc>
        <w:tc>
          <w:tcPr>
            <w:tcW w:w="897" w:type="pct"/>
          </w:tcPr>
          <w:p w14:paraId="2E8A9FAE">
            <w:pPr>
              <w:pStyle w:val="16"/>
              <w:rPr>
                <w:rFonts w:hAnsi="宋体"/>
                <w:highlight w:val="none"/>
              </w:rPr>
            </w:pPr>
          </w:p>
        </w:tc>
      </w:tr>
      <w:tr w14:paraId="494BD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Pr>
          <w:p w14:paraId="43B7EF20">
            <w:pPr>
              <w:pStyle w:val="16"/>
              <w:rPr>
                <w:rFonts w:hAnsi="宋体"/>
                <w:highlight w:val="none"/>
              </w:rPr>
            </w:pPr>
          </w:p>
        </w:tc>
        <w:tc>
          <w:tcPr>
            <w:tcW w:w="1473" w:type="pct"/>
          </w:tcPr>
          <w:p w14:paraId="400163D9">
            <w:pPr>
              <w:pStyle w:val="16"/>
              <w:rPr>
                <w:rFonts w:hAnsi="宋体"/>
                <w:highlight w:val="none"/>
              </w:rPr>
            </w:pPr>
          </w:p>
        </w:tc>
        <w:tc>
          <w:tcPr>
            <w:tcW w:w="1375" w:type="pct"/>
          </w:tcPr>
          <w:p w14:paraId="0E66A73D">
            <w:pPr>
              <w:pStyle w:val="16"/>
              <w:rPr>
                <w:rFonts w:hAnsi="宋体"/>
                <w:highlight w:val="none"/>
              </w:rPr>
            </w:pPr>
          </w:p>
        </w:tc>
        <w:tc>
          <w:tcPr>
            <w:tcW w:w="902" w:type="pct"/>
          </w:tcPr>
          <w:p w14:paraId="4BF4E15A">
            <w:pPr>
              <w:pStyle w:val="16"/>
              <w:rPr>
                <w:rFonts w:hAnsi="宋体"/>
                <w:highlight w:val="none"/>
              </w:rPr>
            </w:pPr>
          </w:p>
        </w:tc>
        <w:tc>
          <w:tcPr>
            <w:tcW w:w="897" w:type="pct"/>
          </w:tcPr>
          <w:p w14:paraId="329A476F">
            <w:pPr>
              <w:pStyle w:val="16"/>
              <w:rPr>
                <w:rFonts w:hAnsi="宋体"/>
                <w:highlight w:val="none"/>
              </w:rPr>
            </w:pPr>
          </w:p>
        </w:tc>
      </w:tr>
      <w:tr w14:paraId="461C7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Pr>
          <w:p w14:paraId="40315C4A">
            <w:pPr>
              <w:pStyle w:val="16"/>
              <w:rPr>
                <w:rFonts w:hAnsi="宋体"/>
                <w:highlight w:val="none"/>
              </w:rPr>
            </w:pPr>
          </w:p>
        </w:tc>
        <w:tc>
          <w:tcPr>
            <w:tcW w:w="1473" w:type="pct"/>
          </w:tcPr>
          <w:p w14:paraId="6D6C1B14">
            <w:pPr>
              <w:pStyle w:val="16"/>
              <w:rPr>
                <w:rFonts w:hAnsi="宋体"/>
                <w:highlight w:val="none"/>
              </w:rPr>
            </w:pPr>
          </w:p>
        </w:tc>
        <w:tc>
          <w:tcPr>
            <w:tcW w:w="1375" w:type="pct"/>
          </w:tcPr>
          <w:p w14:paraId="14A29082">
            <w:pPr>
              <w:pStyle w:val="16"/>
              <w:rPr>
                <w:rFonts w:hAnsi="宋体"/>
                <w:highlight w:val="none"/>
              </w:rPr>
            </w:pPr>
          </w:p>
        </w:tc>
        <w:tc>
          <w:tcPr>
            <w:tcW w:w="902" w:type="pct"/>
          </w:tcPr>
          <w:p w14:paraId="374B4437">
            <w:pPr>
              <w:pStyle w:val="16"/>
              <w:rPr>
                <w:rFonts w:hAnsi="宋体"/>
                <w:highlight w:val="none"/>
              </w:rPr>
            </w:pPr>
          </w:p>
        </w:tc>
        <w:tc>
          <w:tcPr>
            <w:tcW w:w="897" w:type="pct"/>
          </w:tcPr>
          <w:p w14:paraId="1FA92B86">
            <w:pPr>
              <w:pStyle w:val="16"/>
              <w:rPr>
                <w:rFonts w:hAnsi="宋体"/>
                <w:highlight w:val="none"/>
              </w:rPr>
            </w:pPr>
          </w:p>
        </w:tc>
      </w:tr>
      <w:tr w14:paraId="56BC7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Pr>
          <w:p w14:paraId="4A366883">
            <w:pPr>
              <w:pStyle w:val="16"/>
              <w:rPr>
                <w:rFonts w:hAnsi="宋体"/>
                <w:highlight w:val="none"/>
              </w:rPr>
            </w:pPr>
          </w:p>
        </w:tc>
        <w:tc>
          <w:tcPr>
            <w:tcW w:w="1473" w:type="pct"/>
          </w:tcPr>
          <w:p w14:paraId="583838F6">
            <w:pPr>
              <w:pStyle w:val="16"/>
              <w:rPr>
                <w:rFonts w:hAnsi="宋体"/>
                <w:highlight w:val="none"/>
              </w:rPr>
            </w:pPr>
          </w:p>
        </w:tc>
        <w:tc>
          <w:tcPr>
            <w:tcW w:w="1375" w:type="pct"/>
          </w:tcPr>
          <w:p w14:paraId="42EAB1D1">
            <w:pPr>
              <w:pStyle w:val="16"/>
              <w:rPr>
                <w:rFonts w:hAnsi="宋体"/>
                <w:highlight w:val="none"/>
              </w:rPr>
            </w:pPr>
          </w:p>
        </w:tc>
        <w:tc>
          <w:tcPr>
            <w:tcW w:w="902" w:type="pct"/>
          </w:tcPr>
          <w:p w14:paraId="0CFEA4BA">
            <w:pPr>
              <w:pStyle w:val="16"/>
              <w:rPr>
                <w:rFonts w:hAnsi="宋体"/>
                <w:highlight w:val="none"/>
              </w:rPr>
            </w:pPr>
          </w:p>
        </w:tc>
        <w:tc>
          <w:tcPr>
            <w:tcW w:w="897" w:type="pct"/>
          </w:tcPr>
          <w:p w14:paraId="310BAC9F">
            <w:pPr>
              <w:pStyle w:val="16"/>
              <w:rPr>
                <w:rFonts w:hAnsi="宋体"/>
                <w:highlight w:val="none"/>
              </w:rPr>
            </w:pPr>
          </w:p>
        </w:tc>
      </w:tr>
      <w:tr w14:paraId="2F2A5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52" w:type="pct"/>
          </w:tcPr>
          <w:p w14:paraId="2DA08C1F">
            <w:pPr>
              <w:pStyle w:val="16"/>
              <w:rPr>
                <w:rFonts w:hAnsi="宋体"/>
                <w:highlight w:val="none"/>
              </w:rPr>
            </w:pPr>
          </w:p>
        </w:tc>
        <w:tc>
          <w:tcPr>
            <w:tcW w:w="1473" w:type="pct"/>
          </w:tcPr>
          <w:p w14:paraId="7693CB1F">
            <w:pPr>
              <w:pStyle w:val="16"/>
              <w:rPr>
                <w:rFonts w:hAnsi="宋体"/>
                <w:highlight w:val="none"/>
              </w:rPr>
            </w:pPr>
          </w:p>
        </w:tc>
        <w:tc>
          <w:tcPr>
            <w:tcW w:w="1375" w:type="pct"/>
          </w:tcPr>
          <w:p w14:paraId="70C4A186">
            <w:pPr>
              <w:pStyle w:val="16"/>
              <w:rPr>
                <w:rFonts w:hAnsi="宋体"/>
                <w:highlight w:val="none"/>
              </w:rPr>
            </w:pPr>
          </w:p>
        </w:tc>
        <w:tc>
          <w:tcPr>
            <w:tcW w:w="902" w:type="pct"/>
          </w:tcPr>
          <w:p w14:paraId="75CA8F20">
            <w:pPr>
              <w:pStyle w:val="16"/>
              <w:rPr>
                <w:rFonts w:hAnsi="宋体"/>
                <w:highlight w:val="none"/>
              </w:rPr>
            </w:pPr>
          </w:p>
        </w:tc>
        <w:tc>
          <w:tcPr>
            <w:tcW w:w="897" w:type="pct"/>
          </w:tcPr>
          <w:p w14:paraId="7568BA94">
            <w:pPr>
              <w:pStyle w:val="16"/>
              <w:rPr>
                <w:rFonts w:hAnsi="宋体"/>
                <w:highlight w:val="none"/>
              </w:rPr>
            </w:pPr>
          </w:p>
        </w:tc>
      </w:tr>
      <w:tr w14:paraId="70B59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Pr>
          <w:p w14:paraId="31C0B5F9">
            <w:pPr>
              <w:pStyle w:val="16"/>
              <w:rPr>
                <w:rFonts w:hAnsi="宋体"/>
                <w:highlight w:val="none"/>
              </w:rPr>
            </w:pPr>
          </w:p>
        </w:tc>
        <w:tc>
          <w:tcPr>
            <w:tcW w:w="1473" w:type="pct"/>
          </w:tcPr>
          <w:p w14:paraId="56C447B8">
            <w:pPr>
              <w:pStyle w:val="16"/>
              <w:rPr>
                <w:rFonts w:hAnsi="宋体"/>
                <w:highlight w:val="none"/>
              </w:rPr>
            </w:pPr>
          </w:p>
        </w:tc>
        <w:tc>
          <w:tcPr>
            <w:tcW w:w="1375" w:type="pct"/>
          </w:tcPr>
          <w:p w14:paraId="621FCD9B">
            <w:pPr>
              <w:pStyle w:val="16"/>
              <w:rPr>
                <w:rFonts w:hAnsi="宋体"/>
                <w:highlight w:val="none"/>
              </w:rPr>
            </w:pPr>
          </w:p>
        </w:tc>
        <w:tc>
          <w:tcPr>
            <w:tcW w:w="902" w:type="pct"/>
          </w:tcPr>
          <w:p w14:paraId="4561DE9C">
            <w:pPr>
              <w:pStyle w:val="16"/>
              <w:rPr>
                <w:rFonts w:hAnsi="宋体"/>
                <w:highlight w:val="none"/>
              </w:rPr>
            </w:pPr>
          </w:p>
        </w:tc>
        <w:tc>
          <w:tcPr>
            <w:tcW w:w="897" w:type="pct"/>
          </w:tcPr>
          <w:p w14:paraId="133B1E90">
            <w:pPr>
              <w:pStyle w:val="16"/>
              <w:rPr>
                <w:rFonts w:hAnsi="宋体"/>
                <w:highlight w:val="none"/>
              </w:rPr>
            </w:pPr>
          </w:p>
        </w:tc>
      </w:tr>
      <w:tr w14:paraId="30ACC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Pr>
          <w:p w14:paraId="25782FFB">
            <w:pPr>
              <w:pStyle w:val="16"/>
              <w:rPr>
                <w:rFonts w:hAnsi="宋体"/>
                <w:highlight w:val="none"/>
              </w:rPr>
            </w:pPr>
          </w:p>
        </w:tc>
        <w:tc>
          <w:tcPr>
            <w:tcW w:w="1473" w:type="pct"/>
          </w:tcPr>
          <w:p w14:paraId="79A65932">
            <w:pPr>
              <w:pStyle w:val="16"/>
              <w:rPr>
                <w:rFonts w:hAnsi="宋体"/>
                <w:highlight w:val="none"/>
              </w:rPr>
            </w:pPr>
          </w:p>
        </w:tc>
        <w:tc>
          <w:tcPr>
            <w:tcW w:w="1375" w:type="pct"/>
          </w:tcPr>
          <w:p w14:paraId="1E85E454">
            <w:pPr>
              <w:pStyle w:val="16"/>
              <w:rPr>
                <w:rFonts w:hAnsi="宋体"/>
                <w:highlight w:val="none"/>
              </w:rPr>
            </w:pPr>
          </w:p>
        </w:tc>
        <w:tc>
          <w:tcPr>
            <w:tcW w:w="902" w:type="pct"/>
          </w:tcPr>
          <w:p w14:paraId="49D51FCD">
            <w:pPr>
              <w:pStyle w:val="16"/>
              <w:rPr>
                <w:rFonts w:hAnsi="宋体"/>
                <w:highlight w:val="none"/>
              </w:rPr>
            </w:pPr>
          </w:p>
        </w:tc>
        <w:tc>
          <w:tcPr>
            <w:tcW w:w="897" w:type="pct"/>
          </w:tcPr>
          <w:p w14:paraId="7356FEF6">
            <w:pPr>
              <w:pStyle w:val="16"/>
              <w:rPr>
                <w:rFonts w:hAnsi="宋体"/>
                <w:highlight w:val="none"/>
              </w:rPr>
            </w:pPr>
          </w:p>
        </w:tc>
      </w:tr>
    </w:tbl>
    <w:p w14:paraId="0956854C">
      <w:pPr>
        <w:pStyle w:val="16"/>
        <w:spacing w:line="600" w:lineRule="exact"/>
        <w:rPr>
          <w:rFonts w:hAnsi="宋体"/>
          <w:b/>
          <w:sz w:val="24"/>
          <w:szCs w:val="24"/>
          <w:highlight w:val="none"/>
        </w:rPr>
      </w:pPr>
      <w:r>
        <w:rPr>
          <w:rFonts w:hint="eastAsia" w:hAnsi="宋体"/>
          <w:b/>
          <w:sz w:val="24"/>
          <w:szCs w:val="24"/>
          <w:highlight w:val="none"/>
        </w:rPr>
        <w:t>注：对于投标产品商务条款响应要求需有证明材料支持的，必须在投标文件中提供证明材料，并将该证明材料在投标文件中的索引（页码及条目号等）标注在“</w:t>
      </w:r>
      <w:r>
        <w:rPr>
          <w:rFonts w:hint="eastAsia" w:hAnsi="宋体"/>
          <w:b/>
          <w:bCs/>
          <w:sz w:val="24"/>
          <w:highlight w:val="none"/>
        </w:rPr>
        <w:t>商务条件支持资料索引</w:t>
      </w:r>
      <w:r>
        <w:rPr>
          <w:rFonts w:hint="eastAsia" w:hAnsi="宋体"/>
          <w:b/>
          <w:sz w:val="24"/>
          <w:szCs w:val="24"/>
          <w:highlight w:val="none"/>
        </w:rPr>
        <w:t>”中。</w:t>
      </w:r>
    </w:p>
    <w:p w14:paraId="42CA263D">
      <w:pPr>
        <w:pStyle w:val="16"/>
        <w:spacing w:line="600" w:lineRule="exact"/>
        <w:rPr>
          <w:rFonts w:hAnsi="宋体"/>
          <w:sz w:val="24"/>
          <w:szCs w:val="24"/>
          <w:highlight w:val="none"/>
        </w:rPr>
      </w:pPr>
    </w:p>
    <w:p w14:paraId="73B7C7A4">
      <w:pPr>
        <w:spacing w:line="360" w:lineRule="auto"/>
        <w:rPr>
          <w:rFonts w:ascii="宋体" w:hAnsi="宋体"/>
          <w:sz w:val="24"/>
          <w:highlight w:val="none"/>
        </w:rPr>
      </w:pPr>
      <w:r>
        <w:rPr>
          <w:rFonts w:hint="eastAsia" w:ascii="宋体" w:hAnsi="宋体"/>
          <w:sz w:val="24"/>
          <w:highlight w:val="none"/>
        </w:rPr>
        <w:t>投标人：</w:t>
      </w:r>
      <w:r>
        <w:rPr>
          <w:rFonts w:ascii="宋体" w:hAnsi="宋体"/>
          <w:sz w:val="24"/>
          <w:highlight w:val="none"/>
          <w:u w:val="single"/>
        </w:rPr>
        <w:t xml:space="preserve">                                 </w:t>
      </w:r>
      <w:r>
        <w:rPr>
          <w:rFonts w:hint="eastAsia" w:ascii="宋体" w:hAnsi="宋体"/>
          <w:sz w:val="24"/>
          <w:highlight w:val="none"/>
        </w:rPr>
        <w:t>（电子签章）</w:t>
      </w:r>
    </w:p>
    <w:p w14:paraId="3978AC4D">
      <w:pPr>
        <w:spacing w:line="360" w:lineRule="auto"/>
        <w:rPr>
          <w:rFonts w:ascii="宋体" w:hAnsi="宋体"/>
          <w:sz w:val="24"/>
          <w:highlight w:val="none"/>
        </w:rPr>
      </w:pPr>
      <w:r>
        <w:rPr>
          <w:rFonts w:hint="eastAsia" w:ascii="宋体" w:hAnsi="宋体"/>
          <w:sz w:val="24"/>
          <w:highlight w:val="none"/>
        </w:rPr>
        <w:t>法定代表人或其委托代理人：</w:t>
      </w:r>
      <w:r>
        <w:rPr>
          <w:rFonts w:ascii="宋体" w:hAnsi="宋体"/>
          <w:sz w:val="24"/>
          <w:highlight w:val="none"/>
          <w:u w:val="single"/>
        </w:rPr>
        <w:t xml:space="preserve">               </w:t>
      </w:r>
      <w:r>
        <w:rPr>
          <w:rFonts w:hint="eastAsia" w:ascii="宋体" w:hAnsi="宋体"/>
          <w:sz w:val="24"/>
          <w:highlight w:val="none"/>
        </w:rPr>
        <w:t>（电子签名</w:t>
      </w:r>
      <w:r>
        <w:rPr>
          <w:rFonts w:hint="eastAsia" w:ascii="宋体" w:hAnsi="宋体"/>
          <w:sz w:val="24"/>
          <w:highlight w:val="none"/>
          <w:lang w:val="en-US" w:eastAsia="zh-CN"/>
        </w:rPr>
        <w:t>或电子签章</w:t>
      </w:r>
      <w:r>
        <w:rPr>
          <w:rFonts w:hint="eastAsia" w:ascii="宋体" w:hAnsi="宋体"/>
          <w:sz w:val="24"/>
          <w:highlight w:val="none"/>
        </w:rPr>
        <w:t>）</w:t>
      </w:r>
    </w:p>
    <w:p w14:paraId="77742B52">
      <w:pPr>
        <w:spacing w:line="360" w:lineRule="auto"/>
        <w:ind w:firstLine="2" w:firstLineChars="1"/>
        <w:rPr>
          <w:rFonts w:ascii="宋体" w:hAnsi="宋体"/>
          <w:b/>
          <w:sz w:val="24"/>
          <w:highlight w:val="none"/>
        </w:rPr>
      </w:pPr>
      <w:r>
        <w:rPr>
          <w:rFonts w:hint="eastAsia" w:ascii="宋体" w:hAnsi="宋体"/>
          <w:sz w:val="24"/>
          <w:highlight w:val="none"/>
        </w:rPr>
        <w:t>日期：</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年</w:t>
      </w:r>
      <w:r>
        <w:rPr>
          <w:rFonts w:ascii="宋体" w:hAnsi="宋体"/>
          <w:sz w:val="24"/>
          <w:highlight w:val="none"/>
          <w:u w:val="single"/>
        </w:rPr>
        <w:t xml:space="preserve">       </w:t>
      </w:r>
      <w:r>
        <w:rPr>
          <w:rFonts w:hint="eastAsia" w:ascii="宋体" w:hAnsi="宋体"/>
          <w:sz w:val="24"/>
          <w:highlight w:val="none"/>
        </w:rPr>
        <w:t>月</w:t>
      </w:r>
      <w:r>
        <w:rPr>
          <w:rFonts w:ascii="宋体" w:hAnsi="宋体"/>
          <w:sz w:val="24"/>
          <w:highlight w:val="none"/>
          <w:u w:val="single"/>
        </w:rPr>
        <w:t xml:space="preserve">       </w:t>
      </w:r>
      <w:r>
        <w:rPr>
          <w:rFonts w:hint="eastAsia" w:ascii="宋体" w:hAnsi="宋体"/>
          <w:sz w:val="24"/>
          <w:highlight w:val="none"/>
        </w:rPr>
        <w:t>日</w:t>
      </w:r>
    </w:p>
    <w:p w14:paraId="78D33DB8">
      <w:pPr>
        <w:pStyle w:val="16"/>
        <w:rPr>
          <w:rFonts w:hAnsi="宋体"/>
          <w:b/>
          <w:sz w:val="28"/>
          <w:szCs w:val="28"/>
          <w:highlight w:val="none"/>
        </w:rPr>
      </w:pPr>
      <w:r>
        <w:rPr>
          <w:rFonts w:hint="eastAsia" w:hAnsi="宋体"/>
          <w:sz w:val="24"/>
          <w:szCs w:val="24"/>
          <w:highlight w:val="none"/>
          <w:u w:val="single"/>
        </w:rPr>
        <w:br w:type="page"/>
      </w:r>
      <w:r>
        <w:rPr>
          <w:rFonts w:hint="eastAsia" w:hAnsi="宋体"/>
          <w:b/>
          <w:sz w:val="28"/>
          <w:szCs w:val="28"/>
          <w:highlight w:val="none"/>
        </w:rPr>
        <w:t>格式9：</w:t>
      </w:r>
    </w:p>
    <w:p w14:paraId="595671D6">
      <w:pPr>
        <w:pStyle w:val="5"/>
        <w:ind w:left="425"/>
        <w:jc w:val="center"/>
        <w:rPr>
          <w:rFonts w:ascii="宋体" w:hAnsi="宋体" w:eastAsia="宋体"/>
          <w:sz w:val="32"/>
          <w:szCs w:val="32"/>
          <w:highlight w:val="none"/>
        </w:rPr>
      </w:pPr>
      <w:bookmarkStart w:id="160" w:name="_Toc101004114"/>
      <w:bookmarkStart w:id="161" w:name="_Toc213141101"/>
      <w:bookmarkStart w:id="162" w:name="_Toc13665027"/>
      <w:bookmarkStart w:id="163" w:name="_Toc493600036"/>
      <w:bookmarkStart w:id="164" w:name="_Toc178"/>
      <w:r>
        <w:rPr>
          <w:rFonts w:hint="eastAsia" w:ascii="宋体" w:hAnsi="宋体" w:eastAsia="宋体"/>
          <w:sz w:val="32"/>
          <w:szCs w:val="32"/>
          <w:highlight w:val="none"/>
        </w:rPr>
        <w:t>售后服务承诺书</w:t>
      </w:r>
      <w:bookmarkEnd w:id="160"/>
      <w:bookmarkEnd w:id="161"/>
      <w:bookmarkEnd w:id="162"/>
      <w:bookmarkEnd w:id="163"/>
      <w:bookmarkEnd w:id="164"/>
    </w:p>
    <w:p w14:paraId="01CD231D">
      <w:pPr>
        <w:rPr>
          <w:rFonts w:ascii="宋体" w:hAnsi="宋体"/>
          <w:highlight w:val="none"/>
        </w:rPr>
      </w:pPr>
    </w:p>
    <w:p w14:paraId="13DAA7A5">
      <w:pPr>
        <w:pStyle w:val="16"/>
        <w:jc w:val="center"/>
        <w:rPr>
          <w:rFonts w:hAnsi="宋体"/>
          <w:sz w:val="24"/>
          <w:szCs w:val="24"/>
          <w:highlight w:val="none"/>
        </w:rPr>
      </w:pPr>
      <w:r>
        <w:rPr>
          <w:rFonts w:hint="eastAsia" w:hAnsi="宋体"/>
          <w:sz w:val="24"/>
          <w:szCs w:val="24"/>
          <w:highlight w:val="none"/>
        </w:rPr>
        <w:t>(由投标人按《项目需求及技术要求》售后服务及要求自行分别填写)</w:t>
      </w:r>
    </w:p>
    <w:p w14:paraId="38AA3117">
      <w:pPr>
        <w:pStyle w:val="16"/>
        <w:rPr>
          <w:rFonts w:hAnsi="宋体"/>
          <w:highlight w:val="none"/>
        </w:rPr>
      </w:pPr>
    </w:p>
    <w:p w14:paraId="25E7D015">
      <w:pPr>
        <w:pStyle w:val="16"/>
        <w:rPr>
          <w:rFonts w:hAnsi="宋体"/>
          <w:highlight w:val="none"/>
        </w:rPr>
      </w:pPr>
    </w:p>
    <w:p w14:paraId="473F5345">
      <w:pPr>
        <w:pStyle w:val="16"/>
        <w:rPr>
          <w:rFonts w:hAnsi="宋体"/>
          <w:highlight w:val="none"/>
        </w:rPr>
      </w:pPr>
    </w:p>
    <w:p w14:paraId="7C5AB84D">
      <w:pPr>
        <w:pStyle w:val="16"/>
        <w:rPr>
          <w:rFonts w:hAnsi="宋体"/>
          <w:highlight w:val="none"/>
        </w:rPr>
      </w:pPr>
    </w:p>
    <w:p w14:paraId="645CA471">
      <w:pPr>
        <w:pStyle w:val="16"/>
        <w:rPr>
          <w:rFonts w:hAnsi="宋体"/>
          <w:highlight w:val="none"/>
        </w:rPr>
      </w:pPr>
    </w:p>
    <w:p w14:paraId="01CBA0DC">
      <w:pPr>
        <w:pStyle w:val="16"/>
        <w:rPr>
          <w:rFonts w:hAnsi="宋体"/>
          <w:highlight w:val="none"/>
        </w:rPr>
      </w:pPr>
    </w:p>
    <w:p w14:paraId="5303BE65">
      <w:pPr>
        <w:pStyle w:val="16"/>
        <w:rPr>
          <w:rFonts w:hAnsi="宋体"/>
          <w:highlight w:val="none"/>
        </w:rPr>
      </w:pPr>
    </w:p>
    <w:p w14:paraId="3BD02AD8">
      <w:pPr>
        <w:pStyle w:val="16"/>
        <w:rPr>
          <w:rFonts w:hAnsi="宋体"/>
          <w:highlight w:val="none"/>
        </w:rPr>
      </w:pPr>
    </w:p>
    <w:p w14:paraId="495BD11B">
      <w:pPr>
        <w:pStyle w:val="16"/>
        <w:rPr>
          <w:rFonts w:hAnsi="宋体"/>
          <w:highlight w:val="none"/>
        </w:rPr>
      </w:pPr>
    </w:p>
    <w:p w14:paraId="716CF72F">
      <w:pPr>
        <w:pStyle w:val="16"/>
        <w:rPr>
          <w:rFonts w:hAnsi="宋体"/>
          <w:highlight w:val="none"/>
        </w:rPr>
      </w:pPr>
    </w:p>
    <w:p w14:paraId="46919A3A">
      <w:pPr>
        <w:pStyle w:val="16"/>
        <w:rPr>
          <w:rFonts w:hAnsi="宋体"/>
          <w:highlight w:val="none"/>
        </w:rPr>
      </w:pPr>
    </w:p>
    <w:p w14:paraId="5D7A588A">
      <w:pPr>
        <w:pStyle w:val="16"/>
        <w:rPr>
          <w:rFonts w:hAnsi="宋体"/>
          <w:highlight w:val="none"/>
        </w:rPr>
      </w:pPr>
    </w:p>
    <w:p w14:paraId="593DB9EC">
      <w:pPr>
        <w:pStyle w:val="16"/>
        <w:rPr>
          <w:rFonts w:hAnsi="宋体"/>
          <w:highlight w:val="none"/>
        </w:rPr>
      </w:pPr>
    </w:p>
    <w:p w14:paraId="5B08C4F1">
      <w:pPr>
        <w:widowControl/>
        <w:jc w:val="left"/>
        <w:rPr>
          <w:rFonts w:ascii="宋体" w:hAnsi="宋体"/>
          <w:szCs w:val="20"/>
          <w:highlight w:val="none"/>
        </w:rPr>
      </w:pPr>
      <w:r>
        <w:rPr>
          <w:rFonts w:hint="eastAsia" w:hAnsi="宋体"/>
          <w:highlight w:val="none"/>
        </w:rPr>
        <w:br w:type="page"/>
      </w:r>
    </w:p>
    <w:p w14:paraId="06E4E573">
      <w:pPr>
        <w:pStyle w:val="16"/>
        <w:rPr>
          <w:rFonts w:hAnsi="宋体"/>
          <w:highlight w:val="none"/>
        </w:rPr>
      </w:pPr>
    </w:p>
    <w:p w14:paraId="061A72F6">
      <w:pPr>
        <w:pStyle w:val="16"/>
        <w:rPr>
          <w:rFonts w:hAnsi="宋体"/>
          <w:highlight w:val="none"/>
        </w:rPr>
      </w:pPr>
    </w:p>
    <w:p w14:paraId="32FC75B1">
      <w:pPr>
        <w:pStyle w:val="16"/>
        <w:rPr>
          <w:rFonts w:hAnsi="宋体"/>
          <w:b/>
          <w:sz w:val="28"/>
          <w:szCs w:val="28"/>
          <w:highlight w:val="none"/>
        </w:rPr>
      </w:pPr>
      <w:r>
        <w:rPr>
          <w:rFonts w:hint="eastAsia" w:hAnsi="宋体"/>
          <w:b/>
          <w:sz w:val="28"/>
          <w:szCs w:val="28"/>
          <w:highlight w:val="none"/>
        </w:rPr>
        <w:t>格式10：</w:t>
      </w:r>
    </w:p>
    <w:p w14:paraId="2714E73C">
      <w:pPr>
        <w:pStyle w:val="5"/>
        <w:ind w:left="425"/>
        <w:jc w:val="center"/>
        <w:rPr>
          <w:rFonts w:ascii="宋体" w:hAnsi="宋体" w:eastAsia="宋体"/>
          <w:sz w:val="32"/>
          <w:szCs w:val="32"/>
          <w:highlight w:val="none"/>
        </w:rPr>
      </w:pPr>
      <w:bookmarkStart w:id="165" w:name="_Toc99722900"/>
      <w:bookmarkStart w:id="166" w:name="_Toc20555"/>
      <w:r>
        <w:rPr>
          <w:rFonts w:hint="eastAsia" w:ascii="宋体" w:hAnsi="宋体" w:eastAsia="宋体"/>
          <w:sz w:val="32"/>
          <w:szCs w:val="32"/>
          <w:highlight w:val="none"/>
        </w:rPr>
        <w:t>类似业绩</w:t>
      </w:r>
      <w:bookmarkEnd w:id="165"/>
      <w:bookmarkEnd w:id="166"/>
    </w:p>
    <w:p w14:paraId="02970EDC">
      <w:pPr>
        <w:jc w:val="center"/>
        <w:rPr>
          <w:rFonts w:ascii="宋体" w:hAnsi="宋体"/>
          <w:highlight w:val="none"/>
        </w:rPr>
      </w:pPr>
      <w:r>
        <w:rPr>
          <w:rFonts w:hint="eastAsia" w:ascii="宋体" w:hAnsi="宋体"/>
          <w:bCs/>
          <w:szCs w:val="21"/>
          <w:highlight w:val="none"/>
        </w:rPr>
        <w:t>证明材料可为销售合同或中标通知书或用户使用证明等</w:t>
      </w:r>
    </w:p>
    <w:p w14:paraId="11CF928F">
      <w:pPr>
        <w:pStyle w:val="16"/>
        <w:jc w:val="center"/>
        <w:rPr>
          <w:rFonts w:hAnsi="宋体"/>
          <w:sz w:val="24"/>
          <w:szCs w:val="24"/>
          <w:highlight w:val="none"/>
        </w:rPr>
      </w:pPr>
      <w:r>
        <w:rPr>
          <w:rFonts w:hint="eastAsia" w:hAnsi="宋体"/>
          <w:sz w:val="24"/>
          <w:szCs w:val="24"/>
          <w:highlight w:val="none"/>
        </w:rPr>
        <w:t>(格式自拟)</w:t>
      </w:r>
    </w:p>
    <w:p w14:paraId="7845C33B">
      <w:pPr>
        <w:pStyle w:val="16"/>
        <w:rPr>
          <w:rFonts w:hAnsi="宋体"/>
          <w:highlight w:val="none"/>
        </w:rPr>
      </w:pPr>
    </w:p>
    <w:p w14:paraId="6B46DC71">
      <w:pPr>
        <w:pStyle w:val="16"/>
        <w:rPr>
          <w:rFonts w:hAnsi="宋体"/>
          <w:highlight w:val="none"/>
        </w:rPr>
      </w:pPr>
    </w:p>
    <w:p w14:paraId="4D55DE36">
      <w:pPr>
        <w:pStyle w:val="16"/>
        <w:rPr>
          <w:rFonts w:hAnsi="宋体"/>
          <w:highlight w:val="none"/>
        </w:rPr>
      </w:pPr>
    </w:p>
    <w:p w14:paraId="066B00FB">
      <w:pPr>
        <w:spacing w:line="588" w:lineRule="exact"/>
        <w:jc w:val="left"/>
        <w:rPr>
          <w:rFonts w:hAnsi="宋体"/>
          <w:kern w:val="0"/>
          <w:sz w:val="24"/>
          <w:highlight w:val="none"/>
        </w:rPr>
      </w:pPr>
    </w:p>
    <w:p w14:paraId="736C6F28">
      <w:pPr>
        <w:widowControl/>
        <w:jc w:val="left"/>
        <w:rPr>
          <w:rFonts w:hAnsi="宋体"/>
          <w:kern w:val="0"/>
          <w:sz w:val="24"/>
          <w:highlight w:val="none"/>
        </w:rPr>
      </w:pPr>
      <w:r>
        <w:rPr>
          <w:rFonts w:hAnsi="宋体"/>
          <w:kern w:val="0"/>
          <w:sz w:val="24"/>
          <w:highlight w:val="none"/>
        </w:rPr>
        <w:br w:type="page"/>
      </w:r>
    </w:p>
    <w:p w14:paraId="739A360F">
      <w:pPr>
        <w:spacing w:line="588" w:lineRule="exact"/>
        <w:jc w:val="left"/>
        <w:rPr>
          <w:rFonts w:hAnsi="宋体"/>
          <w:b/>
          <w:sz w:val="28"/>
          <w:szCs w:val="28"/>
          <w:highlight w:val="none"/>
        </w:rPr>
      </w:pPr>
      <w:r>
        <w:rPr>
          <w:rFonts w:hint="eastAsia" w:hAnsi="宋体"/>
          <w:b/>
          <w:sz w:val="28"/>
          <w:szCs w:val="28"/>
          <w:highlight w:val="none"/>
        </w:rPr>
        <w:t>格式11：</w:t>
      </w:r>
    </w:p>
    <w:p w14:paraId="29293262">
      <w:pPr>
        <w:pStyle w:val="5"/>
        <w:jc w:val="center"/>
        <w:rPr>
          <w:rFonts w:ascii="宋体" w:hAnsi="宋体" w:eastAsia="宋体"/>
          <w:sz w:val="32"/>
          <w:szCs w:val="32"/>
          <w:highlight w:val="none"/>
        </w:rPr>
      </w:pPr>
      <w:bookmarkStart w:id="167" w:name="_Toc493600037"/>
      <w:bookmarkStart w:id="168" w:name="_Toc13665028"/>
      <w:bookmarkStart w:id="169" w:name="_Toc101004115"/>
      <w:bookmarkStart w:id="170" w:name="_Toc15362"/>
      <w:r>
        <w:rPr>
          <w:rFonts w:hint="eastAsia" w:ascii="宋体" w:hAnsi="宋体" w:eastAsia="宋体"/>
          <w:sz w:val="32"/>
          <w:szCs w:val="32"/>
          <w:highlight w:val="none"/>
        </w:rPr>
        <w:t>投标保证金交纳凭证</w:t>
      </w:r>
      <w:bookmarkEnd w:id="167"/>
      <w:bookmarkEnd w:id="168"/>
      <w:bookmarkEnd w:id="169"/>
      <w:bookmarkEnd w:id="170"/>
    </w:p>
    <w:p w14:paraId="5132489B">
      <w:pPr>
        <w:spacing w:line="588" w:lineRule="exact"/>
        <w:jc w:val="left"/>
        <w:rPr>
          <w:rFonts w:hAnsi="宋体"/>
          <w:b/>
          <w:sz w:val="28"/>
          <w:szCs w:val="28"/>
          <w:highlight w:val="none"/>
        </w:rPr>
      </w:pPr>
      <w:r>
        <w:rPr>
          <w:rFonts w:hint="eastAsia" w:hAnsi="宋体"/>
          <w:b/>
          <w:sz w:val="28"/>
          <w:szCs w:val="28"/>
          <w:highlight w:val="none"/>
        </w:rPr>
        <w:t xml:space="preserve"> </w:t>
      </w:r>
    </w:p>
    <w:p w14:paraId="5DD459FC">
      <w:pPr>
        <w:spacing w:line="588" w:lineRule="exact"/>
        <w:jc w:val="left"/>
        <w:rPr>
          <w:rFonts w:hAnsi="宋体"/>
          <w:b/>
          <w:sz w:val="28"/>
          <w:szCs w:val="28"/>
          <w:highlight w:val="none"/>
        </w:rPr>
      </w:pPr>
      <w:r>
        <w:rPr>
          <w:rFonts w:hAnsi="宋体"/>
          <w:b/>
          <w:sz w:val="28"/>
          <w:szCs w:val="28"/>
          <w:highlight w:val="none"/>
        </w:rPr>
        <w:br w:type="page"/>
      </w:r>
      <w:r>
        <w:rPr>
          <w:rFonts w:hint="eastAsia" w:hAnsi="宋体"/>
          <w:b/>
          <w:sz w:val="28"/>
          <w:szCs w:val="28"/>
          <w:highlight w:val="none"/>
        </w:rPr>
        <w:t>格式12：</w:t>
      </w:r>
    </w:p>
    <w:p w14:paraId="11F14A75">
      <w:pPr>
        <w:pStyle w:val="5"/>
        <w:jc w:val="center"/>
        <w:rPr>
          <w:rFonts w:ascii="宋体" w:hAnsi="宋体" w:eastAsia="宋体"/>
          <w:sz w:val="32"/>
          <w:szCs w:val="32"/>
          <w:highlight w:val="none"/>
        </w:rPr>
      </w:pPr>
      <w:bookmarkStart w:id="171" w:name="_Toc493600038"/>
      <w:bookmarkStart w:id="172" w:name="_Toc13665029"/>
      <w:bookmarkStart w:id="173" w:name="_Toc101004116"/>
      <w:bookmarkStart w:id="174" w:name="_Toc16268"/>
      <w:r>
        <w:rPr>
          <w:rFonts w:hint="eastAsia" w:ascii="宋体" w:hAnsi="宋体" w:eastAsia="宋体"/>
          <w:sz w:val="32"/>
          <w:szCs w:val="32"/>
          <w:highlight w:val="none"/>
        </w:rPr>
        <w:t>投标人信息表</w:t>
      </w:r>
      <w:bookmarkEnd w:id="171"/>
      <w:bookmarkEnd w:id="172"/>
      <w:bookmarkEnd w:id="173"/>
      <w:bookmarkEnd w:id="174"/>
    </w:p>
    <w:p w14:paraId="474F8A47">
      <w:pPr>
        <w:pStyle w:val="16"/>
        <w:spacing w:line="400" w:lineRule="exact"/>
        <w:jc w:val="center"/>
        <w:rPr>
          <w:rFonts w:hAnsi="宋体"/>
          <w:b/>
          <w:sz w:val="24"/>
          <w:szCs w:val="24"/>
          <w:highlight w:val="none"/>
        </w:rPr>
      </w:pPr>
      <w:r>
        <w:rPr>
          <w:rFonts w:hint="eastAsia" w:hAnsi="宋体"/>
          <w:b/>
          <w:sz w:val="24"/>
          <w:szCs w:val="24"/>
          <w:highlight w:val="none"/>
        </w:rPr>
        <w:t>（请投标人如实填写本表信息）</w:t>
      </w:r>
    </w:p>
    <w:tbl>
      <w:tblPr>
        <w:tblStyle w:val="3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047"/>
        <w:gridCol w:w="1138"/>
        <w:gridCol w:w="2506"/>
      </w:tblGrid>
      <w:tr w14:paraId="2550D0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trPr>
        <w:tc>
          <w:tcPr>
            <w:tcW w:w="2772" w:type="dxa"/>
            <w:gridSpan w:val="2"/>
            <w:tcBorders>
              <w:right w:val="single" w:color="auto" w:sz="4" w:space="0"/>
            </w:tcBorders>
            <w:vAlign w:val="center"/>
          </w:tcPr>
          <w:p w14:paraId="6CD93FFE">
            <w:pPr>
              <w:widowControl/>
              <w:jc w:val="center"/>
              <w:rPr>
                <w:rFonts w:ascii="宋体" w:hAnsi="宋体"/>
                <w:sz w:val="24"/>
                <w:highlight w:val="none"/>
              </w:rPr>
            </w:pPr>
            <w:r>
              <w:rPr>
                <w:rFonts w:hint="eastAsia" w:ascii="宋体" w:hAnsi="宋体"/>
                <w:sz w:val="24"/>
                <w:highlight w:val="none"/>
              </w:rPr>
              <w:t>公司名称</w:t>
            </w:r>
          </w:p>
        </w:tc>
        <w:tc>
          <w:tcPr>
            <w:tcW w:w="6407" w:type="dxa"/>
            <w:gridSpan w:val="4"/>
            <w:tcBorders>
              <w:left w:val="single" w:color="auto" w:sz="4" w:space="0"/>
            </w:tcBorders>
            <w:vAlign w:val="center"/>
          </w:tcPr>
          <w:p w14:paraId="1C805C4F">
            <w:pPr>
              <w:widowControl/>
              <w:jc w:val="left"/>
              <w:rPr>
                <w:rFonts w:ascii="宋体" w:hAnsi="宋体"/>
                <w:sz w:val="24"/>
                <w:highlight w:val="none"/>
              </w:rPr>
            </w:pPr>
          </w:p>
        </w:tc>
      </w:tr>
      <w:tr w14:paraId="34DC1B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2772" w:type="dxa"/>
            <w:gridSpan w:val="2"/>
            <w:tcBorders>
              <w:right w:val="single" w:color="auto" w:sz="4" w:space="0"/>
            </w:tcBorders>
            <w:vAlign w:val="center"/>
          </w:tcPr>
          <w:p w14:paraId="31419174">
            <w:pPr>
              <w:widowControl/>
              <w:jc w:val="center"/>
              <w:rPr>
                <w:rFonts w:ascii="宋体" w:hAnsi="宋体"/>
                <w:sz w:val="24"/>
                <w:highlight w:val="none"/>
              </w:rPr>
            </w:pPr>
            <w:r>
              <w:rPr>
                <w:rFonts w:hint="eastAsia" w:ascii="宋体" w:hAnsi="宋体"/>
                <w:sz w:val="24"/>
                <w:highlight w:val="none"/>
              </w:rPr>
              <w:t>公司地址</w:t>
            </w:r>
          </w:p>
        </w:tc>
        <w:tc>
          <w:tcPr>
            <w:tcW w:w="6407" w:type="dxa"/>
            <w:gridSpan w:val="4"/>
            <w:tcBorders>
              <w:left w:val="single" w:color="auto" w:sz="4" w:space="0"/>
            </w:tcBorders>
            <w:vAlign w:val="center"/>
          </w:tcPr>
          <w:p w14:paraId="4F0517BE">
            <w:pPr>
              <w:widowControl/>
              <w:jc w:val="center"/>
              <w:rPr>
                <w:rFonts w:ascii="宋体" w:hAnsi="宋体"/>
                <w:sz w:val="24"/>
                <w:highlight w:val="none"/>
              </w:rPr>
            </w:pPr>
          </w:p>
        </w:tc>
      </w:tr>
      <w:tr w14:paraId="58EB02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772" w:type="dxa"/>
            <w:gridSpan w:val="2"/>
            <w:tcBorders>
              <w:right w:val="single" w:color="auto" w:sz="4" w:space="0"/>
            </w:tcBorders>
            <w:vAlign w:val="center"/>
          </w:tcPr>
          <w:p w14:paraId="5140BA45">
            <w:pPr>
              <w:widowControl/>
              <w:jc w:val="center"/>
              <w:rPr>
                <w:rFonts w:ascii="宋体" w:hAnsi="宋体"/>
                <w:sz w:val="24"/>
                <w:highlight w:val="none"/>
              </w:rPr>
            </w:pPr>
            <w:r>
              <w:rPr>
                <w:rFonts w:hint="eastAsia" w:ascii="宋体" w:hAnsi="宋体"/>
                <w:sz w:val="24"/>
                <w:highlight w:val="none"/>
              </w:rPr>
              <w:t>公司性质</w:t>
            </w:r>
          </w:p>
        </w:tc>
        <w:tc>
          <w:tcPr>
            <w:tcW w:w="1716" w:type="dxa"/>
            <w:tcBorders>
              <w:left w:val="single" w:color="auto" w:sz="4" w:space="0"/>
              <w:right w:val="single" w:color="auto" w:sz="4" w:space="0"/>
            </w:tcBorders>
            <w:vAlign w:val="center"/>
          </w:tcPr>
          <w:p w14:paraId="4BDAD98D">
            <w:pPr>
              <w:widowControl/>
              <w:jc w:val="center"/>
              <w:rPr>
                <w:rFonts w:ascii="宋体" w:hAnsi="宋体"/>
                <w:sz w:val="24"/>
                <w:highlight w:val="none"/>
              </w:rPr>
            </w:pPr>
          </w:p>
        </w:tc>
        <w:tc>
          <w:tcPr>
            <w:tcW w:w="2185" w:type="dxa"/>
            <w:gridSpan w:val="2"/>
            <w:tcBorders>
              <w:left w:val="single" w:color="auto" w:sz="4" w:space="0"/>
              <w:right w:val="single" w:color="auto" w:sz="4" w:space="0"/>
            </w:tcBorders>
            <w:vAlign w:val="center"/>
          </w:tcPr>
          <w:p w14:paraId="6E616D1C">
            <w:pPr>
              <w:widowControl/>
              <w:jc w:val="center"/>
              <w:rPr>
                <w:rFonts w:ascii="宋体" w:hAnsi="宋体"/>
                <w:sz w:val="24"/>
                <w:highlight w:val="none"/>
              </w:rPr>
            </w:pPr>
            <w:r>
              <w:rPr>
                <w:rFonts w:hint="eastAsia" w:ascii="宋体" w:hAnsi="宋体"/>
                <w:sz w:val="24"/>
                <w:highlight w:val="none"/>
              </w:rPr>
              <w:t>公司类型</w:t>
            </w:r>
          </w:p>
        </w:tc>
        <w:tc>
          <w:tcPr>
            <w:tcW w:w="2506" w:type="dxa"/>
            <w:tcBorders>
              <w:left w:val="single" w:color="auto" w:sz="4" w:space="0"/>
            </w:tcBorders>
            <w:vAlign w:val="center"/>
          </w:tcPr>
          <w:p w14:paraId="37FAE7E2">
            <w:pPr>
              <w:widowControl/>
              <w:jc w:val="center"/>
              <w:rPr>
                <w:rFonts w:ascii="宋体" w:hAnsi="宋体"/>
                <w:sz w:val="24"/>
                <w:highlight w:val="none"/>
              </w:rPr>
            </w:pPr>
          </w:p>
        </w:tc>
      </w:tr>
      <w:tr w14:paraId="52B605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2772" w:type="dxa"/>
            <w:gridSpan w:val="2"/>
            <w:vAlign w:val="center"/>
          </w:tcPr>
          <w:p w14:paraId="30C5ADBB">
            <w:pPr>
              <w:widowControl/>
              <w:jc w:val="center"/>
              <w:rPr>
                <w:rFonts w:ascii="宋体" w:hAnsi="宋体"/>
                <w:sz w:val="24"/>
                <w:highlight w:val="none"/>
              </w:rPr>
            </w:pPr>
            <w:r>
              <w:rPr>
                <w:rFonts w:hint="eastAsia" w:ascii="宋体" w:hAnsi="宋体"/>
                <w:sz w:val="24"/>
                <w:highlight w:val="none"/>
              </w:rPr>
              <w:t>法定代表人</w:t>
            </w:r>
          </w:p>
        </w:tc>
        <w:tc>
          <w:tcPr>
            <w:tcW w:w="1716" w:type="dxa"/>
            <w:vAlign w:val="center"/>
          </w:tcPr>
          <w:p w14:paraId="7B1B2D4C">
            <w:pPr>
              <w:widowControl/>
              <w:jc w:val="center"/>
              <w:rPr>
                <w:rFonts w:ascii="宋体" w:hAnsi="宋体"/>
                <w:sz w:val="24"/>
                <w:highlight w:val="none"/>
              </w:rPr>
            </w:pPr>
          </w:p>
        </w:tc>
        <w:tc>
          <w:tcPr>
            <w:tcW w:w="2185" w:type="dxa"/>
            <w:gridSpan w:val="2"/>
            <w:tcBorders>
              <w:right w:val="single" w:color="auto" w:sz="4" w:space="0"/>
            </w:tcBorders>
            <w:vAlign w:val="center"/>
          </w:tcPr>
          <w:p w14:paraId="5AFC5545">
            <w:pPr>
              <w:widowControl/>
              <w:jc w:val="center"/>
              <w:rPr>
                <w:rFonts w:ascii="宋体" w:hAnsi="宋体"/>
                <w:sz w:val="24"/>
                <w:highlight w:val="none"/>
              </w:rPr>
            </w:pPr>
            <w:r>
              <w:rPr>
                <w:rFonts w:hint="eastAsia" w:ascii="宋体" w:hAnsi="宋体"/>
                <w:sz w:val="24"/>
                <w:highlight w:val="none"/>
              </w:rPr>
              <w:t>注册资金</w:t>
            </w:r>
          </w:p>
        </w:tc>
        <w:tc>
          <w:tcPr>
            <w:tcW w:w="2506" w:type="dxa"/>
            <w:tcBorders>
              <w:left w:val="single" w:color="auto" w:sz="4" w:space="0"/>
            </w:tcBorders>
            <w:vAlign w:val="center"/>
          </w:tcPr>
          <w:p w14:paraId="769C5C27">
            <w:pPr>
              <w:widowControl/>
              <w:jc w:val="center"/>
              <w:rPr>
                <w:rFonts w:ascii="宋体" w:hAnsi="宋体"/>
                <w:sz w:val="24"/>
                <w:highlight w:val="none"/>
              </w:rPr>
            </w:pPr>
          </w:p>
        </w:tc>
      </w:tr>
      <w:tr w14:paraId="0304A6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2772" w:type="dxa"/>
            <w:gridSpan w:val="2"/>
            <w:vMerge w:val="restart"/>
            <w:vAlign w:val="center"/>
          </w:tcPr>
          <w:p w14:paraId="4BD525EF">
            <w:pPr>
              <w:widowControl/>
              <w:jc w:val="center"/>
              <w:rPr>
                <w:rFonts w:ascii="宋体" w:hAnsi="宋体"/>
                <w:sz w:val="24"/>
                <w:highlight w:val="none"/>
              </w:rPr>
            </w:pPr>
            <w:r>
              <w:rPr>
                <w:rFonts w:hint="eastAsia" w:ascii="宋体" w:hAnsi="宋体"/>
                <w:sz w:val="24"/>
                <w:highlight w:val="none"/>
              </w:rPr>
              <w:t>注册日期</w:t>
            </w:r>
          </w:p>
        </w:tc>
        <w:tc>
          <w:tcPr>
            <w:tcW w:w="1716" w:type="dxa"/>
            <w:vMerge w:val="restart"/>
            <w:vAlign w:val="center"/>
          </w:tcPr>
          <w:p w14:paraId="18D2DEC7">
            <w:pPr>
              <w:widowControl/>
              <w:jc w:val="center"/>
              <w:rPr>
                <w:rFonts w:ascii="宋体" w:hAnsi="宋体"/>
                <w:sz w:val="24"/>
                <w:highlight w:val="none"/>
              </w:rPr>
            </w:pPr>
          </w:p>
        </w:tc>
        <w:tc>
          <w:tcPr>
            <w:tcW w:w="2185" w:type="dxa"/>
            <w:gridSpan w:val="2"/>
            <w:tcBorders>
              <w:bottom w:val="single" w:color="auto" w:sz="4" w:space="0"/>
            </w:tcBorders>
            <w:vAlign w:val="center"/>
          </w:tcPr>
          <w:p w14:paraId="0458F369">
            <w:pPr>
              <w:widowControl/>
              <w:jc w:val="center"/>
              <w:rPr>
                <w:rFonts w:ascii="宋体" w:hAnsi="宋体"/>
                <w:sz w:val="24"/>
                <w:highlight w:val="none"/>
              </w:rPr>
            </w:pPr>
            <w:r>
              <w:rPr>
                <w:rFonts w:hint="eastAsia" w:ascii="宋体" w:hAnsi="宋体"/>
                <w:sz w:val="24"/>
                <w:highlight w:val="none"/>
              </w:rPr>
              <w:t>开户银行</w:t>
            </w:r>
          </w:p>
        </w:tc>
        <w:tc>
          <w:tcPr>
            <w:tcW w:w="2506" w:type="dxa"/>
            <w:tcBorders>
              <w:bottom w:val="single" w:color="auto" w:sz="4" w:space="0"/>
            </w:tcBorders>
            <w:vAlign w:val="center"/>
          </w:tcPr>
          <w:p w14:paraId="6AEC423C">
            <w:pPr>
              <w:widowControl/>
              <w:jc w:val="center"/>
              <w:rPr>
                <w:rFonts w:ascii="宋体" w:hAnsi="宋体"/>
                <w:sz w:val="24"/>
                <w:highlight w:val="none"/>
              </w:rPr>
            </w:pPr>
          </w:p>
        </w:tc>
      </w:tr>
      <w:tr w14:paraId="180C80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2772" w:type="dxa"/>
            <w:gridSpan w:val="2"/>
            <w:vMerge w:val="continue"/>
            <w:vAlign w:val="center"/>
          </w:tcPr>
          <w:p w14:paraId="229F9C02">
            <w:pPr>
              <w:widowControl/>
              <w:jc w:val="center"/>
              <w:rPr>
                <w:rFonts w:ascii="宋体" w:hAnsi="宋体"/>
                <w:sz w:val="24"/>
                <w:highlight w:val="none"/>
              </w:rPr>
            </w:pPr>
          </w:p>
        </w:tc>
        <w:tc>
          <w:tcPr>
            <w:tcW w:w="1716" w:type="dxa"/>
            <w:vMerge w:val="continue"/>
            <w:vAlign w:val="center"/>
          </w:tcPr>
          <w:p w14:paraId="59C57C0C">
            <w:pPr>
              <w:widowControl/>
              <w:jc w:val="center"/>
              <w:rPr>
                <w:rFonts w:ascii="宋体" w:hAnsi="宋体"/>
                <w:sz w:val="24"/>
                <w:highlight w:val="none"/>
              </w:rPr>
            </w:pPr>
          </w:p>
        </w:tc>
        <w:tc>
          <w:tcPr>
            <w:tcW w:w="2185" w:type="dxa"/>
            <w:gridSpan w:val="2"/>
            <w:tcBorders>
              <w:top w:val="single" w:color="auto" w:sz="4" w:space="0"/>
            </w:tcBorders>
            <w:vAlign w:val="center"/>
          </w:tcPr>
          <w:p w14:paraId="54B00EC0">
            <w:pPr>
              <w:widowControl/>
              <w:jc w:val="center"/>
              <w:rPr>
                <w:rFonts w:ascii="宋体" w:hAnsi="宋体"/>
                <w:sz w:val="24"/>
                <w:highlight w:val="none"/>
              </w:rPr>
            </w:pPr>
            <w:r>
              <w:rPr>
                <w:rFonts w:hint="eastAsia" w:ascii="宋体" w:hAnsi="宋体"/>
                <w:sz w:val="24"/>
                <w:highlight w:val="none"/>
              </w:rPr>
              <w:t>开户基本账号</w:t>
            </w:r>
          </w:p>
        </w:tc>
        <w:tc>
          <w:tcPr>
            <w:tcW w:w="2506" w:type="dxa"/>
            <w:tcBorders>
              <w:top w:val="single" w:color="auto" w:sz="4" w:space="0"/>
            </w:tcBorders>
            <w:vAlign w:val="center"/>
          </w:tcPr>
          <w:p w14:paraId="2A5D5FE4">
            <w:pPr>
              <w:widowControl/>
              <w:jc w:val="center"/>
              <w:rPr>
                <w:rFonts w:ascii="宋体" w:hAnsi="宋体"/>
                <w:sz w:val="24"/>
                <w:highlight w:val="none"/>
              </w:rPr>
            </w:pPr>
          </w:p>
        </w:tc>
      </w:tr>
      <w:tr w14:paraId="4DEDF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2772" w:type="dxa"/>
            <w:gridSpan w:val="2"/>
            <w:vMerge w:val="restart"/>
            <w:vAlign w:val="center"/>
          </w:tcPr>
          <w:p w14:paraId="11E3D4E2">
            <w:pPr>
              <w:widowControl/>
              <w:jc w:val="center"/>
              <w:rPr>
                <w:rFonts w:ascii="宋体" w:hAnsi="宋体"/>
                <w:sz w:val="24"/>
                <w:highlight w:val="none"/>
              </w:rPr>
            </w:pPr>
            <w:r>
              <w:rPr>
                <w:rFonts w:hint="eastAsia" w:ascii="宋体" w:hAnsi="宋体"/>
                <w:sz w:val="24"/>
                <w:highlight w:val="none"/>
              </w:rPr>
              <w:t>联系人</w:t>
            </w:r>
          </w:p>
        </w:tc>
        <w:tc>
          <w:tcPr>
            <w:tcW w:w="1716" w:type="dxa"/>
            <w:vMerge w:val="restart"/>
            <w:vAlign w:val="center"/>
          </w:tcPr>
          <w:p w14:paraId="338D1028">
            <w:pPr>
              <w:widowControl/>
              <w:jc w:val="center"/>
              <w:rPr>
                <w:rFonts w:ascii="宋体" w:hAnsi="宋体"/>
                <w:sz w:val="24"/>
                <w:highlight w:val="none"/>
              </w:rPr>
            </w:pPr>
          </w:p>
        </w:tc>
        <w:tc>
          <w:tcPr>
            <w:tcW w:w="1047" w:type="dxa"/>
            <w:vMerge w:val="restart"/>
            <w:vAlign w:val="center"/>
          </w:tcPr>
          <w:p w14:paraId="293301F7">
            <w:pPr>
              <w:widowControl/>
              <w:jc w:val="center"/>
              <w:rPr>
                <w:rFonts w:ascii="宋体" w:hAnsi="宋体"/>
                <w:sz w:val="24"/>
                <w:highlight w:val="none"/>
              </w:rPr>
            </w:pPr>
            <w:r>
              <w:rPr>
                <w:rFonts w:hint="eastAsia" w:ascii="宋体" w:hAnsi="宋体"/>
                <w:sz w:val="24"/>
                <w:highlight w:val="none"/>
              </w:rPr>
              <w:t>联系电话</w:t>
            </w:r>
          </w:p>
        </w:tc>
        <w:tc>
          <w:tcPr>
            <w:tcW w:w="1138" w:type="dxa"/>
            <w:vAlign w:val="center"/>
          </w:tcPr>
          <w:p w14:paraId="6B3D1468">
            <w:pPr>
              <w:widowControl/>
              <w:jc w:val="center"/>
              <w:rPr>
                <w:rFonts w:ascii="宋体" w:hAnsi="宋体"/>
                <w:sz w:val="24"/>
                <w:highlight w:val="none"/>
              </w:rPr>
            </w:pPr>
            <w:r>
              <w:rPr>
                <w:rFonts w:hint="eastAsia" w:ascii="宋体" w:hAnsi="宋体"/>
                <w:sz w:val="24"/>
                <w:highlight w:val="none"/>
              </w:rPr>
              <w:t>手机</w:t>
            </w:r>
          </w:p>
        </w:tc>
        <w:tc>
          <w:tcPr>
            <w:tcW w:w="2506" w:type="dxa"/>
            <w:vAlign w:val="center"/>
          </w:tcPr>
          <w:p w14:paraId="747B53DF">
            <w:pPr>
              <w:widowControl/>
              <w:jc w:val="center"/>
              <w:rPr>
                <w:rFonts w:ascii="宋体" w:hAnsi="宋体"/>
                <w:sz w:val="24"/>
                <w:highlight w:val="none"/>
              </w:rPr>
            </w:pPr>
          </w:p>
        </w:tc>
      </w:tr>
      <w:tr w14:paraId="3080A0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2" w:type="dxa"/>
            <w:gridSpan w:val="2"/>
            <w:vMerge w:val="continue"/>
            <w:vAlign w:val="center"/>
          </w:tcPr>
          <w:p w14:paraId="5B0D14EA">
            <w:pPr>
              <w:widowControl/>
              <w:jc w:val="center"/>
              <w:rPr>
                <w:rFonts w:ascii="宋体" w:hAnsi="宋体"/>
                <w:sz w:val="24"/>
                <w:highlight w:val="none"/>
              </w:rPr>
            </w:pPr>
          </w:p>
        </w:tc>
        <w:tc>
          <w:tcPr>
            <w:tcW w:w="1716" w:type="dxa"/>
            <w:vMerge w:val="continue"/>
            <w:vAlign w:val="center"/>
          </w:tcPr>
          <w:p w14:paraId="151CBB07">
            <w:pPr>
              <w:widowControl/>
              <w:jc w:val="center"/>
              <w:rPr>
                <w:rFonts w:ascii="宋体" w:hAnsi="宋体"/>
                <w:sz w:val="24"/>
                <w:highlight w:val="none"/>
              </w:rPr>
            </w:pPr>
          </w:p>
        </w:tc>
        <w:tc>
          <w:tcPr>
            <w:tcW w:w="1047" w:type="dxa"/>
            <w:vMerge w:val="continue"/>
            <w:vAlign w:val="center"/>
          </w:tcPr>
          <w:p w14:paraId="1B5ED6B8">
            <w:pPr>
              <w:widowControl/>
              <w:jc w:val="center"/>
              <w:rPr>
                <w:rFonts w:ascii="宋体" w:hAnsi="宋体"/>
                <w:sz w:val="24"/>
                <w:highlight w:val="none"/>
              </w:rPr>
            </w:pPr>
          </w:p>
        </w:tc>
        <w:tc>
          <w:tcPr>
            <w:tcW w:w="1138" w:type="dxa"/>
            <w:vAlign w:val="center"/>
          </w:tcPr>
          <w:p w14:paraId="7960B274">
            <w:pPr>
              <w:widowControl/>
              <w:jc w:val="center"/>
              <w:rPr>
                <w:rFonts w:ascii="宋体" w:hAnsi="宋体"/>
                <w:sz w:val="24"/>
                <w:highlight w:val="none"/>
              </w:rPr>
            </w:pPr>
            <w:r>
              <w:rPr>
                <w:rFonts w:hint="eastAsia" w:ascii="宋体" w:hAnsi="宋体"/>
                <w:sz w:val="24"/>
                <w:highlight w:val="none"/>
              </w:rPr>
              <w:t>固话</w:t>
            </w:r>
          </w:p>
        </w:tc>
        <w:tc>
          <w:tcPr>
            <w:tcW w:w="2506" w:type="dxa"/>
            <w:vAlign w:val="center"/>
          </w:tcPr>
          <w:p w14:paraId="27D02588">
            <w:pPr>
              <w:widowControl/>
              <w:jc w:val="center"/>
              <w:rPr>
                <w:rFonts w:ascii="宋体" w:hAnsi="宋体"/>
                <w:sz w:val="24"/>
                <w:highlight w:val="none"/>
              </w:rPr>
            </w:pPr>
          </w:p>
        </w:tc>
      </w:tr>
      <w:tr w14:paraId="62390D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2772" w:type="dxa"/>
            <w:gridSpan w:val="2"/>
            <w:vAlign w:val="center"/>
          </w:tcPr>
          <w:p w14:paraId="772B3D77">
            <w:pPr>
              <w:widowControl/>
              <w:jc w:val="center"/>
              <w:rPr>
                <w:rFonts w:ascii="宋体" w:hAnsi="宋体"/>
                <w:sz w:val="24"/>
                <w:highlight w:val="none"/>
              </w:rPr>
            </w:pPr>
            <w:r>
              <w:rPr>
                <w:rFonts w:hint="eastAsia" w:ascii="宋体" w:hAnsi="宋体"/>
                <w:sz w:val="24"/>
                <w:highlight w:val="none"/>
              </w:rPr>
              <w:t>联系传真</w:t>
            </w:r>
          </w:p>
        </w:tc>
        <w:tc>
          <w:tcPr>
            <w:tcW w:w="1716" w:type="dxa"/>
            <w:vAlign w:val="center"/>
          </w:tcPr>
          <w:p w14:paraId="0330E6AA">
            <w:pPr>
              <w:widowControl/>
              <w:jc w:val="center"/>
              <w:rPr>
                <w:rFonts w:ascii="宋体" w:hAnsi="宋体"/>
                <w:sz w:val="24"/>
                <w:highlight w:val="none"/>
              </w:rPr>
            </w:pPr>
          </w:p>
        </w:tc>
        <w:tc>
          <w:tcPr>
            <w:tcW w:w="2185" w:type="dxa"/>
            <w:gridSpan w:val="2"/>
            <w:vAlign w:val="center"/>
          </w:tcPr>
          <w:p w14:paraId="1F0EE74B">
            <w:pPr>
              <w:widowControl/>
              <w:jc w:val="center"/>
              <w:rPr>
                <w:rFonts w:ascii="宋体" w:hAnsi="宋体"/>
                <w:sz w:val="24"/>
                <w:highlight w:val="none"/>
              </w:rPr>
            </w:pPr>
            <w:r>
              <w:rPr>
                <w:rFonts w:hint="eastAsia" w:ascii="宋体" w:hAnsi="宋体"/>
                <w:sz w:val="24"/>
                <w:highlight w:val="none"/>
              </w:rPr>
              <w:t>联系邮箱</w:t>
            </w:r>
          </w:p>
        </w:tc>
        <w:tc>
          <w:tcPr>
            <w:tcW w:w="2506" w:type="dxa"/>
            <w:vAlign w:val="center"/>
          </w:tcPr>
          <w:p w14:paraId="6F1A5EC0">
            <w:pPr>
              <w:widowControl/>
              <w:jc w:val="center"/>
              <w:rPr>
                <w:rFonts w:ascii="宋体" w:hAnsi="宋体"/>
                <w:sz w:val="24"/>
                <w:highlight w:val="none"/>
              </w:rPr>
            </w:pPr>
          </w:p>
        </w:tc>
      </w:tr>
      <w:tr w14:paraId="3847E7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2772" w:type="dxa"/>
            <w:gridSpan w:val="2"/>
            <w:vAlign w:val="center"/>
          </w:tcPr>
          <w:p w14:paraId="2D62B8E1">
            <w:pPr>
              <w:widowControl/>
              <w:jc w:val="center"/>
              <w:rPr>
                <w:rFonts w:ascii="宋体" w:hAnsi="宋体"/>
                <w:sz w:val="24"/>
                <w:highlight w:val="none"/>
              </w:rPr>
            </w:pPr>
            <w:r>
              <w:rPr>
                <w:rFonts w:hint="eastAsia" w:ascii="宋体" w:hAnsi="宋体"/>
                <w:sz w:val="24"/>
                <w:highlight w:val="none"/>
              </w:rPr>
              <w:t>经营范围</w:t>
            </w:r>
          </w:p>
        </w:tc>
        <w:tc>
          <w:tcPr>
            <w:tcW w:w="6407" w:type="dxa"/>
            <w:gridSpan w:val="4"/>
            <w:vAlign w:val="center"/>
          </w:tcPr>
          <w:p w14:paraId="71949F31">
            <w:pPr>
              <w:widowControl/>
              <w:jc w:val="center"/>
              <w:rPr>
                <w:rFonts w:ascii="宋体" w:hAnsi="宋体"/>
                <w:sz w:val="24"/>
                <w:highlight w:val="none"/>
              </w:rPr>
            </w:pPr>
          </w:p>
        </w:tc>
      </w:tr>
      <w:tr w14:paraId="0293DC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772" w:type="dxa"/>
            <w:gridSpan w:val="2"/>
            <w:vAlign w:val="center"/>
          </w:tcPr>
          <w:p w14:paraId="73FDA3BA">
            <w:pPr>
              <w:widowControl/>
              <w:jc w:val="center"/>
              <w:rPr>
                <w:rFonts w:ascii="宋体" w:hAnsi="宋体"/>
                <w:sz w:val="24"/>
                <w:highlight w:val="none"/>
              </w:rPr>
            </w:pPr>
            <w:r>
              <w:rPr>
                <w:rFonts w:hint="eastAsia" w:ascii="宋体" w:hAnsi="宋体"/>
                <w:sz w:val="24"/>
                <w:highlight w:val="none"/>
              </w:rPr>
              <w:t>公司管理体系认证</w:t>
            </w:r>
          </w:p>
        </w:tc>
        <w:tc>
          <w:tcPr>
            <w:tcW w:w="6407" w:type="dxa"/>
            <w:gridSpan w:val="4"/>
            <w:vAlign w:val="center"/>
          </w:tcPr>
          <w:p w14:paraId="1E478F21">
            <w:pPr>
              <w:widowControl/>
              <w:jc w:val="center"/>
              <w:rPr>
                <w:rFonts w:ascii="宋体" w:hAnsi="宋体"/>
                <w:sz w:val="24"/>
                <w:highlight w:val="none"/>
              </w:rPr>
            </w:pPr>
            <w:r>
              <w:rPr>
                <w:rFonts w:hint="eastAsia" w:ascii="宋体" w:hAnsi="宋体"/>
                <w:sz w:val="24"/>
                <w:highlight w:val="none"/>
              </w:rPr>
              <w:t>（质量、职业、环境管理体系）</w:t>
            </w:r>
          </w:p>
        </w:tc>
      </w:tr>
      <w:tr w14:paraId="0FA23F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9179" w:type="dxa"/>
            <w:gridSpan w:val="6"/>
            <w:vAlign w:val="center"/>
          </w:tcPr>
          <w:p w14:paraId="48444B25">
            <w:pPr>
              <w:widowControl/>
              <w:jc w:val="left"/>
              <w:rPr>
                <w:rFonts w:ascii="宋体" w:hAnsi="宋体"/>
                <w:sz w:val="24"/>
                <w:highlight w:val="none"/>
              </w:rPr>
            </w:pPr>
            <w:r>
              <w:rPr>
                <w:rFonts w:hint="eastAsia" w:ascii="宋体" w:hAnsi="宋体"/>
                <w:sz w:val="24"/>
                <w:highlight w:val="none"/>
              </w:rPr>
              <w:t>公司资质及各类生产、经营许可</w:t>
            </w:r>
          </w:p>
        </w:tc>
      </w:tr>
      <w:tr w14:paraId="773211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trPr>
        <w:tc>
          <w:tcPr>
            <w:tcW w:w="9179" w:type="dxa"/>
            <w:gridSpan w:val="6"/>
            <w:vAlign w:val="center"/>
          </w:tcPr>
          <w:p w14:paraId="56A40920">
            <w:pPr>
              <w:widowControl/>
              <w:rPr>
                <w:rFonts w:ascii="宋体" w:hAnsi="宋体"/>
                <w:sz w:val="24"/>
                <w:highlight w:val="none"/>
              </w:rPr>
            </w:pPr>
            <w:r>
              <w:rPr>
                <w:rFonts w:hint="eastAsia" w:ascii="宋体" w:hAnsi="宋体"/>
                <w:sz w:val="24"/>
                <w:highlight w:val="none"/>
              </w:rPr>
              <w:t>如：工程类资质（工程单位）、设备制造商</w:t>
            </w:r>
            <w:bookmarkStart w:id="175" w:name="OLE_LINK21"/>
            <w:bookmarkStart w:id="176" w:name="OLE_LINK22"/>
            <w:r>
              <w:rPr>
                <w:rFonts w:hint="eastAsia" w:ascii="宋体" w:hAnsi="宋体"/>
                <w:sz w:val="24"/>
                <w:highlight w:val="none"/>
              </w:rPr>
              <w:t>、经销商（生产、经营许可证</w:t>
            </w:r>
            <w:bookmarkEnd w:id="175"/>
            <w:bookmarkEnd w:id="176"/>
            <w:r>
              <w:rPr>
                <w:rFonts w:hint="eastAsia" w:ascii="宋体" w:hAnsi="宋体"/>
                <w:sz w:val="24"/>
                <w:highlight w:val="none"/>
              </w:rPr>
              <w:t>、产品认证）、其它资质。</w:t>
            </w:r>
          </w:p>
        </w:tc>
      </w:tr>
      <w:tr w14:paraId="487D3F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trPr>
        <w:tc>
          <w:tcPr>
            <w:tcW w:w="1367" w:type="dxa"/>
            <w:vAlign w:val="center"/>
          </w:tcPr>
          <w:p w14:paraId="7D6E25B3">
            <w:pPr>
              <w:widowControl/>
              <w:jc w:val="center"/>
              <w:rPr>
                <w:rFonts w:ascii="宋体" w:hAnsi="宋体"/>
                <w:sz w:val="24"/>
                <w:highlight w:val="none"/>
              </w:rPr>
            </w:pPr>
            <w:r>
              <w:rPr>
                <w:rFonts w:hint="eastAsia" w:ascii="宋体" w:hAnsi="宋体"/>
                <w:sz w:val="24"/>
                <w:highlight w:val="none"/>
              </w:rPr>
              <w:t>备注</w:t>
            </w:r>
          </w:p>
        </w:tc>
        <w:tc>
          <w:tcPr>
            <w:tcW w:w="7812" w:type="dxa"/>
            <w:gridSpan w:val="5"/>
            <w:vAlign w:val="center"/>
          </w:tcPr>
          <w:p w14:paraId="6A990EB2">
            <w:pPr>
              <w:widowControl/>
              <w:jc w:val="center"/>
              <w:rPr>
                <w:rFonts w:ascii="宋体" w:hAnsi="宋体"/>
                <w:sz w:val="24"/>
                <w:highlight w:val="none"/>
              </w:rPr>
            </w:pPr>
          </w:p>
        </w:tc>
      </w:tr>
    </w:tbl>
    <w:p w14:paraId="60A83961">
      <w:pPr>
        <w:pStyle w:val="16"/>
        <w:spacing w:line="400" w:lineRule="exact"/>
        <w:jc w:val="center"/>
        <w:rPr>
          <w:rFonts w:hAnsi="宋体"/>
          <w:b/>
          <w:sz w:val="24"/>
          <w:szCs w:val="24"/>
          <w:highlight w:val="none"/>
        </w:rPr>
      </w:pPr>
    </w:p>
    <w:p w14:paraId="129F913B">
      <w:pPr>
        <w:spacing w:line="360" w:lineRule="auto"/>
        <w:rPr>
          <w:rFonts w:ascii="宋体" w:hAnsi="宋体"/>
          <w:b/>
          <w:sz w:val="24"/>
          <w:highlight w:val="none"/>
        </w:rPr>
      </w:pPr>
    </w:p>
    <w:p w14:paraId="52D865E7">
      <w:pPr>
        <w:spacing w:line="360" w:lineRule="auto"/>
        <w:ind w:firstLine="2" w:firstLineChars="1"/>
        <w:rPr>
          <w:rFonts w:ascii="宋体" w:hAnsi="宋体"/>
          <w:b/>
          <w:sz w:val="24"/>
          <w:highlight w:val="none"/>
        </w:rPr>
      </w:pPr>
    </w:p>
    <w:p w14:paraId="670D3929">
      <w:pPr>
        <w:spacing w:line="360" w:lineRule="auto"/>
        <w:ind w:firstLine="480" w:firstLineChars="200"/>
        <w:rPr>
          <w:rFonts w:hAnsi="宋体"/>
          <w:b/>
          <w:sz w:val="28"/>
          <w:szCs w:val="28"/>
          <w:highlight w:val="none"/>
        </w:rPr>
      </w:pPr>
      <w:r>
        <w:rPr>
          <w:rFonts w:hAnsi="宋体"/>
          <w:sz w:val="24"/>
          <w:highlight w:val="none"/>
          <w:u w:val="single"/>
        </w:rPr>
        <w:br w:type="page"/>
      </w:r>
      <w:r>
        <w:rPr>
          <w:rFonts w:hint="eastAsia" w:hAnsi="宋体"/>
          <w:b/>
          <w:sz w:val="28"/>
          <w:szCs w:val="28"/>
          <w:highlight w:val="none"/>
        </w:rPr>
        <w:t>格式13：</w:t>
      </w:r>
    </w:p>
    <w:p w14:paraId="67615976">
      <w:pPr>
        <w:pStyle w:val="5"/>
        <w:jc w:val="center"/>
        <w:rPr>
          <w:rFonts w:ascii="宋体" w:hAnsi="宋体" w:eastAsia="宋体"/>
          <w:sz w:val="32"/>
          <w:szCs w:val="32"/>
          <w:highlight w:val="none"/>
        </w:rPr>
      </w:pPr>
      <w:bookmarkStart w:id="177" w:name="_Toc507408991"/>
      <w:bookmarkStart w:id="178" w:name="_Toc101004117"/>
      <w:bookmarkStart w:id="179" w:name="_Toc13665030"/>
      <w:bookmarkStart w:id="180" w:name="_Toc493600039"/>
      <w:bookmarkStart w:id="181" w:name="_Toc7755"/>
      <w:r>
        <w:rPr>
          <w:rFonts w:ascii="宋体" w:hAnsi="宋体" w:eastAsia="宋体"/>
          <w:sz w:val="32"/>
          <w:szCs w:val="32"/>
          <w:highlight w:val="none"/>
        </w:rPr>
        <w:t>构成投标文件</w:t>
      </w:r>
      <w:r>
        <w:rPr>
          <w:rFonts w:hint="eastAsia" w:ascii="宋体" w:hAnsi="宋体" w:eastAsia="宋体"/>
          <w:sz w:val="32"/>
          <w:szCs w:val="32"/>
          <w:highlight w:val="none"/>
        </w:rPr>
        <w:t>商务</w:t>
      </w:r>
      <w:r>
        <w:rPr>
          <w:rFonts w:ascii="宋体" w:hAnsi="宋体" w:eastAsia="宋体"/>
          <w:sz w:val="32"/>
          <w:szCs w:val="32"/>
          <w:highlight w:val="none"/>
        </w:rPr>
        <w:t>部分的其</w:t>
      </w:r>
      <w:r>
        <w:rPr>
          <w:rFonts w:hint="eastAsia" w:ascii="宋体" w:hAnsi="宋体" w:eastAsia="宋体"/>
          <w:sz w:val="32"/>
          <w:szCs w:val="32"/>
          <w:highlight w:val="none"/>
        </w:rPr>
        <w:t>他</w:t>
      </w:r>
      <w:r>
        <w:rPr>
          <w:rFonts w:ascii="宋体" w:hAnsi="宋体" w:eastAsia="宋体"/>
          <w:sz w:val="32"/>
          <w:szCs w:val="32"/>
          <w:highlight w:val="none"/>
        </w:rPr>
        <w:t>资料</w:t>
      </w:r>
      <w:bookmarkEnd w:id="177"/>
      <w:bookmarkEnd w:id="178"/>
      <w:bookmarkEnd w:id="179"/>
      <w:bookmarkEnd w:id="180"/>
      <w:bookmarkEnd w:id="181"/>
    </w:p>
    <w:p w14:paraId="36ECEA5F">
      <w:pPr>
        <w:spacing w:line="360" w:lineRule="auto"/>
        <w:jc w:val="center"/>
        <w:rPr>
          <w:rFonts w:ascii="宋体" w:hAnsi="宋体"/>
          <w:sz w:val="32"/>
          <w:szCs w:val="32"/>
          <w:highlight w:val="none"/>
        </w:rPr>
      </w:pPr>
    </w:p>
    <w:p w14:paraId="208F0CD5">
      <w:pPr>
        <w:pStyle w:val="16"/>
        <w:spacing w:line="360" w:lineRule="auto"/>
        <w:ind w:firstLine="241" w:firstLineChars="100"/>
        <w:jc w:val="left"/>
        <w:rPr>
          <w:rFonts w:hAnsi="宋体"/>
          <w:b/>
          <w:bCs/>
          <w:sz w:val="24"/>
          <w:highlight w:val="none"/>
        </w:rPr>
      </w:pPr>
    </w:p>
    <w:p w14:paraId="1E9E3B85">
      <w:pPr>
        <w:spacing w:line="360" w:lineRule="auto"/>
        <w:ind w:firstLine="1440" w:firstLineChars="600"/>
        <w:rPr>
          <w:rFonts w:ascii="宋体" w:hAnsi="宋体"/>
          <w:sz w:val="24"/>
          <w:highlight w:val="none"/>
        </w:rPr>
      </w:pPr>
      <w:r>
        <w:rPr>
          <w:rFonts w:ascii="宋体" w:hAnsi="宋体"/>
          <w:sz w:val="24"/>
          <w:highlight w:val="none"/>
        </w:rPr>
        <w:t>详见第二章“投标人须知前附表”第13.1.3条，请自拟格式。</w:t>
      </w:r>
    </w:p>
    <w:p w14:paraId="0E9631AC">
      <w:pPr>
        <w:pStyle w:val="16"/>
        <w:spacing w:line="600" w:lineRule="exact"/>
        <w:rPr>
          <w:rFonts w:hAnsi="宋体"/>
          <w:sz w:val="24"/>
          <w:szCs w:val="24"/>
          <w:highlight w:val="none"/>
          <w:u w:val="single"/>
        </w:rPr>
      </w:pPr>
    </w:p>
    <w:p w14:paraId="4E90D207">
      <w:pPr>
        <w:pStyle w:val="5"/>
        <w:jc w:val="center"/>
        <w:rPr>
          <w:rFonts w:ascii="宋体" w:hAnsi="宋体" w:eastAsia="宋体"/>
          <w:sz w:val="32"/>
          <w:szCs w:val="32"/>
          <w:highlight w:val="none"/>
        </w:rPr>
      </w:pPr>
      <w:r>
        <w:rPr>
          <w:rFonts w:hint="eastAsia" w:hAnsi="宋体"/>
          <w:sz w:val="24"/>
          <w:szCs w:val="24"/>
          <w:highlight w:val="none"/>
        </w:rPr>
        <w:br w:type="page"/>
      </w:r>
      <w:bookmarkStart w:id="182" w:name="_Toc101004118"/>
      <w:bookmarkStart w:id="183" w:name="_Toc13665031"/>
      <w:bookmarkStart w:id="184" w:name="_Toc19877"/>
      <w:r>
        <w:rPr>
          <w:rFonts w:hint="eastAsia" w:ascii="宋体" w:hAnsi="宋体" w:eastAsia="宋体"/>
          <w:sz w:val="32"/>
          <w:szCs w:val="32"/>
          <w:highlight w:val="none"/>
        </w:rPr>
        <w:t>四、技术部分</w:t>
      </w:r>
      <w:bookmarkEnd w:id="182"/>
      <w:bookmarkEnd w:id="183"/>
      <w:bookmarkEnd w:id="184"/>
    </w:p>
    <w:p w14:paraId="2A80BA4B">
      <w:pPr>
        <w:pStyle w:val="16"/>
        <w:rPr>
          <w:rFonts w:hAnsi="宋体"/>
          <w:b/>
          <w:sz w:val="28"/>
          <w:szCs w:val="28"/>
          <w:highlight w:val="none"/>
        </w:rPr>
      </w:pPr>
      <w:r>
        <w:rPr>
          <w:rFonts w:hint="eastAsia" w:hAnsi="宋体"/>
          <w:b/>
          <w:sz w:val="28"/>
          <w:szCs w:val="28"/>
          <w:highlight w:val="none"/>
        </w:rPr>
        <w:t>格式</w:t>
      </w:r>
      <w:r>
        <w:rPr>
          <w:rFonts w:hAnsi="宋体"/>
          <w:b/>
          <w:sz w:val="28"/>
          <w:szCs w:val="28"/>
          <w:highlight w:val="none"/>
        </w:rPr>
        <w:t>1</w:t>
      </w:r>
      <w:r>
        <w:rPr>
          <w:rFonts w:hint="eastAsia" w:hAnsi="宋体"/>
          <w:b/>
          <w:sz w:val="28"/>
          <w:szCs w:val="28"/>
          <w:highlight w:val="none"/>
        </w:rPr>
        <w:t>：</w:t>
      </w:r>
    </w:p>
    <w:p w14:paraId="578C1269">
      <w:pPr>
        <w:pStyle w:val="5"/>
        <w:jc w:val="center"/>
        <w:rPr>
          <w:rFonts w:ascii="宋体" w:hAnsi="宋体" w:eastAsia="宋体"/>
          <w:sz w:val="32"/>
          <w:szCs w:val="32"/>
          <w:highlight w:val="none"/>
        </w:rPr>
      </w:pPr>
      <w:bookmarkStart w:id="185" w:name="_Toc213141099"/>
      <w:bookmarkStart w:id="186" w:name="_Toc101004119"/>
      <w:bookmarkStart w:id="187" w:name="_Toc493600041"/>
      <w:bookmarkStart w:id="188" w:name="_Toc13665032"/>
      <w:bookmarkStart w:id="189" w:name="_Toc1479"/>
      <w:r>
        <w:rPr>
          <w:rFonts w:hint="eastAsia" w:ascii="宋体" w:hAnsi="宋体" w:eastAsia="宋体"/>
          <w:sz w:val="32"/>
          <w:szCs w:val="32"/>
          <w:highlight w:val="none"/>
        </w:rPr>
        <w:t>技术规格偏离表</w:t>
      </w:r>
      <w:bookmarkEnd w:id="185"/>
      <w:bookmarkEnd w:id="186"/>
      <w:bookmarkEnd w:id="187"/>
      <w:bookmarkEnd w:id="188"/>
      <w:bookmarkEnd w:id="189"/>
    </w:p>
    <w:p w14:paraId="7C738716">
      <w:pPr>
        <w:rPr>
          <w:rFonts w:ascii="宋体" w:hAnsi="宋体"/>
          <w:highlight w:val="none"/>
        </w:rPr>
      </w:pPr>
    </w:p>
    <w:p w14:paraId="7C947257">
      <w:pPr>
        <w:pStyle w:val="16"/>
        <w:ind w:firstLine="210" w:firstLineChars="100"/>
        <w:rPr>
          <w:rFonts w:hAnsi="宋体"/>
          <w:sz w:val="24"/>
          <w:szCs w:val="24"/>
          <w:highlight w:val="none"/>
        </w:rPr>
      </w:pPr>
      <w:r>
        <w:rPr>
          <w:rFonts w:hint="eastAsia" w:hAnsi="宋体"/>
          <w:highlight w:val="none"/>
        </w:rPr>
        <w:t xml:space="preserve">  </w:t>
      </w:r>
      <w:r>
        <w:rPr>
          <w:rFonts w:hint="eastAsia" w:hAnsi="宋体"/>
          <w:sz w:val="24"/>
          <w:szCs w:val="24"/>
          <w:highlight w:val="none"/>
        </w:rPr>
        <w:t>请按投标产品的实际技术参数，逐条对应招标文件的“</w:t>
      </w:r>
      <w:r>
        <w:rPr>
          <w:rFonts w:hint="eastAsia" w:hAnsi="宋体"/>
          <w:b/>
          <w:sz w:val="24"/>
          <w:szCs w:val="24"/>
          <w:highlight w:val="none"/>
        </w:rPr>
        <w:t>项目需求及技术要求</w:t>
      </w:r>
      <w:r>
        <w:rPr>
          <w:rFonts w:hint="eastAsia" w:hAnsi="宋体"/>
          <w:sz w:val="24"/>
          <w:szCs w:val="24"/>
          <w:highlight w:val="none"/>
        </w:rPr>
        <w:t>”中要求的技术规范认真填写该表，该表不能作为投标产品的技术文件。</w:t>
      </w:r>
    </w:p>
    <w:p w14:paraId="489CD9D9">
      <w:pPr>
        <w:pStyle w:val="16"/>
        <w:ind w:firstLine="210" w:firstLineChars="100"/>
        <w:rPr>
          <w:rFonts w:hAnsi="宋体"/>
          <w:highlight w:val="none"/>
        </w:rPr>
      </w:pPr>
    </w:p>
    <w:p w14:paraId="79267FFE">
      <w:pPr>
        <w:pStyle w:val="16"/>
        <w:rPr>
          <w:rFonts w:hAnsi="宋体"/>
          <w:b/>
          <w:sz w:val="24"/>
          <w:szCs w:val="24"/>
          <w:highlight w:val="none"/>
        </w:rPr>
      </w:pPr>
      <w:r>
        <w:rPr>
          <w:rFonts w:hint="eastAsia" w:hAnsi="宋体"/>
          <w:b/>
          <w:sz w:val="24"/>
          <w:szCs w:val="24"/>
          <w:highlight w:val="none"/>
        </w:rPr>
        <w:t>项目名称：</w:t>
      </w:r>
      <w:r>
        <w:rPr>
          <w:rFonts w:hint="eastAsia" w:hAnsi="宋体"/>
          <w:b/>
          <w:sz w:val="24"/>
          <w:szCs w:val="24"/>
          <w:highlight w:val="none"/>
          <w:u w:val="single"/>
        </w:rPr>
        <w:t xml:space="preserve">          </w:t>
      </w:r>
      <w:r>
        <w:rPr>
          <w:rFonts w:hint="eastAsia" w:hAnsi="宋体"/>
          <w:b/>
          <w:sz w:val="24"/>
          <w:szCs w:val="24"/>
          <w:highlight w:val="none"/>
        </w:rPr>
        <w:t xml:space="preserve">          招标编号：</w:t>
      </w:r>
      <w:r>
        <w:rPr>
          <w:rFonts w:hint="eastAsia" w:hAnsi="宋体"/>
          <w:b/>
          <w:sz w:val="24"/>
          <w:szCs w:val="24"/>
          <w:highlight w:val="none"/>
          <w:u w:val="single"/>
        </w:rPr>
        <w:t xml:space="preserve">             </w:t>
      </w:r>
      <w:r>
        <w:rPr>
          <w:rFonts w:hint="eastAsia" w:hAnsi="宋体"/>
          <w:b/>
          <w:sz w:val="24"/>
          <w:szCs w:val="24"/>
          <w:highlight w:val="none"/>
        </w:rPr>
        <w:t xml:space="preserve">  </w:t>
      </w:r>
      <w:r>
        <w:rPr>
          <w:rFonts w:hint="eastAsia" w:hAnsi="宋体"/>
          <w:b/>
          <w:bCs/>
          <w:sz w:val="24"/>
          <w:szCs w:val="24"/>
          <w:highlight w:val="none"/>
          <w:lang w:val="en-US" w:eastAsia="zh-CN"/>
        </w:rPr>
        <w:t>标段：</w:t>
      </w:r>
      <w:r>
        <w:rPr>
          <w:rFonts w:hint="eastAsia" w:hAnsi="宋体"/>
          <w:sz w:val="24"/>
          <w:szCs w:val="24"/>
          <w:highlight w:val="none"/>
          <w:u w:val="single"/>
          <w:lang w:val="en-US" w:eastAsia="zh-CN"/>
        </w:rPr>
        <w:t xml:space="preserve">        </w:t>
      </w:r>
    </w:p>
    <w:tbl>
      <w:tblPr>
        <w:tblStyle w:val="30"/>
        <w:tblW w:w="9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368"/>
        <w:gridCol w:w="2410"/>
        <w:gridCol w:w="2410"/>
        <w:gridCol w:w="976"/>
        <w:gridCol w:w="1800"/>
      </w:tblGrid>
      <w:tr w14:paraId="1521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23" w:hRule="atLeast"/>
        </w:trPr>
        <w:tc>
          <w:tcPr>
            <w:tcW w:w="1008" w:type="dxa"/>
            <w:vAlign w:val="center"/>
          </w:tcPr>
          <w:p w14:paraId="16653891">
            <w:pPr>
              <w:jc w:val="center"/>
              <w:rPr>
                <w:rFonts w:ascii="宋体" w:hAnsi="宋体"/>
                <w:b/>
                <w:sz w:val="24"/>
                <w:highlight w:val="none"/>
              </w:rPr>
            </w:pPr>
            <w:r>
              <w:rPr>
                <w:rFonts w:ascii="宋体" w:hAnsi="宋体"/>
                <w:b/>
                <w:sz w:val="24"/>
                <w:highlight w:val="none"/>
              </w:rPr>
              <w:t>序号</w:t>
            </w:r>
          </w:p>
        </w:tc>
        <w:tc>
          <w:tcPr>
            <w:tcW w:w="1368" w:type="dxa"/>
            <w:vAlign w:val="center"/>
          </w:tcPr>
          <w:p w14:paraId="7232B83F">
            <w:pPr>
              <w:jc w:val="center"/>
              <w:rPr>
                <w:rFonts w:ascii="宋体" w:hAnsi="宋体"/>
                <w:b/>
                <w:sz w:val="24"/>
                <w:highlight w:val="none"/>
              </w:rPr>
            </w:pPr>
            <w:r>
              <w:rPr>
                <w:rFonts w:hint="eastAsia" w:ascii="宋体" w:hAnsi="宋体"/>
                <w:b/>
                <w:sz w:val="24"/>
                <w:highlight w:val="none"/>
              </w:rPr>
              <w:t>产品名称</w:t>
            </w:r>
          </w:p>
        </w:tc>
        <w:tc>
          <w:tcPr>
            <w:tcW w:w="2410" w:type="dxa"/>
            <w:vAlign w:val="center"/>
          </w:tcPr>
          <w:p w14:paraId="3E59E149">
            <w:pPr>
              <w:jc w:val="center"/>
              <w:rPr>
                <w:rFonts w:ascii="宋体" w:hAnsi="宋体"/>
                <w:b/>
                <w:sz w:val="24"/>
                <w:highlight w:val="none"/>
              </w:rPr>
            </w:pPr>
            <w:r>
              <w:rPr>
                <w:rFonts w:hint="eastAsia" w:ascii="宋体" w:hAnsi="宋体"/>
                <w:b/>
                <w:sz w:val="24"/>
                <w:highlight w:val="none"/>
              </w:rPr>
              <w:t>招标文件技术规范、要求</w:t>
            </w:r>
          </w:p>
        </w:tc>
        <w:tc>
          <w:tcPr>
            <w:tcW w:w="2410" w:type="dxa"/>
            <w:vAlign w:val="center"/>
          </w:tcPr>
          <w:p w14:paraId="415B3CA2">
            <w:pPr>
              <w:jc w:val="center"/>
              <w:rPr>
                <w:rFonts w:ascii="宋体" w:hAnsi="宋体"/>
                <w:b/>
                <w:sz w:val="24"/>
                <w:highlight w:val="none"/>
              </w:rPr>
            </w:pPr>
            <w:r>
              <w:rPr>
                <w:rFonts w:ascii="宋体" w:hAnsi="宋体"/>
                <w:b/>
                <w:sz w:val="24"/>
                <w:highlight w:val="none"/>
              </w:rPr>
              <w:t>投标</w:t>
            </w:r>
            <w:r>
              <w:rPr>
                <w:rFonts w:ascii="宋体" w:hAnsi="宋体"/>
                <w:b/>
                <w:sz w:val="24"/>
                <w:highlight w:val="none"/>
                <w:u w:val="double"/>
              </w:rPr>
              <w:t>品牌、型号</w:t>
            </w:r>
            <w:r>
              <w:rPr>
                <w:rFonts w:ascii="宋体" w:hAnsi="宋体"/>
                <w:b/>
                <w:sz w:val="24"/>
                <w:highlight w:val="none"/>
              </w:rPr>
              <w:t>、技术参数及配置</w:t>
            </w:r>
          </w:p>
        </w:tc>
        <w:tc>
          <w:tcPr>
            <w:tcW w:w="976" w:type="dxa"/>
            <w:vAlign w:val="center"/>
          </w:tcPr>
          <w:p w14:paraId="09811C49">
            <w:pPr>
              <w:jc w:val="center"/>
              <w:rPr>
                <w:rFonts w:ascii="宋体" w:hAnsi="宋体"/>
                <w:b/>
                <w:sz w:val="24"/>
                <w:highlight w:val="none"/>
              </w:rPr>
            </w:pPr>
            <w:r>
              <w:rPr>
                <w:rFonts w:hint="eastAsia" w:ascii="宋体" w:hAnsi="宋体"/>
                <w:b/>
                <w:sz w:val="24"/>
                <w:highlight w:val="none"/>
              </w:rPr>
              <w:t>偏离</w:t>
            </w:r>
          </w:p>
        </w:tc>
        <w:tc>
          <w:tcPr>
            <w:tcW w:w="1800" w:type="dxa"/>
            <w:vAlign w:val="center"/>
          </w:tcPr>
          <w:p w14:paraId="7905FB53">
            <w:pPr>
              <w:ind w:right="71" w:rightChars="34"/>
              <w:jc w:val="center"/>
              <w:rPr>
                <w:rFonts w:ascii="宋体" w:hAnsi="宋体"/>
                <w:b/>
                <w:sz w:val="24"/>
                <w:highlight w:val="none"/>
              </w:rPr>
            </w:pPr>
            <w:r>
              <w:rPr>
                <w:rFonts w:hint="eastAsia" w:ascii="宋体" w:hAnsi="宋体"/>
                <w:b/>
                <w:bCs/>
                <w:sz w:val="24"/>
                <w:highlight w:val="none"/>
              </w:rPr>
              <w:t>技术支持资料索引（页码及条目号等）</w:t>
            </w:r>
          </w:p>
        </w:tc>
      </w:tr>
      <w:tr w14:paraId="1B92E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trPr>
        <w:tc>
          <w:tcPr>
            <w:tcW w:w="1008" w:type="dxa"/>
            <w:vAlign w:val="center"/>
          </w:tcPr>
          <w:p w14:paraId="3574E40B">
            <w:pPr>
              <w:spacing w:line="360" w:lineRule="auto"/>
              <w:jc w:val="center"/>
              <w:rPr>
                <w:rFonts w:ascii="宋体" w:hAnsi="宋体"/>
                <w:sz w:val="24"/>
                <w:highlight w:val="none"/>
              </w:rPr>
            </w:pPr>
          </w:p>
        </w:tc>
        <w:tc>
          <w:tcPr>
            <w:tcW w:w="1368" w:type="dxa"/>
            <w:vAlign w:val="center"/>
          </w:tcPr>
          <w:p w14:paraId="4A8AB495">
            <w:pPr>
              <w:spacing w:line="360" w:lineRule="auto"/>
              <w:jc w:val="center"/>
              <w:rPr>
                <w:rFonts w:ascii="宋体" w:hAnsi="宋体"/>
                <w:sz w:val="24"/>
                <w:highlight w:val="none"/>
              </w:rPr>
            </w:pPr>
          </w:p>
        </w:tc>
        <w:tc>
          <w:tcPr>
            <w:tcW w:w="2410" w:type="dxa"/>
            <w:vAlign w:val="center"/>
          </w:tcPr>
          <w:p w14:paraId="07B729C4">
            <w:pPr>
              <w:spacing w:line="360" w:lineRule="auto"/>
              <w:jc w:val="center"/>
              <w:rPr>
                <w:rFonts w:ascii="宋体" w:hAnsi="宋体"/>
                <w:sz w:val="24"/>
                <w:highlight w:val="none"/>
              </w:rPr>
            </w:pPr>
          </w:p>
        </w:tc>
        <w:tc>
          <w:tcPr>
            <w:tcW w:w="2410" w:type="dxa"/>
            <w:vAlign w:val="center"/>
          </w:tcPr>
          <w:p w14:paraId="17D6CFE0">
            <w:pPr>
              <w:spacing w:line="360" w:lineRule="auto"/>
              <w:jc w:val="center"/>
              <w:rPr>
                <w:rFonts w:ascii="宋体" w:hAnsi="宋体"/>
                <w:sz w:val="24"/>
                <w:highlight w:val="none"/>
              </w:rPr>
            </w:pPr>
          </w:p>
        </w:tc>
        <w:tc>
          <w:tcPr>
            <w:tcW w:w="976" w:type="dxa"/>
          </w:tcPr>
          <w:p w14:paraId="4859DB04">
            <w:pPr>
              <w:spacing w:line="360" w:lineRule="auto"/>
              <w:jc w:val="center"/>
              <w:rPr>
                <w:rFonts w:ascii="宋体" w:hAnsi="宋体"/>
                <w:sz w:val="24"/>
                <w:highlight w:val="none"/>
              </w:rPr>
            </w:pPr>
          </w:p>
        </w:tc>
        <w:tc>
          <w:tcPr>
            <w:tcW w:w="1800" w:type="dxa"/>
            <w:vAlign w:val="center"/>
          </w:tcPr>
          <w:p w14:paraId="34109977">
            <w:pPr>
              <w:spacing w:line="360" w:lineRule="auto"/>
              <w:jc w:val="center"/>
              <w:rPr>
                <w:rFonts w:ascii="宋体" w:hAnsi="宋体"/>
                <w:sz w:val="24"/>
                <w:highlight w:val="none"/>
              </w:rPr>
            </w:pPr>
          </w:p>
        </w:tc>
      </w:tr>
      <w:tr w14:paraId="3CFF2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trPr>
        <w:tc>
          <w:tcPr>
            <w:tcW w:w="1008" w:type="dxa"/>
            <w:vAlign w:val="center"/>
          </w:tcPr>
          <w:p w14:paraId="61D6131E">
            <w:pPr>
              <w:spacing w:line="360" w:lineRule="auto"/>
              <w:jc w:val="center"/>
              <w:rPr>
                <w:rFonts w:ascii="宋体" w:hAnsi="宋体"/>
                <w:sz w:val="24"/>
                <w:highlight w:val="none"/>
              </w:rPr>
            </w:pPr>
          </w:p>
        </w:tc>
        <w:tc>
          <w:tcPr>
            <w:tcW w:w="1368" w:type="dxa"/>
            <w:vAlign w:val="center"/>
          </w:tcPr>
          <w:p w14:paraId="686B567D">
            <w:pPr>
              <w:spacing w:line="360" w:lineRule="auto"/>
              <w:jc w:val="center"/>
              <w:rPr>
                <w:rFonts w:ascii="宋体" w:hAnsi="宋体"/>
                <w:sz w:val="24"/>
                <w:highlight w:val="none"/>
              </w:rPr>
            </w:pPr>
          </w:p>
        </w:tc>
        <w:tc>
          <w:tcPr>
            <w:tcW w:w="2410" w:type="dxa"/>
            <w:vAlign w:val="center"/>
          </w:tcPr>
          <w:p w14:paraId="6B2BA174">
            <w:pPr>
              <w:spacing w:line="360" w:lineRule="auto"/>
              <w:jc w:val="center"/>
              <w:rPr>
                <w:rFonts w:ascii="宋体" w:hAnsi="宋体"/>
                <w:sz w:val="24"/>
                <w:highlight w:val="none"/>
              </w:rPr>
            </w:pPr>
          </w:p>
        </w:tc>
        <w:tc>
          <w:tcPr>
            <w:tcW w:w="2410" w:type="dxa"/>
            <w:vAlign w:val="center"/>
          </w:tcPr>
          <w:p w14:paraId="3B08DB5E">
            <w:pPr>
              <w:spacing w:line="360" w:lineRule="auto"/>
              <w:jc w:val="center"/>
              <w:rPr>
                <w:rFonts w:ascii="宋体" w:hAnsi="宋体"/>
                <w:sz w:val="24"/>
                <w:highlight w:val="none"/>
              </w:rPr>
            </w:pPr>
          </w:p>
        </w:tc>
        <w:tc>
          <w:tcPr>
            <w:tcW w:w="976" w:type="dxa"/>
          </w:tcPr>
          <w:p w14:paraId="080BAA8A">
            <w:pPr>
              <w:spacing w:line="360" w:lineRule="auto"/>
              <w:jc w:val="center"/>
              <w:rPr>
                <w:rFonts w:ascii="宋体" w:hAnsi="宋体"/>
                <w:sz w:val="24"/>
                <w:highlight w:val="none"/>
              </w:rPr>
            </w:pPr>
          </w:p>
        </w:tc>
        <w:tc>
          <w:tcPr>
            <w:tcW w:w="1800" w:type="dxa"/>
            <w:vAlign w:val="center"/>
          </w:tcPr>
          <w:p w14:paraId="33F72CFC">
            <w:pPr>
              <w:spacing w:line="360" w:lineRule="auto"/>
              <w:jc w:val="center"/>
              <w:rPr>
                <w:rFonts w:ascii="宋体" w:hAnsi="宋体"/>
                <w:sz w:val="24"/>
                <w:highlight w:val="none"/>
              </w:rPr>
            </w:pPr>
          </w:p>
        </w:tc>
      </w:tr>
    </w:tbl>
    <w:p w14:paraId="3DC8784B">
      <w:pPr>
        <w:pStyle w:val="16"/>
        <w:spacing w:line="440" w:lineRule="exact"/>
        <w:rPr>
          <w:rFonts w:hint="eastAsia" w:hAnsi="宋体"/>
          <w:sz w:val="24"/>
          <w:szCs w:val="24"/>
          <w:highlight w:val="none"/>
        </w:rPr>
      </w:pPr>
      <w:r>
        <w:rPr>
          <w:rFonts w:hint="eastAsia" w:hAnsi="宋体"/>
          <w:sz w:val="24"/>
          <w:szCs w:val="24"/>
          <w:highlight w:val="none"/>
        </w:rPr>
        <w:t>注：</w:t>
      </w:r>
    </w:p>
    <w:p w14:paraId="2AAA08E1">
      <w:pPr>
        <w:pStyle w:val="16"/>
        <w:spacing w:line="440" w:lineRule="exact"/>
        <w:rPr>
          <w:rFonts w:hAnsi="宋体"/>
          <w:sz w:val="24"/>
          <w:szCs w:val="24"/>
          <w:highlight w:val="none"/>
        </w:rPr>
      </w:pPr>
      <w:r>
        <w:rPr>
          <w:rFonts w:hint="eastAsia" w:hAnsi="宋体"/>
          <w:sz w:val="24"/>
          <w:szCs w:val="24"/>
          <w:highlight w:val="none"/>
        </w:rPr>
        <w:t>1</w:t>
      </w:r>
      <w:r>
        <w:rPr>
          <w:rFonts w:hint="eastAsia" w:hAnsi="宋体"/>
          <w:sz w:val="24"/>
          <w:szCs w:val="24"/>
          <w:highlight w:val="none"/>
          <w:lang w:val="en-US" w:eastAsia="zh-CN"/>
        </w:rPr>
        <w:t>.</w:t>
      </w:r>
      <w:r>
        <w:rPr>
          <w:rFonts w:hAnsi="宋体"/>
          <w:sz w:val="24"/>
          <w:szCs w:val="24"/>
          <w:highlight w:val="none"/>
        </w:rPr>
        <w:t>表格中“偏离”</w:t>
      </w:r>
      <w:r>
        <w:rPr>
          <w:rFonts w:hint="eastAsia" w:hAnsi="宋体"/>
          <w:sz w:val="24"/>
          <w:szCs w:val="24"/>
          <w:highlight w:val="none"/>
        </w:rPr>
        <w:t>一列，</w:t>
      </w:r>
      <w:r>
        <w:rPr>
          <w:rFonts w:hAnsi="宋体"/>
          <w:sz w:val="24"/>
          <w:szCs w:val="24"/>
          <w:highlight w:val="none"/>
        </w:rPr>
        <w:t>投标人只能如实填写“</w:t>
      </w:r>
      <w:r>
        <w:rPr>
          <w:rFonts w:hint="eastAsia" w:hAnsi="宋体"/>
          <w:sz w:val="24"/>
          <w:szCs w:val="24"/>
          <w:highlight w:val="none"/>
        </w:rPr>
        <w:t>正偏离</w:t>
      </w:r>
      <w:r>
        <w:rPr>
          <w:rFonts w:hint="eastAsia" w:hAnsi="宋体"/>
          <w:sz w:val="24"/>
          <w:szCs w:val="24"/>
          <w:highlight w:val="none"/>
          <w:lang w:eastAsia="zh-CN"/>
        </w:rPr>
        <w:t>”“</w:t>
      </w:r>
      <w:r>
        <w:rPr>
          <w:rFonts w:hint="eastAsia" w:hAnsi="宋体"/>
          <w:sz w:val="24"/>
          <w:szCs w:val="24"/>
          <w:highlight w:val="none"/>
        </w:rPr>
        <w:t>负</w:t>
      </w:r>
      <w:r>
        <w:rPr>
          <w:rFonts w:hAnsi="宋体"/>
          <w:sz w:val="24"/>
          <w:szCs w:val="24"/>
          <w:highlight w:val="none"/>
        </w:rPr>
        <w:t>偏离”或“无偏离”。凡投标内容</w:t>
      </w:r>
      <w:r>
        <w:rPr>
          <w:rFonts w:hint="eastAsia" w:hAnsi="宋体"/>
          <w:sz w:val="24"/>
          <w:szCs w:val="24"/>
          <w:highlight w:val="none"/>
        </w:rPr>
        <w:t>高于</w:t>
      </w:r>
      <w:r>
        <w:rPr>
          <w:rFonts w:hAnsi="宋体"/>
          <w:sz w:val="24"/>
          <w:szCs w:val="24"/>
          <w:highlight w:val="none"/>
        </w:rPr>
        <w:t>招标文件要求</w:t>
      </w:r>
      <w:r>
        <w:rPr>
          <w:rFonts w:hint="eastAsia" w:hAnsi="宋体"/>
          <w:sz w:val="24"/>
          <w:szCs w:val="24"/>
          <w:highlight w:val="none"/>
        </w:rPr>
        <w:t>的，按</w:t>
      </w:r>
      <w:r>
        <w:rPr>
          <w:rFonts w:hAnsi="宋体"/>
          <w:sz w:val="24"/>
          <w:szCs w:val="24"/>
          <w:highlight w:val="none"/>
        </w:rPr>
        <w:t>“</w:t>
      </w:r>
      <w:r>
        <w:rPr>
          <w:rFonts w:hint="eastAsia" w:hAnsi="宋体"/>
          <w:sz w:val="24"/>
          <w:szCs w:val="24"/>
          <w:highlight w:val="none"/>
        </w:rPr>
        <w:t>正</w:t>
      </w:r>
      <w:r>
        <w:rPr>
          <w:rFonts w:hAnsi="宋体"/>
          <w:sz w:val="24"/>
          <w:szCs w:val="24"/>
          <w:highlight w:val="none"/>
        </w:rPr>
        <w:t>偏离”填写</w:t>
      </w:r>
      <w:r>
        <w:rPr>
          <w:rFonts w:hint="eastAsia" w:hAnsi="宋体"/>
          <w:sz w:val="24"/>
          <w:szCs w:val="24"/>
          <w:highlight w:val="none"/>
        </w:rPr>
        <w:t>；低于招标文件要求的，按</w:t>
      </w:r>
      <w:r>
        <w:rPr>
          <w:rFonts w:hAnsi="宋体"/>
          <w:sz w:val="24"/>
          <w:szCs w:val="24"/>
          <w:highlight w:val="none"/>
        </w:rPr>
        <w:t>“</w:t>
      </w:r>
      <w:r>
        <w:rPr>
          <w:rFonts w:hint="eastAsia" w:hAnsi="宋体"/>
          <w:sz w:val="24"/>
          <w:szCs w:val="24"/>
          <w:highlight w:val="none"/>
        </w:rPr>
        <w:t>负</w:t>
      </w:r>
      <w:r>
        <w:rPr>
          <w:rFonts w:hAnsi="宋体"/>
          <w:sz w:val="24"/>
          <w:szCs w:val="24"/>
          <w:highlight w:val="none"/>
        </w:rPr>
        <w:t>偏离”填写</w:t>
      </w:r>
      <w:r>
        <w:rPr>
          <w:rFonts w:hint="eastAsia" w:hAnsi="宋体"/>
          <w:sz w:val="24"/>
          <w:szCs w:val="24"/>
          <w:highlight w:val="none"/>
        </w:rPr>
        <w:t>；满足招标文件要求的，按“无偏离”填写。</w:t>
      </w:r>
      <w:r>
        <w:rPr>
          <w:rFonts w:hAnsi="宋体"/>
          <w:sz w:val="24"/>
          <w:szCs w:val="24"/>
          <w:highlight w:val="none"/>
        </w:rPr>
        <w:t>并在</w:t>
      </w:r>
      <w:r>
        <w:rPr>
          <w:rFonts w:hint="eastAsia" w:hAnsi="宋体"/>
          <w:sz w:val="24"/>
          <w:szCs w:val="24"/>
          <w:highlight w:val="none"/>
        </w:rPr>
        <w:t>“</w:t>
      </w:r>
      <w:r>
        <w:rPr>
          <w:rFonts w:hAnsi="宋体"/>
          <w:b/>
          <w:sz w:val="24"/>
          <w:szCs w:val="24"/>
          <w:highlight w:val="none"/>
        </w:rPr>
        <w:t>投标品牌、型号、技术参数及配置</w:t>
      </w:r>
      <w:r>
        <w:rPr>
          <w:rFonts w:hint="eastAsia" w:hAnsi="宋体"/>
          <w:b/>
          <w:sz w:val="24"/>
          <w:szCs w:val="24"/>
          <w:highlight w:val="none"/>
        </w:rPr>
        <w:t>”一列中</w:t>
      </w:r>
      <w:r>
        <w:rPr>
          <w:rFonts w:hAnsi="宋体"/>
          <w:sz w:val="24"/>
          <w:szCs w:val="24"/>
          <w:highlight w:val="none"/>
        </w:rPr>
        <w:t>写明技术</w:t>
      </w:r>
      <w:r>
        <w:rPr>
          <w:rFonts w:hint="eastAsia" w:hAnsi="宋体"/>
          <w:sz w:val="24"/>
          <w:szCs w:val="24"/>
          <w:highlight w:val="none"/>
        </w:rPr>
        <w:t>参数</w:t>
      </w:r>
      <w:r>
        <w:rPr>
          <w:rFonts w:hAnsi="宋体"/>
          <w:sz w:val="24"/>
          <w:szCs w:val="24"/>
          <w:highlight w:val="none"/>
        </w:rPr>
        <w:t>。</w:t>
      </w:r>
    </w:p>
    <w:p w14:paraId="1C576696">
      <w:pPr>
        <w:pStyle w:val="16"/>
        <w:spacing w:line="440" w:lineRule="exact"/>
        <w:rPr>
          <w:rFonts w:hAnsi="宋体"/>
          <w:sz w:val="24"/>
          <w:szCs w:val="24"/>
          <w:highlight w:val="none"/>
        </w:rPr>
      </w:pPr>
      <w:r>
        <w:rPr>
          <w:rFonts w:hint="eastAsia" w:hAnsi="宋体"/>
          <w:sz w:val="24"/>
          <w:szCs w:val="24"/>
          <w:highlight w:val="none"/>
          <w:lang w:eastAsia="zh-CN"/>
        </w:rPr>
        <w:t>2.</w:t>
      </w:r>
      <w:r>
        <w:rPr>
          <w:rFonts w:hint="eastAsia" w:hAnsi="宋体"/>
          <w:sz w:val="24"/>
          <w:szCs w:val="24"/>
          <w:highlight w:val="none"/>
        </w:rPr>
        <w:t>序号应对应该产品在</w:t>
      </w:r>
      <w:r>
        <w:rPr>
          <w:rFonts w:hint="eastAsia" w:hAnsi="宋体"/>
          <w:bCs/>
          <w:sz w:val="24"/>
          <w:highlight w:val="none"/>
        </w:rPr>
        <w:t>第五章《项目需求及技术要求》中“二、技术要求”的序号。</w:t>
      </w:r>
    </w:p>
    <w:p w14:paraId="1FFA1245">
      <w:pPr>
        <w:pStyle w:val="16"/>
        <w:spacing w:line="440" w:lineRule="exact"/>
        <w:rPr>
          <w:rFonts w:hAnsi="宋体"/>
          <w:b/>
          <w:bCs/>
          <w:sz w:val="24"/>
          <w:highlight w:val="none"/>
        </w:rPr>
      </w:pPr>
      <w:r>
        <w:rPr>
          <w:rFonts w:hint="eastAsia" w:hAnsi="宋体"/>
          <w:bCs/>
          <w:sz w:val="24"/>
          <w:highlight w:val="none"/>
          <w:lang w:eastAsia="zh-CN"/>
        </w:rPr>
        <w:t>3.</w:t>
      </w:r>
      <w:r>
        <w:rPr>
          <w:rFonts w:hint="eastAsia" w:hAnsi="宋体"/>
          <w:bCs/>
          <w:sz w:val="24"/>
          <w:highlight w:val="none"/>
        </w:rPr>
        <w:t>各投标人必须对招标文件第五章项目需求及技术要求中的技术参数要求作出全面、真实的反映，投标人除如实填写技术规格偏离表外，投标文件中可提供最新技术支持资料支持参数技术规格偏离表应答（技术支持资料包括但不限于所投货物的技术白皮书、产品相关鉴定资料、试验报告、检验报告、技术彩页</w:t>
      </w:r>
      <w:r>
        <w:rPr>
          <w:rFonts w:hint="eastAsia" w:hAnsi="宋体"/>
          <w:bCs/>
          <w:sz w:val="24"/>
          <w:highlight w:val="none"/>
          <w:lang w:eastAsia="zh-CN"/>
        </w:rPr>
        <w:t>或</w:t>
      </w:r>
      <w:r>
        <w:rPr>
          <w:rFonts w:hint="eastAsia" w:hAnsi="宋体"/>
          <w:bCs/>
          <w:sz w:val="24"/>
          <w:highlight w:val="none"/>
        </w:rPr>
        <w:t>宣传资料、图纸资料等），</w:t>
      </w:r>
      <w:r>
        <w:rPr>
          <w:rFonts w:hint="eastAsia" w:hAnsi="宋体"/>
          <w:b/>
          <w:bCs/>
          <w:sz w:val="24"/>
          <w:highlight w:val="none"/>
        </w:rPr>
        <w:t>若投标文件中最新技术支持资料参数与技术规格偏离表应答不符或无技术资料应答，而投标人又未在投标文件中作出说明和解释的，视为</w:t>
      </w:r>
      <w:r>
        <w:rPr>
          <w:rFonts w:hint="eastAsia" w:hAnsi="宋体"/>
          <w:b/>
          <w:bCs/>
          <w:sz w:val="24"/>
          <w:highlight w:val="none"/>
          <w:u w:val="single"/>
        </w:rPr>
        <w:t>不响应该条技术参数要求</w:t>
      </w:r>
      <w:r>
        <w:rPr>
          <w:rFonts w:hint="eastAsia" w:hAnsi="宋体"/>
          <w:b/>
          <w:bCs/>
          <w:sz w:val="24"/>
          <w:highlight w:val="none"/>
        </w:rPr>
        <w:t>。</w:t>
      </w:r>
    </w:p>
    <w:p w14:paraId="2CFD1467">
      <w:pPr>
        <w:pStyle w:val="16"/>
        <w:spacing w:line="440" w:lineRule="exact"/>
        <w:rPr>
          <w:rFonts w:hAnsi="宋体"/>
          <w:b/>
          <w:bCs/>
          <w:sz w:val="24"/>
          <w:highlight w:val="none"/>
        </w:rPr>
      </w:pPr>
      <w:r>
        <w:rPr>
          <w:rFonts w:hint="eastAsia" w:hAnsi="宋体"/>
          <w:b/>
          <w:bCs/>
          <w:sz w:val="24"/>
          <w:highlight w:val="none"/>
        </w:rPr>
        <w:t>4.投标人应将支持该项技术要求响应的技术支持资料在投标文件中的索引（页码及条目号等）标注在“技术支持资料索引”一栏中。</w:t>
      </w:r>
    </w:p>
    <w:p w14:paraId="1E3E1941">
      <w:pPr>
        <w:spacing w:line="360" w:lineRule="auto"/>
        <w:jc w:val="left"/>
        <w:rPr>
          <w:rFonts w:ascii="宋体" w:hAnsi="宋体"/>
          <w:b/>
          <w:sz w:val="24"/>
          <w:highlight w:val="none"/>
        </w:rPr>
      </w:pPr>
    </w:p>
    <w:p w14:paraId="5057C060">
      <w:pPr>
        <w:spacing w:line="360" w:lineRule="auto"/>
        <w:rPr>
          <w:rFonts w:ascii="宋体" w:hAnsi="宋体"/>
          <w:sz w:val="24"/>
          <w:highlight w:val="none"/>
        </w:rPr>
      </w:pPr>
      <w:r>
        <w:rPr>
          <w:rFonts w:hint="eastAsia" w:ascii="宋体" w:hAnsi="宋体"/>
          <w:sz w:val="24"/>
          <w:highlight w:val="none"/>
        </w:rPr>
        <w:t>投标人：</w:t>
      </w:r>
      <w:r>
        <w:rPr>
          <w:rFonts w:ascii="宋体" w:hAnsi="宋体"/>
          <w:sz w:val="24"/>
          <w:highlight w:val="none"/>
          <w:u w:val="single"/>
        </w:rPr>
        <w:t xml:space="preserve">                                 </w:t>
      </w:r>
      <w:r>
        <w:rPr>
          <w:rFonts w:hint="eastAsia" w:ascii="宋体" w:hAnsi="宋体"/>
          <w:sz w:val="24"/>
          <w:highlight w:val="none"/>
        </w:rPr>
        <w:t>（电子签章）</w:t>
      </w:r>
    </w:p>
    <w:p w14:paraId="2AAACA03">
      <w:pPr>
        <w:spacing w:line="360" w:lineRule="auto"/>
        <w:rPr>
          <w:rFonts w:ascii="宋体" w:hAnsi="宋体"/>
          <w:sz w:val="24"/>
          <w:highlight w:val="none"/>
        </w:rPr>
      </w:pPr>
      <w:r>
        <w:rPr>
          <w:rFonts w:hint="eastAsia" w:ascii="宋体" w:hAnsi="宋体"/>
          <w:sz w:val="24"/>
          <w:highlight w:val="none"/>
        </w:rPr>
        <w:t>法定代表人或其委托代理人：</w:t>
      </w:r>
      <w:r>
        <w:rPr>
          <w:rFonts w:ascii="宋体" w:hAnsi="宋体"/>
          <w:sz w:val="24"/>
          <w:highlight w:val="none"/>
          <w:u w:val="single"/>
        </w:rPr>
        <w:t xml:space="preserve">               </w:t>
      </w:r>
      <w:r>
        <w:rPr>
          <w:rFonts w:hint="eastAsia" w:ascii="宋体" w:hAnsi="宋体"/>
          <w:sz w:val="24"/>
          <w:highlight w:val="none"/>
        </w:rPr>
        <w:t>（电子签名）</w:t>
      </w:r>
    </w:p>
    <w:p w14:paraId="33544372">
      <w:pPr>
        <w:spacing w:line="360" w:lineRule="auto"/>
        <w:ind w:firstLine="2" w:firstLineChars="1"/>
        <w:rPr>
          <w:rFonts w:ascii="宋体" w:hAnsi="宋体"/>
          <w:b/>
          <w:sz w:val="24"/>
          <w:highlight w:val="none"/>
        </w:rPr>
      </w:pPr>
      <w:r>
        <w:rPr>
          <w:rFonts w:hint="eastAsia" w:ascii="宋体" w:hAnsi="宋体"/>
          <w:sz w:val="24"/>
          <w:highlight w:val="none"/>
        </w:rPr>
        <w:t>日期：</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年</w:t>
      </w:r>
      <w:r>
        <w:rPr>
          <w:rFonts w:ascii="宋体" w:hAnsi="宋体"/>
          <w:sz w:val="24"/>
          <w:highlight w:val="none"/>
          <w:u w:val="single"/>
        </w:rPr>
        <w:t xml:space="preserve">       </w:t>
      </w:r>
      <w:r>
        <w:rPr>
          <w:rFonts w:hint="eastAsia" w:ascii="宋体" w:hAnsi="宋体"/>
          <w:sz w:val="24"/>
          <w:highlight w:val="none"/>
        </w:rPr>
        <w:t>月</w:t>
      </w:r>
      <w:r>
        <w:rPr>
          <w:rFonts w:ascii="宋体" w:hAnsi="宋体"/>
          <w:sz w:val="24"/>
          <w:highlight w:val="none"/>
          <w:u w:val="single"/>
        </w:rPr>
        <w:t xml:space="preserve">       </w:t>
      </w:r>
      <w:r>
        <w:rPr>
          <w:rFonts w:hint="eastAsia" w:ascii="宋体" w:hAnsi="宋体"/>
          <w:sz w:val="24"/>
          <w:highlight w:val="none"/>
        </w:rPr>
        <w:t>日</w:t>
      </w:r>
    </w:p>
    <w:p w14:paraId="6E464204">
      <w:pPr>
        <w:pStyle w:val="16"/>
        <w:spacing w:line="600" w:lineRule="exact"/>
        <w:rPr>
          <w:rFonts w:hAnsi="宋体"/>
          <w:b/>
          <w:sz w:val="28"/>
          <w:szCs w:val="28"/>
          <w:highlight w:val="none"/>
        </w:rPr>
      </w:pPr>
      <w:r>
        <w:rPr>
          <w:rFonts w:hAnsi="宋体"/>
          <w:b/>
          <w:sz w:val="28"/>
          <w:szCs w:val="28"/>
          <w:highlight w:val="none"/>
        </w:rPr>
        <w:br w:type="page"/>
      </w:r>
      <w:r>
        <w:rPr>
          <w:rFonts w:hint="eastAsia" w:hAnsi="宋体"/>
          <w:b/>
          <w:sz w:val="28"/>
          <w:szCs w:val="28"/>
          <w:highlight w:val="none"/>
        </w:rPr>
        <w:t>格式</w:t>
      </w:r>
      <w:r>
        <w:rPr>
          <w:rFonts w:hAnsi="宋体"/>
          <w:b/>
          <w:sz w:val="28"/>
          <w:szCs w:val="28"/>
          <w:highlight w:val="none"/>
        </w:rPr>
        <w:t>2</w:t>
      </w:r>
      <w:r>
        <w:rPr>
          <w:rFonts w:hint="eastAsia" w:hAnsi="宋体"/>
          <w:b/>
          <w:sz w:val="28"/>
          <w:szCs w:val="28"/>
          <w:highlight w:val="none"/>
        </w:rPr>
        <w:t>：</w:t>
      </w:r>
    </w:p>
    <w:p w14:paraId="07FCBBBD">
      <w:pPr>
        <w:pStyle w:val="5"/>
        <w:jc w:val="center"/>
        <w:rPr>
          <w:rFonts w:ascii="宋体" w:hAnsi="宋体" w:eastAsia="宋体"/>
          <w:sz w:val="32"/>
          <w:szCs w:val="32"/>
          <w:highlight w:val="none"/>
        </w:rPr>
      </w:pPr>
      <w:bookmarkStart w:id="190" w:name="_Toc13665033"/>
      <w:bookmarkStart w:id="191" w:name="_Toc101004120"/>
      <w:bookmarkStart w:id="192" w:name="_Toc493600042"/>
      <w:bookmarkStart w:id="193" w:name="_Toc20482"/>
      <w:r>
        <w:rPr>
          <w:rFonts w:hint="eastAsia" w:ascii="宋体" w:hAnsi="宋体" w:eastAsia="宋体"/>
          <w:sz w:val="32"/>
          <w:szCs w:val="32"/>
          <w:highlight w:val="none"/>
        </w:rPr>
        <w:t>技 术 文 件</w:t>
      </w:r>
      <w:bookmarkEnd w:id="190"/>
      <w:bookmarkEnd w:id="191"/>
      <w:bookmarkEnd w:id="192"/>
      <w:bookmarkEnd w:id="193"/>
    </w:p>
    <w:p w14:paraId="068D93C3">
      <w:pPr>
        <w:spacing w:line="360" w:lineRule="auto"/>
        <w:ind w:firstLine="480" w:firstLineChars="200"/>
        <w:rPr>
          <w:rFonts w:ascii="宋体" w:hAnsi="宋体"/>
          <w:sz w:val="24"/>
          <w:highlight w:val="none"/>
        </w:rPr>
      </w:pPr>
      <w:r>
        <w:rPr>
          <w:rFonts w:ascii="宋体" w:hAnsi="宋体"/>
          <w:sz w:val="24"/>
          <w:highlight w:val="none"/>
        </w:rPr>
        <w:t>应包括（但不限于）以下内容：</w:t>
      </w:r>
    </w:p>
    <w:p w14:paraId="5F446865">
      <w:pPr>
        <w:spacing w:line="360" w:lineRule="auto"/>
        <w:ind w:firstLine="480" w:firstLineChars="200"/>
        <w:rPr>
          <w:rFonts w:ascii="宋体" w:hAnsi="宋体"/>
          <w:sz w:val="24"/>
          <w:highlight w:val="none"/>
        </w:rPr>
      </w:pPr>
      <w:r>
        <w:rPr>
          <w:rFonts w:ascii="宋体" w:hAnsi="宋体"/>
          <w:sz w:val="24"/>
          <w:highlight w:val="none"/>
        </w:rPr>
        <w:t>1. 投标人基本情况（</w:t>
      </w:r>
      <w:r>
        <w:rPr>
          <w:rFonts w:hint="eastAsia" w:ascii="宋体" w:hAnsi="宋体"/>
          <w:sz w:val="24"/>
          <w:highlight w:val="none"/>
        </w:rPr>
        <w:t>投标人的组织机构、制造商的</w:t>
      </w:r>
      <w:r>
        <w:rPr>
          <w:rFonts w:ascii="宋体" w:hAnsi="宋体"/>
          <w:sz w:val="24"/>
          <w:highlight w:val="none"/>
        </w:rPr>
        <w:t>生产能力、主要加工机具装备等）概述；</w:t>
      </w:r>
    </w:p>
    <w:p w14:paraId="32B8045F">
      <w:pPr>
        <w:spacing w:line="360" w:lineRule="auto"/>
        <w:ind w:firstLine="480" w:firstLineChars="200"/>
        <w:rPr>
          <w:rFonts w:ascii="宋体" w:hAnsi="宋体"/>
          <w:sz w:val="24"/>
          <w:highlight w:val="none"/>
        </w:rPr>
      </w:pPr>
      <w:r>
        <w:rPr>
          <w:rFonts w:ascii="宋体" w:hAnsi="宋体"/>
          <w:sz w:val="24"/>
          <w:highlight w:val="none"/>
        </w:rPr>
        <w:t>2. 货物主要技术指标、参数及性能的详细说明；原材料选择、设计（使用）寿命；外购/外协件制造厂、产地；</w:t>
      </w:r>
    </w:p>
    <w:p w14:paraId="32BF6417">
      <w:pPr>
        <w:spacing w:line="360" w:lineRule="auto"/>
        <w:ind w:firstLine="480" w:firstLineChars="200"/>
        <w:rPr>
          <w:rFonts w:ascii="宋体" w:hAnsi="宋体"/>
          <w:sz w:val="24"/>
          <w:highlight w:val="none"/>
        </w:rPr>
      </w:pPr>
      <w:r>
        <w:rPr>
          <w:rFonts w:ascii="宋体" w:hAnsi="宋体"/>
          <w:sz w:val="24"/>
          <w:highlight w:val="none"/>
        </w:rPr>
        <w:t>3. 货物设计、制造、检验（测）、试验、验收、包装、运输、储存及试车等拟采用的标准、规范和方式</w:t>
      </w:r>
      <w:r>
        <w:rPr>
          <w:rFonts w:hint="eastAsia" w:ascii="宋体" w:hAnsi="宋体"/>
          <w:sz w:val="24"/>
          <w:highlight w:val="none"/>
        </w:rPr>
        <w:t>；</w:t>
      </w:r>
    </w:p>
    <w:p w14:paraId="45BF99D2">
      <w:pPr>
        <w:spacing w:line="360" w:lineRule="auto"/>
        <w:ind w:firstLine="480" w:firstLineChars="200"/>
        <w:rPr>
          <w:rFonts w:ascii="宋体" w:hAnsi="宋体"/>
          <w:sz w:val="24"/>
          <w:highlight w:val="none"/>
        </w:rPr>
      </w:pPr>
      <w:r>
        <w:rPr>
          <w:rFonts w:ascii="宋体" w:hAnsi="宋体"/>
          <w:sz w:val="24"/>
          <w:highlight w:val="none"/>
        </w:rPr>
        <w:t>4.人员培训、技术服务计划及说明；货物安装、调试、试运行实施方案及进度计划；</w:t>
      </w:r>
    </w:p>
    <w:p w14:paraId="34615BE1">
      <w:pPr>
        <w:spacing w:line="360" w:lineRule="auto"/>
        <w:ind w:firstLine="480" w:firstLineChars="200"/>
        <w:rPr>
          <w:rFonts w:ascii="宋体" w:hAnsi="宋体"/>
          <w:sz w:val="24"/>
          <w:highlight w:val="none"/>
        </w:rPr>
      </w:pPr>
      <w:r>
        <w:rPr>
          <w:rFonts w:ascii="宋体" w:hAnsi="宋体"/>
          <w:sz w:val="24"/>
          <w:highlight w:val="none"/>
        </w:rPr>
        <w:t>5. 投标人提出的合理化建议（如技术方案的调整、设备配置及功能等）；</w:t>
      </w:r>
    </w:p>
    <w:p w14:paraId="14A30DE5">
      <w:pPr>
        <w:spacing w:line="360" w:lineRule="auto"/>
        <w:ind w:firstLine="480" w:firstLineChars="200"/>
        <w:rPr>
          <w:rFonts w:ascii="宋体" w:hAnsi="宋体"/>
          <w:sz w:val="24"/>
          <w:highlight w:val="none"/>
        </w:rPr>
      </w:pPr>
      <w:r>
        <w:rPr>
          <w:rFonts w:ascii="宋体" w:hAnsi="宋体"/>
          <w:sz w:val="24"/>
          <w:highlight w:val="none"/>
        </w:rPr>
        <w:t>……</w:t>
      </w:r>
    </w:p>
    <w:p w14:paraId="2D904771">
      <w:pPr>
        <w:pStyle w:val="16"/>
        <w:spacing w:line="600" w:lineRule="exact"/>
        <w:rPr>
          <w:rFonts w:hAnsi="宋体"/>
          <w:sz w:val="24"/>
          <w:szCs w:val="24"/>
          <w:highlight w:val="none"/>
        </w:rPr>
      </w:pPr>
    </w:p>
    <w:p w14:paraId="7CC582A1">
      <w:pPr>
        <w:pStyle w:val="16"/>
        <w:spacing w:line="600" w:lineRule="exact"/>
        <w:rPr>
          <w:rFonts w:hAnsi="宋体"/>
          <w:b/>
          <w:sz w:val="28"/>
          <w:szCs w:val="28"/>
          <w:highlight w:val="none"/>
        </w:rPr>
      </w:pPr>
      <w:r>
        <w:rPr>
          <w:rFonts w:hint="eastAsia" w:hAnsi="宋体"/>
          <w:sz w:val="24"/>
          <w:szCs w:val="24"/>
          <w:highlight w:val="none"/>
        </w:rPr>
        <w:br w:type="page"/>
      </w:r>
      <w:r>
        <w:rPr>
          <w:rFonts w:hint="eastAsia" w:hAnsi="宋体"/>
          <w:b/>
          <w:sz w:val="28"/>
          <w:szCs w:val="28"/>
          <w:highlight w:val="none"/>
        </w:rPr>
        <w:t>格式</w:t>
      </w:r>
      <w:r>
        <w:rPr>
          <w:rFonts w:hAnsi="宋体"/>
          <w:b/>
          <w:sz w:val="28"/>
          <w:szCs w:val="28"/>
          <w:highlight w:val="none"/>
        </w:rPr>
        <w:t>3</w:t>
      </w:r>
      <w:r>
        <w:rPr>
          <w:rFonts w:hint="eastAsia" w:hAnsi="宋体"/>
          <w:b/>
          <w:sz w:val="28"/>
          <w:szCs w:val="28"/>
          <w:highlight w:val="none"/>
        </w:rPr>
        <w:t>：</w:t>
      </w:r>
    </w:p>
    <w:p w14:paraId="2C8DAA36">
      <w:pPr>
        <w:pStyle w:val="5"/>
        <w:jc w:val="center"/>
        <w:rPr>
          <w:rFonts w:ascii="宋体" w:hAnsi="宋体" w:eastAsia="宋体"/>
          <w:sz w:val="32"/>
          <w:szCs w:val="32"/>
          <w:highlight w:val="none"/>
        </w:rPr>
      </w:pPr>
      <w:bookmarkStart w:id="194" w:name="_Toc13665034"/>
      <w:bookmarkStart w:id="195" w:name="_Toc493600043"/>
      <w:bookmarkStart w:id="196" w:name="_Toc101004121"/>
      <w:bookmarkStart w:id="197" w:name="_Toc2525"/>
      <w:r>
        <w:rPr>
          <w:rFonts w:hint="eastAsia" w:ascii="宋体" w:hAnsi="宋体" w:eastAsia="宋体"/>
          <w:sz w:val="32"/>
          <w:szCs w:val="32"/>
          <w:highlight w:val="none"/>
        </w:rPr>
        <w:t>技术支持资料</w:t>
      </w:r>
      <w:bookmarkEnd w:id="194"/>
      <w:bookmarkEnd w:id="195"/>
      <w:bookmarkEnd w:id="196"/>
      <w:bookmarkEnd w:id="197"/>
    </w:p>
    <w:p w14:paraId="19D6C3F7">
      <w:pPr>
        <w:spacing w:line="360" w:lineRule="auto"/>
        <w:ind w:firstLine="480" w:firstLineChars="200"/>
        <w:rPr>
          <w:rFonts w:ascii="宋体" w:hAnsi="宋体"/>
          <w:sz w:val="24"/>
          <w:highlight w:val="none"/>
        </w:rPr>
      </w:pPr>
      <w:r>
        <w:rPr>
          <w:rFonts w:ascii="宋体" w:hAnsi="宋体"/>
          <w:sz w:val="24"/>
          <w:highlight w:val="none"/>
        </w:rPr>
        <w:t>包括但不限于所投货物的技术白皮书</w:t>
      </w:r>
      <w:r>
        <w:rPr>
          <w:rFonts w:hint="eastAsia" w:ascii="宋体" w:hAnsi="宋体"/>
          <w:sz w:val="24"/>
          <w:highlight w:val="none"/>
        </w:rPr>
        <w:t>、</w:t>
      </w:r>
      <w:r>
        <w:rPr>
          <w:rFonts w:ascii="宋体" w:hAnsi="宋体"/>
          <w:sz w:val="24"/>
          <w:highlight w:val="none"/>
        </w:rPr>
        <w:t>产品相关鉴定资料、试验报告、检验报告</w:t>
      </w:r>
      <w:r>
        <w:rPr>
          <w:rFonts w:hint="eastAsia" w:ascii="宋体" w:hAnsi="宋体"/>
          <w:sz w:val="24"/>
          <w:highlight w:val="none"/>
        </w:rPr>
        <w:t>、</w:t>
      </w:r>
      <w:r>
        <w:rPr>
          <w:rFonts w:ascii="宋体" w:hAnsi="宋体"/>
          <w:sz w:val="24"/>
          <w:highlight w:val="none"/>
        </w:rPr>
        <w:t>技术彩页</w:t>
      </w:r>
      <w:r>
        <w:rPr>
          <w:rFonts w:hint="eastAsia" w:ascii="宋体" w:hAnsi="宋体"/>
          <w:sz w:val="24"/>
          <w:highlight w:val="none"/>
          <w:lang w:eastAsia="zh-CN"/>
        </w:rPr>
        <w:t>或</w:t>
      </w:r>
      <w:r>
        <w:rPr>
          <w:rFonts w:ascii="宋体" w:hAnsi="宋体"/>
          <w:sz w:val="24"/>
          <w:highlight w:val="none"/>
        </w:rPr>
        <w:t>宣传资料</w:t>
      </w:r>
      <w:r>
        <w:rPr>
          <w:rFonts w:hint="eastAsia" w:ascii="宋体" w:hAnsi="宋体"/>
          <w:sz w:val="24"/>
          <w:highlight w:val="none"/>
        </w:rPr>
        <w:t>、</w:t>
      </w:r>
      <w:r>
        <w:rPr>
          <w:rFonts w:ascii="宋体" w:hAnsi="宋体"/>
          <w:sz w:val="24"/>
          <w:highlight w:val="none"/>
        </w:rPr>
        <w:t>图纸资料</w:t>
      </w:r>
      <w:r>
        <w:rPr>
          <w:rFonts w:hint="eastAsia" w:ascii="宋体" w:hAnsi="宋体"/>
          <w:sz w:val="24"/>
          <w:highlight w:val="none"/>
        </w:rPr>
        <w:t>等。投标人根据自身实际情况和产品特点自行提供，以证明其产品具体配置情况及技术指标响应的真实性。未提供上述资料导致评委无法进行技术评审的，后果由投标人自行承担。</w:t>
      </w:r>
    </w:p>
    <w:p w14:paraId="1B69E8E6">
      <w:pPr>
        <w:spacing w:line="360" w:lineRule="auto"/>
        <w:ind w:firstLine="480" w:firstLineChars="200"/>
        <w:rPr>
          <w:rFonts w:hAnsi="宋体"/>
          <w:b/>
          <w:sz w:val="28"/>
          <w:szCs w:val="28"/>
          <w:highlight w:val="none"/>
        </w:rPr>
      </w:pPr>
      <w:r>
        <w:rPr>
          <w:rFonts w:ascii="宋体" w:hAnsi="宋体"/>
          <w:sz w:val="24"/>
          <w:highlight w:val="none"/>
        </w:rPr>
        <w:br w:type="page"/>
      </w:r>
      <w:r>
        <w:rPr>
          <w:rFonts w:hint="eastAsia" w:hAnsi="宋体"/>
          <w:b/>
          <w:sz w:val="28"/>
          <w:szCs w:val="28"/>
          <w:highlight w:val="none"/>
        </w:rPr>
        <w:t>格式</w:t>
      </w:r>
      <w:r>
        <w:rPr>
          <w:rFonts w:hAnsi="宋体"/>
          <w:b/>
          <w:sz w:val="28"/>
          <w:szCs w:val="28"/>
          <w:highlight w:val="none"/>
        </w:rPr>
        <w:t>4</w:t>
      </w:r>
      <w:r>
        <w:rPr>
          <w:rFonts w:hint="eastAsia" w:hAnsi="宋体"/>
          <w:b/>
          <w:sz w:val="28"/>
          <w:szCs w:val="28"/>
          <w:highlight w:val="none"/>
        </w:rPr>
        <w:t>：</w:t>
      </w:r>
    </w:p>
    <w:p w14:paraId="7429203E">
      <w:pPr>
        <w:pStyle w:val="5"/>
        <w:jc w:val="center"/>
        <w:rPr>
          <w:rFonts w:ascii="宋体" w:hAnsi="宋体" w:eastAsia="宋体"/>
          <w:sz w:val="32"/>
          <w:szCs w:val="32"/>
          <w:highlight w:val="none"/>
        </w:rPr>
      </w:pPr>
      <w:bookmarkStart w:id="198" w:name="_Toc13665035"/>
      <w:bookmarkStart w:id="199" w:name="_Toc493600044"/>
      <w:bookmarkStart w:id="200" w:name="_Toc101004122"/>
      <w:bookmarkStart w:id="201" w:name="_Toc344"/>
      <w:r>
        <w:rPr>
          <w:rFonts w:ascii="宋体" w:hAnsi="宋体" w:eastAsia="宋体"/>
          <w:sz w:val="32"/>
          <w:szCs w:val="32"/>
          <w:highlight w:val="none"/>
        </w:rPr>
        <w:t>构成投标文件技术部分的其</w:t>
      </w:r>
      <w:r>
        <w:rPr>
          <w:rFonts w:hint="eastAsia" w:ascii="宋体" w:hAnsi="宋体" w:eastAsia="宋体"/>
          <w:sz w:val="32"/>
          <w:szCs w:val="32"/>
          <w:highlight w:val="none"/>
        </w:rPr>
        <w:t>他</w:t>
      </w:r>
      <w:r>
        <w:rPr>
          <w:rFonts w:ascii="宋体" w:hAnsi="宋体" w:eastAsia="宋体"/>
          <w:sz w:val="32"/>
          <w:szCs w:val="32"/>
          <w:highlight w:val="none"/>
        </w:rPr>
        <w:t>资料</w:t>
      </w:r>
      <w:bookmarkEnd w:id="198"/>
      <w:bookmarkEnd w:id="199"/>
      <w:bookmarkEnd w:id="200"/>
      <w:bookmarkEnd w:id="201"/>
    </w:p>
    <w:p w14:paraId="4B91CC98">
      <w:pPr>
        <w:spacing w:line="360" w:lineRule="auto"/>
        <w:jc w:val="center"/>
        <w:rPr>
          <w:rFonts w:ascii="宋体" w:hAnsi="宋体"/>
          <w:sz w:val="32"/>
          <w:szCs w:val="32"/>
          <w:highlight w:val="none"/>
        </w:rPr>
      </w:pPr>
    </w:p>
    <w:p w14:paraId="40876379">
      <w:pPr>
        <w:pStyle w:val="16"/>
        <w:spacing w:line="500" w:lineRule="exact"/>
        <w:jc w:val="center"/>
        <w:rPr>
          <w:rFonts w:hAnsi="宋体"/>
          <w:sz w:val="24"/>
          <w:highlight w:val="none"/>
        </w:rPr>
      </w:pPr>
      <w:r>
        <w:rPr>
          <w:rFonts w:hAnsi="宋体"/>
          <w:sz w:val="24"/>
          <w:highlight w:val="none"/>
        </w:rPr>
        <w:t>详见第二章“投标人须知前附表”第13.1.4条，请自拟格式。</w:t>
      </w:r>
    </w:p>
    <w:p w14:paraId="53298117">
      <w:pPr>
        <w:spacing w:line="588" w:lineRule="exact"/>
        <w:jc w:val="left"/>
        <w:rPr>
          <w:rFonts w:hAnsi="宋体"/>
          <w:sz w:val="24"/>
          <w:highlight w:val="none"/>
        </w:rPr>
      </w:pPr>
      <w:r>
        <w:rPr>
          <w:rFonts w:hint="eastAsia" w:hAnsi="宋体"/>
          <w:sz w:val="24"/>
          <w:highlight w:val="none"/>
        </w:rPr>
        <w:t xml:space="preserve"> </w:t>
      </w:r>
    </w:p>
    <w:p w14:paraId="1EBADF8C">
      <w:pPr>
        <w:pStyle w:val="4"/>
        <w:jc w:val="center"/>
        <w:rPr>
          <w:rFonts w:ascii="宋体" w:hAnsi="宋体" w:eastAsia="宋体"/>
          <w:b w:val="0"/>
          <w:sz w:val="36"/>
          <w:highlight w:val="none"/>
        </w:rPr>
      </w:pPr>
      <w:r>
        <w:rPr>
          <w:rFonts w:ascii="宋体" w:hAnsi="宋体" w:eastAsia="宋体"/>
          <w:sz w:val="24"/>
          <w:szCs w:val="24"/>
          <w:highlight w:val="none"/>
        </w:rPr>
        <w:br w:type="page"/>
      </w:r>
      <w:bookmarkStart w:id="202" w:name="_Toc8114"/>
      <w:r>
        <w:rPr>
          <w:rFonts w:hint="eastAsia" w:ascii="宋体" w:hAnsi="宋体" w:eastAsia="宋体"/>
          <w:bCs/>
          <w:sz w:val="36"/>
          <w:szCs w:val="36"/>
          <w:highlight w:val="none"/>
        </w:rPr>
        <w:t>第五章  货物需求及技术要求</w:t>
      </w:r>
      <w:bookmarkEnd w:id="202"/>
    </w:p>
    <w:p w14:paraId="77920C8C">
      <w:pPr>
        <w:rPr>
          <w:rFonts w:ascii="宋体" w:hAnsi="宋体"/>
          <w:b/>
          <w:sz w:val="24"/>
          <w:highlight w:val="none"/>
        </w:rPr>
      </w:pPr>
      <w:r>
        <w:rPr>
          <w:rFonts w:hint="eastAsia" w:ascii="宋体" w:hAnsi="宋体"/>
          <w:b/>
          <w:sz w:val="24"/>
          <w:highlight w:val="none"/>
        </w:rPr>
        <w:t>一</w:t>
      </w:r>
      <w:r>
        <w:rPr>
          <w:rFonts w:ascii="宋体" w:hAnsi="宋体"/>
          <w:b/>
          <w:sz w:val="24"/>
          <w:highlight w:val="none"/>
        </w:rPr>
        <w:t>、</w:t>
      </w:r>
      <w:r>
        <w:rPr>
          <w:rFonts w:hint="eastAsia" w:ascii="宋体" w:hAnsi="宋体"/>
          <w:b/>
          <w:sz w:val="24"/>
          <w:highlight w:val="none"/>
        </w:rPr>
        <w:t>项目需求一览表</w:t>
      </w:r>
    </w:p>
    <w:tbl>
      <w:tblPr>
        <w:tblStyle w:val="30"/>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934"/>
        <w:gridCol w:w="1203"/>
        <w:gridCol w:w="2256"/>
        <w:gridCol w:w="704"/>
        <w:gridCol w:w="746"/>
        <w:gridCol w:w="1354"/>
        <w:gridCol w:w="1440"/>
      </w:tblGrid>
      <w:tr w14:paraId="2C389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483" w:type="pct"/>
            <w:shd w:val="clear" w:color="000000" w:fill="FFFFFF"/>
            <w:vAlign w:val="center"/>
          </w:tcPr>
          <w:p w14:paraId="10FF083D">
            <w:pPr>
              <w:jc w:val="center"/>
              <w:rPr>
                <w:rFonts w:cs="宋体" w:asciiTheme="minorEastAsia" w:hAnsiTheme="minorEastAsia" w:eastAsiaTheme="minorEastAsia"/>
                <w:b/>
                <w:bCs/>
                <w:kern w:val="0"/>
                <w:sz w:val="18"/>
                <w:szCs w:val="18"/>
                <w:highlight w:val="none"/>
              </w:rPr>
            </w:pPr>
            <w:r>
              <w:rPr>
                <w:rFonts w:hint="eastAsia" w:cs="宋体" w:asciiTheme="minorEastAsia" w:hAnsiTheme="minorEastAsia" w:eastAsiaTheme="minorEastAsia"/>
                <w:b/>
                <w:bCs/>
                <w:kern w:val="0"/>
                <w:sz w:val="18"/>
                <w:szCs w:val="18"/>
                <w:highlight w:val="none"/>
              </w:rPr>
              <w:t>标段</w:t>
            </w:r>
          </w:p>
        </w:tc>
        <w:tc>
          <w:tcPr>
            <w:tcW w:w="489" w:type="pct"/>
            <w:shd w:val="clear" w:color="000000" w:fill="FFFFFF"/>
            <w:vAlign w:val="center"/>
          </w:tcPr>
          <w:p w14:paraId="33BE2C50">
            <w:pPr>
              <w:jc w:val="center"/>
              <w:rPr>
                <w:rFonts w:cs="宋体" w:asciiTheme="minorEastAsia" w:hAnsiTheme="minorEastAsia" w:eastAsiaTheme="minorEastAsia"/>
                <w:b/>
                <w:bCs/>
                <w:kern w:val="0"/>
                <w:sz w:val="18"/>
                <w:szCs w:val="18"/>
                <w:highlight w:val="none"/>
              </w:rPr>
            </w:pPr>
            <w:r>
              <w:rPr>
                <w:rFonts w:hint="eastAsia" w:cs="宋体" w:asciiTheme="minorEastAsia" w:hAnsiTheme="minorEastAsia" w:eastAsiaTheme="minorEastAsia"/>
                <w:b/>
                <w:bCs/>
                <w:kern w:val="0"/>
                <w:sz w:val="18"/>
                <w:szCs w:val="18"/>
                <w:highlight w:val="none"/>
              </w:rPr>
              <w:t>序号</w:t>
            </w:r>
          </w:p>
        </w:tc>
        <w:tc>
          <w:tcPr>
            <w:tcW w:w="629" w:type="pct"/>
            <w:shd w:val="clear" w:color="000000" w:fill="FFFFFF"/>
            <w:vAlign w:val="center"/>
          </w:tcPr>
          <w:p w14:paraId="769AECC2">
            <w:pPr>
              <w:jc w:val="center"/>
              <w:rPr>
                <w:rFonts w:cs="宋体" w:asciiTheme="minorEastAsia" w:hAnsiTheme="minorEastAsia" w:eastAsiaTheme="minorEastAsia"/>
                <w:b/>
                <w:bCs/>
                <w:kern w:val="0"/>
                <w:sz w:val="18"/>
                <w:szCs w:val="18"/>
                <w:highlight w:val="none"/>
              </w:rPr>
            </w:pPr>
            <w:r>
              <w:rPr>
                <w:rFonts w:hint="eastAsia" w:cs="宋体" w:asciiTheme="minorEastAsia" w:hAnsiTheme="minorEastAsia" w:eastAsiaTheme="minorEastAsia"/>
                <w:b/>
                <w:bCs/>
                <w:kern w:val="0"/>
                <w:sz w:val="18"/>
                <w:szCs w:val="18"/>
                <w:highlight w:val="none"/>
              </w:rPr>
              <w:t>★是否接受进口产品</w:t>
            </w:r>
          </w:p>
        </w:tc>
        <w:tc>
          <w:tcPr>
            <w:tcW w:w="1180" w:type="pct"/>
            <w:shd w:val="clear" w:color="000000" w:fill="FFFFFF"/>
            <w:vAlign w:val="center"/>
          </w:tcPr>
          <w:p w14:paraId="5E7CAC51">
            <w:pPr>
              <w:jc w:val="center"/>
              <w:rPr>
                <w:rFonts w:cs="Arial" w:asciiTheme="minorEastAsia" w:hAnsiTheme="minorEastAsia" w:eastAsiaTheme="minorEastAsia"/>
                <w:b/>
                <w:bCs/>
                <w:kern w:val="0"/>
                <w:sz w:val="18"/>
                <w:szCs w:val="18"/>
                <w:highlight w:val="none"/>
              </w:rPr>
            </w:pPr>
            <w:r>
              <w:rPr>
                <w:rFonts w:hint="eastAsia" w:cs="Arial" w:asciiTheme="minorEastAsia" w:hAnsiTheme="minorEastAsia" w:eastAsiaTheme="minorEastAsia"/>
                <w:b/>
                <w:bCs/>
                <w:kern w:val="0"/>
                <w:sz w:val="18"/>
                <w:szCs w:val="18"/>
                <w:highlight w:val="none"/>
              </w:rPr>
              <w:t>设备名称</w:t>
            </w:r>
          </w:p>
        </w:tc>
        <w:tc>
          <w:tcPr>
            <w:tcW w:w="368" w:type="pct"/>
            <w:shd w:val="clear" w:color="000000" w:fill="FFFFFF"/>
            <w:vAlign w:val="center"/>
          </w:tcPr>
          <w:p w14:paraId="4CB4809A">
            <w:pPr>
              <w:jc w:val="center"/>
              <w:rPr>
                <w:rFonts w:cs="Arial" w:asciiTheme="minorEastAsia" w:hAnsiTheme="minorEastAsia" w:eastAsiaTheme="minorEastAsia"/>
                <w:b/>
                <w:bCs/>
                <w:kern w:val="0"/>
                <w:sz w:val="18"/>
                <w:szCs w:val="18"/>
                <w:highlight w:val="none"/>
              </w:rPr>
            </w:pPr>
            <w:r>
              <w:rPr>
                <w:rFonts w:hint="eastAsia" w:cs="Arial" w:asciiTheme="minorEastAsia" w:hAnsiTheme="minorEastAsia" w:eastAsiaTheme="minorEastAsia"/>
                <w:b/>
                <w:bCs/>
                <w:kern w:val="0"/>
                <w:sz w:val="18"/>
                <w:szCs w:val="18"/>
                <w:highlight w:val="none"/>
              </w:rPr>
              <w:t>数量</w:t>
            </w:r>
          </w:p>
        </w:tc>
        <w:tc>
          <w:tcPr>
            <w:tcW w:w="390" w:type="pct"/>
            <w:shd w:val="clear" w:color="000000" w:fill="FFFFFF"/>
            <w:vAlign w:val="center"/>
          </w:tcPr>
          <w:p w14:paraId="55F0D031">
            <w:pPr>
              <w:jc w:val="center"/>
              <w:rPr>
                <w:rFonts w:cs="Arial" w:asciiTheme="minorEastAsia" w:hAnsiTheme="minorEastAsia" w:eastAsiaTheme="minorEastAsia"/>
                <w:b/>
                <w:bCs/>
                <w:kern w:val="0"/>
                <w:sz w:val="18"/>
                <w:szCs w:val="18"/>
                <w:highlight w:val="none"/>
              </w:rPr>
            </w:pPr>
            <w:r>
              <w:rPr>
                <w:rFonts w:hint="eastAsia" w:cs="Arial" w:asciiTheme="minorEastAsia" w:hAnsiTheme="minorEastAsia" w:eastAsiaTheme="minorEastAsia"/>
                <w:b/>
                <w:bCs/>
                <w:kern w:val="0"/>
                <w:sz w:val="18"/>
                <w:szCs w:val="18"/>
                <w:highlight w:val="none"/>
              </w:rPr>
              <w:t>计量单位</w:t>
            </w:r>
          </w:p>
        </w:tc>
        <w:tc>
          <w:tcPr>
            <w:tcW w:w="708" w:type="pct"/>
            <w:shd w:val="clear" w:color="000000" w:fill="FFFFFF"/>
            <w:vAlign w:val="center"/>
          </w:tcPr>
          <w:p w14:paraId="5C15C230">
            <w:pPr>
              <w:jc w:val="center"/>
              <w:rPr>
                <w:rFonts w:cs="Arial" w:asciiTheme="minorEastAsia" w:hAnsiTheme="minorEastAsia" w:eastAsiaTheme="minorEastAsia"/>
                <w:b/>
                <w:bCs/>
                <w:kern w:val="0"/>
                <w:sz w:val="18"/>
                <w:szCs w:val="18"/>
                <w:highlight w:val="none"/>
              </w:rPr>
            </w:pPr>
            <w:r>
              <w:rPr>
                <w:rFonts w:hint="eastAsia" w:cs="Arial" w:asciiTheme="minorEastAsia" w:hAnsiTheme="minorEastAsia" w:eastAsiaTheme="minorEastAsia"/>
                <w:b/>
                <w:bCs/>
                <w:kern w:val="0"/>
                <w:sz w:val="18"/>
                <w:szCs w:val="18"/>
                <w:highlight w:val="none"/>
              </w:rPr>
              <w:t>预算单价金额(元)</w:t>
            </w:r>
          </w:p>
        </w:tc>
        <w:tc>
          <w:tcPr>
            <w:tcW w:w="751" w:type="pct"/>
            <w:shd w:val="clear" w:color="000000" w:fill="FFFFFF"/>
            <w:vAlign w:val="center"/>
          </w:tcPr>
          <w:p w14:paraId="1F038F6B">
            <w:pPr>
              <w:jc w:val="center"/>
              <w:rPr>
                <w:rFonts w:cs="宋体" w:asciiTheme="minorEastAsia" w:hAnsiTheme="minorEastAsia" w:eastAsiaTheme="minorEastAsia"/>
                <w:b/>
                <w:bCs/>
                <w:kern w:val="0"/>
                <w:sz w:val="18"/>
                <w:szCs w:val="18"/>
                <w:highlight w:val="none"/>
              </w:rPr>
            </w:pPr>
            <w:r>
              <w:rPr>
                <w:rFonts w:hint="eastAsia" w:cs="宋体" w:asciiTheme="minorEastAsia" w:hAnsiTheme="minorEastAsia" w:eastAsiaTheme="minorEastAsia"/>
                <w:b/>
                <w:bCs/>
                <w:kern w:val="0"/>
                <w:sz w:val="18"/>
                <w:szCs w:val="18"/>
                <w:highlight w:val="none"/>
              </w:rPr>
              <w:t>★单价最高限价（元）</w:t>
            </w:r>
          </w:p>
        </w:tc>
      </w:tr>
      <w:tr w14:paraId="62979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2" w:hRule="atLeast"/>
          <w:jc w:val="center"/>
        </w:trPr>
        <w:tc>
          <w:tcPr>
            <w:tcW w:w="483" w:type="pct"/>
            <w:vMerge w:val="restart"/>
            <w:shd w:val="clear" w:color="000000" w:fill="FFFFFF"/>
            <w:vAlign w:val="center"/>
          </w:tcPr>
          <w:p w14:paraId="6EAFC89A">
            <w:pPr>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1</w:t>
            </w:r>
          </w:p>
        </w:tc>
        <w:tc>
          <w:tcPr>
            <w:tcW w:w="489" w:type="pct"/>
            <w:shd w:val="clear" w:color="000000" w:fill="FFFFFF"/>
            <w:vAlign w:val="center"/>
          </w:tcPr>
          <w:p w14:paraId="43D5A89E">
            <w:pPr>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1</w:t>
            </w:r>
          </w:p>
        </w:tc>
        <w:tc>
          <w:tcPr>
            <w:tcW w:w="629" w:type="pct"/>
            <w:shd w:val="clear" w:color="000000" w:fill="FFFFFF"/>
            <w:vAlign w:val="center"/>
          </w:tcPr>
          <w:p w14:paraId="7382ADCC">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5A16976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color w:val="000000"/>
                <w:kern w:val="0"/>
                <w:sz w:val="21"/>
                <w:szCs w:val="21"/>
                <w:highlight w:val="none"/>
                <w:u w:val="none"/>
                <w:lang w:val="en-US" w:eastAsia="zh-CN" w:bidi="ar"/>
              </w:rPr>
            </w:pPr>
            <w:r>
              <w:rPr>
                <w:rFonts w:hint="eastAsia" w:ascii="宋体" w:hAnsi="宋体" w:eastAsia="宋体" w:cs="宋体"/>
                <w:color w:val="000000"/>
                <w:kern w:val="0"/>
                <w:sz w:val="21"/>
                <w:szCs w:val="21"/>
                <w:highlight w:val="none"/>
                <w:u w:val="none"/>
                <w:lang w:bidi="ar"/>
              </w:rPr>
              <w:t>便携式彩色超声诊断系统</w:t>
            </w:r>
            <w:r>
              <w:rPr>
                <w:rFonts w:hint="eastAsia" w:ascii="宋体" w:hAnsi="宋体" w:cs="宋体"/>
                <w:color w:val="000000"/>
                <w:kern w:val="0"/>
                <w:sz w:val="21"/>
                <w:szCs w:val="21"/>
                <w:highlight w:val="none"/>
                <w:u w:val="none"/>
                <w:lang w:val="en-US" w:eastAsia="zh-CN" w:bidi="ar"/>
              </w:rPr>
              <w:t>a</w:t>
            </w:r>
          </w:p>
        </w:tc>
        <w:tc>
          <w:tcPr>
            <w:tcW w:w="368" w:type="pct"/>
            <w:shd w:val="clear" w:color="000000" w:fill="FFFFFF"/>
            <w:vAlign w:val="center"/>
          </w:tcPr>
          <w:p w14:paraId="49CCD4FF">
            <w:pPr>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1</w:t>
            </w:r>
          </w:p>
        </w:tc>
        <w:tc>
          <w:tcPr>
            <w:tcW w:w="390" w:type="pct"/>
            <w:shd w:val="clear" w:color="000000" w:fill="FFFFFF"/>
            <w:vAlign w:val="center"/>
          </w:tcPr>
          <w:p w14:paraId="167C7AE7">
            <w:pPr>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套</w:t>
            </w:r>
          </w:p>
        </w:tc>
        <w:tc>
          <w:tcPr>
            <w:tcW w:w="708" w:type="pct"/>
            <w:shd w:val="clear" w:color="000000" w:fill="FFFFFF"/>
            <w:vAlign w:val="center"/>
          </w:tcPr>
          <w:p w14:paraId="58692BCC">
            <w:pPr>
              <w:widowControl/>
              <w:jc w:val="center"/>
              <w:textAlignment w:val="center"/>
              <w:rPr>
                <w:rFonts w:hint="eastAsia" w:ascii="宋体" w:hAnsi="宋体" w:eastAsia="宋体" w:cs="宋体"/>
                <w:b w:val="0"/>
                <w:bCs w:val="0"/>
                <w:color w:val="auto"/>
                <w:kern w:val="0"/>
                <w:sz w:val="21"/>
                <w:szCs w:val="21"/>
                <w:highlight w:val="none"/>
                <w:u w:val="none"/>
                <w:lang w:val="en-US" w:eastAsia="zh-CN" w:bidi="ar"/>
              </w:rPr>
            </w:pPr>
            <w:r>
              <w:rPr>
                <w:rFonts w:hint="eastAsia" w:ascii="宋体" w:hAnsi="宋体" w:cs="宋体"/>
                <w:b w:val="0"/>
                <w:bCs w:val="0"/>
                <w:color w:val="auto"/>
                <w:kern w:val="0"/>
                <w:sz w:val="21"/>
                <w:szCs w:val="21"/>
                <w:highlight w:val="none"/>
                <w:u w:val="none"/>
                <w:lang w:val="en-US" w:eastAsia="zh-CN" w:bidi="ar"/>
              </w:rPr>
              <w:t>750000</w:t>
            </w:r>
          </w:p>
        </w:tc>
        <w:tc>
          <w:tcPr>
            <w:tcW w:w="751" w:type="pct"/>
            <w:shd w:val="clear" w:color="000000" w:fill="FFFFFF"/>
            <w:vAlign w:val="center"/>
          </w:tcPr>
          <w:p w14:paraId="44233F97">
            <w:pPr>
              <w:widowControl/>
              <w:jc w:val="center"/>
              <w:textAlignment w:val="center"/>
              <w:rPr>
                <w:rFonts w:hint="default" w:ascii="宋体" w:hAnsi="宋体" w:eastAsia="宋体" w:cs="宋体"/>
                <w:b w:val="0"/>
                <w:bCs w:val="0"/>
                <w:color w:val="000000"/>
                <w:kern w:val="0"/>
                <w:sz w:val="21"/>
                <w:szCs w:val="21"/>
                <w:highlight w:val="none"/>
                <w:u w:val="none"/>
                <w:lang w:val="en-US" w:eastAsia="zh-CN" w:bidi="ar"/>
              </w:rPr>
            </w:pPr>
            <w:r>
              <w:rPr>
                <w:rFonts w:hint="eastAsia" w:ascii="宋体" w:hAnsi="宋体" w:cs="宋体"/>
                <w:b w:val="0"/>
                <w:bCs w:val="0"/>
                <w:color w:val="000000"/>
                <w:kern w:val="0"/>
                <w:sz w:val="21"/>
                <w:szCs w:val="21"/>
                <w:highlight w:val="none"/>
                <w:u w:val="none"/>
                <w:lang w:val="en-US" w:eastAsia="zh-CN" w:bidi="ar"/>
              </w:rPr>
              <w:t>750000</w:t>
            </w:r>
          </w:p>
        </w:tc>
      </w:tr>
      <w:tr w14:paraId="3DA28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483" w:type="pct"/>
            <w:vMerge w:val="continue"/>
            <w:shd w:val="clear" w:color="000000" w:fill="FFFFFF"/>
            <w:vAlign w:val="center"/>
          </w:tcPr>
          <w:p w14:paraId="4A433305">
            <w:pPr>
              <w:jc w:val="center"/>
              <w:rPr>
                <w:rFonts w:hint="eastAsia" w:ascii="宋体" w:hAnsi="宋体" w:eastAsia="宋体" w:cs="宋体"/>
                <w:b/>
                <w:bCs/>
                <w:kern w:val="0"/>
                <w:sz w:val="21"/>
                <w:szCs w:val="21"/>
                <w:highlight w:val="none"/>
              </w:rPr>
            </w:pPr>
          </w:p>
        </w:tc>
        <w:tc>
          <w:tcPr>
            <w:tcW w:w="489" w:type="pct"/>
            <w:shd w:val="clear" w:color="000000" w:fill="FFFFFF"/>
            <w:vAlign w:val="center"/>
          </w:tcPr>
          <w:p w14:paraId="3D44FDF6">
            <w:pPr>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2</w:t>
            </w:r>
          </w:p>
        </w:tc>
        <w:tc>
          <w:tcPr>
            <w:tcW w:w="629" w:type="pct"/>
            <w:shd w:val="clear" w:color="000000" w:fill="FFFFFF"/>
            <w:vAlign w:val="center"/>
          </w:tcPr>
          <w:p w14:paraId="77166B2F">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43136AF2">
            <w:pPr>
              <w:widowControl/>
              <w:jc w:val="center"/>
              <w:textAlignment w:val="center"/>
              <w:rPr>
                <w:rFonts w:hint="eastAsia" w:ascii="宋体" w:hAnsi="宋体" w:eastAsia="宋体" w:cs="宋体"/>
                <w:b w:val="0"/>
                <w:bCs w:val="0"/>
                <w:color w:val="000000"/>
                <w:kern w:val="0"/>
                <w:sz w:val="21"/>
                <w:szCs w:val="21"/>
                <w:highlight w:val="none"/>
                <w:u w:val="none"/>
                <w:lang w:val="en-US" w:eastAsia="zh-CN" w:bidi="ar"/>
              </w:rPr>
            </w:pPr>
            <w:r>
              <w:rPr>
                <w:rFonts w:hint="eastAsia" w:ascii="宋体" w:hAnsi="宋体" w:eastAsia="宋体" w:cs="宋体"/>
                <w:color w:val="000000"/>
                <w:kern w:val="0"/>
                <w:sz w:val="21"/>
                <w:szCs w:val="21"/>
                <w:highlight w:val="none"/>
                <w:u w:val="none"/>
                <w:lang w:bidi="ar"/>
              </w:rPr>
              <w:t>便携式彩色超声诊断系</w:t>
            </w:r>
            <w:r>
              <w:rPr>
                <w:rFonts w:hint="eastAsia" w:ascii="宋体" w:hAnsi="宋体" w:cs="宋体"/>
                <w:color w:val="000000"/>
                <w:kern w:val="0"/>
                <w:sz w:val="21"/>
                <w:szCs w:val="21"/>
                <w:highlight w:val="none"/>
                <w:u w:val="none"/>
                <w:lang w:val="en-US" w:eastAsia="zh-CN" w:bidi="ar"/>
              </w:rPr>
              <w:t>b</w:t>
            </w:r>
          </w:p>
        </w:tc>
        <w:tc>
          <w:tcPr>
            <w:tcW w:w="368" w:type="pct"/>
            <w:shd w:val="clear" w:color="000000" w:fill="FFFFFF"/>
            <w:vAlign w:val="center"/>
          </w:tcPr>
          <w:p w14:paraId="061C83E5">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lang w:val="en-US" w:eastAsia="zh-CN"/>
              </w:rPr>
              <w:t>1</w:t>
            </w:r>
          </w:p>
        </w:tc>
        <w:tc>
          <w:tcPr>
            <w:tcW w:w="390" w:type="pct"/>
            <w:shd w:val="clear" w:color="000000" w:fill="FFFFFF"/>
            <w:vAlign w:val="center"/>
          </w:tcPr>
          <w:p w14:paraId="7F354427">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lang w:val="en-US" w:eastAsia="zh-CN"/>
              </w:rPr>
              <w:t>套</w:t>
            </w:r>
          </w:p>
        </w:tc>
        <w:tc>
          <w:tcPr>
            <w:tcW w:w="708" w:type="pct"/>
            <w:shd w:val="clear" w:color="000000" w:fill="FFFFFF"/>
            <w:vAlign w:val="center"/>
          </w:tcPr>
          <w:p w14:paraId="0691DC56">
            <w:pPr>
              <w:widowControl/>
              <w:jc w:val="center"/>
              <w:textAlignment w:val="center"/>
              <w:rPr>
                <w:rFonts w:hint="eastAsia" w:ascii="宋体" w:hAnsi="宋体" w:eastAsia="宋体" w:cs="宋体"/>
                <w:b w:val="0"/>
                <w:bCs w:val="0"/>
                <w:color w:val="auto"/>
                <w:kern w:val="0"/>
                <w:sz w:val="21"/>
                <w:szCs w:val="21"/>
                <w:highlight w:val="none"/>
                <w:u w:val="none"/>
                <w:lang w:val="en-US" w:eastAsia="zh-CN" w:bidi="ar"/>
              </w:rPr>
            </w:pPr>
            <w:r>
              <w:rPr>
                <w:rFonts w:hint="eastAsia" w:ascii="宋体" w:hAnsi="宋体" w:cs="宋体"/>
                <w:b w:val="0"/>
                <w:bCs w:val="0"/>
                <w:color w:val="auto"/>
                <w:kern w:val="0"/>
                <w:sz w:val="21"/>
                <w:szCs w:val="21"/>
                <w:highlight w:val="none"/>
                <w:u w:val="none"/>
                <w:lang w:val="en-US" w:eastAsia="zh-CN" w:bidi="ar"/>
              </w:rPr>
              <w:t>750000</w:t>
            </w:r>
          </w:p>
        </w:tc>
        <w:tc>
          <w:tcPr>
            <w:tcW w:w="751" w:type="pct"/>
            <w:shd w:val="clear" w:color="000000" w:fill="FFFFFF"/>
            <w:vAlign w:val="center"/>
          </w:tcPr>
          <w:p w14:paraId="0FE7AE96">
            <w:pPr>
              <w:widowControl/>
              <w:jc w:val="center"/>
              <w:textAlignment w:val="center"/>
              <w:rPr>
                <w:rFonts w:hint="default" w:ascii="宋体" w:hAnsi="宋体" w:eastAsia="宋体" w:cs="宋体"/>
                <w:b w:val="0"/>
                <w:bCs w:val="0"/>
                <w:color w:val="000000"/>
                <w:kern w:val="0"/>
                <w:sz w:val="21"/>
                <w:szCs w:val="21"/>
                <w:highlight w:val="none"/>
                <w:u w:val="none"/>
                <w:lang w:val="en-US" w:eastAsia="zh-CN" w:bidi="ar"/>
              </w:rPr>
            </w:pPr>
            <w:r>
              <w:rPr>
                <w:rFonts w:hint="eastAsia" w:ascii="宋体" w:hAnsi="宋体" w:cs="宋体"/>
                <w:b w:val="0"/>
                <w:bCs w:val="0"/>
                <w:color w:val="000000"/>
                <w:kern w:val="0"/>
                <w:sz w:val="21"/>
                <w:szCs w:val="21"/>
                <w:highlight w:val="none"/>
                <w:u w:val="none"/>
                <w:lang w:val="en-US" w:eastAsia="zh-CN" w:bidi="ar"/>
              </w:rPr>
              <w:t>750000</w:t>
            </w:r>
          </w:p>
        </w:tc>
      </w:tr>
      <w:tr w14:paraId="328A5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83" w:type="pct"/>
            <w:vMerge w:val="restart"/>
            <w:shd w:val="clear" w:color="000000" w:fill="FFFFFF"/>
            <w:vAlign w:val="center"/>
          </w:tcPr>
          <w:p w14:paraId="4B133141">
            <w:pPr>
              <w:jc w:val="center"/>
              <w:rPr>
                <w:rFonts w:hint="eastAsia" w:ascii="宋体" w:hAnsi="宋体" w:eastAsia="宋体" w:cs="宋体"/>
                <w:b/>
                <w:bCs/>
                <w:kern w:val="0"/>
                <w:sz w:val="21"/>
                <w:szCs w:val="21"/>
                <w:highlight w:val="none"/>
                <w:lang w:eastAsia="zh-CN"/>
              </w:rPr>
            </w:pPr>
            <w:r>
              <w:rPr>
                <w:rFonts w:hint="eastAsia" w:ascii="宋体" w:hAnsi="宋体" w:eastAsia="宋体" w:cs="宋体"/>
                <w:b/>
                <w:bCs/>
                <w:kern w:val="0"/>
                <w:sz w:val="21"/>
                <w:szCs w:val="21"/>
                <w:highlight w:val="none"/>
                <w:lang w:val="en-US" w:eastAsia="zh-CN"/>
              </w:rPr>
              <w:t>2</w:t>
            </w:r>
          </w:p>
        </w:tc>
        <w:tc>
          <w:tcPr>
            <w:tcW w:w="489" w:type="pct"/>
            <w:shd w:val="clear" w:color="000000" w:fill="FFFFFF"/>
            <w:vAlign w:val="center"/>
          </w:tcPr>
          <w:p w14:paraId="6850D03D">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1</w:t>
            </w:r>
          </w:p>
        </w:tc>
        <w:tc>
          <w:tcPr>
            <w:tcW w:w="629" w:type="pct"/>
            <w:shd w:val="clear" w:color="000000" w:fill="FFFFFF"/>
            <w:vAlign w:val="center"/>
          </w:tcPr>
          <w:p w14:paraId="0F80AE43">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7059F6C2">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彩色超声多普勒诊断仪</w:t>
            </w:r>
          </w:p>
        </w:tc>
        <w:tc>
          <w:tcPr>
            <w:tcW w:w="368" w:type="pct"/>
            <w:shd w:val="clear" w:color="000000" w:fill="FFFFFF"/>
            <w:vAlign w:val="center"/>
          </w:tcPr>
          <w:p w14:paraId="083CE248">
            <w:pPr>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w:t>
            </w:r>
          </w:p>
        </w:tc>
        <w:tc>
          <w:tcPr>
            <w:tcW w:w="390" w:type="pct"/>
            <w:shd w:val="clear" w:color="000000" w:fill="FFFFFF"/>
            <w:vAlign w:val="center"/>
          </w:tcPr>
          <w:p w14:paraId="6CF2A278">
            <w:pPr>
              <w:jc w:val="center"/>
              <w:rPr>
                <w:rFonts w:hint="eastAsia"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套</w:t>
            </w:r>
          </w:p>
        </w:tc>
        <w:tc>
          <w:tcPr>
            <w:tcW w:w="708" w:type="pct"/>
            <w:shd w:val="clear" w:color="000000" w:fill="FFFFFF"/>
            <w:vAlign w:val="center"/>
          </w:tcPr>
          <w:p w14:paraId="0D86B86C">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630000</w:t>
            </w:r>
          </w:p>
        </w:tc>
        <w:tc>
          <w:tcPr>
            <w:tcW w:w="751" w:type="pct"/>
            <w:shd w:val="clear" w:color="000000" w:fill="FFFFFF"/>
            <w:vAlign w:val="center"/>
          </w:tcPr>
          <w:p w14:paraId="5AB1B958">
            <w:pPr>
              <w:keepNext w:val="0"/>
              <w:keepLines w:val="0"/>
              <w:widowControl/>
              <w:suppressLineNumbers w:val="0"/>
              <w:jc w:val="center"/>
              <w:textAlignment w:val="center"/>
              <w:rPr>
                <w:rFonts w:hint="default" w:ascii="宋体" w:hAnsi="宋体" w:eastAsia="宋体" w:cs="宋体"/>
                <w:bCs/>
                <w:kern w:val="0"/>
                <w:sz w:val="21"/>
                <w:szCs w:val="21"/>
                <w:highlight w:val="none"/>
                <w:lang w:val="en-US"/>
              </w:rPr>
            </w:pPr>
            <w:r>
              <w:rPr>
                <w:rFonts w:hint="eastAsia" w:ascii="宋体" w:hAnsi="宋体" w:cs="宋体"/>
                <w:b/>
                <w:bCs/>
                <w:i w:val="0"/>
                <w:iCs w:val="0"/>
                <w:color w:val="000000"/>
                <w:kern w:val="0"/>
                <w:sz w:val="21"/>
                <w:szCs w:val="21"/>
                <w:highlight w:val="none"/>
                <w:u w:val="none"/>
                <w:lang w:val="en-US" w:eastAsia="zh-CN" w:bidi="ar"/>
              </w:rPr>
              <w:t>620000</w:t>
            </w:r>
          </w:p>
        </w:tc>
      </w:tr>
      <w:tr w14:paraId="0B1D9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83" w:type="pct"/>
            <w:vMerge w:val="continue"/>
            <w:shd w:val="clear" w:color="000000" w:fill="FFFFFF"/>
            <w:vAlign w:val="center"/>
          </w:tcPr>
          <w:p w14:paraId="4D3E344F">
            <w:pPr>
              <w:jc w:val="center"/>
              <w:rPr>
                <w:rFonts w:hint="eastAsia" w:ascii="宋体" w:hAnsi="宋体" w:eastAsia="宋体" w:cs="宋体"/>
                <w:b/>
                <w:bCs/>
                <w:kern w:val="0"/>
                <w:sz w:val="21"/>
                <w:szCs w:val="21"/>
                <w:highlight w:val="none"/>
              </w:rPr>
            </w:pPr>
          </w:p>
        </w:tc>
        <w:tc>
          <w:tcPr>
            <w:tcW w:w="489" w:type="pct"/>
            <w:shd w:val="clear" w:color="000000" w:fill="FFFFFF"/>
            <w:vAlign w:val="center"/>
          </w:tcPr>
          <w:p w14:paraId="4AD25EBD">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2</w:t>
            </w:r>
          </w:p>
        </w:tc>
        <w:tc>
          <w:tcPr>
            <w:tcW w:w="629" w:type="pct"/>
            <w:shd w:val="clear" w:color="000000" w:fill="FFFFFF"/>
            <w:vAlign w:val="center"/>
          </w:tcPr>
          <w:p w14:paraId="5ECF3DED">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26EA644F">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数据记录仪</w:t>
            </w:r>
          </w:p>
        </w:tc>
        <w:tc>
          <w:tcPr>
            <w:tcW w:w="368" w:type="pct"/>
            <w:shd w:val="clear" w:color="000000" w:fill="FFFFFF"/>
            <w:vAlign w:val="center"/>
          </w:tcPr>
          <w:p w14:paraId="092B1DCA">
            <w:pPr>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1</w:t>
            </w:r>
          </w:p>
        </w:tc>
        <w:tc>
          <w:tcPr>
            <w:tcW w:w="390" w:type="pct"/>
            <w:shd w:val="clear" w:color="000000" w:fill="FFFFFF"/>
            <w:vAlign w:val="center"/>
          </w:tcPr>
          <w:p w14:paraId="62C90273">
            <w:pPr>
              <w:jc w:val="center"/>
              <w:rPr>
                <w:rFonts w:hint="eastAsia"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台</w:t>
            </w:r>
          </w:p>
        </w:tc>
        <w:tc>
          <w:tcPr>
            <w:tcW w:w="708" w:type="pct"/>
            <w:shd w:val="clear" w:color="000000" w:fill="FFFFFF"/>
            <w:vAlign w:val="center"/>
          </w:tcPr>
          <w:p w14:paraId="0D255DE4">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50000</w:t>
            </w:r>
          </w:p>
        </w:tc>
        <w:tc>
          <w:tcPr>
            <w:tcW w:w="751" w:type="pct"/>
            <w:shd w:val="clear" w:color="000000" w:fill="FFFFFF"/>
            <w:vAlign w:val="center"/>
          </w:tcPr>
          <w:p w14:paraId="4833027B">
            <w:pPr>
              <w:keepNext w:val="0"/>
              <w:keepLines w:val="0"/>
              <w:widowControl/>
              <w:suppressLineNumbers w:val="0"/>
              <w:jc w:val="center"/>
              <w:textAlignment w:val="center"/>
              <w:rPr>
                <w:rFonts w:hint="default" w:ascii="宋体" w:hAnsi="宋体" w:eastAsia="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50000</w:t>
            </w:r>
          </w:p>
        </w:tc>
      </w:tr>
      <w:tr w14:paraId="7C5B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483" w:type="pct"/>
            <w:vMerge w:val="continue"/>
            <w:shd w:val="clear" w:color="000000" w:fill="FFFFFF"/>
            <w:vAlign w:val="center"/>
          </w:tcPr>
          <w:p w14:paraId="246C305F">
            <w:pPr>
              <w:jc w:val="center"/>
              <w:rPr>
                <w:rFonts w:hint="eastAsia" w:ascii="宋体" w:hAnsi="宋体" w:eastAsia="宋体" w:cs="宋体"/>
                <w:b/>
                <w:bCs/>
                <w:kern w:val="0"/>
                <w:sz w:val="21"/>
                <w:szCs w:val="21"/>
                <w:highlight w:val="none"/>
              </w:rPr>
            </w:pPr>
          </w:p>
        </w:tc>
        <w:tc>
          <w:tcPr>
            <w:tcW w:w="489" w:type="pct"/>
            <w:shd w:val="clear" w:color="000000" w:fill="FFFFFF"/>
            <w:vAlign w:val="center"/>
          </w:tcPr>
          <w:p w14:paraId="09F20BAA">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3</w:t>
            </w:r>
          </w:p>
        </w:tc>
        <w:tc>
          <w:tcPr>
            <w:tcW w:w="629" w:type="pct"/>
            <w:shd w:val="clear" w:color="000000" w:fill="FFFFFF"/>
            <w:vAlign w:val="center"/>
          </w:tcPr>
          <w:p w14:paraId="3ADB3195">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7AF79C17">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电动手术检查床</w:t>
            </w:r>
          </w:p>
        </w:tc>
        <w:tc>
          <w:tcPr>
            <w:tcW w:w="368" w:type="pct"/>
            <w:shd w:val="clear" w:color="000000" w:fill="FFFFFF"/>
            <w:vAlign w:val="center"/>
          </w:tcPr>
          <w:p w14:paraId="46EAED05">
            <w:pPr>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1</w:t>
            </w:r>
          </w:p>
        </w:tc>
        <w:tc>
          <w:tcPr>
            <w:tcW w:w="390" w:type="pct"/>
            <w:shd w:val="clear" w:color="000000" w:fill="FFFFFF"/>
            <w:vAlign w:val="center"/>
          </w:tcPr>
          <w:p w14:paraId="6C3A58BC">
            <w:pPr>
              <w:jc w:val="center"/>
              <w:rPr>
                <w:rFonts w:hint="eastAsia"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张</w:t>
            </w:r>
          </w:p>
        </w:tc>
        <w:tc>
          <w:tcPr>
            <w:tcW w:w="708" w:type="pct"/>
            <w:shd w:val="clear" w:color="000000" w:fill="FFFFFF"/>
            <w:vAlign w:val="center"/>
          </w:tcPr>
          <w:p w14:paraId="47DF30A8">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35000</w:t>
            </w:r>
          </w:p>
        </w:tc>
        <w:tc>
          <w:tcPr>
            <w:tcW w:w="751" w:type="pct"/>
            <w:shd w:val="clear" w:color="000000" w:fill="FFFFFF"/>
            <w:vAlign w:val="center"/>
          </w:tcPr>
          <w:p w14:paraId="63084A3E">
            <w:pPr>
              <w:keepNext w:val="0"/>
              <w:keepLines w:val="0"/>
              <w:widowControl/>
              <w:suppressLineNumbers w:val="0"/>
              <w:jc w:val="center"/>
              <w:textAlignment w:val="center"/>
              <w:rPr>
                <w:rFonts w:hint="eastAsia" w:ascii="宋体" w:hAnsi="宋体" w:eastAsia="宋体" w:cs="宋体"/>
                <w:bCs/>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35000</w:t>
            </w:r>
          </w:p>
        </w:tc>
      </w:tr>
      <w:tr w14:paraId="034A4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83" w:type="pct"/>
            <w:vMerge w:val="continue"/>
            <w:shd w:val="clear" w:color="000000" w:fill="FFFFFF"/>
            <w:vAlign w:val="center"/>
          </w:tcPr>
          <w:p w14:paraId="1DFBB190">
            <w:pPr>
              <w:jc w:val="center"/>
              <w:rPr>
                <w:rFonts w:hint="eastAsia" w:ascii="宋体" w:hAnsi="宋体" w:eastAsia="宋体" w:cs="宋体"/>
                <w:b/>
                <w:bCs/>
                <w:kern w:val="0"/>
                <w:sz w:val="21"/>
                <w:szCs w:val="21"/>
                <w:highlight w:val="none"/>
              </w:rPr>
            </w:pPr>
          </w:p>
        </w:tc>
        <w:tc>
          <w:tcPr>
            <w:tcW w:w="489" w:type="pct"/>
            <w:shd w:val="clear" w:color="000000" w:fill="FFFFFF"/>
            <w:vAlign w:val="center"/>
          </w:tcPr>
          <w:p w14:paraId="46CBE02F">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4</w:t>
            </w:r>
          </w:p>
        </w:tc>
        <w:tc>
          <w:tcPr>
            <w:tcW w:w="629" w:type="pct"/>
            <w:shd w:val="clear" w:color="000000" w:fill="FFFFFF"/>
            <w:vAlign w:val="center"/>
          </w:tcPr>
          <w:p w14:paraId="0CBAB3A3">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5B9396BD">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生物安全柜</w:t>
            </w:r>
          </w:p>
        </w:tc>
        <w:tc>
          <w:tcPr>
            <w:tcW w:w="368" w:type="pct"/>
            <w:shd w:val="clear" w:color="000000" w:fill="FFFFFF"/>
            <w:vAlign w:val="center"/>
          </w:tcPr>
          <w:p w14:paraId="3AA45356">
            <w:pPr>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1</w:t>
            </w:r>
          </w:p>
        </w:tc>
        <w:tc>
          <w:tcPr>
            <w:tcW w:w="390" w:type="pct"/>
            <w:shd w:val="clear" w:color="000000" w:fill="FFFFFF"/>
            <w:vAlign w:val="center"/>
          </w:tcPr>
          <w:p w14:paraId="06FD28E2">
            <w:pPr>
              <w:jc w:val="center"/>
              <w:rPr>
                <w:rFonts w:hint="eastAsia"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台</w:t>
            </w:r>
          </w:p>
        </w:tc>
        <w:tc>
          <w:tcPr>
            <w:tcW w:w="708" w:type="pct"/>
            <w:shd w:val="clear" w:color="000000" w:fill="FFFFFF"/>
            <w:vAlign w:val="center"/>
          </w:tcPr>
          <w:p w14:paraId="6810C8EF">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30000</w:t>
            </w:r>
          </w:p>
        </w:tc>
        <w:tc>
          <w:tcPr>
            <w:tcW w:w="751" w:type="pct"/>
            <w:shd w:val="clear" w:color="000000" w:fill="FFFFFF"/>
            <w:vAlign w:val="center"/>
          </w:tcPr>
          <w:p w14:paraId="7821D516">
            <w:pPr>
              <w:keepNext w:val="0"/>
              <w:keepLines w:val="0"/>
              <w:widowControl/>
              <w:suppressLineNumbers w:val="0"/>
              <w:jc w:val="center"/>
              <w:textAlignment w:val="center"/>
              <w:rPr>
                <w:rFonts w:hint="eastAsia" w:ascii="宋体" w:hAnsi="宋体" w:eastAsia="宋体" w:cs="宋体"/>
                <w:bCs/>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30000</w:t>
            </w:r>
          </w:p>
        </w:tc>
      </w:tr>
      <w:tr w14:paraId="46DFE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83" w:type="pct"/>
            <w:vMerge w:val="continue"/>
            <w:shd w:val="clear" w:color="000000" w:fill="FFFFFF"/>
            <w:vAlign w:val="center"/>
          </w:tcPr>
          <w:p w14:paraId="06D64080">
            <w:pPr>
              <w:jc w:val="center"/>
              <w:rPr>
                <w:rFonts w:hint="eastAsia" w:ascii="宋体" w:hAnsi="宋体" w:eastAsia="宋体" w:cs="宋体"/>
                <w:b/>
                <w:bCs/>
                <w:kern w:val="0"/>
                <w:sz w:val="21"/>
                <w:szCs w:val="21"/>
                <w:highlight w:val="none"/>
              </w:rPr>
            </w:pPr>
          </w:p>
        </w:tc>
        <w:tc>
          <w:tcPr>
            <w:tcW w:w="489" w:type="pct"/>
            <w:shd w:val="clear" w:color="000000" w:fill="FFFFFF"/>
            <w:vAlign w:val="center"/>
          </w:tcPr>
          <w:p w14:paraId="774CE317">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5</w:t>
            </w:r>
          </w:p>
        </w:tc>
        <w:tc>
          <w:tcPr>
            <w:tcW w:w="629" w:type="pct"/>
            <w:shd w:val="clear" w:color="000000" w:fill="FFFFFF"/>
            <w:vAlign w:val="center"/>
          </w:tcPr>
          <w:p w14:paraId="3CFB964B">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6DFB0603">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恒温试管架</w:t>
            </w:r>
          </w:p>
        </w:tc>
        <w:tc>
          <w:tcPr>
            <w:tcW w:w="368" w:type="pct"/>
            <w:shd w:val="clear" w:color="000000" w:fill="FFFFFF"/>
            <w:vAlign w:val="center"/>
          </w:tcPr>
          <w:p w14:paraId="064C2585">
            <w:pPr>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1</w:t>
            </w:r>
          </w:p>
        </w:tc>
        <w:tc>
          <w:tcPr>
            <w:tcW w:w="390" w:type="pct"/>
            <w:shd w:val="clear" w:color="000000" w:fill="FFFFFF"/>
            <w:vAlign w:val="center"/>
          </w:tcPr>
          <w:p w14:paraId="3333ADCB">
            <w:pPr>
              <w:jc w:val="center"/>
              <w:rPr>
                <w:rFonts w:hint="eastAsia"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台</w:t>
            </w:r>
          </w:p>
        </w:tc>
        <w:tc>
          <w:tcPr>
            <w:tcW w:w="708" w:type="pct"/>
            <w:shd w:val="clear" w:color="000000" w:fill="FFFFFF"/>
            <w:vAlign w:val="center"/>
          </w:tcPr>
          <w:p w14:paraId="27400B6C">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25000</w:t>
            </w:r>
          </w:p>
        </w:tc>
        <w:tc>
          <w:tcPr>
            <w:tcW w:w="751" w:type="pct"/>
            <w:shd w:val="clear" w:color="000000" w:fill="FFFFFF"/>
            <w:vAlign w:val="center"/>
          </w:tcPr>
          <w:p w14:paraId="58446D4C">
            <w:pPr>
              <w:keepNext w:val="0"/>
              <w:keepLines w:val="0"/>
              <w:widowControl/>
              <w:suppressLineNumbers w:val="0"/>
              <w:jc w:val="center"/>
              <w:textAlignment w:val="center"/>
              <w:rPr>
                <w:rFonts w:hint="eastAsia" w:ascii="宋体" w:hAnsi="宋体" w:eastAsia="宋体" w:cs="宋体"/>
                <w:bCs/>
                <w:kern w:val="0"/>
                <w:sz w:val="21"/>
                <w:szCs w:val="21"/>
                <w:highlight w:val="none"/>
                <w:lang w:val="en-US"/>
              </w:rPr>
            </w:pPr>
            <w:r>
              <w:rPr>
                <w:rFonts w:hint="eastAsia" w:ascii="宋体" w:hAnsi="宋体" w:eastAsia="宋体" w:cs="宋体"/>
                <w:b/>
                <w:bCs/>
                <w:i w:val="0"/>
                <w:iCs w:val="0"/>
                <w:color w:val="000000"/>
                <w:kern w:val="0"/>
                <w:sz w:val="21"/>
                <w:szCs w:val="21"/>
                <w:highlight w:val="none"/>
                <w:u w:val="none"/>
                <w:lang w:val="en-US" w:eastAsia="zh-CN" w:bidi="ar"/>
              </w:rPr>
              <w:t>9000</w:t>
            </w:r>
          </w:p>
        </w:tc>
      </w:tr>
      <w:tr w14:paraId="039CA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83" w:type="pct"/>
            <w:vMerge w:val="continue"/>
            <w:shd w:val="clear" w:color="000000" w:fill="FFFFFF"/>
            <w:vAlign w:val="center"/>
          </w:tcPr>
          <w:p w14:paraId="41F8CF5B">
            <w:pPr>
              <w:jc w:val="center"/>
              <w:rPr>
                <w:rFonts w:hint="eastAsia" w:ascii="宋体" w:hAnsi="宋体" w:eastAsia="宋体" w:cs="宋体"/>
                <w:b/>
                <w:bCs/>
                <w:kern w:val="0"/>
                <w:sz w:val="21"/>
                <w:szCs w:val="21"/>
                <w:highlight w:val="none"/>
              </w:rPr>
            </w:pPr>
          </w:p>
        </w:tc>
        <w:tc>
          <w:tcPr>
            <w:tcW w:w="489" w:type="pct"/>
            <w:shd w:val="clear" w:color="000000" w:fill="FFFFFF"/>
            <w:vAlign w:val="center"/>
          </w:tcPr>
          <w:p w14:paraId="3A676174">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6</w:t>
            </w:r>
          </w:p>
        </w:tc>
        <w:tc>
          <w:tcPr>
            <w:tcW w:w="629" w:type="pct"/>
            <w:shd w:val="clear" w:color="000000" w:fill="FFFFFF"/>
            <w:vAlign w:val="center"/>
          </w:tcPr>
          <w:p w14:paraId="03CE775D">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2F1A6FB6">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手持式PH计</w:t>
            </w:r>
          </w:p>
        </w:tc>
        <w:tc>
          <w:tcPr>
            <w:tcW w:w="368" w:type="pct"/>
            <w:shd w:val="clear" w:color="000000" w:fill="FFFFFF"/>
            <w:vAlign w:val="center"/>
          </w:tcPr>
          <w:p w14:paraId="059B89A6">
            <w:pPr>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1</w:t>
            </w:r>
          </w:p>
        </w:tc>
        <w:tc>
          <w:tcPr>
            <w:tcW w:w="390" w:type="pct"/>
            <w:shd w:val="clear" w:color="000000" w:fill="FFFFFF"/>
            <w:vAlign w:val="center"/>
          </w:tcPr>
          <w:p w14:paraId="40EDB39C">
            <w:pPr>
              <w:jc w:val="center"/>
              <w:rPr>
                <w:rFonts w:hint="eastAsia"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台</w:t>
            </w:r>
          </w:p>
        </w:tc>
        <w:tc>
          <w:tcPr>
            <w:tcW w:w="708" w:type="pct"/>
            <w:shd w:val="clear" w:color="000000" w:fill="FFFFFF"/>
            <w:vAlign w:val="center"/>
          </w:tcPr>
          <w:p w14:paraId="39404CB0">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16000</w:t>
            </w:r>
          </w:p>
        </w:tc>
        <w:tc>
          <w:tcPr>
            <w:tcW w:w="751" w:type="pct"/>
            <w:shd w:val="clear" w:color="000000" w:fill="FFFFFF"/>
            <w:vAlign w:val="center"/>
          </w:tcPr>
          <w:p w14:paraId="14C75ED1">
            <w:pPr>
              <w:keepNext w:val="0"/>
              <w:keepLines w:val="0"/>
              <w:widowControl/>
              <w:suppressLineNumbers w:val="0"/>
              <w:jc w:val="center"/>
              <w:textAlignment w:val="center"/>
              <w:rPr>
                <w:rFonts w:hint="default" w:ascii="宋体" w:hAnsi="宋体" w:eastAsia="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16000</w:t>
            </w:r>
          </w:p>
        </w:tc>
      </w:tr>
      <w:tr w14:paraId="099E0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83" w:type="pct"/>
            <w:vMerge w:val="continue"/>
            <w:shd w:val="clear" w:color="000000" w:fill="FFFFFF"/>
            <w:vAlign w:val="center"/>
          </w:tcPr>
          <w:p w14:paraId="2813EE07">
            <w:pPr>
              <w:jc w:val="center"/>
              <w:rPr>
                <w:rFonts w:hint="eastAsia" w:ascii="宋体" w:hAnsi="宋体" w:eastAsia="宋体" w:cs="宋体"/>
                <w:b/>
                <w:bCs/>
                <w:kern w:val="0"/>
                <w:sz w:val="21"/>
                <w:szCs w:val="21"/>
                <w:highlight w:val="none"/>
              </w:rPr>
            </w:pPr>
          </w:p>
        </w:tc>
        <w:tc>
          <w:tcPr>
            <w:tcW w:w="489" w:type="pct"/>
            <w:shd w:val="clear" w:color="000000" w:fill="FFFFFF"/>
            <w:vAlign w:val="center"/>
          </w:tcPr>
          <w:p w14:paraId="7F5124A9">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7</w:t>
            </w:r>
          </w:p>
        </w:tc>
        <w:tc>
          <w:tcPr>
            <w:tcW w:w="629" w:type="pct"/>
            <w:shd w:val="clear" w:color="000000" w:fill="FFFFFF"/>
            <w:vAlign w:val="center"/>
          </w:tcPr>
          <w:p w14:paraId="73E08EBF">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4CDB6EAD">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拆蛋枪</w:t>
            </w:r>
          </w:p>
        </w:tc>
        <w:tc>
          <w:tcPr>
            <w:tcW w:w="368" w:type="pct"/>
            <w:shd w:val="clear" w:color="000000" w:fill="FFFFFF"/>
            <w:vAlign w:val="center"/>
          </w:tcPr>
          <w:p w14:paraId="1D98B8CE">
            <w:pPr>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2</w:t>
            </w:r>
          </w:p>
        </w:tc>
        <w:tc>
          <w:tcPr>
            <w:tcW w:w="390" w:type="pct"/>
            <w:shd w:val="clear" w:color="000000" w:fill="FFFFFF"/>
            <w:vAlign w:val="center"/>
          </w:tcPr>
          <w:p w14:paraId="362EE833">
            <w:pPr>
              <w:jc w:val="center"/>
              <w:rPr>
                <w:rFonts w:hint="eastAsia" w:ascii="宋体" w:hAnsi="宋体" w:eastAsia="宋体" w:cs="宋体"/>
                <w:b/>
                <w:bCs/>
                <w:kern w:val="0"/>
                <w:sz w:val="21"/>
                <w:szCs w:val="21"/>
                <w:highlight w:val="none"/>
              </w:rPr>
            </w:pPr>
            <w:r>
              <w:rPr>
                <w:rFonts w:hint="eastAsia" w:ascii="宋体" w:hAnsi="宋体" w:cs="宋体"/>
                <w:b/>
                <w:bCs/>
                <w:kern w:val="0"/>
                <w:sz w:val="21"/>
                <w:szCs w:val="21"/>
                <w:highlight w:val="none"/>
                <w:lang w:val="en-US" w:eastAsia="zh-CN"/>
              </w:rPr>
              <w:t>支</w:t>
            </w:r>
          </w:p>
        </w:tc>
        <w:tc>
          <w:tcPr>
            <w:tcW w:w="708" w:type="pct"/>
            <w:shd w:val="clear" w:color="000000" w:fill="FFFFFF"/>
            <w:vAlign w:val="center"/>
          </w:tcPr>
          <w:p w14:paraId="0711B4AC">
            <w:pPr>
              <w:keepNext w:val="0"/>
              <w:keepLines w:val="0"/>
              <w:widowControl/>
              <w:suppressLineNumbers w:val="0"/>
              <w:jc w:val="center"/>
              <w:textAlignment w:val="center"/>
              <w:rPr>
                <w:rFonts w:hint="default" w:ascii="宋体" w:hAnsi="宋体" w:eastAsia="宋体" w:cs="宋体"/>
                <w:kern w:val="0"/>
                <w:sz w:val="21"/>
                <w:szCs w:val="21"/>
                <w:highlight w:val="none"/>
                <w:lang w:val="en-US"/>
              </w:rPr>
            </w:pPr>
            <w:r>
              <w:rPr>
                <w:rFonts w:hint="eastAsia" w:ascii="宋体" w:hAnsi="宋体" w:cs="宋体"/>
                <w:i w:val="0"/>
                <w:iCs w:val="0"/>
                <w:color w:val="000000"/>
                <w:kern w:val="0"/>
                <w:sz w:val="21"/>
                <w:szCs w:val="21"/>
                <w:highlight w:val="none"/>
                <w:u w:val="none"/>
                <w:lang w:val="en-US" w:eastAsia="zh-CN" w:bidi="ar"/>
              </w:rPr>
              <w:t>6000</w:t>
            </w:r>
          </w:p>
        </w:tc>
        <w:tc>
          <w:tcPr>
            <w:tcW w:w="751" w:type="pct"/>
            <w:shd w:val="clear" w:color="000000" w:fill="FFFFFF"/>
            <w:vAlign w:val="center"/>
          </w:tcPr>
          <w:p w14:paraId="08BD6341">
            <w:pPr>
              <w:keepNext w:val="0"/>
              <w:keepLines w:val="0"/>
              <w:widowControl/>
              <w:suppressLineNumbers w:val="0"/>
              <w:jc w:val="center"/>
              <w:textAlignment w:val="center"/>
              <w:rPr>
                <w:rFonts w:hint="default" w:ascii="宋体" w:hAnsi="宋体" w:eastAsia="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6000</w:t>
            </w:r>
          </w:p>
        </w:tc>
      </w:tr>
      <w:tr w14:paraId="0730B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83" w:type="pct"/>
            <w:vMerge w:val="continue"/>
            <w:shd w:val="clear" w:color="000000" w:fill="FFFFFF"/>
            <w:vAlign w:val="center"/>
          </w:tcPr>
          <w:p w14:paraId="00B7F82E">
            <w:pPr>
              <w:jc w:val="center"/>
              <w:rPr>
                <w:rFonts w:hint="eastAsia" w:ascii="宋体" w:hAnsi="宋体" w:eastAsia="宋体" w:cs="宋体"/>
                <w:b/>
                <w:bCs/>
                <w:kern w:val="0"/>
                <w:sz w:val="21"/>
                <w:szCs w:val="21"/>
                <w:highlight w:val="none"/>
              </w:rPr>
            </w:pPr>
          </w:p>
        </w:tc>
        <w:tc>
          <w:tcPr>
            <w:tcW w:w="489" w:type="pct"/>
            <w:shd w:val="clear" w:color="000000" w:fill="FFFFFF"/>
            <w:vAlign w:val="center"/>
          </w:tcPr>
          <w:p w14:paraId="11BEC3F2">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8</w:t>
            </w:r>
          </w:p>
        </w:tc>
        <w:tc>
          <w:tcPr>
            <w:tcW w:w="629" w:type="pct"/>
            <w:shd w:val="clear" w:color="000000" w:fill="FFFFFF"/>
            <w:vAlign w:val="center"/>
          </w:tcPr>
          <w:p w14:paraId="0F9D0355">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6DD62D5A">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电子天平</w:t>
            </w:r>
          </w:p>
        </w:tc>
        <w:tc>
          <w:tcPr>
            <w:tcW w:w="368" w:type="pct"/>
            <w:shd w:val="clear" w:color="000000" w:fill="FFFFFF"/>
            <w:vAlign w:val="center"/>
          </w:tcPr>
          <w:p w14:paraId="11F27154">
            <w:pPr>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2</w:t>
            </w:r>
          </w:p>
        </w:tc>
        <w:tc>
          <w:tcPr>
            <w:tcW w:w="390" w:type="pct"/>
            <w:shd w:val="clear" w:color="000000" w:fill="FFFFFF"/>
            <w:vAlign w:val="center"/>
          </w:tcPr>
          <w:p w14:paraId="508947A2">
            <w:pPr>
              <w:jc w:val="center"/>
              <w:rPr>
                <w:rFonts w:hint="eastAsia"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台</w:t>
            </w:r>
          </w:p>
        </w:tc>
        <w:tc>
          <w:tcPr>
            <w:tcW w:w="708" w:type="pct"/>
            <w:shd w:val="clear" w:color="000000" w:fill="FFFFFF"/>
            <w:vAlign w:val="center"/>
          </w:tcPr>
          <w:p w14:paraId="0CA70729">
            <w:pPr>
              <w:keepNext w:val="0"/>
              <w:keepLines w:val="0"/>
              <w:widowControl/>
              <w:suppressLineNumbers w:val="0"/>
              <w:jc w:val="center"/>
              <w:textAlignment w:val="center"/>
              <w:rPr>
                <w:rFonts w:hint="default" w:ascii="宋体" w:hAnsi="宋体" w:eastAsia="宋体" w:cs="宋体"/>
                <w:kern w:val="0"/>
                <w:sz w:val="21"/>
                <w:szCs w:val="21"/>
                <w:highlight w:val="none"/>
                <w:lang w:val="en-US"/>
              </w:rPr>
            </w:pPr>
            <w:r>
              <w:rPr>
                <w:rFonts w:hint="eastAsia" w:ascii="宋体" w:hAnsi="宋体" w:cs="宋体"/>
                <w:i w:val="0"/>
                <w:iCs w:val="0"/>
                <w:color w:val="000000"/>
                <w:kern w:val="0"/>
                <w:sz w:val="21"/>
                <w:szCs w:val="21"/>
                <w:highlight w:val="none"/>
                <w:u w:val="none"/>
                <w:lang w:val="en-US" w:eastAsia="zh-CN" w:bidi="ar"/>
              </w:rPr>
              <w:t>3000</w:t>
            </w:r>
          </w:p>
        </w:tc>
        <w:tc>
          <w:tcPr>
            <w:tcW w:w="751" w:type="pct"/>
            <w:shd w:val="clear" w:color="000000" w:fill="FFFFFF"/>
            <w:vAlign w:val="center"/>
          </w:tcPr>
          <w:p w14:paraId="17FA241B">
            <w:pPr>
              <w:keepNext w:val="0"/>
              <w:keepLines w:val="0"/>
              <w:widowControl/>
              <w:suppressLineNumbers w:val="0"/>
              <w:jc w:val="center"/>
              <w:textAlignment w:val="center"/>
              <w:rPr>
                <w:rFonts w:hint="default" w:ascii="宋体" w:hAnsi="宋体" w:eastAsia="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3000</w:t>
            </w:r>
          </w:p>
        </w:tc>
      </w:tr>
      <w:tr w14:paraId="6D09A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83" w:type="pct"/>
            <w:vMerge w:val="continue"/>
            <w:shd w:val="clear" w:color="000000" w:fill="FFFFFF"/>
            <w:vAlign w:val="center"/>
          </w:tcPr>
          <w:p w14:paraId="6FF2E919">
            <w:pPr>
              <w:jc w:val="center"/>
              <w:rPr>
                <w:rFonts w:hint="eastAsia" w:ascii="宋体" w:hAnsi="宋体" w:eastAsia="宋体" w:cs="宋体"/>
                <w:b/>
                <w:bCs/>
                <w:kern w:val="0"/>
                <w:sz w:val="21"/>
                <w:szCs w:val="21"/>
                <w:highlight w:val="none"/>
              </w:rPr>
            </w:pPr>
          </w:p>
        </w:tc>
        <w:tc>
          <w:tcPr>
            <w:tcW w:w="489" w:type="pct"/>
            <w:shd w:val="clear" w:color="000000" w:fill="FFFFFF"/>
            <w:vAlign w:val="center"/>
          </w:tcPr>
          <w:p w14:paraId="1EB16314">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9</w:t>
            </w:r>
          </w:p>
        </w:tc>
        <w:tc>
          <w:tcPr>
            <w:tcW w:w="629" w:type="pct"/>
            <w:shd w:val="clear" w:color="000000" w:fill="FFFFFF"/>
            <w:vAlign w:val="center"/>
          </w:tcPr>
          <w:p w14:paraId="760955E2">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56BDD05F">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移动式空气消毒机</w:t>
            </w:r>
          </w:p>
        </w:tc>
        <w:tc>
          <w:tcPr>
            <w:tcW w:w="368" w:type="pct"/>
            <w:shd w:val="clear" w:color="000000" w:fill="FFFFFF"/>
            <w:vAlign w:val="center"/>
          </w:tcPr>
          <w:p w14:paraId="7D000BFA">
            <w:pPr>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1</w:t>
            </w:r>
          </w:p>
        </w:tc>
        <w:tc>
          <w:tcPr>
            <w:tcW w:w="390" w:type="pct"/>
            <w:shd w:val="clear" w:color="000000" w:fill="FFFFFF"/>
            <w:vAlign w:val="center"/>
          </w:tcPr>
          <w:p w14:paraId="08531A96">
            <w:pPr>
              <w:jc w:val="center"/>
              <w:rPr>
                <w:rFonts w:hint="eastAsia"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台</w:t>
            </w:r>
          </w:p>
        </w:tc>
        <w:tc>
          <w:tcPr>
            <w:tcW w:w="708" w:type="pct"/>
            <w:shd w:val="clear" w:color="000000" w:fill="FFFFFF"/>
            <w:vAlign w:val="center"/>
          </w:tcPr>
          <w:p w14:paraId="634E3703">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4900</w:t>
            </w:r>
          </w:p>
        </w:tc>
        <w:tc>
          <w:tcPr>
            <w:tcW w:w="751" w:type="pct"/>
            <w:shd w:val="clear" w:color="000000" w:fill="FFFFFF"/>
            <w:vAlign w:val="center"/>
          </w:tcPr>
          <w:p w14:paraId="07A43918">
            <w:pPr>
              <w:keepNext w:val="0"/>
              <w:keepLines w:val="0"/>
              <w:widowControl/>
              <w:suppressLineNumbers w:val="0"/>
              <w:jc w:val="center"/>
              <w:textAlignment w:val="center"/>
              <w:rPr>
                <w:rFonts w:hint="default"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4900</w:t>
            </w:r>
          </w:p>
        </w:tc>
      </w:tr>
      <w:tr w14:paraId="0B4AC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83" w:type="pct"/>
            <w:vMerge w:val="restart"/>
            <w:shd w:val="clear" w:color="000000" w:fill="FFFFFF"/>
            <w:vAlign w:val="center"/>
          </w:tcPr>
          <w:p w14:paraId="523323F5">
            <w:pPr>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3</w:t>
            </w:r>
          </w:p>
        </w:tc>
        <w:tc>
          <w:tcPr>
            <w:tcW w:w="489" w:type="pct"/>
            <w:shd w:val="clear" w:color="000000" w:fill="FFFFFF"/>
            <w:vAlign w:val="center"/>
          </w:tcPr>
          <w:p w14:paraId="469FBAC3">
            <w:pPr>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1</w:t>
            </w:r>
          </w:p>
        </w:tc>
        <w:tc>
          <w:tcPr>
            <w:tcW w:w="629" w:type="pct"/>
            <w:shd w:val="clear" w:color="000000" w:fill="FFFFFF"/>
            <w:vAlign w:val="center"/>
          </w:tcPr>
          <w:p w14:paraId="0C1BCBE1">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22052905">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全自动染色封片一体机</w:t>
            </w:r>
          </w:p>
        </w:tc>
        <w:tc>
          <w:tcPr>
            <w:tcW w:w="368" w:type="pct"/>
            <w:shd w:val="clear" w:color="000000" w:fill="FFFFFF"/>
            <w:vAlign w:val="center"/>
          </w:tcPr>
          <w:p w14:paraId="5C8D5403">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90" w:type="pct"/>
            <w:shd w:val="clear" w:color="000000" w:fill="FFFFFF"/>
            <w:vAlign w:val="center"/>
          </w:tcPr>
          <w:p w14:paraId="52492939">
            <w:pPr>
              <w:jc w:val="center"/>
              <w:rPr>
                <w:rFonts w:hint="eastAsia"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套</w:t>
            </w:r>
          </w:p>
        </w:tc>
        <w:tc>
          <w:tcPr>
            <w:tcW w:w="708" w:type="pct"/>
            <w:shd w:val="clear" w:color="000000" w:fill="FFFFFF"/>
            <w:vAlign w:val="center"/>
          </w:tcPr>
          <w:p w14:paraId="7712F8A8">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380000</w:t>
            </w:r>
          </w:p>
        </w:tc>
        <w:tc>
          <w:tcPr>
            <w:tcW w:w="751" w:type="pct"/>
            <w:shd w:val="clear" w:color="000000" w:fill="FFFFFF"/>
            <w:vAlign w:val="center"/>
          </w:tcPr>
          <w:p w14:paraId="59700B35">
            <w:pPr>
              <w:jc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380000</w:t>
            </w:r>
          </w:p>
        </w:tc>
      </w:tr>
      <w:tr w14:paraId="3D854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83" w:type="pct"/>
            <w:vMerge w:val="continue"/>
            <w:shd w:val="clear" w:color="000000" w:fill="FFFFFF"/>
            <w:vAlign w:val="center"/>
          </w:tcPr>
          <w:p w14:paraId="61659CD4">
            <w:pPr>
              <w:jc w:val="center"/>
              <w:rPr>
                <w:rFonts w:hint="eastAsia" w:ascii="宋体" w:hAnsi="宋体" w:eastAsia="宋体" w:cs="宋体"/>
                <w:b/>
                <w:bCs/>
                <w:kern w:val="0"/>
                <w:sz w:val="21"/>
                <w:szCs w:val="21"/>
                <w:highlight w:val="none"/>
                <w:lang w:val="en-US" w:eastAsia="zh-CN"/>
              </w:rPr>
            </w:pPr>
          </w:p>
        </w:tc>
        <w:tc>
          <w:tcPr>
            <w:tcW w:w="489" w:type="pct"/>
            <w:shd w:val="clear" w:color="000000" w:fill="FFFFFF"/>
            <w:vAlign w:val="center"/>
          </w:tcPr>
          <w:p w14:paraId="24137F17">
            <w:pPr>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2</w:t>
            </w:r>
          </w:p>
        </w:tc>
        <w:tc>
          <w:tcPr>
            <w:tcW w:w="629" w:type="pct"/>
            <w:shd w:val="clear" w:color="000000" w:fill="FFFFFF"/>
            <w:vAlign w:val="center"/>
          </w:tcPr>
          <w:p w14:paraId="4FB39839">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5E1A42A6">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冰冻切片机</w:t>
            </w:r>
          </w:p>
        </w:tc>
        <w:tc>
          <w:tcPr>
            <w:tcW w:w="368" w:type="pct"/>
            <w:shd w:val="clear" w:color="000000" w:fill="FFFFFF"/>
            <w:vAlign w:val="center"/>
          </w:tcPr>
          <w:p w14:paraId="0252CBDD">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90" w:type="pct"/>
            <w:shd w:val="clear" w:color="000000" w:fill="FFFFFF"/>
            <w:vAlign w:val="center"/>
          </w:tcPr>
          <w:p w14:paraId="03E1CBB9">
            <w:pPr>
              <w:jc w:val="center"/>
              <w:rPr>
                <w:rFonts w:hint="eastAsia"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台</w:t>
            </w:r>
          </w:p>
        </w:tc>
        <w:tc>
          <w:tcPr>
            <w:tcW w:w="708" w:type="pct"/>
            <w:shd w:val="clear" w:color="000000" w:fill="FFFFFF"/>
            <w:vAlign w:val="center"/>
          </w:tcPr>
          <w:p w14:paraId="43391575">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370000</w:t>
            </w:r>
          </w:p>
        </w:tc>
        <w:tc>
          <w:tcPr>
            <w:tcW w:w="751" w:type="pct"/>
            <w:shd w:val="clear" w:color="000000" w:fill="FFFFFF"/>
            <w:vAlign w:val="center"/>
          </w:tcPr>
          <w:p w14:paraId="077A0269">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348000</w:t>
            </w:r>
          </w:p>
        </w:tc>
      </w:tr>
      <w:tr w14:paraId="60BB0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83" w:type="pct"/>
            <w:vMerge w:val="continue"/>
            <w:shd w:val="clear" w:color="000000" w:fill="FFFFFF"/>
            <w:vAlign w:val="center"/>
          </w:tcPr>
          <w:p w14:paraId="13AAE885">
            <w:pPr>
              <w:jc w:val="center"/>
              <w:rPr>
                <w:rFonts w:hint="eastAsia" w:ascii="宋体" w:hAnsi="宋体" w:eastAsia="宋体" w:cs="宋体"/>
                <w:b/>
                <w:bCs/>
                <w:kern w:val="0"/>
                <w:sz w:val="21"/>
                <w:szCs w:val="21"/>
                <w:highlight w:val="none"/>
                <w:lang w:val="en-US" w:eastAsia="zh-CN"/>
              </w:rPr>
            </w:pPr>
          </w:p>
        </w:tc>
        <w:tc>
          <w:tcPr>
            <w:tcW w:w="489" w:type="pct"/>
            <w:shd w:val="clear" w:color="000000" w:fill="FFFFFF"/>
            <w:vAlign w:val="center"/>
          </w:tcPr>
          <w:p w14:paraId="7EB70F3A">
            <w:pPr>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3</w:t>
            </w:r>
          </w:p>
        </w:tc>
        <w:tc>
          <w:tcPr>
            <w:tcW w:w="629" w:type="pct"/>
            <w:shd w:val="clear" w:color="000000" w:fill="FFFFFF"/>
            <w:vAlign w:val="center"/>
          </w:tcPr>
          <w:p w14:paraId="5556228E">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7F3D327B">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全自动快速组织脱水机</w:t>
            </w:r>
          </w:p>
        </w:tc>
        <w:tc>
          <w:tcPr>
            <w:tcW w:w="368" w:type="pct"/>
            <w:shd w:val="clear" w:color="000000" w:fill="FFFFFF"/>
            <w:vAlign w:val="center"/>
          </w:tcPr>
          <w:p w14:paraId="04F0D7AA">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90" w:type="pct"/>
            <w:shd w:val="clear" w:color="000000" w:fill="FFFFFF"/>
            <w:vAlign w:val="center"/>
          </w:tcPr>
          <w:p w14:paraId="18EA6379">
            <w:pPr>
              <w:jc w:val="center"/>
              <w:rPr>
                <w:rFonts w:hint="eastAsia" w:ascii="宋体" w:hAnsi="宋体" w:eastAsia="宋体" w:cs="宋体"/>
                <w:b/>
                <w:bCs/>
                <w:kern w:val="0"/>
                <w:sz w:val="21"/>
                <w:szCs w:val="21"/>
                <w:highlight w:val="none"/>
              </w:rPr>
            </w:pPr>
            <w:r>
              <w:rPr>
                <w:rFonts w:hint="eastAsia" w:ascii="宋体" w:hAnsi="宋体" w:cs="宋体"/>
                <w:b/>
                <w:bCs/>
                <w:kern w:val="0"/>
                <w:sz w:val="21"/>
                <w:szCs w:val="21"/>
                <w:highlight w:val="none"/>
                <w:lang w:val="en-US" w:eastAsia="zh-CN"/>
              </w:rPr>
              <w:t>台</w:t>
            </w:r>
          </w:p>
        </w:tc>
        <w:tc>
          <w:tcPr>
            <w:tcW w:w="708" w:type="pct"/>
            <w:shd w:val="clear" w:color="000000" w:fill="FFFFFF"/>
            <w:vAlign w:val="center"/>
          </w:tcPr>
          <w:p w14:paraId="3F79E359">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210000</w:t>
            </w:r>
          </w:p>
        </w:tc>
        <w:tc>
          <w:tcPr>
            <w:tcW w:w="751" w:type="pct"/>
            <w:shd w:val="clear" w:color="000000" w:fill="FFFFFF"/>
            <w:vAlign w:val="center"/>
          </w:tcPr>
          <w:p w14:paraId="259E211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210000</w:t>
            </w:r>
          </w:p>
        </w:tc>
      </w:tr>
      <w:tr w14:paraId="3C7C2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83" w:type="pct"/>
            <w:vMerge w:val="continue"/>
            <w:shd w:val="clear" w:color="000000" w:fill="FFFFFF"/>
            <w:vAlign w:val="center"/>
          </w:tcPr>
          <w:p w14:paraId="6A0F8B82">
            <w:pPr>
              <w:jc w:val="center"/>
              <w:rPr>
                <w:rFonts w:hint="eastAsia" w:ascii="宋体" w:hAnsi="宋体" w:eastAsia="宋体" w:cs="宋体"/>
                <w:b/>
                <w:bCs/>
                <w:kern w:val="0"/>
                <w:sz w:val="21"/>
                <w:szCs w:val="21"/>
                <w:highlight w:val="none"/>
                <w:lang w:val="en-US" w:eastAsia="zh-CN"/>
              </w:rPr>
            </w:pPr>
          </w:p>
        </w:tc>
        <w:tc>
          <w:tcPr>
            <w:tcW w:w="489" w:type="pct"/>
            <w:shd w:val="clear" w:color="000000" w:fill="FFFFFF"/>
            <w:vAlign w:val="center"/>
          </w:tcPr>
          <w:p w14:paraId="5995D740">
            <w:pPr>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4</w:t>
            </w:r>
          </w:p>
        </w:tc>
        <w:tc>
          <w:tcPr>
            <w:tcW w:w="629" w:type="pct"/>
            <w:shd w:val="clear" w:color="000000" w:fill="FFFFFF"/>
            <w:vAlign w:val="center"/>
          </w:tcPr>
          <w:p w14:paraId="2E5E1DD4">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773C2C22">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包埋盒打号机</w:t>
            </w:r>
          </w:p>
        </w:tc>
        <w:tc>
          <w:tcPr>
            <w:tcW w:w="368" w:type="pct"/>
            <w:shd w:val="clear" w:color="000000" w:fill="FFFFFF"/>
            <w:vAlign w:val="center"/>
          </w:tcPr>
          <w:p w14:paraId="30572FB8">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90" w:type="pct"/>
            <w:shd w:val="clear" w:color="000000" w:fill="FFFFFF"/>
            <w:vAlign w:val="center"/>
          </w:tcPr>
          <w:p w14:paraId="5356B534">
            <w:pPr>
              <w:jc w:val="center"/>
              <w:rPr>
                <w:rFonts w:hint="eastAsia" w:ascii="宋体" w:hAnsi="宋体" w:eastAsia="宋体" w:cs="宋体"/>
                <w:b/>
                <w:bCs/>
                <w:kern w:val="0"/>
                <w:sz w:val="21"/>
                <w:szCs w:val="21"/>
                <w:highlight w:val="none"/>
              </w:rPr>
            </w:pPr>
            <w:r>
              <w:rPr>
                <w:rFonts w:hint="eastAsia" w:ascii="宋体" w:hAnsi="宋体" w:cs="宋体"/>
                <w:b/>
                <w:bCs/>
                <w:kern w:val="0"/>
                <w:sz w:val="21"/>
                <w:szCs w:val="21"/>
                <w:highlight w:val="none"/>
                <w:lang w:val="en-US" w:eastAsia="zh-CN"/>
              </w:rPr>
              <w:t>台</w:t>
            </w:r>
          </w:p>
        </w:tc>
        <w:tc>
          <w:tcPr>
            <w:tcW w:w="708" w:type="pct"/>
            <w:shd w:val="clear" w:color="000000" w:fill="FFFFFF"/>
            <w:vAlign w:val="center"/>
          </w:tcPr>
          <w:p w14:paraId="4810B8F2">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150000</w:t>
            </w:r>
          </w:p>
        </w:tc>
        <w:tc>
          <w:tcPr>
            <w:tcW w:w="751" w:type="pct"/>
            <w:shd w:val="clear" w:color="000000" w:fill="FFFFFF"/>
            <w:vAlign w:val="center"/>
          </w:tcPr>
          <w:p w14:paraId="1A15A21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150000</w:t>
            </w:r>
          </w:p>
        </w:tc>
      </w:tr>
      <w:tr w14:paraId="36AEC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83" w:type="pct"/>
            <w:vMerge w:val="continue"/>
            <w:shd w:val="clear" w:color="000000" w:fill="FFFFFF"/>
            <w:vAlign w:val="center"/>
          </w:tcPr>
          <w:p w14:paraId="3F7732BF">
            <w:pPr>
              <w:jc w:val="center"/>
              <w:rPr>
                <w:rFonts w:hint="eastAsia" w:ascii="宋体" w:hAnsi="宋体" w:eastAsia="宋体" w:cs="宋体"/>
                <w:b/>
                <w:bCs/>
                <w:kern w:val="0"/>
                <w:sz w:val="21"/>
                <w:szCs w:val="21"/>
                <w:highlight w:val="none"/>
                <w:lang w:val="en-US" w:eastAsia="zh-CN"/>
              </w:rPr>
            </w:pPr>
          </w:p>
        </w:tc>
        <w:tc>
          <w:tcPr>
            <w:tcW w:w="489" w:type="pct"/>
            <w:shd w:val="clear" w:color="000000" w:fill="FFFFFF"/>
            <w:vAlign w:val="center"/>
          </w:tcPr>
          <w:p w14:paraId="6648499B">
            <w:pPr>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5</w:t>
            </w:r>
          </w:p>
        </w:tc>
        <w:tc>
          <w:tcPr>
            <w:tcW w:w="629" w:type="pct"/>
            <w:shd w:val="clear" w:color="000000" w:fill="FFFFFF"/>
            <w:vAlign w:val="center"/>
          </w:tcPr>
          <w:p w14:paraId="53E5473B">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5F08DF11">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玻片打号机</w:t>
            </w:r>
          </w:p>
        </w:tc>
        <w:tc>
          <w:tcPr>
            <w:tcW w:w="368" w:type="pct"/>
            <w:shd w:val="clear" w:color="000000" w:fill="FFFFFF"/>
            <w:vAlign w:val="center"/>
          </w:tcPr>
          <w:p w14:paraId="62B1BF96">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90" w:type="pct"/>
            <w:shd w:val="clear" w:color="000000" w:fill="FFFFFF"/>
            <w:vAlign w:val="center"/>
          </w:tcPr>
          <w:p w14:paraId="5D19D426">
            <w:pPr>
              <w:jc w:val="center"/>
              <w:rPr>
                <w:rFonts w:hint="eastAsia" w:ascii="宋体" w:hAnsi="宋体" w:eastAsia="宋体" w:cs="宋体"/>
                <w:b/>
                <w:bCs/>
                <w:kern w:val="0"/>
                <w:sz w:val="21"/>
                <w:szCs w:val="21"/>
                <w:highlight w:val="none"/>
              </w:rPr>
            </w:pPr>
            <w:r>
              <w:rPr>
                <w:rFonts w:hint="eastAsia" w:ascii="宋体" w:hAnsi="宋体" w:cs="宋体"/>
                <w:b/>
                <w:bCs/>
                <w:kern w:val="0"/>
                <w:sz w:val="21"/>
                <w:szCs w:val="21"/>
                <w:highlight w:val="none"/>
                <w:lang w:val="en-US" w:eastAsia="zh-CN"/>
              </w:rPr>
              <w:t>台</w:t>
            </w:r>
          </w:p>
        </w:tc>
        <w:tc>
          <w:tcPr>
            <w:tcW w:w="708" w:type="pct"/>
            <w:shd w:val="clear" w:color="000000" w:fill="FFFFFF"/>
            <w:vAlign w:val="center"/>
          </w:tcPr>
          <w:p w14:paraId="19083755">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150000</w:t>
            </w:r>
          </w:p>
        </w:tc>
        <w:tc>
          <w:tcPr>
            <w:tcW w:w="751" w:type="pct"/>
            <w:shd w:val="clear" w:color="000000" w:fill="FFFFFF"/>
            <w:vAlign w:val="center"/>
          </w:tcPr>
          <w:p w14:paraId="5963577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150000</w:t>
            </w:r>
          </w:p>
        </w:tc>
      </w:tr>
      <w:tr w14:paraId="5EC5B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83" w:type="pct"/>
            <w:vMerge w:val="continue"/>
            <w:shd w:val="clear" w:color="000000" w:fill="FFFFFF"/>
            <w:vAlign w:val="center"/>
          </w:tcPr>
          <w:p w14:paraId="5CB8070D">
            <w:pPr>
              <w:jc w:val="center"/>
              <w:rPr>
                <w:rFonts w:hint="eastAsia" w:ascii="宋体" w:hAnsi="宋体" w:eastAsia="宋体" w:cs="宋体"/>
                <w:b/>
                <w:bCs/>
                <w:kern w:val="0"/>
                <w:sz w:val="21"/>
                <w:szCs w:val="21"/>
                <w:highlight w:val="none"/>
              </w:rPr>
            </w:pPr>
          </w:p>
        </w:tc>
        <w:tc>
          <w:tcPr>
            <w:tcW w:w="489" w:type="pct"/>
            <w:shd w:val="clear" w:color="000000" w:fill="FFFFFF"/>
            <w:vAlign w:val="center"/>
          </w:tcPr>
          <w:p w14:paraId="1331636D">
            <w:pPr>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6</w:t>
            </w:r>
          </w:p>
        </w:tc>
        <w:tc>
          <w:tcPr>
            <w:tcW w:w="629" w:type="pct"/>
            <w:shd w:val="clear" w:color="000000" w:fill="FFFFFF"/>
            <w:vAlign w:val="center"/>
          </w:tcPr>
          <w:p w14:paraId="6D3F9F6E">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48E5ECA0">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全自动免疫组化机</w:t>
            </w:r>
          </w:p>
        </w:tc>
        <w:tc>
          <w:tcPr>
            <w:tcW w:w="368" w:type="pct"/>
            <w:shd w:val="clear" w:color="000000" w:fill="FFFFFF"/>
            <w:vAlign w:val="center"/>
          </w:tcPr>
          <w:p w14:paraId="7585B7B7">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90" w:type="pct"/>
            <w:shd w:val="clear" w:color="000000" w:fill="FFFFFF"/>
            <w:vAlign w:val="center"/>
          </w:tcPr>
          <w:p w14:paraId="16A0248F">
            <w:pPr>
              <w:jc w:val="center"/>
              <w:rPr>
                <w:rFonts w:hint="eastAsia" w:ascii="宋体" w:hAnsi="宋体" w:eastAsia="宋体" w:cs="宋体"/>
                <w:b/>
                <w:bCs/>
                <w:kern w:val="0"/>
                <w:sz w:val="21"/>
                <w:szCs w:val="21"/>
                <w:highlight w:val="none"/>
              </w:rPr>
            </w:pPr>
            <w:r>
              <w:rPr>
                <w:rFonts w:hint="eastAsia" w:ascii="宋体" w:hAnsi="宋体" w:cs="宋体"/>
                <w:b/>
                <w:bCs/>
                <w:kern w:val="0"/>
                <w:sz w:val="21"/>
                <w:szCs w:val="21"/>
                <w:highlight w:val="none"/>
                <w:lang w:val="en-US" w:eastAsia="zh-CN"/>
              </w:rPr>
              <w:t>台</w:t>
            </w:r>
          </w:p>
        </w:tc>
        <w:tc>
          <w:tcPr>
            <w:tcW w:w="708" w:type="pct"/>
            <w:shd w:val="clear" w:color="000000" w:fill="FFFFFF"/>
            <w:vAlign w:val="center"/>
          </w:tcPr>
          <w:p w14:paraId="06AD8D30">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50000</w:t>
            </w:r>
          </w:p>
        </w:tc>
        <w:tc>
          <w:tcPr>
            <w:tcW w:w="751" w:type="pct"/>
            <w:shd w:val="clear" w:color="000000" w:fill="FFFFFF"/>
            <w:vAlign w:val="center"/>
          </w:tcPr>
          <w:p w14:paraId="7895FD75">
            <w:pPr>
              <w:keepNext w:val="0"/>
              <w:keepLines w:val="0"/>
              <w:widowControl/>
              <w:suppressLineNumbers w:val="0"/>
              <w:jc w:val="center"/>
              <w:textAlignment w:val="center"/>
              <w:rPr>
                <w:rFonts w:hint="eastAsia" w:ascii="宋体" w:hAnsi="宋体" w:eastAsia="宋体" w:cs="宋体"/>
                <w:kern w:val="0"/>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50000</w:t>
            </w:r>
          </w:p>
        </w:tc>
      </w:tr>
      <w:tr w14:paraId="4969D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83" w:type="pct"/>
            <w:vMerge w:val="restart"/>
            <w:shd w:val="clear" w:color="000000" w:fill="FFFFFF"/>
            <w:vAlign w:val="center"/>
          </w:tcPr>
          <w:p w14:paraId="455B7111">
            <w:pPr>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4</w:t>
            </w:r>
          </w:p>
        </w:tc>
        <w:tc>
          <w:tcPr>
            <w:tcW w:w="489" w:type="pct"/>
            <w:shd w:val="clear" w:color="000000" w:fill="FFFFFF"/>
            <w:vAlign w:val="center"/>
          </w:tcPr>
          <w:p w14:paraId="0D76A871">
            <w:pPr>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1</w:t>
            </w:r>
          </w:p>
        </w:tc>
        <w:tc>
          <w:tcPr>
            <w:tcW w:w="629" w:type="pct"/>
            <w:shd w:val="clear" w:color="000000" w:fill="FFFFFF"/>
            <w:vAlign w:val="center"/>
          </w:tcPr>
          <w:p w14:paraId="5E1B042A">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5399FC23">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全自动血型分析仪</w:t>
            </w:r>
          </w:p>
        </w:tc>
        <w:tc>
          <w:tcPr>
            <w:tcW w:w="368" w:type="pct"/>
            <w:shd w:val="clear" w:color="000000" w:fill="FFFFFF"/>
            <w:vAlign w:val="center"/>
          </w:tcPr>
          <w:p w14:paraId="0F8074D9">
            <w:pPr>
              <w:jc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90" w:type="pct"/>
            <w:shd w:val="clear" w:color="000000" w:fill="FFFFFF"/>
            <w:vAlign w:val="center"/>
          </w:tcPr>
          <w:p w14:paraId="39A88A0D">
            <w:pPr>
              <w:jc w:val="center"/>
              <w:rPr>
                <w:rFonts w:hint="eastAsia"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台</w:t>
            </w:r>
          </w:p>
        </w:tc>
        <w:tc>
          <w:tcPr>
            <w:tcW w:w="708" w:type="pct"/>
            <w:shd w:val="clear" w:color="000000" w:fill="FFFFFF"/>
            <w:vAlign w:val="center"/>
          </w:tcPr>
          <w:p w14:paraId="6434000B">
            <w:pPr>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50000</w:t>
            </w:r>
          </w:p>
        </w:tc>
        <w:tc>
          <w:tcPr>
            <w:tcW w:w="751" w:type="pct"/>
            <w:shd w:val="clear" w:color="000000" w:fill="FFFFFF"/>
            <w:vAlign w:val="center"/>
          </w:tcPr>
          <w:p w14:paraId="4DA5B4E7">
            <w:pPr>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3000</w:t>
            </w:r>
          </w:p>
        </w:tc>
      </w:tr>
      <w:tr w14:paraId="7B8B8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83" w:type="pct"/>
            <w:vMerge w:val="continue"/>
            <w:shd w:val="clear" w:color="000000" w:fill="FFFFFF"/>
            <w:vAlign w:val="center"/>
          </w:tcPr>
          <w:p w14:paraId="6EBBF29C">
            <w:pPr>
              <w:jc w:val="center"/>
              <w:rPr>
                <w:rFonts w:hint="eastAsia" w:ascii="宋体" w:hAnsi="宋体" w:eastAsia="宋体" w:cs="宋体"/>
                <w:b/>
                <w:bCs/>
                <w:kern w:val="0"/>
                <w:sz w:val="21"/>
                <w:szCs w:val="21"/>
                <w:highlight w:val="none"/>
              </w:rPr>
            </w:pPr>
          </w:p>
        </w:tc>
        <w:tc>
          <w:tcPr>
            <w:tcW w:w="489" w:type="pct"/>
            <w:shd w:val="clear" w:color="000000" w:fill="FFFFFF"/>
            <w:vAlign w:val="center"/>
          </w:tcPr>
          <w:p w14:paraId="4C7B85DD">
            <w:pPr>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2</w:t>
            </w:r>
          </w:p>
        </w:tc>
        <w:tc>
          <w:tcPr>
            <w:tcW w:w="629" w:type="pct"/>
            <w:shd w:val="clear" w:color="000000" w:fill="FFFFFF"/>
            <w:vAlign w:val="center"/>
          </w:tcPr>
          <w:p w14:paraId="5F5675FC">
            <w:pPr>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否</w:t>
            </w:r>
          </w:p>
        </w:tc>
        <w:tc>
          <w:tcPr>
            <w:tcW w:w="1180" w:type="pct"/>
            <w:shd w:val="clear" w:color="000000" w:fill="FFFFFF"/>
            <w:vAlign w:val="center"/>
          </w:tcPr>
          <w:p w14:paraId="576E55FB">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全自动化学发光免疫分析仪</w:t>
            </w:r>
          </w:p>
        </w:tc>
        <w:tc>
          <w:tcPr>
            <w:tcW w:w="368" w:type="pct"/>
            <w:shd w:val="clear" w:color="000000" w:fill="FFFFFF"/>
            <w:vAlign w:val="center"/>
          </w:tcPr>
          <w:p w14:paraId="6EE46906">
            <w:pPr>
              <w:jc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90" w:type="pct"/>
            <w:shd w:val="clear" w:color="000000" w:fill="FFFFFF"/>
            <w:vAlign w:val="center"/>
          </w:tcPr>
          <w:p w14:paraId="23617824">
            <w:pPr>
              <w:jc w:val="center"/>
              <w:rPr>
                <w:rFonts w:hint="eastAsia"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台</w:t>
            </w:r>
          </w:p>
        </w:tc>
        <w:tc>
          <w:tcPr>
            <w:tcW w:w="708" w:type="pct"/>
            <w:shd w:val="clear" w:color="000000" w:fill="FFFFFF"/>
            <w:vAlign w:val="center"/>
          </w:tcPr>
          <w:p w14:paraId="6E486EB6">
            <w:pPr>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1000</w:t>
            </w:r>
          </w:p>
        </w:tc>
        <w:tc>
          <w:tcPr>
            <w:tcW w:w="751" w:type="pct"/>
            <w:shd w:val="clear" w:color="000000" w:fill="FFFFFF"/>
            <w:vAlign w:val="center"/>
          </w:tcPr>
          <w:p w14:paraId="43A23147">
            <w:pPr>
              <w:jc w:val="center"/>
              <w:rPr>
                <w:rFonts w:hint="default"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1000</w:t>
            </w:r>
          </w:p>
        </w:tc>
      </w:tr>
      <w:tr w14:paraId="689CA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8"/>
            <w:shd w:val="clear" w:color="000000" w:fill="FFFFFF"/>
            <w:vAlign w:val="center"/>
          </w:tcPr>
          <w:p w14:paraId="0EBB7FB1">
            <w:pPr>
              <w:rPr>
                <w:rFonts w:hint="eastAsia" w:asciiTheme="minorEastAsia" w:hAnsiTheme="minorEastAsia" w:eastAsiaTheme="minorEastAsia"/>
                <w:b/>
                <w:bCs/>
                <w:sz w:val="18"/>
                <w:szCs w:val="18"/>
                <w:highlight w:val="none"/>
              </w:rPr>
            </w:pPr>
            <w:r>
              <w:rPr>
                <w:rFonts w:hint="eastAsia" w:asciiTheme="minorEastAsia" w:hAnsiTheme="minorEastAsia" w:eastAsiaTheme="minorEastAsia"/>
                <w:b/>
                <w:bCs/>
                <w:sz w:val="18"/>
                <w:szCs w:val="18"/>
                <w:highlight w:val="none"/>
              </w:rPr>
              <w:t>核心产品：</w:t>
            </w:r>
          </w:p>
          <w:p w14:paraId="60F60569">
            <w:pPr>
              <w:pStyle w:val="11"/>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1标段：便携式彩色超声诊断系统</w:t>
            </w:r>
          </w:p>
          <w:p w14:paraId="7AD5245B">
            <w:pP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2标段：彩色超声多普勒诊断仪</w:t>
            </w:r>
          </w:p>
          <w:p w14:paraId="751FEB55">
            <w:pP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3标段：全自动染色封片一体机</w:t>
            </w:r>
          </w:p>
          <w:p w14:paraId="4227447A">
            <w:pPr>
              <w:rPr>
                <w:rFonts w:asciiTheme="minorEastAsia" w:hAnsiTheme="minorEastAsia" w:eastAsiaTheme="minorEastAsia"/>
                <w:b/>
                <w:bCs/>
                <w:sz w:val="18"/>
                <w:szCs w:val="18"/>
                <w:highlight w:val="none"/>
              </w:rPr>
            </w:pPr>
            <w:r>
              <w:rPr>
                <w:rFonts w:hint="eastAsia" w:ascii="宋体" w:hAnsi="宋体" w:eastAsia="宋体" w:cs="宋体"/>
                <w:i w:val="0"/>
                <w:iCs w:val="0"/>
                <w:color w:val="000000"/>
                <w:kern w:val="0"/>
                <w:sz w:val="21"/>
                <w:szCs w:val="21"/>
                <w:highlight w:val="none"/>
                <w:u w:val="none"/>
                <w:lang w:val="en-US" w:eastAsia="zh-CN" w:bidi="ar"/>
              </w:rPr>
              <w:t>4标段：</w:t>
            </w:r>
            <w:r>
              <w:rPr>
                <w:rFonts w:hint="eastAsia" w:ascii="宋体" w:hAnsi="宋体" w:eastAsia="宋体" w:cs="宋体"/>
                <w:i w:val="0"/>
                <w:iCs w:val="0"/>
                <w:color w:val="auto"/>
                <w:kern w:val="0"/>
                <w:sz w:val="21"/>
                <w:szCs w:val="21"/>
                <w:highlight w:val="none"/>
                <w:u w:val="none"/>
                <w:lang w:val="en-US" w:eastAsia="zh-CN" w:bidi="ar"/>
              </w:rPr>
              <w:t>全自动血型分析仪</w:t>
            </w:r>
          </w:p>
        </w:tc>
      </w:tr>
      <w:tr w14:paraId="4ECE8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5000" w:type="pct"/>
            <w:gridSpan w:val="8"/>
            <w:shd w:val="clear" w:color="000000" w:fill="FFFFFF"/>
            <w:vAlign w:val="center"/>
          </w:tcPr>
          <w:p w14:paraId="222373E0">
            <w:pPr>
              <w:rPr>
                <w:rFonts w:asciiTheme="minorEastAsia" w:hAnsiTheme="minorEastAsia" w:eastAsiaTheme="minorEastAsia"/>
                <w:b/>
                <w:bCs/>
                <w:sz w:val="18"/>
                <w:szCs w:val="18"/>
                <w:highlight w:val="none"/>
              </w:rPr>
            </w:pPr>
            <w:r>
              <w:rPr>
                <w:rFonts w:hint="eastAsia" w:ascii="宋体" w:hAnsi="宋体" w:eastAsia="宋体" w:cs="宋体"/>
                <w:b w:val="0"/>
                <w:bCs w:val="0"/>
                <w:color w:val="000000"/>
                <w:kern w:val="0"/>
                <w:sz w:val="21"/>
                <w:szCs w:val="21"/>
                <w:highlight w:val="none"/>
                <w:u w:val="none"/>
                <w:lang w:bidi="ar"/>
              </w:rPr>
              <w:t>★</w:t>
            </w:r>
            <w:r>
              <w:rPr>
                <w:rFonts w:hint="eastAsia" w:ascii="宋体" w:hAnsi="宋体" w:eastAsia="宋体" w:cs="宋体"/>
                <w:b/>
                <w:bCs/>
                <w:color w:val="000000"/>
                <w:kern w:val="0"/>
                <w:sz w:val="21"/>
                <w:szCs w:val="21"/>
                <w:highlight w:val="none"/>
                <w:u w:val="none"/>
                <w:lang w:bidi="ar"/>
              </w:rPr>
              <w:t>质保期</w:t>
            </w:r>
            <w:r>
              <w:rPr>
                <w:rFonts w:hint="eastAsia" w:ascii="宋体" w:hAnsi="宋体" w:eastAsia="宋体" w:cs="宋体"/>
                <w:b w:val="0"/>
                <w:bCs w:val="0"/>
                <w:color w:val="000000"/>
                <w:kern w:val="0"/>
                <w:sz w:val="21"/>
                <w:szCs w:val="21"/>
                <w:highlight w:val="none"/>
                <w:u w:val="none"/>
                <w:lang w:bidi="ar"/>
              </w:rPr>
              <w:t>：自验收合格之日起，整机保修不低于3年（费用包含在投标报价中）。</w:t>
            </w:r>
          </w:p>
        </w:tc>
      </w:tr>
      <w:tr w14:paraId="23E8F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5000" w:type="pct"/>
            <w:gridSpan w:val="8"/>
            <w:shd w:val="clear" w:color="000000" w:fill="FFFFFF"/>
            <w:vAlign w:val="center"/>
          </w:tcPr>
          <w:p w14:paraId="6144E5C0">
            <w:pPr>
              <w:rPr>
                <w:rFonts w:cs="Arial" w:asciiTheme="minorEastAsia" w:hAnsiTheme="minorEastAsia" w:eastAsiaTheme="minorEastAsia"/>
                <w:b/>
                <w:sz w:val="18"/>
                <w:szCs w:val="18"/>
                <w:highlight w:val="none"/>
              </w:rPr>
            </w:pPr>
            <w:r>
              <w:rPr>
                <w:rFonts w:hint="eastAsia" w:cs="Arial" w:asciiTheme="minorEastAsia" w:hAnsiTheme="minorEastAsia" w:eastAsiaTheme="minorEastAsia"/>
                <w:b/>
                <w:sz w:val="18"/>
                <w:szCs w:val="18"/>
                <w:highlight w:val="none"/>
              </w:rPr>
              <w:t>采购标的物所属行业</w:t>
            </w:r>
            <w:r>
              <w:rPr>
                <w:rFonts w:hint="eastAsia" w:asciiTheme="minorEastAsia" w:hAnsiTheme="minorEastAsia" w:eastAsiaTheme="minorEastAsia"/>
                <w:b/>
                <w:bCs/>
                <w:sz w:val="18"/>
                <w:szCs w:val="18"/>
                <w:highlight w:val="none"/>
              </w:rPr>
              <w:t>：</w:t>
            </w:r>
            <w:r>
              <w:rPr>
                <w:rFonts w:hint="eastAsia" w:cs="Arial" w:asciiTheme="minorEastAsia" w:hAnsiTheme="minorEastAsia" w:eastAsiaTheme="minorEastAsia"/>
                <w:b w:val="0"/>
                <w:bCs/>
                <w:sz w:val="18"/>
                <w:szCs w:val="18"/>
                <w:highlight w:val="none"/>
              </w:rPr>
              <w:t>工业</w:t>
            </w:r>
          </w:p>
        </w:tc>
      </w:tr>
    </w:tbl>
    <w:p w14:paraId="495DB5F3">
      <w:pPr>
        <w:adjustRightInd w:val="0"/>
        <w:snapToGrid w:val="0"/>
        <w:spacing w:line="360" w:lineRule="auto"/>
        <w:jc w:val="left"/>
        <w:rPr>
          <w:rFonts w:hAnsi="宋体"/>
          <w:szCs w:val="21"/>
          <w:highlight w:val="none"/>
        </w:rPr>
      </w:pPr>
    </w:p>
    <w:p w14:paraId="2ABA9471">
      <w:pPr>
        <w:adjustRightInd w:val="0"/>
        <w:snapToGrid w:val="0"/>
        <w:spacing w:line="360" w:lineRule="auto"/>
        <w:rPr>
          <w:rFonts w:hAnsi="宋体"/>
          <w:szCs w:val="21"/>
          <w:highlight w:val="none"/>
        </w:rPr>
      </w:pPr>
      <w:r>
        <w:rPr>
          <w:rFonts w:hint="eastAsia" w:hAnsi="宋体"/>
          <w:szCs w:val="21"/>
          <w:highlight w:val="none"/>
        </w:rPr>
        <w:t>说明：</w:t>
      </w:r>
    </w:p>
    <w:p w14:paraId="676A30CD">
      <w:pPr>
        <w:snapToGrid w:val="0"/>
        <w:spacing w:line="360" w:lineRule="auto"/>
        <w:rPr>
          <w:rFonts w:hAnsi="宋体"/>
          <w:szCs w:val="21"/>
          <w:highlight w:val="none"/>
        </w:rPr>
      </w:pPr>
      <w:r>
        <w:rPr>
          <w:rFonts w:hint="eastAsia" w:hAnsi="宋体"/>
          <w:szCs w:val="21"/>
          <w:highlight w:val="none"/>
        </w:rPr>
        <w:t>1.请投标人对招标文件第五章《货物需求及技术要求》中的技术参数要求作出全面、真实的反映，投标人除如实填写技术规格偏离表外，投标文件中必须提供最新技术支持资料支持参数技术规格偏离表的应答（技术支持资料包括但不限于所投货物的技术白皮书、产品相关鉴定资料、试验报告、检验报告、技术彩页</w:t>
      </w:r>
      <w:r>
        <w:rPr>
          <w:rFonts w:hint="eastAsia" w:hAnsi="宋体"/>
          <w:szCs w:val="21"/>
          <w:highlight w:val="none"/>
          <w:lang w:eastAsia="zh-CN"/>
        </w:rPr>
        <w:t>或</w:t>
      </w:r>
      <w:r>
        <w:rPr>
          <w:rFonts w:hint="eastAsia" w:hAnsi="宋体"/>
          <w:szCs w:val="21"/>
          <w:highlight w:val="none"/>
        </w:rPr>
        <w:t>宣传资料、图纸资料等），若投标文件中最新技术支持资料参数与技术规格偏离表应答不符或无技术资料支持该应答，而投标人又未在投标文件中作出说明和解释的，视为不响应该项技术参数要求。若某产品要求提供样品的，则投标人技术参数响应必须与样品一致，否则视为不响应该项技术参数要求。</w:t>
      </w:r>
    </w:p>
    <w:p w14:paraId="596631EF">
      <w:pPr>
        <w:snapToGrid w:val="0"/>
        <w:spacing w:line="360" w:lineRule="auto"/>
        <w:rPr>
          <w:rFonts w:hAnsi="宋体"/>
          <w:szCs w:val="21"/>
          <w:highlight w:val="none"/>
        </w:rPr>
      </w:pPr>
      <w:r>
        <w:rPr>
          <w:rFonts w:hint="eastAsia" w:hAnsi="宋体"/>
          <w:szCs w:val="21"/>
          <w:highlight w:val="none"/>
        </w:rPr>
        <w:t>★2.投标人必须对所投包内所有产品进行完整报价，不得缺漏，否则按不实质性响应招标文件要求处理。</w:t>
      </w:r>
    </w:p>
    <w:p w14:paraId="0D181D67">
      <w:pPr>
        <w:pStyle w:val="16"/>
        <w:spacing w:line="360" w:lineRule="auto"/>
        <w:jc w:val="center"/>
        <w:rPr>
          <w:rFonts w:hAnsi="宋体"/>
          <w:b/>
          <w:sz w:val="28"/>
          <w:szCs w:val="28"/>
          <w:highlight w:val="none"/>
        </w:rPr>
      </w:pPr>
      <w:r>
        <w:rPr>
          <w:highlight w:val="none"/>
        </w:rPr>
        <w:br w:type="page"/>
      </w:r>
      <w:bookmarkStart w:id="203" w:name="_Toc213141118"/>
      <w:r>
        <w:rPr>
          <w:rFonts w:hint="eastAsia" w:hAnsi="宋体"/>
          <w:b/>
          <w:sz w:val="28"/>
          <w:szCs w:val="28"/>
          <w:highlight w:val="none"/>
        </w:rPr>
        <w:t>二、技术要求</w:t>
      </w:r>
    </w:p>
    <w:bookmarkEnd w:id="203"/>
    <w:p w14:paraId="2E032A54">
      <w:pPr>
        <w:pStyle w:val="5"/>
        <w:numPr>
          <w:ilvl w:val="0"/>
          <w:numId w:val="0"/>
        </w:numPr>
        <w:adjustRightInd w:val="0"/>
        <w:snapToGrid w:val="0"/>
        <w:spacing w:after="0" w:line="360" w:lineRule="auto"/>
        <w:ind w:left="0" w:leftChars="0" w:firstLine="0" w:firstLineChars="0"/>
        <w:jc w:val="left"/>
        <w:rPr>
          <w:rFonts w:hint="eastAsia" w:ascii="宋体" w:hAnsi="宋体"/>
          <w:b w:val="0"/>
          <w:bCs/>
          <w:szCs w:val="21"/>
          <w:highlight w:val="none"/>
          <w:lang w:val="en-US" w:eastAsia="zh-CN"/>
        </w:rPr>
      </w:pPr>
      <w:bookmarkStart w:id="204" w:name="_Toc6771"/>
      <w:r>
        <w:rPr>
          <w:rFonts w:hint="eastAsia" w:ascii="宋体" w:hAnsi="宋体" w:eastAsia="宋体"/>
          <w:sz w:val="32"/>
          <w:szCs w:val="32"/>
          <w:highlight w:val="none"/>
        </w:rPr>
        <w:t>标段1：</w:t>
      </w:r>
      <w:bookmarkEnd w:id="204"/>
    </w:p>
    <w:p w14:paraId="4D6ABC7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采购标的一</w:t>
      </w:r>
    </w:p>
    <w:p w14:paraId="67F6A5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bookmarkStart w:id="205" w:name="_Hlk227004539"/>
      <w:r>
        <w:rPr>
          <w:rFonts w:hint="eastAsia" w:ascii="宋体" w:hAnsi="宋体" w:cs="宋体"/>
          <w:szCs w:val="21"/>
          <w:highlight w:val="none"/>
          <w:lang w:val="en-US" w:eastAsia="zh-CN"/>
        </w:rPr>
        <w:t>一</w:t>
      </w:r>
      <w:r>
        <w:rPr>
          <w:rFonts w:hint="eastAsia" w:ascii="宋体" w:hAnsi="宋体" w:cs="宋体"/>
          <w:szCs w:val="21"/>
          <w:highlight w:val="none"/>
          <w:lang w:eastAsia="zh-CN"/>
        </w:rPr>
        <w:t>、</w:t>
      </w:r>
      <w:r>
        <w:rPr>
          <w:rFonts w:hint="eastAsia" w:ascii="宋体" w:hAnsi="宋体" w:eastAsia="宋体" w:cs="宋体"/>
          <w:szCs w:val="21"/>
          <w:highlight w:val="none"/>
        </w:rPr>
        <w:t>设备用途：满足全身各器官超声诊断应用需求，包括腹部，心脏，外周血管，小器官和浅表，肌肉骨骼、</w:t>
      </w:r>
      <w:bookmarkStart w:id="206" w:name="_Hlk226923532"/>
      <w:r>
        <w:rPr>
          <w:rFonts w:hint="eastAsia" w:ascii="宋体" w:hAnsi="宋体" w:eastAsia="宋体" w:cs="宋体"/>
          <w:szCs w:val="21"/>
          <w:highlight w:val="none"/>
        </w:rPr>
        <w:t>妇产</w:t>
      </w:r>
      <w:bookmarkEnd w:id="206"/>
      <w:r>
        <w:rPr>
          <w:rFonts w:hint="eastAsia" w:ascii="宋体" w:hAnsi="宋体" w:eastAsia="宋体" w:cs="宋体"/>
          <w:szCs w:val="21"/>
          <w:highlight w:val="none"/>
        </w:rPr>
        <w:t>、泌尿、穿刺、造影等。</w:t>
      </w:r>
    </w:p>
    <w:bookmarkEnd w:id="205"/>
    <w:p w14:paraId="210E11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bookmarkStart w:id="207" w:name="_Hlk227004702"/>
      <w:r>
        <w:rPr>
          <w:rFonts w:hint="eastAsia" w:ascii="宋体" w:hAnsi="宋体" w:cs="宋体"/>
          <w:szCs w:val="21"/>
          <w:highlight w:val="none"/>
          <w:lang w:val="en-US" w:eastAsia="zh-CN"/>
        </w:rPr>
        <w:t>二</w:t>
      </w:r>
      <w:r>
        <w:rPr>
          <w:rFonts w:hint="eastAsia" w:ascii="宋体" w:hAnsi="宋体" w:cs="宋体"/>
          <w:szCs w:val="21"/>
          <w:highlight w:val="none"/>
          <w:lang w:eastAsia="zh-CN"/>
        </w:rPr>
        <w:t>、</w:t>
      </w:r>
      <w:r>
        <w:rPr>
          <w:rFonts w:hint="eastAsia" w:ascii="宋体" w:hAnsi="宋体" w:eastAsia="宋体" w:cs="宋体"/>
          <w:szCs w:val="21"/>
          <w:highlight w:val="none"/>
        </w:rPr>
        <w:t>主要技术规格及系统概述：</w:t>
      </w:r>
    </w:p>
    <w:bookmarkEnd w:id="207"/>
    <w:p w14:paraId="05F754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cs="宋体"/>
          <w:szCs w:val="21"/>
          <w:highlight w:val="none"/>
          <w:lang w:eastAsia="zh-CN"/>
        </w:rPr>
        <w:t>.</w:t>
      </w:r>
      <w:r>
        <w:rPr>
          <w:rFonts w:hint="eastAsia" w:ascii="宋体" w:hAnsi="宋体" w:eastAsia="宋体" w:cs="宋体"/>
          <w:szCs w:val="21"/>
          <w:highlight w:val="none"/>
        </w:rPr>
        <w:t>主机系统性能概括</w:t>
      </w:r>
    </w:p>
    <w:p w14:paraId="29425E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1.1高分辨率液晶</w:t>
      </w:r>
      <w:r>
        <w:rPr>
          <w:rFonts w:hint="eastAsia" w:ascii="宋体" w:hAnsi="宋体" w:cs="宋体"/>
          <w:szCs w:val="21"/>
          <w:highlight w:val="none"/>
          <w:lang w:eastAsia="zh-CN"/>
        </w:rPr>
        <w:t>显示终端</w:t>
      </w:r>
      <w:r>
        <w:rPr>
          <w:rFonts w:hint="eastAsia" w:ascii="宋体" w:hAnsi="宋体" w:eastAsia="宋体" w:cs="宋体"/>
          <w:color w:val="auto"/>
          <w:szCs w:val="21"/>
          <w:highlight w:val="none"/>
        </w:rPr>
        <w:t>≥</w:t>
      </w:r>
      <w:r>
        <w:rPr>
          <w:rFonts w:hint="eastAsia" w:ascii="宋体" w:hAnsi="宋体" w:eastAsia="宋体" w:cs="宋体"/>
          <w:szCs w:val="21"/>
          <w:highlight w:val="none"/>
        </w:rPr>
        <w:t>15.6英寸, 分辨率1920×1080</w:t>
      </w:r>
    </w:p>
    <w:p w14:paraId="01EA77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hAnsi="宋体"/>
          <w:szCs w:val="21"/>
          <w:highlight w:val="none"/>
        </w:rPr>
        <w:t>★</w:t>
      </w:r>
      <w:r>
        <w:rPr>
          <w:rFonts w:hint="eastAsia" w:ascii="宋体" w:hAnsi="宋体" w:eastAsia="宋体" w:cs="宋体"/>
          <w:szCs w:val="21"/>
          <w:highlight w:val="none"/>
        </w:rPr>
        <w:t>1.2具备液晶触摸屏≥10英寸,可通过手指滑动触摸屏进行翻页，可俯仰调节角度0°-60°</w:t>
      </w:r>
    </w:p>
    <w:p w14:paraId="0BAAB1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1.3具备</w:t>
      </w:r>
      <w:r>
        <w:rPr>
          <w:rFonts w:hint="eastAsia" w:ascii="宋体" w:hAnsi="宋体" w:cs="宋体"/>
          <w:szCs w:val="21"/>
          <w:highlight w:val="none"/>
          <w:lang w:val="en-US" w:eastAsia="zh-Hans"/>
        </w:rPr>
        <w:t>≥</w:t>
      </w:r>
      <w:r>
        <w:rPr>
          <w:rFonts w:hint="eastAsia" w:ascii="宋体" w:hAnsi="宋体" w:eastAsia="宋体" w:cs="宋体"/>
          <w:szCs w:val="21"/>
          <w:highlight w:val="none"/>
        </w:rPr>
        <w:t>3个“可编程”功能的触控板</w:t>
      </w:r>
    </w:p>
    <w:p w14:paraId="3C6BAF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1.4数字宽频声学波束成形器</w:t>
      </w:r>
    </w:p>
    <w:p w14:paraId="61DE02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1.5全密封数字TGC LED控制，</w:t>
      </w:r>
      <w:r>
        <w:rPr>
          <w:rFonts w:hint="eastAsia" w:ascii="宋体" w:hAnsi="宋体" w:cs="宋体"/>
          <w:szCs w:val="21"/>
          <w:highlight w:val="none"/>
          <w:lang w:val="en-US" w:eastAsia="zh-Hans"/>
        </w:rPr>
        <w:t>≥</w:t>
      </w:r>
      <w:r>
        <w:rPr>
          <w:rFonts w:hint="eastAsia" w:ascii="宋体" w:hAnsi="宋体" w:eastAsia="宋体" w:cs="宋体"/>
          <w:szCs w:val="21"/>
          <w:highlight w:val="none"/>
        </w:rPr>
        <w:t xml:space="preserve">8个独立深度控制调节，可触摸屏及控制面板调节 </w:t>
      </w:r>
    </w:p>
    <w:p w14:paraId="7DB22C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1.6</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rPr>
        <w:t>LGC≥8段，可触摸屏调节</w:t>
      </w:r>
    </w:p>
    <w:p w14:paraId="048FF8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1.7最大显示成像模式，一键全屏显示高清图像</w:t>
      </w:r>
    </w:p>
    <w:p w14:paraId="261ECD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cs="宋体"/>
          <w:szCs w:val="21"/>
          <w:highlight w:val="none"/>
          <w:lang w:eastAsia="zh-CN"/>
        </w:rPr>
        <w:t>.</w:t>
      </w:r>
      <w:r>
        <w:rPr>
          <w:rFonts w:hint="eastAsia" w:ascii="宋体" w:hAnsi="宋体" w:eastAsia="宋体" w:cs="宋体"/>
          <w:szCs w:val="21"/>
          <w:highlight w:val="none"/>
        </w:rPr>
        <w:t>系统成像技术</w:t>
      </w:r>
    </w:p>
    <w:p w14:paraId="6B27B4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2.1</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rPr>
        <w:t>2D灰阶成像</w:t>
      </w:r>
    </w:p>
    <w:p w14:paraId="4F577B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2.1.1实时复合成像技术、斑点噪声抑制功能、组织谐波成像；</w:t>
      </w:r>
    </w:p>
    <w:p w14:paraId="37A0BA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2.1.2解剖M型</w:t>
      </w:r>
    </w:p>
    <w:p w14:paraId="314175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2.1.3梯形成像</w:t>
      </w:r>
    </w:p>
    <w:p w14:paraId="18F7F4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2.2频谱多普勒成像：具备智能优化技术，可以自动调节PW取样容积位置和角度</w:t>
      </w:r>
    </w:p>
    <w:p w14:paraId="17C35A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2.3彩色多普勒成像</w:t>
      </w:r>
    </w:p>
    <w:p w14:paraId="2D8F10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2.3.1自适应宽频彩色血流成像、彩色能量成像（CPA）、方向性彩色能量成像</w:t>
      </w:r>
    </w:p>
    <w:p w14:paraId="151DC9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2.3.2M型彩色多普勒、自动彩色多普勒：自动调节取样框位置和角度</w:t>
      </w:r>
    </w:p>
    <w:p w14:paraId="1833F8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2.4组织多普勒成像</w:t>
      </w:r>
    </w:p>
    <w:p w14:paraId="2D66BB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2.5可偏转连续波多普勒</w:t>
      </w:r>
    </w:p>
    <w:p w14:paraId="2524FD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3</w:t>
      </w:r>
      <w:r>
        <w:rPr>
          <w:rFonts w:hint="eastAsia" w:ascii="宋体" w:hAnsi="宋体" w:cs="宋体"/>
          <w:szCs w:val="21"/>
          <w:highlight w:val="none"/>
          <w:lang w:eastAsia="zh-CN"/>
        </w:rPr>
        <w:t>.</w:t>
      </w:r>
      <w:r>
        <w:rPr>
          <w:rFonts w:hint="eastAsia" w:ascii="宋体" w:hAnsi="宋体" w:eastAsia="宋体" w:cs="宋体"/>
          <w:szCs w:val="21"/>
          <w:highlight w:val="none"/>
        </w:rPr>
        <w:t>先进成像技术</w:t>
      </w:r>
    </w:p>
    <w:p w14:paraId="2131EF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3.1微视血流成像</w:t>
      </w:r>
      <w:r>
        <w:rPr>
          <w:rFonts w:hint="eastAsia" w:ascii="宋体" w:hAnsi="宋体" w:cs="宋体"/>
          <w:szCs w:val="21"/>
          <w:highlight w:val="none"/>
          <w:lang w:val="en-US" w:eastAsia="zh-Hans"/>
        </w:rPr>
        <w:t>技术</w:t>
      </w:r>
      <w:r>
        <w:rPr>
          <w:rFonts w:hint="eastAsia" w:ascii="宋体" w:hAnsi="宋体" w:eastAsia="宋体" w:cs="宋体"/>
          <w:szCs w:val="21"/>
          <w:highlight w:val="none"/>
        </w:rPr>
        <w:t>：可捕捉超微细血流及超低速血流信号，支持凸阵、线阵探头，可用于腹部、妇产、浅表、肌骨、儿科、血管等多种应用，具有单独模式、增强模式及2D对比模式，具有</w:t>
      </w:r>
      <w:r>
        <w:rPr>
          <w:rFonts w:hint="eastAsia" w:ascii="宋体" w:hAnsi="宋体" w:cs="宋体"/>
          <w:szCs w:val="21"/>
          <w:highlight w:val="none"/>
          <w:lang w:val="en-US" w:eastAsia="zh-Hans"/>
        </w:rPr>
        <w:t>≥</w:t>
      </w:r>
      <w:r>
        <w:rPr>
          <w:rFonts w:hint="eastAsia" w:ascii="宋体" w:hAnsi="宋体" w:eastAsia="宋体" w:cs="宋体"/>
          <w:szCs w:val="21"/>
          <w:highlight w:val="none"/>
        </w:rPr>
        <w:t>8种map图可选，并可进行血流速度测量，已存储的图像亦可使用增强模式进行观察。</w:t>
      </w:r>
    </w:p>
    <w:p w14:paraId="59FE04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3.2造影成像</w:t>
      </w:r>
    </w:p>
    <w:p w14:paraId="792A23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3.2.1具备ROI感兴趣区造影定量分析软件</w:t>
      </w:r>
    </w:p>
    <w:p w14:paraId="6812FC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hAnsi="宋体"/>
          <w:szCs w:val="21"/>
          <w:highlight w:val="none"/>
        </w:rPr>
        <w:t>★</w:t>
      </w:r>
      <w:r>
        <w:rPr>
          <w:rFonts w:hint="eastAsia" w:ascii="宋体" w:hAnsi="宋体" w:eastAsia="宋体" w:cs="宋体"/>
          <w:szCs w:val="21"/>
          <w:highlight w:val="none"/>
        </w:rPr>
        <w:t>3.2.2具备微血管造影成像功能</w:t>
      </w:r>
    </w:p>
    <w:p w14:paraId="5396B2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hAnsi="宋体"/>
          <w:szCs w:val="21"/>
          <w:highlight w:val="none"/>
        </w:rPr>
        <w:t>★</w:t>
      </w:r>
      <w:r>
        <w:rPr>
          <w:rFonts w:hint="eastAsia" w:ascii="宋体" w:hAnsi="宋体" w:eastAsia="宋体" w:cs="宋体"/>
          <w:szCs w:val="21"/>
          <w:highlight w:val="none"/>
        </w:rPr>
        <w:t>3.3具备左心室造影成像</w:t>
      </w:r>
    </w:p>
    <w:p w14:paraId="6469B4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3.4穿刺引导功能：支持凸阵、微凸阵、线阵探头穿刺引导功能。</w:t>
      </w:r>
    </w:p>
    <w:p w14:paraId="495BA2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4</w:t>
      </w:r>
      <w:r>
        <w:rPr>
          <w:rFonts w:hint="eastAsia" w:ascii="宋体" w:hAnsi="宋体" w:cs="宋体"/>
          <w:szCs w:val="21"/>
          <w:highlight w:val="none"/>
          <w:lang w:eastAsia="zh-CN"/>
        </w:rPr>
        <w:t>.</w:t>
      </w:r>
      <w:r>
        <w:rPr>
          <w:rFonts w:hint="eastAsia" w:ascii="宋体" w:hAnsi="宋体" w:eastAsia="宋体" w:cs="宋体"/>
          <w:szCs w:val="21"/>
          <w:highlight w:val="none"/>
        </w:rPr>
        <w:t>测量和分析(B型、M型、频谱多普勒、彩色多普勒、容积模式)</w:t>
      </w:r>
    </w:p>
    <w:p w14:paraId="4519FC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4.1一般测量:距离(直线/曲线)、面积、周长(连续描记/点描记) 、角度、体积等；</w:t>
      </w:r>
    </w:p>
    <w:p w14:paraId="61CF09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4.2多普勒血流测量及分析(含自动多普勒频谱包络计算);</w:t>
      </w:r>
    </w:p>
    <w:p w14:paraId="035843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4</w:t>
      </w:r>
      <w:r>
        <w:rPr>
          <w:rFonts w:hint="eastAsia" w:ascii="宋体" w:hAnsi="宋体" w:cs="宋体"/>
          <w:szCs w:val="21"/>
          <w:highlight w:val="none"/>
          <w:lang w:eastAsia="zh-CN"/>
        </w:rPr>
        <w:t>.</w:t>
      </w:r>
      <w:r>
        <w:rPr>
          <w:rFonts w:hint="eastAsia" w:ascii="宋体" w:hAnsi="宋体" w:eastAsia="宋体" w:cs="宋体"/>
          <w:szCs w:val="21"/>
          <w:highlight w:val="none"/>
        </w:rPr>
        <w:t>3妇科/产科专用测量及分析.</w:t>
      </w:r>
      <w:r>
        <w:rPr>
          <w:rFonts w:hint="eastAsia" w:ascii="宋体" w:hAnsi="宋体" w:eastAsia="宋体" w:cs="宋体"/>
          <w:szCs w:val="21"/>
          <w:highlight w:val="none"/>
        </w:rPr>
        <w:tab/>
      </w:r>
    </w:p>
    <w:p w14:paraId="306D2C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4.4心脏功能测量与分析、外周血管测量</w:t>
      </w:r>
    </w:p>
    <w:p w14:paraId="6D6562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4.5自动多普勒分析，实时或冻结状态下都可以进行分析</w:t>
      </w:r>
    </w:p>
    <w:p w14:paraId="34DB20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hAnsi="宋体"/>
          <w:szCs w:val="21"/>
          <w:highlight w:val="none"/>
        </w:rPr>
        <w:t>★</w:t>
      </w:r>
      <w:r>
        <w:rPr>
          <w:rFonts w:hint="eastAsia" w:ascii="宋体" w:hAnsi="宋体" w:eastAsia="宋体" w:cs="宋体"/>
          <w:szCs w:val="21"/>
          <w:highlight w:val="none"/>
        </w:rPr>
        <w:t>4.6自动二维心功能定量：</w:t>
      </w:r>
    </w:p>
    <w:p w14:paraId="36E339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5</w:t>
      </w:r>
      <w:r>
        <w:rPr>
          <w:rFonts w:hint="eastAsia" w:ascii="宋体" w:hAnsi="宋体" w:cs="宋体"/>
          <w:szCs w:val="21"/>
          <w:highlight w:val="none"/>
          <w:lang w:eastAsia="zh-CN"/>
        </w:rPr>
        <w:t>.</w:t>
      </w:r>
      <w:r>
        <w:rPr>
          <w:rFonts w:hint="eastAsia" w:ascii="宋体" w:hAnsi="宋体" w:eastAsia="宋体" w:cs="宋体"/>
          <w:szCs w:val="21"/>
          <w:highlight w:val="none"/>
        </w:rPr>
        <w:t>图像存储与影像回放</w:t>
      </w:r>
    </w:p>
    <w:p w14:paraId="551B1C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6</w:t>
      </w:r>
      <w:r>
        <w:rPr>
          <w:rFonts w:hint="eastAsia" w:ascii="宋体" w:hAnsi="宋体" w:cs="宋体"/>
          <w:szCs w:val="21"/>
          <w:highlight w:val="none"/>
          <w:lang w:eastAsia="zh-CN"/>
        </w:rPr>
        <w:t>.</w:t>
      </w:r>
      <w:r>
        <w:rPr>
          <w:rFonts w:hint="eastAsia" w:ascii="宋体" w:hAnsi="宋体" w:eastAsia="宋体" w:cs="宋体"/>
          <w:szCs w:val="21"/>
          <w:highlight w:val="none"/>
        </w:rPr>
        <w:t>参考信号：心电，呼吸波，心电触发</w:t>
      </w:r>
    </w:p>
    <w:p w14:paraId="41F006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7</w:t>
      </w:r>
      <w:r>
        <w:rPr>
          <w:rFonts w:hint="eastAsia" w:ascii="宋体" w:hAnsi="宋体" w:cs="宋体"/>
          <w:szCs w:val="21"/>
          <w:highlight w:val="none"/>
          <w:lang w:eastAsia="zh-CN"/>
        </w:rPr>
        <w:t>.</w:t>
      </w:r>
      <w:r>
        <w:rPr>
          <w:rFonts w:hint="eastAsia" w:ascii="宋体" w:hAnsi="宋体" w:eastAsia="宋体" w:cs="宋体"/>
          <w:szCs w:val="21"/>
          <w:highlight w:val="none"/>
        </w:rPr>
        <w:t>支持DICOM服务，包括有线和无线传输，打印，检索和通用格式</w:t>
      </w:r>
    </w:p>
    <w:p w14:paraId="3AD600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8</w:t>
      </w:r>
      <w:r>
        <w:rPr>
          <w:rFonts w:hint="eastAsia" w:ascii="宋体" w:hAnsi="宋体" w:cs="宋体"/>
          <w:szCs w:val="21"/>
          <w:highlight w:val="none"/>
          <w:lang w:eastAsia="zh-CN"/>
        </w:rPr>
        <w:t>.</w:t>
      </w:r>
      <w:r>
        <w:rPr>
          <w:rFonts w:hint="eastAsia" w:ascii="宋体" w:hAnsi="宋体" w:eastAsia="宋体" w:cs="宋体"/>
          <w:szCs w:val="21"/>
          <w:highlight w:val="none"/>
        </w:rPr>
        <w:t>记录装置：</w:t>
      </w:r>
    </w:p>
    <w:p w14:paraId="1AE4F6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8.1</w:t>
      </w:r>
      <w:r>
        <w:rPr>
          <w:rFonts w:hint="eastAsia" w:ascii="宋体" w:hAnsi="宋体" w:eastAsia="宋体" w:cs="宋体"/>
          <w:szCs w:val="21"/>
          <w:highlight w:val="none"/>
        </w:rPr>
        <w:tab/>
      </w:r>
      <w:r>
        <w:rPr>
          <w:rFonts w:hint="eastAsia" w:ascii="宋体" w:hAnsi="宋体" w:eastAsia="宋体" w:cs="宋体"/>
          <w:szCs w:val="21"/>
          <w:highlight w:val="none"/>
        </w:rPr>
        <w:t>硬盘存储≥500GB</w:t>
      </w:r>
    </w:p>
    <w:p w14:paraId="4FB3865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Cs w:val="21"/>
          <w:highlight w:val="none"/>
          <w:lang w:val="en-US" w:eastAsia="zh-Hans"/>
        </w:rPr>
      </w:pPr>
      <w:r>
        <w:rPr>
          <w:rFonts w:hint="eastAsia" w:ascii="宋体" w:hAnsi="宋体" w:eastAsia="宋体" w:cs="宋体"/>
          <w:szCs w:val="21"/>
          <w:highlight w:val="none"/>
        </w:rPr>
        <w:t>8.2支持HDMI接口、USB</w:t>
      </w:r>
      <w:bookmarkStart w:id="208" w:name="_Hlk226923118"/>
      <w:r>
        <w:rPr>
          <w:rFonts w:hint="eastAsia" w:ascii="宋体" w:hAnsi="宋体" w:eastAsia="宋体" w:cs="宋体"/>
          <w:szCs w:val="21"/>
          <w:highlight w:val="none"/>
        </w:rPr>
        <w:t>接口</w:t>
      </w:r>
      <w:bookmarkEnd w:id="208"/>
      <w:r>
        <w:rPr>
          <w:rFonts w:hint="eastAsia" w:ascii="宋体" w:hAnsi="宋体" w:eastAsia="宋体" w:cs="宋体"/>
          <w:szCs w:val="21"/>
          <w:highlight w:val="none"/>
        </w:rPr>
        <w:t>闪存、高清音视频接口</w:t>
      </w:r>
      <w:r>
        <w:rPr>
          <w:rFonts w:hint="eastAsia" w:ascii="宋体" w:hAnsi="宋体" w:cs="宋体"/>
          <w:highlight w:val="none"/>
          <w:lang w:val="en-US" w:eastAsia="zh-Hans"/>
        </w:rPr>
        <w:t>等多种接口渠道</w:t>
      </w:r>
    </w:p>
    <w:p w14:paraId="57C4DB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cs="宋体"/>
          <w:szCs w:val="21"/>
          <w:highlight w:val="none"/>
          <w:lang w:val="en-US" w:eastAsia="zh-CN"/>
        </w:rPr>
        <w:t>三</w:t>
      </w:r>
      <w:r>
        <w:rPr>
          <w:rFonts w:hint="eastAsia" w:ascii="宋体" w:hAnsi="宋体" w:cs="宋体"/>
          <w:szCs w:val="21"/>
          <w:highlight w:val="none"/>
          <w:lang w:eastAsia="zh-CN"/>
        </w:rPr>
        <w:t>．</w:t>
      </w:r>
      <w:r>
        <w:rPr>
          <w:rFonts w:hint="eastAsia" w:ascii="宋体" w:hAnsi="宋体" w:eastAsia="宋体" w:cs="宋体"/>
          <w:szCs w:val="21"/>
          <w:highlight w:val="none"/>
        </w:rPr>
        <w:t>技术参数及要求</w:t>
      </w:r>
    </w:p>
    <w:p w14:paraId="7AAA38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cs="宋体"/>
          <w:szCs w:val="21"/>
          <w:highlight w:val="none"/>
          <w:lang w:eastAsia="zh-CN"/>
        </w:rPr>
        <w:t>.</w:t>
      </w:r>
      <w:r>
        <w:rPr>
          <w:rFonts w:hint="eastAsia" w:ascii="宋体" w:hAnsi="宋体" w:eastAsia="宋体" w:cs="宋体"/>
          <w:szCs w:val="21"/>
          <w:highlight w:val="none"/>
        </w:rPr>
        <w:t>系统通用功能</w:t>
      </w:r>
    </w:p>
    <w:p w14:paraId="548E79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1.1</w:t>
      </w:r>
      <w:r>
        <w:rPr>
          <w:rFonts w:hint="eastAsia" w:ascii="宋体" w:hAnsi="宋体" w:cs="宋体"/>
          <w:szCs w:val="21"/>
          <w:highlight w:val="none"/>
          <w:lang w:eastAsia="zh-CN"/>
        </w:rPr>
        <w:t>显示终端</w:t>
      </w:r>
      <w:r>
        <w:rPr>
          <w:rFonts w:hint="eastAsia" w:ascii="宋体" w:hAnsi="宋体" w:eastAsia="宋体" w:cs="宋体"/>
          <w:szCs w:val="21"/>
          <w:highlight w:val="none"/>
        </w:rPr>
        <w:t>：≥15</w:t>
      </w:r>
      <w:r>
        <w:rPr>
          <w:rFonts w:hint="eastAsia" w:ascii="宋体" w:hAnsi="宋体" w:cs="宋体"/>
          <w:szCs w:val="21"/>
          <w:highlight w:val="none"/>
          <w:lang w:val="en-US" w:eastAsia="zh-CN"/>
        </w:rPr>
        <w:t>.6</w:t>
      </w:r>
      <w:r>
        <w:rPr>
          <w:rFonts w:hint="eastAsia" w:ascii="宋体" w:hAnsi="宋体" w:eastAsia="宋体" w:cs="宋体"/>
          <w:szCs w:val="21"/>
          <w:highlight w:val="none"/>
        </w:rPr>
        <w:t>英寸高分辨率彩色超薄液晶</w:t>
      </w:r>
      <w:r>
        <w:rPr>
          <w:rFonts w:hint="eastAsia" w:ascii="宋体" w:hAnsi="宋体" w:cs="宋体"/>
          <w:szCs w:val="21"/>
          <w:highlight w:val="none"/>
          <w:lang w:eastAsia="zh-CN"/>
        </w:rPr>
        <w:t>显示终端</w:t>
      </w:r>
      <w:r>
        <w:rPr>
          <w:rFonts w:hint="eastAsia" w:ascii="宋体" w:hAnsi="宋体" w:eastAsia="宋体" w:cs="宋体"/>
          <w:szCs w:val="21"/>
          <w:highlight w:val="none"/>
        </w:rPr>
        <w:t>，亮度可调</w:t>
      </w:r>
    </w:p>
    <w:p w14:paraId="2CFA8E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cs="宋体"/>
          <w:szCs w:val="21"/>
          <w:highlight w:val="none"/>
          <w:lang w:eastAsia="zh-CN"/>
        </w:rPr>
        <w:t>.</w:t>
      </w:r>
      <w:r>
        <w:rPr>
          <w:rFonts w:hint="eastAsia" w:ascii="宋体" w:hAnsi="宋体" w:eastAsia="宋体" w:cs="宋体"/>
          <w:szCs w:val="21"/>
          <w:highlight w:val="none"/>
        </w:rPr>
        <w:t>探头规格</w:t>
      </w:r>
    </w:p>
    <w:p w14:paraId="600FA5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2.1</w:t>
      </w:r>
      <w:r>
        <w:rPr>
          <w:rFonts w:hint="eastAsia" w:ascii="宋体" w:hAnsi="宋体" w:eastAsia="宋体" w:cs="宋体"/>
          <w:szCs w:val="21"/>
          <w:highlight w:val="none"/>
        </w:rPr>
        <w:tab/>
      </w:r>
      <w:r>
        <w:rPr>
          <w:rFonts w:hint="eastAsia" w:ascii="宋体" w:hAnsi="宋体" w:eastAsia="宋体" w:cs="宋体"/>
          <w:szCs w:val="21"/>
          <w:highlight w:val="none"/>
        </w:rPr>
        <w:t>探头可与同品牌台式机通用且无需转接器</w:t>
      </w:r>
    </w:p>
    <w:p w14:paraId="52A1CB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3</w:t>
      </w:r>
      <w:r>
        <w:rPr>
          <w:rFonts w:hint="eastAsia" w:ascii="宋体" w:hAnsi="宋体" w:cs="宋体"/>
          <w:szCs w:val="21"/>
          <w:highlight w:val="none"/>
          <w:lang w:eastAsia="zh-CN"/>
        </w:rPr>
        <w:t>.</w:t>
      </w:r>
      <w:r>
        <w:rPr>
          <w:rFonts w:hint="eastAsia" w:ascii="宋体" w:hAnsi="宋体" w:eastAsia="宋体" w:cs="宋体"/>
          <w:szCs w:val="21"/>
          <w:highlight w:val="none"/>
        </w:rPr>
        <w:t xml:space="preserve">具备探头数量 </w:t>
      </w:r>
      <w:r>
        <w:rPr>
          <w:rFonts w:hint="eastAsia" w:ascii="宋体" w:hAnsi="宋体" w:cs="宋体"/>
          <w:szCs w:val="21"/>
          <w:highlight w:val="none"/>
          <w:lang w:val="en-US" w:eastAsia="zh-Hans"/>
        </w:rPr>
        <w:t>≥</w:t>
      </w:r>
      <w:r>
        <w:rPr>
          <w:rFonts w:hint="eastAsia" w:ascii="宋体" w:hAnsi="宋体" w:eastAsia="宋体" w:cs="宋体"/>
          <w:szCs w:val="21"/>
          <w:highlight w:val="none"/>
        </w:rPr>
        <w:t>4把</w:t>
      </w:r>
      <w:r>
        <w:rPr>
          <w:rFonts w:hint="eastAsia" w:ascii="宋体" w:hAnsi="宋体" w:cs="宋体"/>
          <w:highlight w:val="none"/>
          <w:lang w:eastAsia="zh-CN"/>
        </w:rPr>
        <w:t>，</w:t>
      </w:r>
      <w:r>
        <w:rPr>
          <w:rFonts w:hint="eastAsia" w:ascii="宋体" w:hAnsi="宋体" w:eastAsia="宋体" w:cs="宋体"/>
          <w:szCs w:val="21"/>
          <w:highlight w:val="none"/>
        </w:rPr>
        <w:t>其中单晶体探头数量≥2把</w:t>
      </w:r>
    </w:p>
    <w:p w14:paraId="6E06BB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3.1儿童电子相控阵探头：超声频率3-8MHz</w:t>
      </w:r>
    </w:p>
    <w:p w14:paraId="38E4A2E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Cs w:val="21"/>
          <w:highlight w:val="none"/>
          <w:lang w:val="en-US" w:eastAsia="zh-Hans"/>
        </w:rPr>
      </w:pPr>
      <w:r>
        <w:rPr>
          <w:rFonts w:hint="eastAsia" w:hAnsi="宋体"/>
          <w:szCs w:val="21"/>
          <w:highlight w:val="none"/>
        </w:rPr>
        <w:t>★</w:t>
      </w:r>
      <w:r>
        <w:rPr>
          <w:rFonts w:hint="eastAsia" w:ascii="宋体" w:hAnsi="宋体" w:eastAsia="宋体" w:cs="宋体"/>
          <w:szCs w:val="21"/>
          <w:highlight w:val="none"/>
        </w:rPr>
        <w:t>3.</w:t>
      </w:r>
      <w:r>
        <w:rPr>
          <w:rFonts w:hint="eastAsia" w:ascii="宋体" w:hAnsi="宋体" w:cs="宋体"/>
          <w:szCs w:val="21"/>
          <w:highlight w:val="none"/>
          <w:lang w:val="en-US" w:eastAsia="zh-CN"/>
        </w:rPr>
        <w:t>2</w:t>
      </w:r>
      <w:r>
        <w:rPr>
          <w:rFonts w:hint="eastAsia" w:ascii="宋体" w:hAnsi="宋体" w:eastAsia="宋体" w:cs="宋体"/>
          <w:szCs w:val="21"/>
          <w:highlight w:val="none"/>
        </w:rPr>
        <w:t>单晶体电子凸阵探头：超声频率1-5MH</w:t>
      </w:r>
    </w:p>
    <w:p w14:paraId="1634EB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lang w:val="en-US" w:eastAsia="zh-Hans"/>
        </w:rPr>
      </w:pPr>
      <w:r>
        <w:rPr>
          <w:rFonts w:hint="eastAsia" w:hAnsi="宋体"/>
          <w:szCs w:val="21"/>
          <w:highlight w:val="none"/>
        </w:rPr>
        <w:t>★</w:t>
      </w:r>
      <w:r>
        <w:rPr>
          <w:rFonts w:hint="eastAsia" w:ascii="宋体" w:hAnsi="宋体" w:eastAsia="宋体" w:cs="宋体"/>
          <w:szCs w:val="21"/>
          <w:highlight w:val="none"/>
        </w:rPr>
        <w:t>3.</w:t>
      </w:r>
      <w:r>
        <w:rPr>
          <w:rFonts w:hint="eastAsia" w:ascii="宋体" w:hAnsi="宋体" w:cs="宋体"/>
          <w:szCs w:val="21"/>
          <w:highlight w:val="none"/>
          <w:lang w:val="en-US" w:eastAsia="zh-CN"/>
        </w:rPr>
        <w:t>3</w:t>
      </w:r>
      <w:r>
        <w:rPr>
          <w:rFonts w:hint="eastAsia" w:ascii="宋体" w:hAnsi="宋体" w:eastAsia="宋体" w:cs="宋体"/>
          <w:szCs w:val="21"/>
          <w:highlight w:val="none"/>
        </w:rPr>
        <w:t>单晶体电子线阵探头：超声频率4-18MHz</w:t>
      </w:r>
    </w:p>
    <w:p w14:paraId="388C8B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3.</w:t>
      </w:r>
      <w:r>
        <w:rPr>
          <w:rFonts w:hint="eastAsia" w:ascii="宋体" w:hAnsi="宋体" w:cs="宋体"/>
          <w:szCs w:val="21"/>
          <w:highlight w:val="none"/>
          <w:lang w:val="en-US" w:eastAsia="zh-CN"/>
        </w:rPr>
        <w:t>4</w:t>
      </w:r>
      <w:r>
        <w:rPr>
          <w:rFonts w:hint="eastAsia" w:ascii="宋体" w:hAnsi="宋体" w:eastAsia="宋体" w:cs="宋体"/>
          <w:szCs w:val="21"/>
          <w:highlight w:val="none"/>
        </w:rPr>
        <w:t>电子腔内微凸探头：超声频率3-10MHz</w:t>
      </w:r>
    </w:p>
    <w:p w14:paraId="6348E0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3.</w:t>
      </w:r>
      <w:r>
        <w:rPr>
          <w:rFonts w:hint="eastAsia" w:ascii="宋体" w:hAnsi="宋体" w:cs="宋体"/>
          <w:szCs w:val="21"/>
          <w:highlight w:val="none"/>
          <w:lang w:val="en-US" w:eastAsia="zh-CN"/>
        </w:rPr>
        <w:t>5</w:t>
      </w:r>
      <w:r>
        <w:rPr>
          <w:rFonts w:hint="eastAsia" w:ascii="宋体" w:hAnsi="宋体" w:eastAsia="宋体" w:cs="宋体"/>
          <w:szCs w:val="21"/>
          <w:highlight w:val="none"/>
        </w:rPr>
        <w:t>扫描深度：≥30cm</w:t>
      </w:r>
    </w:p>
    <w:p w14:paraId="5CAD70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3.</w:t>
      </w:r>
      <w:r>
        <w:rPr>
          <w:rFonts w:hint="eastAsia" w:ascii="宋体" w:hAnsi="宋体" w:cs="宋体"/>
          <w:szCs w:val="21"/>
          <w:highlight w:val="none"/>
          <w:lang w:val="en-US" w:eastAsia="zh-CN"/>
        </w:rPr>
        <w:t>6</w:t>
      </w:r>
      <w:r>
        <w:rPr>
          <w:rFonts w:hint="eastAsia" w:ascii="宋体" w:hAnsi="宋体" w:eastAsia="宋体" w:cs="宋体"/>
          <w:szCs w:val="21"/>
          <w:highlight w:val="none"/>
        </w:rPr>
        <w:t>增益调节：B/D可独立调节，TGC分段≥8，LGC分段≥8</w:t>
      </w:r>
    </w:p>
    <w:p w14:paraId="7B76CF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4</w:t>
      </w:r>
      <w:r>
        <w:rPr>
          <w:rFonts w:hint="eastAsia" w:ascii="宋体" w:hAnsi="宋体" w:cs="宋体"/>
          <w:szCs w:val="21"/>
          <w:highlight w:val="none"/>
          <w:lang w:eastAsia="zh-CN"/>
        </w:rPr>
        <w:t>.</w:t>
      </w:r>
      <w:r>
        <w:rPr>
          <w:rFonts w:hint="eastAsia" w:ascii="宋体" w:hAnsi="宋体" w:eastAsia="宋体" w:cs="宋体"/>
          <w:szCs w:val="21"/>
          <w:highlight w:val="none"/>
        </w:rPr>
        <w:t>频谱多普勒</w:t>
      </w:r>
    </w:p>
    <w:p w14:paraId="616580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4.1方式：脉冲波多普勒PW，连续波多普勒CW</w:t>
      </w:r>
    </w:p>
    <w:p w14:paraId="5CBED5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4.2自动速度刻度调整的角度校正</w:t>
      </w:r>
    </w:p>
    <w:p w14:paraId="3E074C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4.3五种可选扫描速度：最低速，低速，中等速度，快速，最高速</w:t>
      </w:r>
    </w:p>
    <w:p w14:paraId="56EFB1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4.4取样宽度及位置范围：宽度1.0-20mm; 分级可调</w:t>
      </w:r>
    </w:p>
    <w:p w14:paraId="765986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5</w:t>
      </w:r>
      <w:r>
        <w:rPr>
          <w:rFonts w:hint="eastAsia" w:ascii="宋体" w:hAnsi="宋体" w:cs="宋体"/>
          <w:szCs w:val="21"/>
          <w:highlight w:val="none"/>
          <w:lang w:eastAsia="zh-CN"/>
        </w:rPr>
        <w:t>.</w:t>
      </w:r>
      <w:r>
        <w:rPr>
          <w:rFonts w:hint="eastAsia" w:ascii="宋体" w:hAnsi="宋体" w:eastAsia="宋体" w:cs="宋体"/>
          <w:szCs w:val="21"/>
          <w:highlight w:val="none"/>
        </w:rPr>
        <w:t>彩色多普勒</w:t>
      </w:r>
    </w:p>
    <w:p w14:paraId="4F678F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5.1显示方式：速度方差显示、速度显示、方差显示;</w:t>
      </w:r>
    </w:p>
    <w:p w14:paraId="748DF5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5.2显示位置调整：感兴趣的图像范围：-20”-+20”</w:t>
      </w:r>
    </w:p>
    <w:p w14:paraId="471D24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5.3双同步和三同步模式下独立声束偏转技术</w:t>
      </w:r>
    </w:p>
    <w:p w14:paraId="644A3A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6</w:t>
      </w:r>
      <w:r>
        <w:rPr>
          <w:rFonts w:hint="eastAsia" w:ascii="宋体" w:hAnsi="宋体" w:cs="宋体"/>
          <w:szCs w:val="21"/>
          <w:highlight w:val="none"/>
          <w:lang w:eastAsia="zh-CN"/>
        </w:rPr>
        <w:t>.</w:t>
      </w:r>
      <w:r>
        <w:rPr>
          <w:rFonts w:hint="eastAsia" w:ascii="宋体" w:hAnsi="宋体" w:eastAsia="宋体" w:cs="宋体"/>
          <w:szCs w:val="21"/>
          <w:highlight w:val="none"/>
        </w:rPr>
        <w:t xml:space="preserve">超声功率输出调节：B/M，PW，CDFI </w:t>
      </w:r>
    </w:p>
    <w:p w14:paraId="023D31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7</w:t>
      </w:r>
      <w:r>
        <w:rPr>
          <w:rFonts w:hint="eastAsia" w:ascii="宋体" w:hAnsi="宋体" w:cs="宋体"/>
          <w:szCs w:val="21"/>
          <w:highlight w:val="none"/>
          <w:lang w:eastAsia="zh-CN"/>
        </w:rPr>
        <w:t>.</w:t>
      </w:r>
      <w:r>
        <w:rPr>
          <w:rFonts w:hint="eastAsia" w:ascii="宋体" w:hAnsi="宋体" w:eastAsia="宋体" w:cs="宋体"/>
          <w:szCs w:val="21"/>
          <w:highlight w:val="none"/>
        </w:rPr>
        <w:t>专用推车，可放置及固定主机系统及相关备件，高度可调，可旋转锁定，台车带集成键盘</w:t>
      </w:r>
    </w:p>
    <w:p w14:paraId="05C07E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7.1三探头接口台车可选，所有探头接口统一</w:t>
      </w:r>
    </w:p>
    <w:p w14:paraId="3556E8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7.2台车提供续航电池，供主机使用</w:t>
      </w:r>
    </w:p>
    <w:p w14:paraId="7FC33747">
      <w:pPr>
        <w:spacing w:line="360" w:lineRule="auto"/>
        <w:rPr>
          <w:rFonts w:hint="eastAsia" w:ascii="宋体" w:hAnsi="宋体" w:eastAsia="宋体" w:cs="宋体"/>
          <w:szCs w:val="21"/>
          <w:highlight w:val="none"/>
        </w:rPr>
      </w:pPr>
    </w:p>
    <w:p w14:paraId="71AA233B">
      <w:pPr>
        <w:spacing w:line="360" w:lineRule="auto"/>
        <w:rPr>
          <w:rFonts w:hint="eastAsia" w:ascii="宋体" w:hAnsi="宋体" w:eastAsia="宋体" w:cs="宋体"/>
          <w:szCs w:val="21"/>
          <w:highlight w:val="none"/>
        </w:rPr>
      </w:pPr>
    </w:p>
    <w:p w14:paraId="6BA89C65">
      <w:pPr>
        <w:spacing w:line="360" w:lineRule="auto"/>
        <w:rPr>
          <w:rFonts w:hint="eastAsia" w:ascii="宋体" w:hAnsi="宋体" w:eastAsia="宋体" w:cs="宋体"/>
          <w:szCs w:val="21"/>
          <w:highlight w:val="none"/>
        </w:rPr>
      </w:pPr>
    </w:p>
    <w:p w14:paraId="01C88D2C">
      <w:pPr>
        <w:spacing w:line="360" w:lineRule="auto"/>
        <w:rPr>
          <w:rFonts w:hint="eastAsia" w:ascii="宋体" w:hAnsi="宋体" w:cs="宋体"/>
          <w:highlight w:val="none"/>
        </w:rPr>
      </w:pPr>
    </w:p>
    <w:p w14:paraId="7C3F0586">
      <w:pPr>
        <w:rPr>
          <w:rFonts w:hint="eastAsia" w:ascii="宋体" w:hAnsi="宋体"/>
          <w:b w:val="0"/>
          <w:bCs/>
          <w:szCs w:val="21"/>
          <w:highlight w:val="none"/>
          <w:lang w:val="en-US" w:eastAsia="zh-CN"/>
        </w:rPr>
      </w:pPr>
      <w:r>
        <w:rPr>
          <w:rFonts w:hint="eastAsia" w:ascii="宋体" w:hAnsi="宋体"/>
          <w:b w:val="0"/>
          <w:bCs/>
          <w:szCs w:val="21"/>
          <w:highlight w:val="none"/>
          <w:lang w:val="en-US" w:eastAsia="zh-CN"/>
        </w:rPr>
        <w:br w:type="page"/>
      </w:r>
    </w:p>
    <w:p w14:paraId="686AEC41">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采购标的二</w:t>
      </w:r>
    </w:p>
    <w:p w14:paraId="25E5B69F">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一</w:t>
      </w:r>
      <w:r>
        <w:rPr>
          <w:rFonts w:hint="eastAsia" w:ascii="宋体" w:hAnsi="宋体" w:eastAsia="宋体" w:cs="宋体"/>
          <w:szCs w:val="21"/>
          <w:highlight w:val="none"/>
          <w:lang w:eastAsia="zh-CN"/>
        </w:rPr>
        <w:t>、</w:t>
      </w:r>
      <w:r>
        <w:rPr>
          <w:rFonts w:hint="eastAsia" w:ascii="宋体" w:hAnsi="宋体" w:eastAsia="宋体" w:cs="宋体"/>
          <w:szCs w:val="21"/>
          <w:highlight w:val="none"/>
        </w:rPr>
        <w:t>设备用途：满足腹部、心脏、浅表、血管、神经肌骨、妇产、穿刺、造影等全身应用需求。</w:t>
      </w:r>
    </w:p>
    <w:p w14:paraId="33888EE4">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二</w:t>
      </w:r>
      <w:r>
        <w:rPr>
          <w:rFonts w:hint="eastAsia" w:ascii="宋体" w:hAnsi="宋体" w:eastAsia="宋体" w:cs="宋体"/>
          <w:szCs w:val="21"/>
          <w:highlight w:val="none"/>
          <w:lang w:eastAsia="zh-CN"/>
        </w:rPr>
        <w:t>、</w:t>
      </w:r>
      <w:r>
        <w:rPr>
          <w:rFonts w:hint="eastAsia" w:ascii="宋体" w:hAnsi="宋体" w:eastAsia="宋体" w:cs="宋体"/>
          <w:szCs w:val="21"/>
          <w:highlight w:val="none"/>
        </w:rPr>
        <w:t>主要技术规格及系统概述：</w:t>
      </w:r>
    </w:p>
    <w:p w14:paraId="51962CF7">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cs="宋体"/>
          <w:szCs w:val="21"/>
          <w:highlight w:val="none"/>
          <w:lang w:eastAsia="zh-CN"/>
        </w:rPr>
        <w:t>.</w:t>
      </w:r>
      <w:r>
        <w:rPr>
          <w:rFonts w:hint="eastAsia" w:ascii="宋体" w:hAnsi="宋体" w:eastAsia="宋体" w:cs="宋体"/>
          <w:szCs w:val="21"/>
          <w:highlight w:val="none"/>
        </w:rPr>
        <w:t>主机系统性能概括</w:t>
      </w:r>
    </w:p>
    <w:p w14:paraId="472AE9FA">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1.1≥15.5寸高清晰、医用专业彩色显示屏，分辨率不低于1280x1024，根据环境光变化自动调节亮度 </w:t>
      </w:r>
    </w:p>
    <w:p w14:paraId="2AF587AC">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1.2探头接口1个，可扩展到≥3个</w:t>
      </w:r>
    </w:p>
    <w:p w14:paraId="0260DEE6">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1.3支持用户自定义按键数量≥4个，同一个自定义键支持≥4个功能</w:t>
      </w:r>
    </w:p>
    <w:p w14:paraId="56842D56">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1.4支持英语，中文，法语等语种（包括键盘输入、注释、操作面板等）</w:t>
      </w:r>
    </w:p>
    <w:p w14:paraId="6D326A1B">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szCs w:val="21"/>
          <w:highlight w:val="none"/>
        </w:rPr>
        <w:tab/>
      </w:r>
      <w:r>
        <w:rPr>
          <w:rFonts w:hint="eastAsia" w:ascii="宋体" w:hAnsi="宋体" w:eastAsia="宋体" w:cs="宋体"/>
          <w:szCs w:val="21"/>
          <w:highlight w:val="none"/>
        </w:rPr>
        <w:t>二维灰阶模式</w:t>
      </w:r>
    </w:p>
    <w:p w14:paraId="7A615DAF">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2.1组织谐波成像模式</w:t>
      </w:r>
    </w:p>
    <w:p w14:paraId="35FC40E8">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2.2组织特异性成像</w:t>
      </w:r>
    </w:p>
    <w:p w14:paraId="64F23600">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2.3多角度空间复合成像技术，支持≥7条偏转线，多级可调，支持线阵和凸阵探头</w:t>
      </w:r>
    </w:p>
    <w:p w14:paraId="4E4B6A2C">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2.4频率复合成像</w:t>
      </w:r>
    </w:p>
    <w:p w14:paraId="09EBB341">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2.5斑点噪声抑制成像</w:t>
      </w:r>
    </w:p>
    <w:p w14:paraId="79548D1F">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2.6回波增强技术</w:t>
      </w:r>
    </w:p>
    <w:p w14:paraId="3A88228F">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3.M型成像模式</w:t>
      </w:r>
    </w:p>
    <w:p w14:paraId="2B6DDEDD">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3.1彩色M型</w:t>
      </w:r>
    </w:p>
    <w:p w14:paraId="7924CADA">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3.2解剖M型，取样线≥2条，可360度任意旋转，支持实时扫描以及离线重构M型图像</w:t>
      </w:r>
    </w:p>
    <w:p w14:paraId="72B80C6E">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4.彩色多普勒成像（包括彩色、能量、方向能量多普勒模式）</w:t>
      </w:r>
    </w:p>
    <w:p w14:paraId="7E6F4484">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4.1超宽动态血流技术</w:t>
      </w:r>
    </w:p>
    <w:p w14:paraId="47BC7FA8">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4.2高分辨率血流成像</w:t>
      </w:r>
    </w:p>
    <w:p w14:paraId="0105A287">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4.3双实时同屏对比显示</w:t>
      </w:r>
    </w:p>
    <w:p w14:paraId="46A7DF77">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4.4自动调节取样框的角度及位置</w:t>
      </w:r>
    </w:p>
    <w:p w14:paraId="1E9777E2">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5.频谱多普勒成像</w:t>
      </w:r>
    </w:p>
    <w:p w14:paraId="38ADA846">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5.1脉冲多普勒、高脉冲重复频率</w:t>
      </w:r>
    </w:p>
    <w:p w14:paraId="5D6A6239">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5.2连续多普勒</w:t>
      </w:r>
    </w:p>
    <w:p w14:paraId="60DDCAA4">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5.3智能多普勒自动优化频谱多普勒取样线角度，以及快速矫正取样角度</w:t>
      </w:r>
    </w:p>
    <w:p w14:paraId="758899E6">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6.组织多普勒成像及定量分析单元，包括组织速度多普勒成像、组织能量多普勒成像、组织频谱多普勒成像、组织M型模式</w:t>
      </w:r>
    </w:p>
    <w:p w14:paraId="5BEC9D42">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7.一键自动优化（包括应用于二维、彩色、频谱模式、造影）</w:t>
      </w:r>
    </w:p>
    <w:p w14:paraId="4CEA58A1">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8.图像放大技术</w:t>
      </w:r>
    </w:p>
    <w:p w14:paraId="1C99F120">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8.1一键实现全屏放大</w:t>
      </w:r>
    </w:p>
    <w:p w14:paraId="7FEC56ED">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8.2</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rPr>
        <w:t>10倍局部放大（支持前端、后端放大）</w:t>
      </w:r>
    </w:p>
    <w:p w14:paraId="326BF41C">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三</w:t>
      </w:r>
      <w:r>
        <w:rPr>
          <w:rFonts w:hint="eastAsia" w:ascii="宋体" w:hAnsi="宋体" w:eastAsia="宋体" w:cs="宋体"/>
          <w:szCs w:val="21"/>
          <w:highlight w:val="none"/>
        </w:rPr>
        <w:t>、测量分析和报告</w:t>
      </w:r>
    </w:p>
    <w:p w14:paraId="3B13DD92">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1.常规测量，支持距离、椭圆、描迹测、体积、斜率等</w:t>
      </w:r>
    </w:p>
    <w:p w14:paraId="642D7387">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2.多普勒测量（自动或手动包络测量，自动计算测量参数）</w:t>
      </w:r>
    </w:p>
    <w:p w14:paraId="595E3C5A">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3.妇科/产科专用测量及分析，含多胎测量、胎儿生理评分、中国人群产科公式 </w:t>
      </w:r>
    </w:p>
    <w:p w14:paraId="1CE03D08">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4.心脏功能专用测量及分析，包括Simpson BP，Tei指数分析，PISA等</w:t>
      </w:r>
    </w:p>
    <w:p w14:paraId="1A354288">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5.血管内中膜自动测量，可进行血管前、后壁的内中膜一段距离的自动描记、自动生成测量数据结果</w:t>
      </w:r>
    </w:p>
    <w:p w14:paraId="1468086A">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6.</w:t>
      </w:r>
      <w:r>
        <w:rPr>
          <w:rFonts w:hint="eastAsia"/>
          <w:highlight w:val="none"/>
          <w:lang w:val="en-US" w:eastAsia="zh-CN"/>
        </w:rPr>
        <w:t>具备</w:t>
      </w:r>
      <w:r>
        <w:rPr>
          <w:rFonts w:hint="eastAsia" w:ascii="宋体" w:hAnsi="宋体" w:eastAsia="宋体" w:cs="宋体"/>
          <w:szCs w:val="21"/>
          <w:highlight w:val="none"/>
        </w:rPr>
        <w:t>儿科髋关节测量、神经测量和急重症测量</w:t>
      </w:r>
      <w:r>
        <w:rPr>
          <w:rFonts w:hint="eastAsia" w:ascii="宋体" w:hAnsi="宋体" w:cs="宋体"/>
          <w:szCs w:val="21"/>
          <w:highlight w:val="none"/>
          <w:lang w:val="en-US" w:eastAsia="zh-CN"/>
        </w:rPr>
        <w:t>功能</w:t>
      </w:r>
    </w:p>
    <w:p w14:paraId="22E6C843">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四</w:t>
      </w:r>
      <w:r>
        <w:rPr>
          <w:rFonts w:hint="eastAsia" w:ascii="宋体" w:hAnsi="宋体" w:eastAsia="宋体" w:cs="宋体"/>
          <w:szCs w:val="21"/>
          <w:highlight w:val="none"/>
        </w:rPr>
        <w:t>、电影回放及原始数据处理</w:t>
      </w:r>
    </w:p>
    <w:p w14:paraId="18D28348">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1.电影回放</w:t>
      </w:r>
      <w:r>
        <w:rPr>
          <w:rFonts w:hint="eastAsia" w:ascii="宋体" w:hAnsi="宋体" w:cs="宋体"/>
          <w:szCs w:val="21"/>
          <w:highlight w:val="none"/>
          <w:lang w:val="en-US" w:eastAsia="zh-CN"/>
        </w:rPr>
        <w:t xml:space="preserve"> </w:t>
      </w:r>
    </w:p>
    <w:p w14:paraId="21DEF9A8">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1.1所有模式下支持手动、自动回放</w:t>
      </w:r>
    </w:p>
    <w:p w14:paraId="14EEECE8">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1.2支持向后存储和向前存储，时间长度可预置，向后存储≥5分钟的电影</w:t>
      </w:r>
    </w:p>
    <w:p w14:paraId="36913CF7">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1.3支持保存后的图像同屏对比分析（动态、静态）</w:t>
      </w:r>
    </w:p>
    <w:p w14:paraId="1D63E172">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2.原始数据处理，可对回放图像进行≥20个参数调节</w:t>
      </w:r>
    </w:p>
    <w:p w14:paraId="6B779501">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五</w:t>
      </w:r>
      <w:r>
        <w:rPr>
          <w:rFonts w:hint="eastAsia" w:ascii="宋体" w:hAnsi="宋体" w:eastAsia="宋体" w:cs="宋体"/>
          <w:szCs w:val="21"/>
          <w:highlight w:val="none"/>
        </w:rPr>
        <w:t>、检查存储和管理</w:t>
      </w:r>
    </w:p>
    <w:p w14:paraId="32E43F9A">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1.≥240G固态硬盘</w:t>
      </w:r>
    </w:p>
    <w:p w14:paraId="66851F61">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2.内置超声工作站，支持同步存储，即后台存储或导出图像数据的同时前台可以完成实时扫描，不影响检查操作</w:t>
      </w:r>
    </w:p>
    <w:p w14:paraId="0A80EABF">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3.支持直接一键存储至硬盘或U盘，突然关机或未结束检查关机资料不丢失</w:t>
      </w:r>
    </w:p>
    <w:p w14:paraId="56E5CD82">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4.动态图像、静态图像以PC格式直接导出（支持单帧图像文件包含： DCM、TIFF、BMP、JPG单帧，电影文件包括：CIN、AVI、DCM），无需特殊软件即能在普通PC 机上直接观看图像。</w:t>
      </w:r>
    </w:p>
    <w:p w14:paraId="0EE05E87">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六</w:t>
      </w:r>
      <w:r>
        <w:rPr>
          <w:rFonts w:hint="eastAsia" w:ascii="宋体" w:hAnsi="宋体" w:eastAsia="宋体" w:cs="宋体"/>
          <w:szCs w:val="21"/>
          <w:highlight w:val="none"/>
        </w:rPr>
        <w:t>、技术参数及要求</w:t>
      </w:r>
    </w:p>
    <w:p w14:paraId="12341C16">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1.二维灰阶模式</w:t>
      </w:r>
    </w:p>
    <w:p w14:paraId="468B97EC">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1.1焦点：4个，动态可调</w:t>
      </w:r>
    </w:p>
    <w:p w14:paraId="4670831E">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1.2具备探头数量4把</w:t>
      </w:r>
      <w:r>
        <w:rPr>
          <w:rFonts w:hint="eastAsia" w:ascii="宋体" w:hAnsi="宋体" w:cs="宋体"/>
          <w:szCs w:val="21"/>
          <w:highlight w:val="none"/>
          <w:lang w:eastAsia="zh-CN"/>
        </w:rPr>
        <w:t>，</w:t>
      </w:r>
      <w:r>
        <w:rPr>
          <w:rFonts w:hint="eastAsia" w:ascii="宋体" w:hAnsi="宋体" w:eastAsia="宋体" w:cs="宋体"/>
          <w:szCs w:val="21"/>
          <w:highlight w:val="none"/>
        </w:rPr>
        <w:t>其中单晶体探头数量≥2把</w:t>
      </w:r>
    </w:p>
    <w:p w14:paraId="01AF7FD1">
      <w:pPr>
        <w:spacing w:line="360" w:lineRule="auto"/>
        <w:rPr>
          <w:rFonts w:hint="default" w:ascii="宋体" w:hAnsi="宋体" w:eastAsia="宋体" w:cs="宋体"/>
          <w:szCs w:val="21"/>
          <w:highlight w:val="none"/>
          <w:lang w:val="en-US" w:eastAsia="zh-Hans"/>
        </w:rPr>
      </w:pPr>
      <w:r>
        <w:rPr>
          <w:rFonts w:hint="eastAsia" w:hAnsi="宋体"/>
          <w:szCs w:val="21"/>
          <w:highlight w:val="none"/>
        </w:rPr>
        <w:t>★</w:t>
      </w:r>
      <w:r>
        <w:rPr>
          <w:rFonts w:hint="eastAsia" w:ascii="宋体" w:hAnsi="宋体" w:eastAsia="宋体" w:cs="宋体"/>
          <w:szCs w:val="21"/>
          <w:highlight w:val="none"/>
        </w:rPr>
        <w:t>单晶体凸阵探头：频率：1.5-5.0MHz</w:t>
      </w:r>
    </w:p>
    <w:p w14:paraId="677B35D1">
      <w:pPr>
        <w:spacing w:line="360" w:lineRule="auto"/>
        <w:rPr>
          <w:rFonts w:hint="eastAsia" w:ascii="宋体" w:hAnsi="宋体" w:eastAsia="宋体" w:cs="宋体"/>
          <w:szCs w:val="21"/>
          <w:highlight w:val="none"/>
        </w:rPr>
      </w:pPr>
      <w:r>
        <w:rPr>
          <w:rFonts w:hint="eastAsia" w:hAnsi="宋体"/>
          <w:szCs w:val="21"/>
          <w:highlight w:val="none"/>
        </w:rPr>
        <w:t>★</w:t>
      </w:r>
      <w:r>
        <w:rPr>
          <w:rFonts w:hint="eastAsia" w:ascii="宋体" w:hAnsi="宋体" w:eastAsia="宋体" w:cs="宋体"/>
          <w:szCs w:val="21"/>
          <w:highlight w:val="none"/>
        </w:rPr>
        <w:t>单晶体相控阵：超声频率1.0-5.0MHz，扫描角度≥90；</w:t>
      </w:r>
    </w:p>
    <w:p w14:paraId="3C4C76B0">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电子线阵：超声频率3.0-13.0MHz，支持扩展成像；</w:t>
      </w:r>
    </w:p>
    <w:p w14:paraId="604D8AC3">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电子凸阵经阴道：3.0-12.5MHz，扫描角度≥180°</w:t>
      </w:r>
    </w:p>
    <w:p w14:paraId="0686AC28">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1.3最大显示深度:≥40cm</w:t>
      </w:r>
    </w:p>
    <w:p w14:paraId="74EBFD31">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1.4TGC: ≥8段，LGC: ≥4段</w:t>
      </w:r>
    </w:p>
    <w:p w14:paraId="583F3520">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1.5动态范围: 30-240dB，可视可调</w:t>
      </w:r>
    </w:p>
    <w:p w14:paraId="5FE313D9">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1.6增益调节: B/M/D分别独立可调，≥100</w:t>
      </w:r>
    </w:p>
    <w:p w14:paraId="67146DAF">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1.7伪彩图谱: ≥8种</w:t>
      </w:r>
    </w:p>
    <w:p w14:paraId="00B65E24">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2.彩色多普勒成像</w:t>
      </w:r>
    </w:p>
    <w:p w14:paraId="6CE31FA4">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2.1包括速度、速度方差、能量、方向能量显示等</w:t>
      </w:r>
    </w:p>
    <w:p w14:paraId="39D2D041">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2.2显示方式：B/C、B/C/M、B/POWER、B/C/PW</w:t>
      </w:r>
    </w:p>
    <w:p w14:paraId="3BD26B1F">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2.3取样框偏转: ≥±30度 (线阵探头)</w:t>
      </w:r>
    </w:p>
    <w:p w14:paraId="1E9994F9">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2.4支持B/C 同宽</w:t>
      </w:r>
    </w:p>
    <w:p w14:paraId="793127BE">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3.频谱多普勒模式</w:t>
      </w:r>
    </w:p>
    <w:p w14:paraId="13FA3E86">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3.1显示控制：反转、零移位、B刷新、D扩展、B/D扩展等</w:t>
      </w:r>
    </w:p>
    <w:p w14:paraId="22750FD8">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3.2</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rPr>
        <w:t>PW最大速度: ≥9.</w:t>
      </w:r>
      <w:r>
        <w:rPr>
          <w:rFonts w:hint="default" w:ascii="宋体" w:hAnsi="宋体" w:cs="宋体"/>
          <w:szCs w:val="21"/>
          <w:highlight w:val="none"/>
        </w:rPr>
        <w:t>00</w:t>
      </w:r>
      <w:r>
        <w:rPr>
          <w:rFonts w:hint="eastAsia" w:ascii="宋体" w:hAnsi="宋体" w:eastAsia="宋体" w:cs="宋体"/>
          <w:szCs w:val="21"/>
          <w:highlight w:val="none"/>
        </w:rPr>
        <w:t>m/s</w:t>
      </w:r>
    </w:p>
    <w:p w14:paraId="4A1C854A">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3.3最小速度: ≤5mm/s</w:t>
      </w:r>
    </w:p>
    <w:p w14:paraId="10B6F6F5">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3.4取样容积: 0.5-20mm </w:t>
      </w:r>
    </w:p>
    <w:p w14:paraId="150146F5">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3.5偏转角度: ≥±30度 (线阵探头)</w:t>
      </w:r>
    </w:p>
    <w:p w14:paraId="346D9B84">
      <w:pPr>
        <w:spacing w:line="360" w:lineRule="auto"/>
        <w:rPr>
          <w:rFonts w:hint="eastAsia" w:ascii="宋体" w:hAnsi="宋体" w:eastAsia="宋体" w:cs="宋体"/>
          <w:szCs w:val="21"/>
          <w:highlight w:val="none"/>
          <w:lang w:val="en-US" w:eastAsia="zh-Hans"/>
        </w:rPr>
      </w:pPr>
      <w:r>
        <w:rPr>
          <w:rFonts w:hint="eastAsia" w:ascii="宋体" w:hAnsi="宋体" w:eastAsia="宋体" w:cs="宋体"/>
          <w:szCs w:val="21"/>
          <w:highlight w:val="none"/>
        </w:rPr>
        <w:t>3.6零位移动：≥8 级</w:t>
      </w:r>
      <w:r>
        <w:rPr>
          <w:rFonts w:hint="eastAsia" w:ascii="宋体" w:hAnsi="宋体" w:cs="宋体"/>
          <w:szCs w:val="21"/>
          <w:highlight w:val="none"/>
          <w:lang w:val="en-US" w:eastAsia="zh-Hans"/>
        </w:rPr>
        <w:t>s</w:t>
      </w:r>
    </w:p>
    <w:p w14:paraId="66EBF05A">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3.7快速角度校正</w:t>
      </w:r>
    </w:p>
    <w:p w14:paraId="1D3D228E">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4．造影成像</w:t>
      </w:r>
    </w:p>
    <w:p w14:paraId="5C630A7B">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4.1具备ROI感兴趣区造影定量分析软件</w:t>
      </w:r>
    </w:p>
    <w:p w14:paraId="01F0A58E">
      <w:pPr>
        <w:spacing w:line="360" w:lineRule="auto"/>
        <w:rPr>
          <w:rFonts w:hint="eastAsia" w:ascii="宋体" w:hAnsi="宋体" w:eastAsia="宋体" w:cs="宋体"/>
          <w:szCs w:val="21"/>
          <w:highlight w:val="none"/>
        </w:rPr>
      </w:pPr>
      <w:r>
        <w:rPr>
          <w:rFonts w:hint="eastAsia" w:hAnsi="宋体"/>
          <w:szCs w:val="21"/>
          <w:highlight w:val="none"/>
        </w:rPr>
        <w:t>★</w:t>
      </w:r>
      <w:r>
        <w:rPr>
          <w:rFonts w:hint="eastAsia" w:ascii="宋体" w:hAnsi="宋体" w:eastAsia="宋体" w:cs="宋体"/>
          <w:szCs w:val="21"/>
          <w:highlight w:val="none"/>
        </w:rPr>
        <w:t>4.2</w:t>
      </w:r>
      <w:r>
        <w:rPr>
          <w:rFonts w:hint="eastAsia" w:ascii="宋体" w:hAnsi="宋体" w:cs="宋体"/>
          <w:szCs w:val="21"/>
          <w:highlight w:val="none"/>
          <w:lang w:val="en-US" w:eastAsia="zh-Hans"/>
        </w:rPr>
        <w:t>具有</w:t>
      </w:r>
      <w:r>
        <w:rPr>
          <w:rFonts w:hint="eastAsia" w:ascii="宋体" w:hAnsi="宋体" w:eastAsia="宋体" w:cs="宋体"/>
          <w:szCs w:val="21"/>
          <w:highlight w:val="none"/>
        </w:rPr>
        <w:t>微视血流成像</w:t>
      </w:r>
      <w:r>
        <w:rPr>
          <w:rFonts w:hint="eastAsia" w:ascii="宋体" w:hAnsi="宋体" w:cs="宋体"/>
          <w:szCs w:val="21"/>
          <w:highlight w:val="none"/>
          <w:lang w:val="en-US" w:eastAsia="zh-Hans"/>
        </w:rPr>
        <w:t>技术</w:t>
      </w:r>
      <w:r>
        <w:rPr>
          <w:rFonts w:hint="eastAsia" w:ascii="宋体" w:hAnsi="宋体" w:eastAsia="宋体" w:cs="宋体"/>
          <w:szCs w:val="21"/>
          <w:highlight w:val="none"/>
        </w:rPr>
        <w:t>：可捕捉超微细血流及超低速血流信号，支持凸阵、线阵探头，可用于腹部、妇产、浅表、肌骨、儿科、血管等多种应用，具备微血管造影成像功能。</w:t>
      </w:r>
    </w:p>
    <w:p w14:paraId="564E9671">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4.3穿刺引导功能：支持凸阵、微凸阵、线阵探头穿刺引导功能。</w:t>
      </w:r>
    </w:p>
    <w:p w14:paraId="43DC8485">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七</w:t>
      </w:r>
      <w:r>
        <w:rPr>
          <w:rFonts w:hint="eastAsia" w:ascii="宋体" w:hAnsi="宋体" w:eastAsia="宋体" w:cs="宋体"/>
          <w:szCs w:val="21"/>
          <w:highlight w:val="none"/>
        </w:rPr>
        <w:t>、连通性</w:t>
      </w:r>
    </w:p>
    <w:p w14:paraId="78AF7095">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1.</w:t>
      </w:r>
      <w:r>
        <w:rPr>
          <w:rFonts w:hint="eastAsia" w:ascii="宋体" w:hAnsi="宋体" w:eastAsia="宋体" w:cs="宋体"/>
          <w:szCs w:val="21"/>
          <w:highlight w:val="none"/>
        </w:rPr>
        <w:t>参考信号:心电，呼吸波，心电触发</w:t>
      </w:r>
    </w:p>
    <w:p w14:paraId="60AC7CBC">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2.</w:t>
      </w:r>
      <w:r>
        <w:rPr>
          <w:rFonts w:hint="eastAsia" w:ascii="宋体" w:hAnsi="宋体" w:eastAsia="宋体" w:cs="宋体"/>
          <w:szCs w:val="21"/>
          <w:highlight w:val="none"/>
        </w:rPr>
        <w:t>数据接口:HDMI、USB3.0接口、音频接口</w:t>
      </w:r>
    </w:p>
    <w:p w14:paraId="77F4D765">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3.</w:t>
      </w:r>
      <w:r>
        <w:rPr>
          <w:rFonts w:hint="eastAsia" w:ascii="宋体" w:hAnsi="宋体" w:eastAsia="宋体" w:cs="宋体"/>
          <w:szCs w:val="21"/>
          <w:highlight w:val="none"/>
        </w:rPr>
        <w:t>支持数据无线传输</w:t>
      </w:r>
    </w:p>
    <w:p w14:paraId="3D1A7B63">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4.</w:t>
      </w:r>
      <w:r>
        <w:rPr>
          <w:rFonts w:hint="eastAsia" w:ascii="宋体" w:hAnsi="宋体" w:eastAsia="宋体" w:cs="宋体"/>
          <w:szCs w:val="21"/>
          <w:highlight w:val="none"/>
        </w:rPr>
        <w:t>支持DICOM3.0系统</w:t>
      </w:r>
    </w:p>
    <w:p w14:paraId="7E7BC290">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5.</w:t>
      </w:r>
      <w:r>
        <w:rPr>
          <w:rFonts w:hint="eastAsia" w:ascii="宋体" w:hAnsi="宋体" w:eastAsia="宋体" w:cs="宋体"/>
          <w:szCs w:val="21"/>
          <w:highlight w:val="none"/>
        </w:rPr>
        <w:t>外设数据模块：包含S-视频、VGA视频接口、高清音视频接口</w:t>
      </w:r>
    </w:p>
    <w:p w14:paraId="78529D90">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6.</w:t>
      </w:r>
      <w:r>
        <w:rPr>
          <w:rFonts w:hint="eastAsia" w:ascii="宋体" w:hAnsi="宋体" w:eastAsia="宋体" w:cs="宋体"/>
          <w:szCs w:val="21"/>
          <w:highlight w:val="none"/>
        </w:rPr>
        <w:t>专用台车：可升降</w:t>
      </w:r>
    </w:p>
    <w:p w14:paraId="28694C28">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7.</w:t>
      </w:r>
      <w:r>
        <w:rPr>
          <w:rFonts w:hint="eastAsia" w:ascii="宋体" w:hAnsi="宋体" w:eastAsia="宋体" w:cs="宋体"/>
          <w:szCs w:val="21"/>
          <w:highlight w:val="none"/>
        </w:rPr>
        <w:t>具备可装卸探头扩展槽</w:t>
      </w:r>
    </w:p>
    <w:p w14:paraId="738BB62E">
      <w:pPr>
        <w:pStyle w:val="2"/>
        <w:adjustRightInd w:val="0"/>
        <w:snapToGrid w:val="0"/>
        <w:spacing w:after="0" w:line="360" w:lineRule="auto"/>
        <w:ind w:left="0" w:leftChars="0" w:firstLine="422" w:firstLineChars="200"/>
        <w:rPr>
          <w:rFonts w:hint="eastAsia" w:cs="宋体" w:asciiTheme="minorEastAsia" w:hAnsiTheme="minorEastAsia" w:eastAsiaTheme="minorEastAsia"/>
          <w:b/>
          <w:bCs/>
          <w:szCs w:val="21"/>
          <w:highlight w:val="none"/>
        </w:rPr>
      </w:pPr>
    </w:p>
    <w:p w14:paraId="68B3EC96">
      <w:pPr>
        <w:pStyle w:val="2"/>
        <w:adjustRightInd w:val="0"/>
        <w:snapToGrid w:val="0"/>
        <w:spacing w:after="0" w:line="360" w:lineRule="auto"/>
        <w:ind w:left="0" w:leftChars="0" w:firstLine="420" w:firstLineChars="200"/>
        <w:rPr>
          <w:rFonts w:asciiTheme="minorEastAsia" w:hAnsiTheme="minorEastAsia" w:eastAsiaTheme="minorEastAsia"/>
          <w:szCs w:val="21"/>
          <w:highlight w:val="none"/>
        </w:rPr>
      </w:pPr>
    </w:p>
    <w:p w14:paraId="262A5193">
      <w:pPr>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br w:type="page"/>
      </w:r>
    </w:p>
    <w:p w14:paraId="681CCD42">
      <w:pPr>
        <w:pStyle w:val="5"/>
        <w:numPr>
          <w:ilvl w:val="0"/>
          <w:numId w:val="0"/>
        </w:numPr>
        <w:adjustRightInd w:val="0"/>
        <w:snapToGrid w:val="0"/>
        <w:spacing w:after="0" w:line="360" w:lineRule="auto"/>
        <w:ind w:left="0" w:leftChars="0" w:firstLine="0" w:firstLineChars="0"/>
        <w:jc w:val="left"/>
        <w:rPr>
          <w:rFonts w:hint="eastAsia" w:ascii="宋体" w:hAnsi="宋体" w:eastAsia="宋体" w:cs="Times New Roman"/>
          <w:b w:val="0"/>
          <w:bCs/>
          <w:szCs w:val="21"/>
          <w:highlight w:val="none"/>
          <w:lang w:val="en-US" w:eastAsia="zh-CN"/>
        </w:rPr>
      </w:pPr>
      <w:bookmarkStart w:id="209" w:name="_Toc15412"/>
      <w:r>
        <w:rPr>
          <w:rFonts w:hint="eastAsia" w:ascii="宋体" w:hAnsi="宋体" w:eastAsia="宋体"/>
          <w:sz w:val="32"/>
          <w:szCs w:val="32"/>
          <w:highlight w:val="none"/>
        </w:rPr>
        <w:t>标段2：</w:t>
      </w:r>
      <w:bookmarkEnd w:id="209"/>
    </w:p>
    <w:p w14:paraId="0C06C8F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一、</w:t>
      </w:r>
      <w:r>
        <w:rPr>
          <w:rFonts w:hint="eastAsia" w:ascii="宋体" w:hAnsi="宋体" w:eastAsia="宋体" w:cs="宋体"/>
          <w:b w:val="0"/>
          <w:bCs w:val="0"/>
          <w:sz w:val="21"/>
          <w:szCs w:val="21"/>
          <w:highlight w:val="none"/>
          <w:lang w:val="en-US" w:eastAsia="zh-CN"/>
        </w:rPr>
        <w:t>设备</w:t>
      </w:r>
      <w:r>
        <w:rPr>
          <w:rFonts w:hint="eastAsia" w:ascii="宋体" w:hAnsi="宋体" w:cs="宋体"/>
          <w:b w:val="0"/>
          <w:bCs w:val="0"/>
          <w:sz w:val="21"/>
          <w:szCs w:val="21"/>
          <w:highlight w:val="none"/>
          <w:lang w:val="en-US" w:eastAsia="zh-CN"/>
        </w:rPr>
        <w:t>主要</w:t>
      </w:r>
      <w:r>
        <w:rPr>
          <w:rFonts w:hint="eastAsia" w:ascii="宋体" w:hAnsi="宋体" w:eastAsia="宋体" w:cs="宋体"/>
          <w:b w:val="0"/>
          <w:bCs w:val="0"/>
          <w:sz w:val="21"/>
          <w:szCs w:val="21"/>
          <w:highlight w:val="none"/>
          <w:lang w:val="en-US" w:eastAsia="zh-CN"/>
        </w:rPr>
        <w:t>用途：</w:t>
      </w:r>
    </w:p>
    <w:p w14:paraId="1148ECEA">
      <w:pPr>
        <w:pStyle w:val="11"/>
        <w:spacing w:line="360" w:lineRule="auto"/>
        <w:rPr>
          <w:rFonts w:hint="eastAsia" w:ascii="宋体" w:hAnsi="宋体" w:cs="宋体"/>
          <w:szCs w:val="21"/>
          <w:highlight w:val="none"/>
        </w:rPr>
      </w:pPr>
      <w:r>
        <w:rPr>
          <w:rFonts w:hint="eastAsia" w:ascii="宋体" w:hAnsi="宋体" w:eastAsia="宋体" w:cs="宋体"/>
          <w:sz w:val="21"/>
          <w:szCs w:val="21"/>
          <w:highlight w:val="none"/>
        </w:rPr>
        <w:t>适用于</w:t>
      </w:r>
      <w:r>
        <w:rPr>
          <w:rFonts w:hint="eastAsia" w:ascii="宋体" w:hAnsi="宋体" w:eastAsia="宋体" w:cs="宋体"/>
          <w:b w:val="0"/>
          <w:bCs w:val="0"/>
          <w:sz w:val="21"/>
          <w:szCs w:val="21"/>
          <w:highlight w:val="none"/>
          <w:lang w:val="en-US" w:eastAsia="zh-CN"/>
        </w:rPr>
        <w:t>妇产科、腹部、胎儿心脏、新生儿、心脏、泌尿科、浅表组织与小器官、外周血管及科研的高档次四维彩色多普勒超声诊断仪，尤其在妇产科、胎儿心脏、盆底超声、经阴道子宫输卵管超声造影领域具有突出优势，满足产科超声诊断，妇科疑难病例超声诊断，胎儿畸形产前诊断及科研，</w:t>
      </w:r>
      <w:r>
        <w:rPr>
          <w:rFonts w:hint="eastAsia" w:ascii="宋体" w:hAnsi="宋体" w:eastAsia="宋体" w:cs="宋体"/>
          <w:sz w:val="21"/>
          <w:szCs w:val="21"/>
          <w:highlight w:val="none"/>
        </w:rPr>
        <w:t>设备交货时须为原厂最新上市的稳定硬件和软件版本</w:t>
      </w:r>
    </w:p>
    <w:p w14:paraId="69D8103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二、</w:t>
      </w:r>
      <w:r>
        <w:rPr>
          <w:rFonts w:hint="eastAsia" w:ascii="宋体" w:hAnsi="宋体" w:eastAsia="宋体" w:cs="宋体"/>
          <w:b w:val="0"/>
          <w:bCs w:val="0"/>
          <w:sz w:val="21"/>
          <w:szCs w:val="21"/>
          <w:highlight w:val="none"/>
          <w:lang w:val="en-US" w:eastAsia="zh-CN"/>
        </w:rPr>
        <w:t>主要规格及系统概述：</w:t>
      </w:r>
    </w:p>
    <w:p w14:paraId="73ACE56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lang w:val="en-US" w:eastAsia="zh-CN"/>
        </w:rPr>
        <w:t>彩色多普勒超声波诊断仪包括：</w:t>
      </w:r>
    </w:p>
    <w:p w14:paraId="2C0EB5B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1.1全数字化彩色超声诊断系统主机</w:t>
      </w:r>
    </w:p>
    <w:p w14:paraId="262FB3C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▲1.2主机支持高清液晶</w:t>
      </w:r>
      <w:r>
        <w:rPr>
          <w:rFonts w:hint="eastAsia" w:ascii="宋体" w:hAnsi="宋体" w:cs="宋体"/>
          <w:b w:val="0"/>
          <w:bCs w:val="0"/>
          <w:sz w:val="21"/>
          <w:szCs w:val="21"/>
          <w:highlight w:val="none"/>
          <w:lang w:val="en-US" w:eastAsia="zh-CN"/>
        </w:rPr>
        <w:t>显示终端</w:t>
      </w:r>
      <w:r>
        <w:rPr>
          <w:rFonts w:hint="eastAsia" w:ascii="宋体" w:hAnsi="宋体" w:eastAsia="宋体" w:cs="宋体"/>
          <w:b w:val="0"/>
          <w:bCs w:val="0"/>
          <w:sz w:val="21"/>
          <w:szCs w:val="21"/>
          <w:highlight w:val="none"/>
          <w:lang w:val="en-US" w:eastAsia="zh-CN"/>
        </w:rPr>
        <w:t xml:space="preserve"> ≥23英寸，分辨率≥1920×1080，全方位关节臂旋转</w:t>
      </w:r>
    </w:p>
    <w:p w14:paraId="1EE771F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highlight w:val="none"/>
          <w:lang w:val="en-US" w:eastAsia="zh-CN"/>
        </w:rPr>
      </w:pPr>
      <w:r>
        <w:rPr>
          <w:rFonts w:hint="eastAsia" w:ascii="宋体" w:hAnsi="宋体" w:eastAsia="宋体" w:cs="宋体"/>
          <w:b w:val="0"/>
          <w:bCs w:val="0"/>
          <w:sz w:val="21"/>
          <w:szCs w:val="21"/>
          <w:highlight w:val="none"/>
          <w:lang w:val="en-US" w:eastAsia="zh-CN"/>
        </w:rPr>
        <w:t>▲1.3操作台LCD多点触控彩色触摸屏≥10英寸，可通过触控屏的多点触控进行容积图像的旋转、放大、切割等直观操作</w:t>
      </w:r>
    </w:p>
    <w:p w14:paraId="371640B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1.4具有全数字波束形成器</w:t>
      </w:r>
    </w:p>
    <w:p w14:paraId="1D49653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1.5具有数字化二维灰阶成像单元</w:t>
      </w:r>
    </w:p>
    <w:p w14:paraId="68AC396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1.6具有数字化彩色多普勒单元</w:t>
      </w:r>
    </w:p>
    <w:p w14:paraId="13C91E9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1.7具有数字化能量多普勒成像单元</w:t>
      </w:r>
    </w:p>
    <w:p w14:paraId="47B4071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1.8具有专门的高分辨率血流成像模式，提高对细小血管、低速血流的检测能力，支持所有探头</w:t>
      </w:r>
    </w:p>
    <w:p w14:paraId="420F112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▲1.9具有二维灰阶血流成像，采用非多普勒原理，对血流进行显示，无彩色取样框</w:t>
      </w:r>
    </w:p>
    <w:p w14:paraId="769B19D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▲1.10具备二维立体血流成像，支持腹部及腔内探头</w:t>
      </w:r>
    </w:p>
    <w:p w14:paraId="0DBDCE5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1.11具有脉冲波多普勒</w:t>
      </w:r>
    </w:p>
    <w:p w14:paraId="5567D43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1.12具有组织多普勒成像技术</w:t>
      </w:r>
    </w:p>
    <w:p w14:paraId="1189AA3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1.13具有数字化频谱多普勒显示和分析单元</w:t>
      </w:r>
    </w:p>
    <w:p w14:paraId="6168E81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1.14组织二次谐波成像支持所有探头</w:t>
      </w:r>
    </w:p>
    <w:p w14:paraId="42D1F0A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1.15具有实时三同步能力</w:t>
      </w:r>
    </w:p>
    <w:p w14:paraId="393D620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1.16具有凸型扩展技术，用于二维和彩色血流</w:t>
      </w:r>
    </w:p>
    <w:p w14:paraId="5F87918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1.17具有宽景成像技术</w:t>
      </w:r>
    </w:p>
    <w:p w14:paraId="64AEA5A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1.18具有编码激励技术</w:t>
      </w:r>
    </w:p>
    <w:p w14:paraId="3264384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1.19频率焦点复合成像技术</w:t>
      </w:r>
    </w:p>
    <w:p w14:paraId="02AC07E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1.20具有图像像素优化降噪技术，提高对比分辨率，逐级可调，支持所有成像探头</w:t>
      </w:r>
    </w:p>
    <w:p w14:paraId="2AA2700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1.21具有实时空间复合成像技术，兼容于除相控阵以外的所有探头</w:t>
      </w:r>
    </w:p>
    <w:p w14:paraId="7E7A4AD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1.22具有组织特异性自动优化技术</w:t>
      </w:r>
    </w:p>
    <w:p w14:paraId="5CE461E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1.23具有支持弹性成像和弹性分析功能。</w:t>
      </w:r>
    </w:p>
    <w:p w14:paraId="628C586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1.24具有二维灰阶、频谱多普勒等自动图像优化功能。</w:t>
      </w:r>
    </w:p>
    <w:p w14:paraId="3132E39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▲1.25具有胎儿生长指标和软指标的自动测量功能，测量参数≥8项，必须可以实现对这些项目的自动测量：双顶径、头围、腹围、股骨长、肱骨长，CM, Vp, Cerebellum. </w:t>
      </w:r>
    </w:p>
    <w:p w14:paraId="36791D3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▲1.26具有半自动测量功能，包括颈后透明层、颅内透明层等。</w:t>
      </w:r>
    </w:p>
    <w:p w14:paraId="6CF644D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1.27具有扫描助手，防止操作者漏掉重要的检查内容，并可完全按照客户定制</w:t>
      </w:r>
    </w:p>
    <w:p w14:paraId="2D81BD6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1.28具有实时三维扫描成像组件</w:t>
      </w:r>
    </w:p>
    <w:p w14:paraId="291C99C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w:t>
      </w: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lang w:val="en-US" w:eastAsia="zh-CN"/>
        </w:rPr>
        <w:t>.29具有胎儿自动识别技术，可实时跟踪胎儿运动并调整容积成像框位置，快速获得胎儿表面容积成像，提高工作效率。</w:t>
      </w:r>
    </w:p>
    <w:p w14:paraId="42C0C51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▲1.30具有容积探头扫查角度自动偏转技术，支持腹部，腔内容积探头，无需转动探头，最大偏转角度可达±60度。</w:t>
      </w:r>
    </w:p>
    <w:p w14:paraId="4D71337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1.31具有不规则体积测量技术，快速测量一个或多个低回声的不规则体的体积</w:t>
      </w:r>
    </w:p>
    <w:p w14:paraId="0A3F171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1.32具有反转成像模式，显示低回声或液性暗区的立体结构，结合不规则体积测量技术可对低回声区域的不规则体积进行测量。</w:t>
      </w:r>
    </w:p>
    <w:p w14:paraId="02305BC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1.33</w:t>
      </w:r>
      <w:r>
        <w:rPr>
          <w:rFonts w:hint="eastAsia" w:ascii="宋体" w:hAnsi="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lang w:val="en-US" w:eastAsia="zh-CN"/>
        </w:rPr>
        <w:t>2D/3D直方图技术，作用于2D/CFM/PD模式，可计算灰度直方图和彩色直方图</w:t>
      </w:r>
    </w:p>
    <w:p w14:paraId="70F8B18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1.34具有容积能量模式直方图技术，结合不规则体积测量可计算血管指数VI，FI和VFI。</w:t>
      </w:r>
    </w:p>
    <w:p w14:paraId="054A607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1.35对3D图像具有剪切功能，可随意切除3D组织或伪像：可分别切除2D或CFM或者2D+CFM一起切除</w:t>
      </w:r>
    </w:p>
    <w:p w14:paraId="598C355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1.36</w:t>
      </w:r>
      <w:r>
        <w:rPr>
          <w:rFonts w:hint="eastAsia" w:ascii="宋体" w:hAnsi="宋体" w:eastAsia="宋体" w:cs="宋体"/>
          <w:b w:val="0"/>
          <w:bCs w:val="0"/>
          <w:sz w:val="21"/>
          <w:szCs w:val="21"/>
          <w:highlight w:val="none"/>
          <w:lang w:val="en-US" w:eastAsia="zh-CN"/>
        </w:rPr>
        <w:tab/>
      </w:r>
      <w:r>
        <w:rPr>
          <w:rFonts w:hint="eastAsia" w:ascii="宋体" w:hAnsi="宋体" w:eastAsia="宋体" w:cs="宋体"/>
          <w:b w:val="0"/>
          <w:bCs w:val="0"/>
          <w:sz w:val="21"/>
          <w:szCs w:val="21"/>
          <w:highlight w:val="none"/>
          <w:lang w:val="en-US" w:eastAsia="zh-CN"/>
        </w:rPr>
        <w:t>3D/4D 曲线取样成像技术，曲线或直线切割3D平面</w:t>
      </w:r>
    </w:p>
    <w:p w14:paraId="1F8C521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1.37具有高清晰容积成像技术</w:t>
      </w:r>
    </w:p>
    <w:p w14:paraId="61FD068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1.38具有容积对比成像或厚度成像技术，对容积数据进行多切面采集和处理，显示具有厚度信息的平面，有效地的抑制噪音，提高对比分辨率。所有容积探头均支持此技术，支持3D/4D两种模式。</w:t>
      </w:r>
    </w:p>
    <w:p w14:paraId="6D74270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▲1.39具有任意切面成像功能，用于3D/4D模式或存储的容积数据，对于不规则结构，可结合容积对比成像或厚度成像提高对比分辨率，可选择直线、弧线、折线、任意曲线四种切割方法。</w:t>
      </w:r>
    </w:p>
    <w:p w14:paraId="1B4E5D0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1.40具有断层超声显像技术，对容积图像采用同屏的平行多切面显示方法</w:t>
      </w:r>
    </w:p>
    <w:p w14:paraId="4951A04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▲1.41具有计算机辅助自动计算多个不规则液性暗区的体积的功能，并按体积大小顺序进行排列，可用于常规卵泡、窦卵泡、脑室、积水等液性区域的体积测量。具有专门的窦卵泡测量功能按钮。</w:t>
      </w:r>
    </w:p>
    <w:p w14:paraId="4C54F38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▲1.42具有时间空间相关成像技术，可应用于 4D 胎儿心脏成像技术，可应用于容积腹部、容积腔内探头。</w:t>
      </w:r>
    </w:p>
    <w:p w14:paraId="1414B0C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▲1.43</w:t>
      </w:r>
      <w:r>
        <w:rPr>
          <w:rFonts w:hint="eastAsia" w:ascii="宋体" w:hAnsi="宋体" w:cs="宋体"/>
          <w:b w:val="0"/>
          <w:bCs w:val="0"/>
          <w:sz w:val="21"/>
          <w:szCs w:val="21"/>
          <w:highlight w:val="none"/>
          <w:lang w:val="en-US" w:eastAsia="zh-CN"/>
        </w:rPr>
        <w:t>具备</w:t>
      </w:r>
      <w:r>
        <w:rPr>
          <w:rFonts w:hint="eastAsia" w:ascii="宋体" w:hAnsi="宋体" w:eastAsia="宋体" w:cs="宋体"/>
          <w:b w:val="0"/>
          <w:bCs w:val="0"/>
          <w:sz w:val="21"/>
          <w:szCs w:val="21"/>
          <w:highlight w:val="none"/>
          <w:lang w:val="en-US" w:eastAsia="zh-CN"/>
        </w:rPr>
        <w:t>计算机辅助胎儿心脏切面显示</w:t>
      </w:r>
      <w:r>
        <w:rPr>
          <w:rFonts w:hint="eastAsia" w:ascii="宋体" w:hAnsi="宋体" w:cs="宋体"/>
          <w:b w:val="0"/>
          <w:bCs w:val="0"/>
          <w:sz w:val="21"/>
          <w:szCs w:val="21"/>
          <w:highlight w:val="none"/>
          <w:lang w:val="en-US" w:eastAsia="zh-CN"/>
        </w:rPr>
        <w:t>功能</w:t>
      </w:r>
      <w:r>
        <w:rPr>
          <w:rFonts w:hint="eastAsia" w:ascii="宋体" w:hAnsi="宋体" w:eastAsia="宋体" w:cs="宋体"/>
          <w:b w:val="0"/>
          <w:bCs w:val="0"/>
          <w:sz w:val="21"/>
          <w:szCs w:val="21"/>
          <w:highlight w:val="none"/>
          <w:lang w:val="en-US" w:eastAsia="zh-CN"/>
        </w:rPr>
        <w:t>，显示包括四腔心、左室流出道、右室流出道、胃泡、静脉连接、导管弓、主动脉弓、三血管气管切面等切面。</w:t>
      </w:r>
    </w:p>
    <w:p w14:paraId="30FAC0A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▲1.44容积探头和软件功能满足盆底超声技术的要求，具有盆底测量软件包。</w:t>
      </w:r>
    </w:p>
    <w:p w14:paraId="45AAC8C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1.45具备子宫畸形分类法，方便判断子宫畸形分类。</w:t>
      </w:r>
    </w:p>
    <w:p w14:paraId="768451C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1.46具有实时4D穿刺引导功能</w:t>
      </w:r>
    </w:p>
    <w:p w14:paraId="3AC142D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▲1.47具有对比谐波造影功能，支持线阵探头和经阴道容积，支持经阴道子宫输卵管超声造影评价输卵管通畅性。</w:t>
      </w:r>
    </w:p>
    <w:p w14:paraId="1C02B71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1.48具备3D/4D成像功能，支持腹部，经阴道容积探头。</w:t>
      </w:r>
    </w:p>
    <w:p w14:paraId="4C4151D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1.49系统支持多语言操作界面</w:t>
      </w:r>
    </w:p>
    <w:p w14:paraId="7E214B3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1.50设备到货时，为该机器的最新硬件和软件版本</w:t>
      </w:r>
    </w:p>
    <w:p w14:paraId="3FF3D1A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1.51三维产程监测软件：三维技术监测第二产程进程，通过动态观察和测量胎头方向角、胎头下降距离、进展角及胎头中线角度，判断胎儿颜面朝向、第二产程进展等指标，有助于判断是否出现第二产程延长和滞产</w:t>
      </w:r>
    </w:p>
    <w:p w14:paraId="7DF736A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1.52二维产程监测软件：教育视频内置，自动测量进展角，定量的标准化数据帮助决策分娩方式</w:t>
      </w:r>
    </w:p>
    <w:p w14:paraId="1560505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1.53具有智能子宫成像技术，直接在屏幕的二维图像的划线标记，三步快速获取子宫冠状切面的图像</w:t>
      </w:r>
    </w:p>
    <w:p w14:paraId="4003862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2.</w:t>
      </w:r>
      <w:r>
        <w:rPr>
          <w:rFonts w:hint="eastAsia" w:ascii="宋体" w:hAnsi="宋体" w:eastAsia="宋体" w:cs="宋体"/>
          <w:b w:val="0"/>
          <w:bCs w:val="0"/>
          <w:sz w:val="21"/>
          <w:szCs w:val="21"/>
          <w:highlight w:val="none"/>
          <w:lang w:val="en-US" w:eastAsia="zh-CN"/>
        </w:rPr>
        <w:t>测量和分析：(B型、M型、频谱多普勒、彩色模式)</w:t>
      </w:r>
    </w:p>
    <w:p w14:paraId="2F66B16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2.1一般测量</w:t>
      </w:r>
    </w:p>
    <w:p w14:paraId="70814E6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2.2妇产科测量</w:t>
      </w:r>
    </w:p>
    <w:p w14:paraId="5800513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2.3心脏功能测量</w:t>
      </w:r>
    </w:p>
    <w:p w14:paraId="3DC5D02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2.4多普勒血流测量与分析</w:t>
      </w:r>
    </w:p>
    <w:p w14:paraId="2CC1E6D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2.5外周血管测量与分析</w:t>
      </w:r>
    </w:p>
    <w:p w14:paraId="4C76C42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▲2.6智能胎心率测量技术，在M型机频谱模式中，自动测量胎儿心动周期，并计算胎儿心率（附技术白皮书说明）</w:t>
      </w:r>
    </w:p>
    <w:p w14:paraId="51FC040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3.</w:t>
      </w:r>
      <w:r>
        <w:rPr>
          <w:rFonts w:hint="eastAsia" w:ascii="宋体" w:hAnsi="宋体" w:eastAsia="宋体" w:cs="宋体"/>
          <w:b w:val="0"/>
          <w:bCs w:val="0"/>
          <w:sz w:val="21"/>
          <w:szCs w:val="21"/>
          <w:highlight w:val="none"/>
          <w:lang w:val="en-US" w:eastAsia="zh-CN"/>
        </w:rPr>
        <w:t>图像存储与(电影)回放重现单元</w:t>
      </w:r>
    </w:p>
    <w:p w14:paraId="129E003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3.1超声图像静态、动态存储，以剪贴板形式显示在屏幕上，能以轨迹球调用</w:t>
      </w:r>
    </w:p>
    <w:p w14:paraId="2BDFCC0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3.2可对回放的图像调节增益、基线、彩色图类型、扫描速度等</w:t>
      </w:r>
    </w:p>
    <w:p w14:paraId="35D6772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3.3一体化病案管理单元包括病人资料、报告、图像等的存储、修改、检索和打印等。</w:t>
      </w:r>
    </w:p>
    <w:p w14:paraId="302DF66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4.</w:t>
      </w:r>
      <w:r>
        <w:rPr>
          <w:rFonts w:hint="eastAsia" w:ascii="宋体" w:hAnsi="宋体" w:eastAsia="宋体" w:cs="宋体"/>
          <w:b w:val="0"/>
          <w:bCs w:val="0"/>
          <w:sz w:val="21"/>
          <w:szCs w:val="21"/>
          <w:highlight w:val="none"/>
          <w:lang w:val="en-US" w:eastAsia="zh-CN"/>
        </w:rPr>
        <w:t>输入/输出信号：</w:t>
      </w:r>
    </w:p>
    <w:p w14:paraId="781286B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4.1输入：USB </w:t>
      </w:r>
    </w:p>
    <w:p w14:paraId="1C2A6F7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4.2输出：S-Video或复合视频、USB、VGA或HDMI或DVI</w:t>
      </w:r>
    </w:p>
    <w:p w14:paraId="22F733F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4.3</w:t>
      </w:r>
      <w:r>
        <w:rPr>
          <w:rFonts w:hint="eastAsia" w:ascii="宋体" w:hAnsi="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lang w:val="en-US" w:eastAsia="zh-CN"/>
        </w:rPr>
        <w:t>DICOM 3.0接口</w:t>
      </w:r>
    </w:p>
    <w:p w14:paraId="3C28A6E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5.</w:t>
      </w:r>
      <w:r>
        <w:rPr>
          <w:rFonts w:hint="eastAsia" w:ascii="宋体" w:hAnsi="宋体" w:eastAsia="宋体" w:cs="宋体"/>
          <w:b w:val="0"/>
          <w:bCs w:val="0"/>
          <w:sz w:val="21"/>
          <w:szCs w:val="21"/>
          <w:highlight w:val="none"/>
          <w:lang w:val="en-US" w:eastAsia="zh-CN"/>
        </w:rPr>
        <w:t>图像管理与记录装置：</w:t>
      </w:r>
    </w:p>
    <w:p w14:paraId="54060DC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5.1超声图像存档与病案管理系统（动态图像、静态图像以PC通用格式直接存储，无需特殊软件即能在普通PC机上直接观看图像）</w:t>
      </w:r>
    </w:p>
    <w:p w14:paraId="4E6A5E5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5.2硬盘≥500GB </w:t>
      </w:r>
    </w:p>
    <w:p w14:paraId="623E477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5.3</w:t>
      </w:r>
      <w:r>
        <w:rPr>
          <w:rFonts w:hint="eastAsia" w:ascii="宋体" w:hAnsi="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lang w:val="en-US" w:eastAsia="zh-CN"/>
        </w:rPr>
        <w:t>CD－RW/DVD -RW刻录机，DVR刻录机</w:t>
      </w:r>
      <w:r>
        <w:rPr>
          <w:rFonts w:hint="eastAsia" w:ascii="宋体" w:hAnsi="宋体" w:cs="宋体"/>
          <w:b w:val="0"/>
          <w:bCs w:val="0"/>
          <w:sz w:val="21"/>
          <w:szCs w:val="21"/>
          <w:highlight w:val="none"/>
          <w:lang w:val="en-US" w:eastAsia="zh-Hans"/>
        </w:rPr>
        <w:t>等多种存储方式</w:t>
      </w:r>
    </w:p>
    <w:p w14:paraId="6D340A0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5.4</w:t>
      </w:r>
      <w:r>
        <w:rPr>
          <w:rFonts w:hint="eastAsia" w:ascii="宋体" w:hAnsi="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lang w:val="en-US" w:eastAsia="zh-CN"/>
        </w:rPr>
        <w:t>USB接口，支持USB移动存储设备。支持USB直接数字录像功能</w:t>
      </w:r>
    </w:p>
    <w:p w14:paraId="27BC550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▲5.5支持一键式输出3D打印格式，包括STL、OBJ、PLY、3MF、XYZ等格式（附原厂技术白皮书证明）</w:t>
      </w:r>
    </w:p>
    <w:p w14:paraId="33ADABE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三、</w:t>
      </w:r>
      <w:r>
        <w:rPr>
          <w:rFonts w:hint="eastAsia" w:ascii="宋体" w:hAnsi="宋体" w:eastAsia="宋体" w:cs="宋体"/>
          <w:b w:val="0"/>
          <w:bCs w:val="0"/>
          <w:sz w:val="21"/>
          <w:szCs w:val="21"/>
          <w:highlight w:val="none"/>
          <w:lang w:val="en-US" w:eastAsia="zh-CN"/>
        </w:rPr>
        <w:t>技术参数及要求：</w:t>
      </w:r>
    </w:p>
    <w:p w14:paraId="4EC5B26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lang w:val="en-US" w:eastAsia="zh-CN"/>
        </w:rPr>
        <w:t>系统通用功能：</w:t>
      </w:r>
    </w:p>
    <w:p w14:paraId="5D9DA35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1.1监视器：≥23英寸，彩色全高清液晶显示器，全方位关节臂旋转</w:t>
      </w:r>
    </w:p>
    <w:p w14:paraId="1691D7D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1.2扫描方式：逐行扫描</w:t>
      </w:r>
    </w:p>
    <w:p w14:paraId="1B465D0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1.3操作控制台，操作控制台可实现高度调节，并可左右转动</w:t>
      </w:r>
    </w:p>
    <w:p w14:paraId="56A15B8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1.4探头接口：≥4个，可随意互换使用</w:t>
      </w:r>
    </w:p>
    <w:p w14:paraId="1C2A5EF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▲1.5</w:t>
      </w:r>
      <w:r>
        <w:rPr>
          <w:rFonts w:hint="eastAsia" w:ascii="宋体" w:hAnsi="宋体" w:eastAsia="宋体" w:cs="宋体"/>
          <w:b w:val="0"/>
          <w:bCs w:val="0"/>
          <w:sz w:val="21"/>
          <w:szCs w:val="21"/>
          <w:highlight w:val="none"/>
          <w:lang w:val="en-US" w:eastAsia="zh-CN"/>
        </w:rPr>
        <w:tab/>
      </w:r>
      <w:r>
        <w:rPr>
          <w:rFonts w:hint="eastAsia" w:ascii="宋体" w:hAnsi="宋体" w:eastAsia="宋体" w:cs="宋体"/>
          <w:b w:val="0"/>
          <w:bCs w:val="0"/>
          <w:sz w:val="21"/>
          <w:szCs w:val="21"/>
          <w:highlight w:val="none"/>
          <w:lang w:val="en-US" w:eastAsia="zh-CN"/>
        </w:rPr>
        <w:t>≥10.1英寸多点触控触摸屏，可通过触控屏的多点触控进行容积图像的旋转、放大、切割等直观操作。</w:t>
      </w:r>
    </w:p>
    <w:p w14:paraId="0FBF189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w:t>
      </w:r>
      <w:r>
        <w:rPr>
          <w:rFonts w:hint="eastAsia" w:ascii="宋体" w:hAnsi="宋体" w:cs="宋体"/>
          <w:b w:val="0"/>
          <w:bCs w:val="0"/>
          <w:sz w:val="21"/>
          <w:szCs w:val="21"/>
          <w:highlight w:val="none"/>
          <w:lang w:val="en-US" w:eastAsia="zh-CN"/>
        </w:rPr>
        <w:t>.</w:t>
      </w:r>
      <w:r>
        <w:rPr>
          <w:rFonts w:hint="eastAsia" w:ascii="宋体" w:hAnsi="宋体" w:eastAsia="宋体" w:cs="宋体"/>
          <w:b w:val="0"/>
          <w:bCs w:val="0"/>
          <w:sz w:val="21"/>
          <w:szCs w:val="21"/>
          <w:highlight w:val="none"/>
          <w:lang w:val="en-US" w:eastAsia="zh-CN"/>
        </w:rPr>
        <w:t>探头规格</w:t>
      </w:r>
    </w:p>
    <w:p w14:paraId="7212B46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2.1频率：超宽频、变频探头，工作频率可显示，变频探头中心频率可选择≥3种，多普勒频率≥3种</w:t>
      </w:r>
    </w:p>
    <w:p w14:paraId="7F9270F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2.2</w:t>
      </w:r>
      <w:r>
        <w:rPr>
          <w:rFonts w:hint="eastAsia" w:ascii="宋体" w:hAnsi="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lang w:val="en-US" w:eastAsia="zh-CN"/>
        </w:rPr>
        <w:t>B/D兼用：线阵：B/PWD；凸阵：B/PWD,  B/CWD</w:t>
      </w:r>
    </w:p>
    <w:p w14:paraId="7FA0BC8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2.3具有实时三维成像探头</w:t>
      </w:r>
    </w:p>
    <w:p w14:paraId="2377D02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3.</w:t>
      </w:r>
      <w:r>
        <w:rPr>
          <w:rFonts w:hint="eastAsia" w:ascii="宋体" w:hAnsi="宋体" w:eastAsia="宋体" w:cs="宋体"/>
          <w:b w:val="0"/>
          <w:bCs w:val="0"/>
          <w:sz w:val="21"/>
          <w:szCs w:val="21"/>
          <w:highlight w:val="none"/>
          <w:lang w:val="en-US" w:eastAsia="zh-CN"/>
        </w:rPr>
        <w:t>二维灰阶显像主要参数：</w:t>
      </w:r>
    </w:p>
    <w:p w14:paraId="3E73C5B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3.1扫描速率：凸型探头，全视野，18cm深度时，帧速率≥45帧/秒，容积探头实时扫描速率达42容积/秒</w:t>
      </w:r>
    </w:p>
    <w:p w14:paraId="0385527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3.2扫 描 线：每帧线密度≥230超声线</w:t>
      </w:r>
    </w:p>
    <w:p w14:paraId="6FA67A0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w:t>
      </w:r>
      <w:r>
        <w:rPr>
          <w:rFonts w:hint="eastAsia" w:ascii="宋体" w:hAnsi="宋体" w:cs="宋体"/>
          <w:b w:val="0"/>
          <w:bCs w:val="0"/>
          <w:sz w:val="21"/>
          <w:szCs w:val="21"/>
          <w:highlight w:val="none"/>
          <w:lang w:val="en-US" w:eastAsia="zh-CN"/>
        </w:rPr>
        <w:t>3</w:t>
      </w:r>
      <w:r>
        <w:rPr>
          <w:rFonts w:hint="eastAsia" w:ascii="宋体" w:hAnsi="宋体" w:eastAsia="宋体" w:cs="宋体"/>
          <w:b w:val="0"/>
          <w:bCs w:val="0"/>
          <w:sz w:val="21"/>
          <w:szCs w:val="21"/>
          <w:highlight w:val="none"/>
          <w:lang w:val="en-US" w:eastAsia="zh-CN"/>
        </w:rPr>
        <w:t>.3腔内探头扫描角度≥180度，容积经阴道探头容积角度≥120度</w:t>
      </w:r>
    </w:p>
    <w:p w14:paraId="68AFFA4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3.4接收方式：发射、接收通道≥1024，多倍信号并行处理，接收超声信号动态范围≥265dB</w:t>
      </w:r>
    </w:p>
    <w:p w14:paraId="0E18346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3.5数字式声束形成器：数字式全程动态聚焦，数字式可变孔径及动态变迹，A/D≥12 Bits</w:t>
      </w:r>
    </w:p>
    <w:p w14:paraId="3617F9A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3.6谐波成像基波频率个数≥3</w:t>
      </w:r>
    </w:p>
    <w:p w14:paraId="36CFC9E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3.7回放重现：灰阶图像回放≥6000幅、回放时间≥600秒；4D图像回放400容积</w:t>
      </w:r>
    </w:p>
    <w:p w14:paraId="47A5F3A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3.8预设条件：针对不同的检查脏器，预置最佳化图像的检查条件，减少操作时的调节</w:t>
      </w:r>
    </w:p>
    <w:p w14:paraId="177233C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3.9益调节：B/M可独立调节</w:t>
      </w:r>
    </w:p>
    <w:p w14:paraId="7768AE3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3.10数字集成化TGC分段≥8</w:t>
      </w:r>
    </w:p>
    <w:p w14:paraId="28DC9F9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3.11放大功能：实时任意区域局部高分辨率放大功能，满足细微结构如NT的测量要求</w:t>
      </w:r>
    </w:p>
    <w:p w14:paraId="0767180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3.12空间分辨率：符合GB10152-2009国家标准</w:t>
      </w:r>
    </w:p>
    <w:p w14:paraId="4BC9FB9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4.</w:t>
      </w:r>
      <w:r>
        <w:rPr>
          <w:rFonts w:hint="eastAsia" w:ascii="宋体" w:hAnsi="宋体" w:eastAsia="宋体" w:cs="宋体"/>
          <w:b w:val="0"/>
          <w:bCs w:val="0"/>
          <w:sz w:val="21"/>
          <w:szCs w:val="21"/>
          <w:highlight w:val="none"/>
          <w:lang w:val="en-US" w:eastAsia="zh-CN"/>
        </w:rPr>
        <w:t>频谱多普勒：</w:t>
      </w:r>
    </w:p>
    <w:p w14:paraId="19A28FE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4.1方式：脉冲波多普勒：PWD，高脉冲重复频率，CWD</w:t>
      </w:r>
    </w:p>
    <w:p w14:paraId="254FCA5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4.2多普勒发射频率：支持高，中，低档可调</w:t>
      </w:r>
    </w:p>
    <w:p w14:paraId="0749920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4.3最大测量速度：PWD：血流速度最大16m/s；CWD，血流速度最大为23m/s</w:t>
      </w:r>
    </w:p>
    <w:p w14:paraId="1307616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4.4最低测量速度：≤5mm/s(非噪声信号)</w:t>
      </w:r>
    </w:p>
    <w:p w14:paraId="0A5FEED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4.5显示方式：B、B/D、B/M、B＋B</w:t>
      </w:r>
    </w:p>
    <w:p w14:paraId="46E5909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4.6电影回放：≥600秒</w:t>
      </w:r>
    </w:p>
    <w:p w14:paraId="6C8E96F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4.7零位移动：≥6级</w:t>
      </w:r>
    </w:p>
    <w:p w14:paraId="41FA7A0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4.8取样宽度及位置范围：宽度1mm至15mm；分级可调</w:t>
      </w:r>
    </w:p>
    <w:p w14:paraId="09E081E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4.9显示控制：反转显示(左/右；上/下)零移位、B—刷新(手控、时间)、D扩展、B/D扩展，局放及移位</w:t>
      </w:r>
    </w:p>
    <w:p w14:paraId="4ECF947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5.</w:t>
      </w:r>
      <w:r>
        <w:rPr>
          <w:rFonts w:hint="eastAsia" w:ascii="宋体" w:hAnsi="宋体" w:eastAsia="宋体" w:cs="宋体"/>
          <w:b w:val="0"/>
          <w:bCs w:val="0"/>
          <w:sz w:val="21"/>
          <w:szCs w:val="21"/>
          <w:highlight w:val="none"/>
          <w:lang w:val="en-US" w:eastAsia="zh-CN"/>
        </w:rPr>
        <w:t>彩色多普勒</w:t>
      </w:r>
    </w:p>
    <w:p w14:paraId="0DAEBEE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5.1显示方式：速度分散显示、能量显示，速度显示、分散显示</w:t>
      </w:r>
    </w:p>
    <w:p w14:paraId="03E61CD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Hans"/>
        </w:rPr>
      </w:pPr>
      <w:r>
        <w:rPr>
          <w:rFonts w:hint="eastAsia" w:ascii="宋体" w:hAnsi="宋体" w:eastAsia="宋体" w:cs="宋体"/>
          <w:b w:val="0"/>
          <w:bCs w:val="0"/>
          <w:sz w:val="21"/>
          <w:szCs w:val="21"/>
          <w:highlight w:val="none"/>
          <w:lang w:val="en-US" w:eastAsia="zh-CN"/>
        </w:rPr>
        <w:t xml:space="preserve">5.2凸阵探头阵元数≥190 </w:t>
      </w:r>
    </w:p>
    <w:p w14:paraId="5AE3D68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5.3彩色显示帧频：凸阵探头、最大角度，18cm深时，彩色显示帧频≥10帧/ S；凸阵容积探头，全视野，17cm深度时，彩色显示帧频≥9帧/秒</w:t>
      </w:r>
    </w:p>
    <w:p w14:paraId="42D02E8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5.4显示位置调整：线阵扫描感兴趣的图像范围：-20°～+20°</w:t>
      </w:r>
    </w:p>
    <w:p w14:paraId="3818410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5.5显示控制：零位移动分±15级、黑/白与彩色比较、彩色对比</w:t>
      </w:r>
    </w:p>
    <w:p w14:paraId="2807190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5</w:t>
      </w:r>
      <w:r>
        <w:rPr>
          <w:rFonts w:hint="eastAsia" w:ascii="宋体" w:hAnsi="宋体" w:eastAsia="宋体" w:cs="宋体"/>
          <w:b w:val="0"/>
          <w:bCs w:val="0"/>
          <w:sz w:val="21"/>
          <w:szCs w:val="21"/>
          <w:highlight w:val="none"/>
          <w:lang w:val="en-US" w:eastAsia="zh-CN"/>
        </w:rPr>
        <w:t>.6彩色增强功能：彩色多普勒能量图，方向性能量图</w:t>
      </w:r>
    </w:p>
    <w:p w14:paraId="2E9EA37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5.7彩色显示速度：最低平均血流测量速度≤5mm/s</w:t>
      </w:r>
    </w:p>
    <w:p w14:paraId="119F547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6.</w:t>
      </w:r>
      <w:r>
        <w:rPr>
          <w:rFonts w:hint="eastAsia" w:ascii="宋体" w:hAnsi="宋体" w:eastAsia="宋体" w:cs="宋体"/>
          <w:b w:val="0"/>
          <w:bCs w:val="0"/>
          <w:sz w:val="21"/>
          <w:szCs w:val="21"/>
          <w:highlight w:val="none"/>
          <w:lang w:val="en-US" w:eastAsia="zh-CN"/>
        </w:rPr>
        <w:t>超声功率输出调节：B/M、PWD、Color Doppler输出功率可调</w:t>
      </w:r>
    </w:p>
    <w:p w14:paraId="1026C41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四</w:t>
      </w:r>
      <w:r>
        <w:rPr>
          <w:rFonts w:hint="eastAsia" w:ascii="宋体" w:hAnsi="宋体" w:eastAsia="宋体" w:cs="宋体"/>
          <w:b w:val="0"/>
          <w:bCs w:val="0"/>
          <w:sz w:val="21"/>
          <w:szCs w:val="21"/>
          <w:highlight w:val="none"/>
          <w:lang w:val="en-US" w:eastAsia="zh-CN"/>
        </w:rPr>
        <w:t>、配置清单</w:t>
      </w:r>
    </w:p>
    <w:p w14:paraId="554C0D6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lang w:val="en-US" w:eastAsia="zh-CN"/>
        </w:rPr>
        <w:t>主机1台</w:t>
      </w:r>
    </w:p>
    <w:p w14:paraId="3B63700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2.</w:t>
      </w:r>
      <w:r>
        <w:rPr>
          <w:rFonts w:hint="eastAsia" w:ascii="宋体" w:hAnsi="宋体" w:eastAsia="宋体" w:cs="宋体"/>
          <w:b w:val="0"/>
          <w:bCs w:val="0"/>
          <w:sz w:val="21"/>
          <w:szCs w:val="21"/>
          <w:highlight w:val="none"/>
          <w:lang w:val="en-US" w:eastAsia="zh-CN"/>
        </w:rPr>
        <w:t xml:space="preserve">腹部凸阵探头：1把  </w:t>
      </w:r>
    </w:p>
    <w:p w14:paraId="69E011E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3.</w:t>
      </w:r>
      <w:r>
        <w:rPr>
          <w:rFonts w:hint="eastAsia" w:ascii="宋体" w:hAnsi="宋体" w:eastAsia="宋体" w:cs="宋体"/>
          <w:b w:val="0"/>
          <w:bCs w:val="0"/>
          <w:sz w:val="21"/>
          <w:szCs w:val="21"/>
          <w:highlight w:val="none"/>
          <w:lang w:val="en-US" w:eastAsia="zh-CN"/>
        </w:rPr>
        <w:t>腔内微凸阵探头：1把</w:t>
      </w:r>
    </w:p>
    <w:p w14:paraId="5B1DB5D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4.</w:t>
      </w:r>
      <w:r>
        <w:rPr>
          <w:rFonts w:hint="eastAsia" w:ascii="宋体" w:hAnsi="宋体" w:eastAsia="宋体" w:cs="宋体"/>
          <w:b w:val="0"/>
          <w:bCs w:val="0"/>
          <w:sz w:val="21"/>
          <w:szCs w:val="21"/>
          <w:highlight w:val="none"/>
          <w:lang w:val="en-US" w:eastAsia="zh-CN"/>
        </w:rPr>
        <w:t>腔内容积探头：1把</w:t>
      </w:r>
    </w:p>
    <w:p w14:paraId="18D574A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5.</w:t>
      </w:r>
      <w:r>
        <w:rPr>
          <w:rFonts w:hint="eastAsia" w:ascii="宋体" w:hAnsi="宋体" w:eastAsia="宋体" w:cs="宋体"/>
          <w:b w:val="0"/>
          <w:bCs w:val="0"/>
          <w:sz w:val="21"/>
          <w:szCs w:val="21"/>
          <w:highlight w:val="none"/>
          <w:lang w:val="en-US" w:eastAsia="zh-CN"/>
        </w:rPr>
        <w:t>穿刺架：≥5个</w:t>
      </w:r>
    </w:p>
    <w:p w14:paraId="5D49029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6.</w:t>
      </w:r>
      <w:r>
        <w:rPr>
          <w:rFonts w:hint="eastAsia" w:ascii="宋体" w:hAnsi="宋体" w:eastAsia="宋体" w:cs="宋体"/>
          <w:b w:val="0"/>
          <w:bCs w:val="0"/>
          <w:sz w:val="21"/>
          <w:szCs w:val="21"/>
          <w:highlight w:val="none"/>
          <w:lang w:val="en-US" w:eastAsia="zh-CN"/>
        </w:rPr>
        <w:t>备用电源：1台</w:t>
      </w:r>
    </w:p>
    <w:p w14:paraId="408236A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7.</w:t>
      </w:r>
      <w:r>
        <w:rPr>
          <w:rFonts w:hint="eastAsia" w:ascii="宋体" w:hAnsi="宋体" w:eastAsia="宋体" w:cs="宋体"/>
          <w:b w:val="0"/>
          <w:bCs w:val="0"/>
          <w:sz w:val="21"/>
          <w:szCs w:val="21"/>
          <w:highlight w:val="none"/>
          <w:lang w:val="en-US" w:eastAsia="zh-CN"/>
        </w:rPr>
        <w:t>检查用不锈钢圆凳≥2个</w:t>
      </w:r>
    </w:p>
    <w:p w14:paraId="783437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highlight w:val="none"/>
        </w:rPr>
      </w:pPr>
    </w:p>
    <w:p w14:paraId="5F71069E">
      <w:pPr>
        <w:rPr>
          <w:rFonts w:hint="eastAsia" w:ascii="宋体" w:hAnsi="宋体" w:eastAsia="宋体" w:cs="Times New Roman"/>
          <w:b w:val="0"/>
          <w:bCs/>
          <w:szCs w:val="21"/>
          <w:highlight w:val="none"/>
          <w:lang w:val="en-US" w:eastAsia="zh-CN"/>
        </w:rPr>
      </w:pPr>
      <w:r>
        <w:rPr>
          <w:rFonts w:hint="eastAsia" w:ascii="宋体" w:hAnsi="宋体" w:eastAsia="宋体" w:cs="Times New Roman"/>
          <w:b w:val="0"/>
          <w:bCs/>
          <w:szCs w:val="21"/>
          <w:highlight w:val="none"/>
          <w:lang w:val="en-US" w:eastAsia="zh-CN"/>
        </w:rPr>
        <w:br w:type="page"/>
      </w:r>
    </w:p>
    <w:p w14:paraId="26B7F4F8">
      <w:pPr>
        <w:pStyle w:val="16"/>
        <w:jc w:val="center"/>
        <w:rPr>
          <w:rFonts w:hAnsi="宋体"/>
          <w:bCs/>
          <w:szCs w:val="21"/>
          <w:highlight w:val="none"/>
        </w:rPr>
      </w:pPr>
    </w:p>
    <w:p w14:paraId="38F768DB">
      <w:pPr>
        <w:pStyle w:val="2"/>
        <w:numPr>
          <w:ilvl w:val="0"/>
          <w:numId w:val="0"/>
        </w:numPr>
        <w:adjustRightInd w:val="0"/>
        <w:snapToGrid w:val="0"/>
        <w:spacing w:after="0" w:line="360" w:lineRule="auto"/>
        <w:rPr>
          <w:rFonts w:hint="eastAsia" w:ascii="宋体" w:hAnsi="宋体" w:eastAsia="宋体" w:cs="Times New Roman"/>
          <w:b w:val="0"/>
          <w:bCs/>
          <w:szCs w:val="21"/>
          <w:highlight w:val="none"/>
          <w:lang w:val="en-US" w:eastAsia="zh-CN"/>
        </w:rPr>
      </w:pPr>
      <w:r>
        <w:rPr>
          <w:rFonts w:hint="eastAsia" w:ascii="宋体" w:hAnsi="宋体" w:eastAsia="宋体" w:cs="Times New Roman"/>
          <w:b w:val="0"/>
          <w:bCs/>
          <w:kern w:val="2"/>
          <w:sz w:val="21"/>
          <w:szCs w:val="21"/>
          <w:highlight w:val="none"/>
          <w:lang w:val="en-US" w:eastAsia="zh-CN" w:bidi="ar-SA"/>
        </w:rPr>
        <w:t>二、</w:t>
      </w:r>
      <w:r>
        <w:rPr>
          <w:rFonts w:hint="eastAsia" w:ascii="宋体" w:hAnsi="宋体" w:eastAsia="宋体" w:cs="Times New Roman"/>
          <w:b w:val="0"/>
          <w:bCs/>
          <w:szCs w:val="21"/>
          <w:highlight w:val="none"/>
          <w:lang w:val="en-US" w:eastAsia="zh-CN"/>
        </w:rPr>
        <w:t xml:space="preserve">数据记录仪1台 </w:t>
      </w:r>
    </w:p>
    <w:p w14:paraId="0A88F65A">
      <w:pPr>
        <w:wordWrap w:val="0"/>
        <w:autoSpaceDE/>
        <w:autoSpaceDN/>
        <w:spacing w:before="0" w:line="360" w:lineRule="auto"/>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16个单端输入和8个差分输入通道。可以采集热敏电阻，热电偶电压(-30至30V)，电流，电阻PT100/PT1000(两线制)和数字信号。</w:t>
      </w:r>
    </w:p>
    <w:p w14:paraId="0F404217">
      <w:pPr>
        <w:wordWrap w:val="0"/>
        <w:autoSpaceDE/>
        <w:autoSpaceDN/>
        <w:spacing w:before="0" w:line="360" w:lineRule="auto"/>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采样</w:t>
      </w:r>
      <w:r>
        <w:rPr>
          <w:rFonts w:hint="eastAsia" w:ascii="宋体" w:hAnsi="宋体" w:cs="宋体"/>
          <w:color w:val="000000"/>
          <w:sz w:val="24"/>
          <w:szCs w:val="24"/>
          <w:highlight w:val="none"/>
          <w:lang w:val="en-US" w:eastAsia="zh-CN"/>
        </w:rPr>
        <w:t>间隔</w:t>
      </w:r>
      <w:r>
        <w:rPr>
          <w:rFonts w:hint="eastAsia" w:ascii="宋体" w:hAnsi="宋体" w:eastAsia="宋体" w:cs="宋体"/>
          <w:color w:val="000000"/>
          <w:sz w:val="24"/>
          <w:szCs w:val="24"/>
          <w:highlight w:val="none"/>
        </w:rPr>
        <w:t>0.1s至24h。</w:t>
      </w:r>
    </w:p>
    <w:p w14:paraId="64C6757B">
      <w:pPr>
        <w:wordWrap w:val="0"/>
        <w:autoSpaceDE/>
        <w:autoSpaceDN/>
        <w:spacing w:before="0" w:line="360" w:lineRule="auto"/>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快速通道采样率≥8Hz，存储容量≥4GB，支持蓝牙无线传输。包括SquirrelView 软件用于配置数据记录仪、USB数据线用于连接电脑、以及一组AA电池，接线端子等。</w:t>
      </w:r>
    </w:p>
    <w:p w14:paraId="4F87DD55">
      <w:pPr>
        <w:wordWrap w:val="0"/>
        <w:autoSpaceDE/>
        <w:autoSpaceDN/>
        <w:spacing w:before="0" w:line="360" w:lineRule="auto"/>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4</w:t>
      </w:r>
      <w:r>
        <w:rPr>
          <w:rFonts w:hint="eastAsia" w:ascii="宋体" w:hAnsi="宋体" w:eastAsia="宋体" w:cs="宋体"/>
          <w:color w:val="000000"/>
          <w:sz w:val="24"/>
          <w:szCs w:val="24"/>
          <w:highlight w:val="none"/>
          <w:lang w:eastAsia="zh-CN"/>
        </w:rPr>
        <w:t>.配16根K型热电偶线，线规30AWG（线芯直径0.254mm），长度2米，特氟龙绝缘层，测温范围-50℃~260℃，精度等级Class</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w:t>
      </w:r>
    </w:p>
    <w:p w14:paraId="07F2B4AD">
      <w:pPr>
        <w:rPr>
          <w:rFonts w:hint="eastAsia" w:ascii="宋体" w:hAnsi="宋体" w:eastAsia="宋体" w:cs="Times New Roman"/>
          <w:b w:val="0"/>
          <w:bCs/>
          <w:szCs w:val="21"/>
          <w:highlight w:val="none"/>
          <w:lang w:val="en-US" w:eastAsia="zh-CN"/>
        </w:rPr>
      </w:pPr>
      <w:r>
        <w:rPr>
          <w:rFonts w:hint="eastAsia" w:ascii="宋体" w:hAnsi="宋体" w:eastAsia="宋体" w:cs="Times New Roman"/>
          <w:b w:val="0"/>
          <w:bCs/>
          <w:szCs w:val="21"/>
          <w:highlight w:val="none"/>
          <w:lang w:val="en-US" w:eastAsia="zh-CN"/>
        </w:rPr>
        <w:br w:type="textWrapping"/>
      </w:r>
    </w:p>
    <w:p w14:paraId="6F54954B">
      <w:pPr>
        <w:rPr>
          <w:rFonts w:hint="eastAsia" w:ascii="宋体" w:hAnsi="宋体" w:eastAsia="宋体" w:cs="Times New Roman"/>
          <w:b w:val="0"/>
          <w:bCs/>
          <w:szCs w:val="21"/>
          <w:highlight w:val="none"/>
          <w:lang w:val="en-US" w:eastAsia="zh-CN"/>
        </w:rPr>
      </w:pPr>
      <w:r>
        <w:rPr>
          <w:rFonts w:hint="eastAsia" w:ascii="宋体" w:hAnsi="宋体" w:eastAsia="宋体" w:cs="Times New Roman"/>
          <w:b w:val="0"/>
          <w:bCs/>
          <w:szCs w:val="21"/>
          <w:highlight w:val="none"/>
          <w:lang w:val="en-US" w:eastAsia="zh-CN"/>
        </w:rPr>
        <w:br w:type="page"/>
      </w:r>
      <w:bookmarkStart w:id="239" w:name="_GoBack"/>
    </w:p>
    <w:bookmarkEnd w:id="239"/>
    <w:p w14:paraId="1D9D9772">
      <w:pPr>
        <w:pStyle w:val="2"/>
        <w:numPr>
          <w:ilvl w:val="0"/>
          <w:numId w:val="0"/>
        </w:numPr>
        <w:adjustRightInd w:val="0"/>
        <w:snapToGrid w:val="0"/>
        <w:spacing w:after="0" w:line="360" w:lineRule="auto"/>
        <w:rPr>
          <w:rFonts w:hint="eastAsia" w:ascii="宋体" w:hAnsi="宋体" w:eastAsia="宋体" w:cs="Times New Roman"/>
          <w:b w:val="0"/>
          <w:bCs/>
          <w:szCs w:val="21"/>
          <w:highlight w:val="none"/>
          <w:u w:val="none"/>
          <w:lang w:val="en-US" w:eastAsia="zh-CN"/>
        </w:rPr>
      </w:pPr>
      <w:r>
        <w:rPr>
          <w:rFonts w:hint="eastAsia" w:ascii="宋体" w:hAnsi="宋体" w:eastAsia="宋体" w:cs="Times New Roman"/>
          <w:b w:val="0"/>
          <w:bCs/>
          <w:kern w:val="2"/>
          <w:sz w:val="21"/>
          <w:szCs w:val="21"/>
          <w:highlight w:val="none"/>
          <w:u w:val="none"/>
          <w:lang w:val="en-US" w:eastAsia="zh-CN" w:bidi="ar-SA"/>
        </w:rPr>
        <w:t>三、</w:t>
      </w:r>
      <w:r>
        <w:rPr>
          <w:rFonts w:hint="eastAsia" w:ascii="宋体" w:hAnsi="宋体" w:eastAsia="宋体" w:cs="Times New Roman"/>
          <w:b w:val="0"/>
          <w:bCs/>
          <w:szCs w:val="21"/>
          <w:highlight w:val="none"/>
          <w:u w:val="none"/>
          <w:lang w:val="en-US" w:eastAsia="zh-CN"/>
        </w:rPr>
        <w:t>电动手术检查床1张</w:t>
      </w:r>
    </w:p>
    <w:tbl>
      <w:tblPr>
        <w:tblStyle w:val="31"/>
        <w:tblW w:w="496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1"/>
        <w:gridCol w:w="2929"/>
        <w:gridCol w:w="4467"/>
      </w:tblGrid>
      <w:tr w14:paraId="40BEE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106" w:type="pct"/>
            <w:vMerge w:val="restart"/>
            <w:vAlign w:val="center"/>
          </w:tcPr>
          <w:p w14:paraId="38EE1FC4">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基 本 尺 寸</w:t>
            </w:r>
          </w:p>
        </w:tc>
        <w:tc>
          <w:tcPr>
            <w:tcW w:w="1541" w:type="pct"/>
          </w:tcPr>
          <w:p w14:paraId="1460E2C8">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床面长度（mm）</w:t>
            </w:r>
          </w:p>
        </w:tc>
        <w:tc>
          <w:tcPr>
            <w:tcW w:w="2351" w:type="pct"/>
          </w:tcPr>
          <w:p w14:paraId="40AEB4CE">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1880±100</w:t>
            </w:r>
          </w:p>
        </w:tc>
      </w:tr>
      <w:tr w14:paraId="55992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106" w:type="pct"/>
            <w:vMerge w:val="continue"/>
          </w:tcPr>
          <w:p w14:paraId="5F797926">
            <w:pPr>
              <w:rPr>
                <w:rFonts w:asciiTheme="minorEastAsia" w:hAnsiTheme="minorEastAsia" w:eastAsiaTheme="minorEastAsia"/>
                <w:sz w:val="24"/>
                <w:szCs w:val="24"/>
                <w:highlight w:val="none"/>
                <w:u w:val="none"/>
              </w:rPr>
            </w:pPr>
          </w:p>
        </w:tc>
        <w:tc>
          <w:tcPr>
            <w:tcW w:w="1541" w:type="pct"/>
          </w:tcPr>
          <w:p w14:paraId="6529BF00">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床面宽度（mm）</w:t>
            </w:r>
          </w:p>
        </w:tc>
        <w:tc>
          <w:tcPr>
            <w:tcW w:w="2351" w:type="pct"/>
          </w:tcPr>
          <w:p w14:paraId="6505BF29">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600±80</w:t>
            </w:r>
          </w:p>
        </w:tc>
      </w:tr>
      <w:tr w14:paraId="03F8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106" w:type="pct"/>
            <w:vMerge w:val="continue"/>
          </w:tcPr>
          <w:p w14:paraId="5F8D8528">
            <w:pPr>
              <w:rPr>
                <w:rFonts w:asciiTheme="minorEastAsia" w:hAnsiTheme="minorEastAsia" w:eastAsiaTheme="minorEastAsia"/>
                <w:sz w:val="24"/>
                <w:szCs w:val="24"/>
                <w:highlight w:val="none"/>
                <w:u w:val="none"/>
              </w:rPr>
            </w:pPr>
          </w:p>
        </w:tc>
        <w:tc>
          <w:tcPr>
            <w:tcW w:w="1541" w:type="pct"/>
          </w:tcPr>
          <w:p w14:paraId="75D0958B">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床面离地高度调节范围（mm）</w:t>
            </w:r>
          </w:p>
        </w:tc>
        <w:tc>
          <w:tcPr>
            <w:tcW w:w="2351" w:type="pct"/>
          </w:tcPr>
          <w:p w14:paraId="2B6AEA92">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500-800</w:t>
            </w:r>
          </w:p>
        </w:tc>
      </w:tr>
      <w:tr w14:paraId="21A2E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106" w:type="pct"/>
            <w:vMerge w:val="continue"/>
          </w:tcPr>
          <w:p w14:paraId="3BD2BC1D">
            <w:pPr>
              <w:rPr>
                <w:rFonts w:asciiTheme="minorEastAsia" w:hAnsiTheme="minorEastAsia" w:eastAsiaTheme="minorEastAsia"/>
                <w:sz w:val="24"/>
                <w:szCs w:val="24"/>
                <w:highlight w:val="none"/>
                <w:u w:val="none"/>
              </w:rPr>
            </w:pPr>
          </w:p>
        </w:tc>
        <w:tc>
          <w:tcPr>
            <w:tcW w:w="1541" w:type="pct"/>
          </w:tcPr>
          <w:p w14:paraId="76C094B6">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背板折转角度范围</w:t>
            </w:r>
          </w:p>
        </w:tc>
        <w:tc>
          <w:tcPr>
            <w:tcW w:w="2351" w:type="pct"/>
          </w:tcPr>
          <w:p w14:paraId="454E5834">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0°-50°</w:t>
            </w:r>
          </w:p>
        </w:tc>
      </w:tr>
      <w:tr w14:paraId="0F2EA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106" w:type="pct"/>
            <w:vMerge w:val="continue"/>
          </w:tcPr>
          <w:p w14:paraId="6AFBD9EB">
            <w:pPr>
              <w:rPr>
                <w:rFonts w:asciiTheme="minorEastAsia" w:hAnsiTheme="minorEastAsia" w:eastAsiaTheme="minorEastAsia"/>
                <w:sz w:val="24"/>
                <w:szCs w:val="24"/>
                <w:highlight w:val="none"/>
                <w:u w:val="none"/>
              </w:rPr>
            </w:pPr>
          </w:p>
        </w:tc>
        <w:tc>
          <w:tcPr>
            <w:tcW w:w="1541" w:type="pct"/>
          </w:tcPr>
          <w:p w14:paraId="47F56901">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臀板折转角度范围</w:t>
            </w:r>
          </w:p>
        </w:tc>
        <w:tc>
          <w:tcPr>
            <w:tcW w:w="2351" w:type="pct"/>
          </w:tcPr>
          <w:p w14:paraId="7025D8F0">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0°-20°</w:t>
            </w:r>
          </w:p>
        </w:tc>
      </w:tr>
      <w:tr w14:paraId="2A944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106" w:type="pct"/>
            <w:vMerge w:val="continue"/>
          </w:tcPr>
          <w:p w14:paraId="7EE64C39">
            <w:pPr>
              <w:rPr>
                <w:rFonts w:asciiTheme="minorEastAsia" w:hAnsiTheme="minorEastAsia" w:eastAsiaTheme="minorEastAsia"/>
                <w:sz w:val="24"/>
                <w:szCs w:val="24"/>
                <w:highlight w:val="none"/>
                <w:u w:val="none"/>
              </w:rPr>
            </w:pPr>
          </w:p>
        </w:tc>
        <w:tc>
          <w:tcPr>
            <w:tcW w:w="1541" w:type="pct"/>
          </w:tcPr>
          <w:p w14:paraId="5CB9607B">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腿架平移距离范围</w:t>
            </w:r>
          </w:p>
        </w:tc>
        <w:tc>
          <w:tcPr>
            <w:tcW w:w="2351" w:type="pct"/>
          </w:tcPr>
          <w:p w14:paraId="314C4C73">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704±10</w:t>
            </w:r>
          </w:p>
        </w:tc>
      </w:tr>
      <w:tr w14:paraId="01EBB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2648" w:type="pct"/>
            <w:gridSpan w:val="2"/>
          </w:tcPr>
          <w:p w14:paraId="5AE762BC">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脚</w:t>
            </w:r>
            <w:r>
              <w:rPr>
                <w:rFonts w:hint="eastAsia" w:asciiTheme="minorEastAsia" w:hAnsiTheme="minorEastAsia" w:eastAsiaTheme="minorEastAsia"/>
                <w:sz w:val="24"/>
                <w:szCs w:val="24"/>
                <w:highlight w:val="none"/>
                <w:u w:val="none"/>
                <w:lang w:val="en-US" w:eastAsia="zh-CN"/>
              </w:rPr>
              <w:t xml:space="preserve">  </w:t>
            </w:r>
            <w:r>
              <w:rPr>
                <w:rFonts w:hint="eastAsia" w:asciiTheme="minorEastAsia" w:hAnsiTheme="minorEastAsia" w:eastAsiaTheme="minorEastAsia"/>
                <w:sz w:val="24"/>
                <w:szCs w:val="24"/>
                <w:highlight w:val="none"/>
                <w:u w:val="none"/>
              </w:rPr>
              <w:t>轮：直径（mm）</w:t>
            </w:r>
          </w:p>
        </w:tc>
        <w:tc>
          <w:tcPr>
            <w:tcW w:w="2351" w:type="pct"/>
          </w:tcPr>
          <w:p w14:paraId="6AA5ABCA">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150±20</w:t>
            </w:r>
          </w:p>
        </w:tc>
      </w:tr>
      <w:tr w14:paraId="223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2648" w:type="pct"/>
            <w:gridSpan w:val="2"/>
          </w:tcPr>
          <w:p w14:paraId="4F4E6422">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护</w:t>
            </w:r>
            <w:r>
              <w:rPr>
                <w:rFonts w:hint="eastAsia" w:asciiTheme="minorEastAsia" w:hAnsiTheme="minorEastAsia" w:eastAsiaTheme="minorEastAsia"/>
                <w:sz w:val="24"/>
                <w:szCs w:val="24"/>
                <w:highlight w:val="none"/>
                <w:u w:val="none"/>
                <w:lang w:val="en-US" w:eastAsia="zh-CN"/>
              </w:rPr>
              <w:t xml:space="preserve">  </w:t>
            </w:r>
            <w:r>
              <w:rPr>
                <w:rFonts w:hint="eastAsia" w:asciiTheme="minorEastAsia" w:hAnsiTheme="minorEastAsia" w:eastAsiaTheme="minorEastAsia"/>
                <w:sz w:val="24"/>
                <w:szCs w:val="24"/>
                <w:highlight w:val="none"/>
                <w:u w:val="none"/>
              </w:rPr>
              <w:t>栏：长*高（mm）</w:t>
            </w:r>
          </w:p>
        </w:tc>
        <w:tc>
          <w:tcPr>
            <w:tcW w:w="2351" w:type="pct"/>
          </w:tcPr>
          <w:p w14:paraId="3B9988E0">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（605±150）*（150±50）</w:t>
            </w:r>
          </w:p>
        </w:tc>
      </w:tr>
      <w:tr w14:paraId="57F21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2648" w:type="pct"/>
            <w:gridSpan w:val="2"/>
          </w:tcPr>
          <w:p w14:paraId="5BF1D167">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输液架长度（mm）（距离床板上表面）</w:t>
            </w:r>
          </w:p>
        </w:tc>
        <w:tc>
          <w:tcPr>
            <w:tcW w:w="2351" w:type="pct"/>
          </w:tcPr>
          <w:p w14:paraId="18941181">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(870±60)-(1700±100)</w:t>
            </w:r>
          </w:p>
        </w:tc>
      </w:tr>
      <w:tr w14:paraId="029E6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2648" w:type="pct"/>
            <w:gridSpan w:val="2"/>
          </w:tcPr>
          <w:p w14:paraId="1760A636">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安全负载（kg）</w:t>
            </w:r>
          </w:p>
        </w:tc>
        <w:tc>
          <w:tcPr>
            <w:tcW w:w="2351" w:type="pct"/>
          </w:tcPr>
          <w:p w14:paraId="64387A11">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150</w:t>
            </w:r>
          </w:p>
        </w:tc>
      </w:tr>
      <w:tr w14:paraId="3B5DF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106" w:type="pct"/>
            <w:vMerge w:val="restart"/>
            <w:vAlign w:val="center"/>
          </w:tcPr>
          <w:p w14:paraId="541E4803">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床  垫</w:t>
            </w:r>
          </w:p>
        </w:tc>
        <w:tc>
          <w:tcPr>
            <w:tcW w:w="1541" w:type="pct"/>
          </w:tcPr>
          <w:p w14:paraId="2FFBF1A4">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背板床垫（mm）</w:t>
            </w:r>
          </w:p>
        </w:tc>
        <w:tc>
          <w:tcPr>
            <w:tcW w:w="2351" w:type="pct"/>
          </w:tcPr>
          <w:p w14:paraId="16FBD1B6">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(1100±100)*(605±60)*(60±30)</w:t>
            </w:r>
          </w:p>
        </w:tc>
      </w:tr>
      <w:tr w14:paraId="4C265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106" w:type="pct"/>
            <w:vMerge w:val="continue"/>
          </w:tcPr>
          <w:p w14:paraId="406B16A7">
            <w:pPr>
              <w:rPr>
                <w:rFonts w:asciiTheme="minorEastAsia" w:hAnsiTheme="minorEastAsia" w:eastAsiaTheme="minorEastAsia"/>
                <w:sz w:val="24"/>
                <w:szCs w:val="24"/>
                <w:highlight w:val="none"/>
                <w:u w:val="none"/>
              </w:rPr>
            </w:pPr>
          </w:p>
        </w:tc>
        <w:tc>
          <w:tcPr>
            <w:tcW w:w="1541" w:type="pct"/>
          </w:tcPr>
          <w:p w14:paraId="4C34A6BA">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腿板床垫（mm）</w:t>
            </w:r>
          </w:p>
        </w:tc>
        <w:tc>
          <w:tcPr>
            <w:tcW w:w="2351" w:type="pct"/>
          </w:tcPr>
          <w:p w14:paraId="75A0097F">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(780±100)*(605±60)*(100±30)</w:t>
            </w:r>
          </w:p>
        </w:tc>
      </w:tr>
      <w:tr w14:paraId="1A6FE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106" w:type="pct"/>
            <w:vMerge w:val="restart"/>
            <w:vAlign w:val="center"/>
          </w:tcPr>
          <w:p w14:paraId="6F52462F">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材  质</w:t>
            </w:r>
          </w:p>
        </w:tc>
        <w:tc>
          <w:tcPr>
            <w:tcW w:w="1541" w:type="pct"/>
          </w:tcPr>
          <w:p w14:paraId="35891B2C">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床面板</w:t>
            </w:r>
          </w:p>
        </w:tc>
        <w:tc>
          <w:tcPr>
            <w:tcW w:w="2351" w:type="pct"/>
          </w:tcPr>
          <w:p w14:paraId="34EC813C">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碳素钢</w:t>
            </w:r>
          </w:p>
        </w:tc>
      </w:tr>
      <w:tr w14:paraId="4BC28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106" w:type="pct"/>
            <w:vMerge w:val="continue"/>
          </w:tcPr>
          <w:p w14:paraId="45076863">
            <w:pPr>
              <w:rPr>
                <w:rFonts w:asciiTheme="minorEastAsia" w:hAnsiTheme="minorEastAsia" w:eastAsiaTheme="minorEastAsia"/>
                <w:sz w:val="24"/>
                <w:szCs w:val="24"/>
                <w:highlight w:val="none"/>
                <w:u w:val="none"/>
              </w:rPr>
            </w:pPr>
          </w:p>
        </w:tc>
        <w:tc>
          <w:tcPr>
            <w:tcW w:w="1541" w:type="pct"/>
          </w:tcPr>
          <w:p w14:paraId="4944F132">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主体结构</w:t>
            </w:r>
          </w:p>
        </w:tc>
        <w:tc>
          <w:tcPr>
            <w:tcW w:w="2351" w:type="pct"/>
          </w:tcPr>
          <w:p w14:paraId="60C0208B">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碳素钢</w:t>
            </w:r>
          </w:p>
        </w:tc>
      </w:tr>
      <w:tr w14:paraId="4EF98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106" w:type="pct"/>
            <w:vMerge w:val="continue"/>
          </w:tcPr>
          <w:p w14:paraId="0997697B">
            <w:pPr>
              <w:rPr>
                <w:rFonts w:asciiTheme="minorEastAsia" w:hAnsiTheme="minorEastAsia" w:eastAsiaTheme="minorEastAsia"/>
                <w:sz w:val="24"/>
                <w:szCs w:val="24"/>
                <w:highlight w:val="none"/>
                <w:u w:val="none"/>
              </w:rPr>
            </w:pPr>
          </w:p>
        </w:tc>
        <w:tc>
          <w:tcPr>
            <w:tcW w:w="1541" w:type="pct"/>
          </w:tcPr>
          <w:p w14:paraId="28E029EB">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床边护栏</w:t>
            </w:r>
          </w:p>
        </w:tc>
        <w:tc>
          <w:tcPr>
            <w:tcW w:w="2351" w:type="pct"/>
          </w:tcPr>
          <w:p w14:paraId="5C52119F">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酚醛纸层压板+PU</w:t>
            </w:r>
          </w:p>
        </w:tc>
      </w:tr>
      <w:tr w14:paraId="0B4C4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106" w:type="pct"/>
            <w:vMerge w:val="continue"/>
          </w:tcPr>
          <w:p w14:paraId="735879C7">
            <w:pPr>
              <w:rPr>
                <w:rFonts w:asciiTheme="minorEastAsia" w:hAnsiTheme="minorEastAsia" w:eastAsiaTheme="minorEastAsia"/>
                <w:sz w:val="24"/>
                <w:szCs w:val="24"/>
                <w:highlight w:val="none"/>
                <w:u w:val="none"/>
              </w:rPr>
            </w:pPr>
          </w:p>
        </w:tc>
        <w:tc>
          <w:tcPr>
            <w:tcW w:w="1541" w:type="pct"/>
          </w:tcPr>
          <w:p w14:paraId="30D60C98">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床底盖板</w:t>
            </w:r>
          </w:p>
        </w:tc>
        <w:tc>
          <w:tcPr>
            <w:tcW w:w="2351" w:type="pct"/>
          </w:tcPr>
          <w:p w14:paraId="261332CB">
            <w:pPr>
              <w:rPr>
                <w:rFonts w:asciiTheme="minorEastAsia" w:hAnsiTheme="minorEastAsia" w:eastAsiaTheme="minorEastAsia"/>
                <w:sz w:val="24"/>
                <w:szCs w:val="24"/>
                <w:highlight w:val="none"/>
                <w:u w:val="none"/>
              </w:rPr>
            </w:pPr>
            <w:r>
              <w:rPr>
                <w:rFonts w:hint="eastAsia" w:asciiTheme="minorEastAsia" w:hAnsiTheme="minorEastAsia" w:eastAsiaTheme="minorEastAsia"/>
                <w:sz w:val="24"/>
                <w:szCs w:val="24"/>
                <w:highlight w:val="none"/>
                <w:u w:val="none"/>
              </w:rPr>
              <w:t>碳素钢</w:t>
            </w:r>
          </w:p>
        </w:tc>
      </w:tr>
    </w:tbl>
    <w:p w14:paraId="4FE41FE9">
      <w:pPr>
        <w:rPr>
          <w:rFonts w:hint="eastAsia" w:ascii="宋体" w:hAnsi="宋体" w:eastAsia="宋体" w:cs="Times New Roman"/>
          <w:b w:val="0"/>
          <w:bCs/>
          <w:szCs w:val="21"/>
          <w:highlight w:val="none"/>
          <w:lang w:val="en-US" w:eastAsia="zh-CN"/>
        </w:rPr>
      </w:pPr>
      <w:r>
        <w:rPr>
          <w:rFonts w:hint="eastAsia" w:ascii="宋体" w:hAnsi="宋体" w:eastAsia="宋体" w:cs="Times New Roman"/>
          <w:b w:val="0"/>
          <w:bCs/>
          <w:szCs w:val="21"/>
          <w:highlight w:val="none"/>
          <w:lang w:val="en-US" w:eastAsia="zh-CN"/>
        </w:rPr>
        <w:br w:type="page"/>
      </w:r>
    </w:p>
    <w:p w14:paraId="7D52F598">
      <w:pPr>
        <w:pStyle w:val="2"/>
        <w:numPr>
          <w:ilvl w:val="0"/>
          <w:numId w:val="0"/>
        </w:numPr>
        <w:adjustRightInd w:val="0"/>
        <w:snapToGrid w:val="0"/>
        <w:spacing w:after="0" w:line="360" w:lineRule="auto"/>
        <w:ind w:left="0" w:leftChars="0" w:firstLine="0" w:firstLineChars="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四、</w:t>
      </w:r>
      <w:r>
        <w:rPr>
          <w:rFonts w:hint="eastAsia" w:ascii="宋体" w:hAnsi="宋体" w:eastAsia="宋体" w:cs="Times New Roman"/>
          <w:b w:val="0"/>
          <w:bCs/>
          <w:szCs w:val="21"/>
          <w:highlight w:val="none"/>
          <w:lang w:val="en-US" w:eastAsia="zh-CN"/>
        </w:rPr>
        <w:t>生物安全柜1台</w:t>
      </w:r>
    </w:p>
    <w:p w14:paraId="117260D6">
      <w:pPr>
        <w:pStyle w:val="39"/>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单人II级A2型生物安全柜，尺寸要满足：放载玻片架、染色架、移液器、废液缸，同时不挡气流。</w:t>
      </w:r>
    </w:p>
    <w:p w14:paraId="7CCDBB14">
      <w:pPr>
        <w:pStyle w:val="2"/>
        <w:keepNext w:val="0"/>
        <w:keepLines w:val="0"/>
        <w:pageBreakBefore w:val="0"/>
        <w:widowControl w:val="0"/>
        <w:numPr>
          <w:ilvl w:val="-1"/>
          <w:numId w:val="0"/>
        </w:numPr>
        <w:kinsoku/>
        <w:wordWrap/>
        <w:overflowPunct/>
        <w:topLinePunct w:val="0"/>
        <w:autoSpaceDE/>
        <w:autoSpaceDN/>
        <w:bidi w:val="0"/>
        <w:adjustRightInd/>
        <w:snapToGrid/>
        <w:spacing w:after="0"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内部工作区最小：≥900×600×660(mm)</w:t>
      </w:r>
    </w:p>
    <w:p w14:paraId="1FF78F89">
      <w:pPr>
        <w:pStyle w:val="2"/>
        <w:keepNext w:val="0"/>
        <w:keepLines w:val="0"/>
        <w:pageBreakBefore w:val="0"/>
        <w:widowControl w:val="0"/>
        <w:numPr>
          <w:ilvl w:val="-1"/>
          <w:numId w:val="0"/>
        </w:numPr>
        <w:kinsoku/>
        <w:wordWrap/>
        <w:overflowPunct/>
        <w:topLinePunct w:val="0"/>
        <w:autoSpaceDE/>
        <w:autoSpaceDN/>
        <w:bidi w:val="0"/>
        <w:adjustRightInd/>
        <w:snapToGrid/>
        <w:spacing w:after="0"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宽度：放染色架（约200mm）+载玻片盒+移液器架+废液缸，单侧留≥10cm防干扰</w:t>
      </w:r>
    </w:p>
    <w:p w14:paraId="484E4A57">
      <w:pPr>
        <w:pStyle w:val="2"/>
        <w:keepNext w:val="0"/>
        <w:keepLines w:val="0"/>
        <w:pageBreakBefore w:val="0"/>
        <w:widowControl w:val="0"/>
        <w:numPr>
          <w:ilvl w:val="-1"/>
          <w:numId w:val="0"/>
        </w:numPr>
        <w:kinsoku/>
        <w:wordWrap/>
        <w:overflowPunct/>
        <w:topLinePunct w:val="0"/>
        <w:autoSpaceDE/>
        <w:autoSpaceDN/>
        <w:bidi w:val="0"/>
        <w:adjustRightInd/>
        <w:snapToGrid/>
        <w:spacing w:after="0"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深度：≥600mm，手臂操作不顶前窗、气流均匀</w:t>
      </w:r>
    </w:p>
    <w:p w14:paraId="70E8BC76">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外部尺寸</w:t>
      </w:r>
    </w:p>
    <w:p w14:paraId="3C2580AD">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宽度：小于1100–1200</w:t>
      </w:r>
      <w:r>
        <w:rPr>
          <w:rFonts w:hint="eastAsia" w:ascii="宋体" w:hAnsi="宋体" w:cs="宋体"/>
          <w:sz w:val="21"/>
          <w:szCs w:val="21"/>
          <w:highlight w:val="none"/>
          <w:lang w:val="en-US" w:eastAsia="zh-CN"/>
        </w:rPr>
        <w:t>mm</w:t>
      </w:r>
    </w:p>
    <w:p w14:paraId="114727BF">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深度：750–800</w:t>
      </w:r>
      <w:r>
        <w:rPr>
          <w:rFonts w:hint="eastAsia" w:ascii="宋体" w:hAnsi="宋体" w:cs="宋体"/>
          <w:sz w:val="21"/>
          <w:szCs w:val="21"/>
          <w:highlight w:val="none"/>
          <w:lang w:val="en-US" w:eastAsia="zh-CN"/>
        </w:rPr>
        <w:t>mm</w:t>
      </w:r>
    </w:p>
    <w:p w14:paraId="376A16D3">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总高（含支架）：≤2100–2250</w:t>
      </w:r>
      <w:r>
        <w:rPr>
          <w:rFonts w:hint="eastAsia" w:ascii="宋体" w:hAnsi="宋体" w:cs="宋体"/>
          <w:sz w:val="21"/>
          <w:szCs w:val="21"/>
          <w:highlight w:val="none"/>
          <w:lang w:val="en-US" w:eastAsia="zh-CN"/>
        </w:rPr>
        <w:t>mm</w:t>
      </w:r>
    </w:p>
    <w:p w14:paraId="01F8EE12">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台面高度：750–770</w:t>
      </w:r>
      <w:r>
        <w:rPr>
          <w:rFonts w:hint="eastAsia" w:ascii="宋体" w:hAnsi="宋体" w:cs="宋体"/>
          <w:sz w:val="21"/>
          <w:szCs w:val="21"/>
          <w:highlight w:val="none"/>
          <w:lang w:val="en-US" w:eastAsia="zh-CN"/>
        </w:rPr>
        <w:t>mm</w:t>
      </w:r>
      <w:r>
        <w:rPr>
          <w:rFonts w:hint="eastAsia" w:ascii="宋体" w:hAnsi="宋体" w:eastAsia="宋体" w:cs="宋体"/>
          <w:sz w:val="21"/>
          <w:szCs w:val="21"/>
          <w:highlight w:val="none"/>
        </w:rPr>
        <w:t>（人体工学</w:t>
      </w:r>
      <w:r>
        <w:rPr>
          <w:rFonts w:hint="eastAsia" w:ascii="宋体" w:hAnsi="宋体" w:cs="宋体"/>
          <w:sz w:val="21"/>
          <w:szCs w:val="21"/>
          <w:highlight w:val="none"/>
          <w:lang w:eastAsia="zh-CN"/>
        </w:rPr>
        <w:t>）</w:t>
      </w:r>
    </w:p>
    <w:p w14:paraId="398EFAE3">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高度：660mm，放染色架、小培养皿不碰下降风窗</w:t>
      </w:r>
    </w:p>
    <w:p w14:paraId="6CA87866">
      <w:pPr>
        <w:rPr>
          <w:rFonts w:hint="eastAsia" w:ascii="宋体" w:hAnsi="宋体" w:eastAsia="宋体" w:cs="Times New Roman"/>
          <w:b w:val="0"/>
          <w:bCs/>
          <w:szCs w:val="21"/>
          <w:highlight w:val="none"/>
          <w:lang w:val="en-US" w:eastAsia="zh-CN"/>
        </w:rPr>
      </w:pPr>
      <w:r>
        <w:rPr>
          <w:rFonts w:hint="eastAsia" w:ascii="宋体" w:hAnsi="宋体" w:eastAsia="宋体" w:cs="Times New Roman"/>
          <w:b w:val="0"/>
          <w:bCs/>
          <w:szCs w:val="21"/>
          <w:highlight w:val="none"/>
          <w:lang w:val="en-US" w:eastAsia="zh-CN"/>
        </w:rPr>
        <w:br w:type="page"/>
      </w:r>
    </w:p>
    <w:p w14:paraId="1A4BC333">
      <w:pPr>
        <w:pStyle w:val="2"/>
        <w:numPr>
          <w:ilvl w:val="0"/>
          <w:numId w:val="0"/>
        </w:numPr>
        <w:adjustRightInd w:val="0"/>
        <w:snapToGrid w:val="0"/>
        <w:spacing w:after="0" w:line="360" w:lineRule="auto"/>
        <w:ind w:left="0" w:leftChars="0" w:firstLine="0" w:firstLineChars="0"/>
        <w:rPr>
          <w:rFonts w:hint="eastAsia" w:ascii="宋体" w:hAnsi="宋体" w:eastAsia="宋体" w:cs="Times New Roman"/>
          <w:b w:val="0"/>
          <w:bCs/>
          <w:szCs w:val="21"/>
          <w:highlight w:val="none"/>
          <w:lang w:val="en-US" w:eastAsia="zh-CN"/>
        </w:rPr>
      </w:pPr>
      <w:r>
        <w:rPr>
          <w:rFonts w:hint="eastAsia" w:ascii="宋体" w:hAnsi="宋体" w:eastAsia="宋体" w:cs="Times New Roman"/>
          <w:b w:val="0"/>
          <w:bCs/>
          <w:kern w:val="2"/>
          <w:sz w:val="21"/>
          <w:szCs w:val="21"/>
          <w:highlight w:val="none"/>
          <w:lang w:val="en-US" w:eastAsia="zh-CN" w:bidi="ar-SA"/>
        </w:rPr>
        <w:t>五、</w:t>
      </w:r>
      <w:r>
        <w:rPr>
          <w:rFonts w:hint="eastAsia" w:ascii="宋体" w:hAnsi="宋体" w:eastAsia="宋体" w:cs="Times New Roman"/>
          <w:b w:val="0"/>
          <w:bCs/>
          <w:szCs w:val="21"/>
          <w:highlight w:val="none"/>
          <w:lang w:val="en-US" w:eastAsia="zh-CN"/>
        </w:rPr>
        <w:t xml:space="preserve">恒温试管架1台 </w:t>
      </w:r>
    </w:p>
    <w:p w14:paraId="0E5F542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仪器外尺寸≤190*95*140MM（长*宽*高）</w:t>
      </w:r>
    </w:p>
    <w:p w14:paraId="03788A4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可同时放置2排，每排≥7支，共计不低于14支（14/15ml）试管，保证样本多时也不耽误操作。</w:t>
      </w:r>
    </w:p>
    <w:p w14:paraId="3CD8C53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侧面可视设计，可清楚看到试管内任何刻度时的液体量，方便操作人员的判断。</w:t>
      </w:r>
    </w:p>
    <w:p w14:paraId="50EA71A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设定温度：室温+3℃~65℃。</w:t>
      </w:r>
    </w:p>
    <w:p w14:paraId="0AC581D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最大加热功率不小于100W，可保证快速达到所需要的设定温度，室温（25℃）~37℃，升温时间≤10min。</w:t>
      </w:r>
    </w:p>
    <w:p w14:paraId="32B792FE">
      <w:pPr>
        <w:pStyle w:val="11"/>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温度控制精度≤</w:t>
      </w:r>
      <w:r>
        <w:rPr>
          <w:rFonts w:ascii="Segoe UI Emoji" w:hAnsi="Segoe UI Emoji" w:eastAsia="Segoe UI Emoji" w:cs="Segoe UI Emoji"/>
          <w:i w:val="0"/>
          <w:iCs w:val="0"/>
          <w:caps w:val="0"/>
          <w:color w:val="000000"/>
          <w:spacing w:val="0"/>
          <w:sz w:val="24"/>
          <w:szCs w:val="24"/>
          <w:highlight w:val="none"/>
          <w:shd w:val="clear" w:fill="FFFFFF"/>
        </w:rPr>
        <w:t>±</w:t>
      </w:r>
      <w:r>
        <w:rPr>
          <w:rFonts w:hint="eastAsia"/>
          <w:highlight w:val="none"/>
          <w:lang w:val="en-US" w:eastAsia="zh-CN"/>
        </w:rPr>
        <w:t>0.2</w:t>
      </w:r>
      <w:r>
        <w:rPr>
          <w:rFonts w:hint="eastAsia" w:ascii="宋体" w:hAnsi="宋体" w:eastAsia="宋体" w:cs="宋体"/>
          <w:sz w:val="21"/>
          <w:szCs w:val="21"/>
          <w:highlight w:val="none"/>
        </w:rPr>
        <w:t>℃，调节精度0.1℃。</w:t>
      </w:r>
    </w:p>
    <w:p w14:paraId="54EAA38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rPr>
        <w:t>采用不同孔位差异化加热方式，保证每个孔位间温度差异≤±0.1℃。</w:t>
      </w:r>
    </w:p>
    <w:p w14:paraId="56CE3DE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加热槽侧面可拆卸设计。</w:t>
      </w:r>
    </w:p>
    <w:p w14:paraId="2254140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加热部分采用铝合金材质，同时表面做氧化处理。</w:t>
      </w:r>
    </w:p>
    <w:p w14:paraId="5C7F7E2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加热模块氧化颜色可定制，有不低于5种颜色可选择。</w:t>
      </w:r>
    </w:p>
    <w:p w14:paraId="123169C2">
      <w:pPr>
        <w:pStyle w:val="23"/>
        <w:keepNext w:val="0"/>
        <w:keepLines w:val="0"/>
        <w:pageBreakBefore w:val="0"/>
        <w:widowControl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w:t>
      </w:r>
      <w:r>
        <w:rPr>
          <w:rFonts w:hint="eastAsia" w:ascii="宋体" w:hAnsi="宋体" w:eastAsia="宋体" w:cs="宋体"/>
          <w:sz w:val="21"/>
          <w:szCs w:val="21"/>
          <w:highlight w:val="none"/>
        </w:rPr>
        <w:t>屏幕尺寸≥55mm</w:t>
      </w:r>
      <w:r>
        <w:rPr>
          <w:rFonts w:ascii="Segoe UI Emoji" w:hAnsi="Segoe UI Emoji" w:eastAsia="Segoe UI Emoji" w:cs="Segoe UI Emoji"/>
          <w:i w:val="0"/>
          <w:iCs w:val="0"/>
          <w:caps w:val="0"/>
          <w:color w:val="000000"/>
          <w:spacing w:val="0"/>
          <w:sz w:val="24"/>
          <w:szCs w:val="24"/>
          <w:highlight w:val="none"/>
          <w:shd w:val="clear" w:fill="FFFFFF"/>
        </w:rPr>
        <w:t>×</w:t>
      </w:r>
      <w:r>
        <w:rPr>
          <w:rFonts w:hint="eastAsia" w:ascii="宋体" w:hAnsi="宋体" w:eastAsia="宋体" w:cs="宋体"/>
          <w:sz w:val="21"/>
          <w:szCs w:val="21"/>
          <w:highlight w:val="none"/>
        </w:rPr>
        <w:t>33mm，实时温度采用突出显示。</w:t>
      </w:r>
    </w:p>
    <w:p w14:paraId="7E0FD535">
      <w:pPr>
        <w:rPr>
          <w:rFonts w:hint="eastAsia" w:ascii="宋体" w:hAnsi="宋体" w:eastAsia="宋体" w:cs="Times New Roman"/>
          <w:b w:val="0"/>
          <w:bCs/>
          <w:szCs w:val="21"/>
          <w:highlight w:val="none"/>
          <w:lang w:val="en-US" w:eastAsia="zh-CN"/>
        </w:rPr>
      </w:pPr>
      <w:r>
        <w:rPr>
          <w:rFonts w:hint="eastAsia" w:ascii="宋体" w:hAnsi="宋体" w:eastAsia="宋体" w:cs="Times New Roman"/>
          <w:b w:val="0"/>
          <w:bCs/>
          <w:szCs w:val="21"/>
          <w:highlight w:val="none"/>
          <w:lang w:val="en-US" w:eastAsia="zh-CN"/>
        </w:rPr>
        <w:br w:type="page"/>
      </w:r>
    </w:p>
    <w:p w14:paraId="2487C7F4">
      <w:pPr>
        <w:pStyle w:val="2"/>
        <w:numPr>
          <w:ilvl w:val="0"/>
          <w:numId w:val="0"/>
        </w:numPr>
        <w:adjustRightInd w:val="0"/>
        <w:snapToGrid w:val="0"/>
        <w:spacing w:after="0" w:line="360" w:lineRule="auto"/>
        <w:ind w:left="0" w:leftChars="0" w:firstLine="0" w:firstLineChars="0"/>
        <w:rPr>
          <w:rFonts w:hint="eastAsia" w:ascii="宋体" w:hAnsi="宋体" w:eastAsia="宋体" w:cs="Times New Roman"/>
          <w:b w:val="0"/>
          <w:bCs/>
          <w:szCs w:val="21"/>
          <w:highlight w:val="none"/>
          <w:lang w:val="en-US" w:eastAsia="zh-CN"/>
        </w:rPr>
      </w:pPr>
      <w:r>
        <w:rPr>
          <w:rFonts w:hint="eastAsia" w:ascii="宋体" w:hAnsi="宋体" w:eastAsia="宋体" w:cs="Times New Roman"/>
          <w:b w:val="0"/>
          <w:bCs/>
          <w:kern w:val="2"/>
          <w:sz w:val="21"/>
          <w:szCs w:val="21"/>
          <w:highlight w:val="none"/>
          <w:lang w:val="en-US" w:eastAsia="zh-CN" w:bidi="ar-SA"/>
        </w:rPr>
        <w:t>六、</w:t>
      </w:r>
      <w:r>
        <w:rPr>
          <w:rFonts w:hint="eastAsia" w:ascii="宋体" w:hAnsi="宋体" w:eastAsia="宋体" w:cs="Times New Roman"/>
          <w:b w:val="0"/>
          <w:bCs/>
          <w:szCs w:val="21"/>
          <w:highlight w:val="none"/>
          <w:lang w:val="en-US" w:eastAsia="zh-CN"/>
        </w:rPr>
        <w:t>手持式PH计1台</w:t>
      </w:r>
    </w:p>
    <w:p w14:paraId="77E93A4A">
      <w:pPr>
        <w:keepNext w:val="0"/>
        <w:keepLines w:val="0"/>
        <w:pageBreakBefore w:val="0"/>
        <w:widowControl w:val="0"/>
        <w:kinsoku/>
        <w:wordWrap w:val="0"/>
        <w:overflowPunct/>
        <w:topLinePunct w:val="0"/>
        <w:autoSpaceDE w:val="0"/>
        <w:autoSpaceDN w:val="0"/>
        <w:bidi w:val="0"/>
        <w:adjustRightInd/>
        <w:snapToGrid/>
        <w:spacing w:line="360" w:lineRule="auto"/>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可测量pH,mV和温度,最高分辨率0.001pH</w:t>
      </w:r>
    </w:p>
    <w:p w14:paraId="06AE13A4">
      <w:pPr>
        <w:keepNext w:val="0"/>
        <w:keepLines w:val="0"/>
        <w:pageBreakBefore w:val="0"/>
        <w:widowControl w:val="0"/>
        <w:kinsoku/>
        <w:wordWrap w:val="0"/>
        <w:overflowPunct/>
        <w:topLinePunct w:val="0"/>
        <w:autoSpaceDE w:val="0"/>
        <w:autoSpaceDN w:val="0"/>
        <w:bidi w:val="0"/>
        <w:adjustRightInd/>
        <w:snapToGrid/>
        <w:spacing w:line="360" w:lineRule="auto"/>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可连接PH复合电极或ORP电极</w:t>
      </w:r>
    </w:p>
    <w:p w14:paraId="4CFB33FC">
      <w:pPr>
        <w:keepNext w:val="0"/>
        <w:keepLines w:val="0"/>
        <w:pageBreakBefore w:val="0"/>
        <w:widowControl w:val="0"/>
        <w:kinsoku/>
        <w:wordWrap w:val="0"/>
        <w:overflowPunct/>
        <w:topLinePunct w:val="0"/>
        <w:autoSpaceDE w:val="0"/>
        <w:autoSpaceDN w:val="0"/>
        <w:bidi w:val="0"/>
        <w:adjustRightInd/>
        <w:snapToGrid/>
        <w:spacing w:line="360" w:lineRule="auto"/>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不同电极可分别设定测量配置参数。</w:t>
      </w:r>
    </w:p>
    <w:p w14:paraId="33D4C6DA">
      <w:pPr>
        <w:keepNext w:val="0"/>
        <w:keepLines w:val="0"/>
        <w:pageBreakBefore w:val="0"/>
        <w:widowControl w:val="0"/>
        <w:kinsoku/>
        <w:wordWrap w:val="0"/>
        <w:overflowPunct/>
        <w:topLinePunct w:val="0"/>
        <w:autoSpaceDE w:val="0"/>
        <w:autoSpaceDN w:val="0"/>
        <w:bidi w:val="0"/>
        <w:adjustRightInd/>
        <w:snapToGrid/>
        <w:spacing w:line="360" w:lineRule="auto"/>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自动读数功能,响应时间≤15秒,重复性&lt;0.01pH</w:t>
      </w:r>
    </w:p>
    <w:p w14:paraId="7F46A9BD">
      <w:pPr>
        <w:keepNext w:val="0"/>
        <w:keepLines w:val="0"/>
        <w:pageBreakBefore w:val="0"/>
        <w:widowControl w:val="0"/>
        <w:kinsoku/>
        <w:wordWrap w:val="0"/>
        <w:overflowPunct/>
        <w:topLinePunct w:val="0"/>
        <w:autoSpaceDE w:val="0"/>
        <w:autoSpaceDN w:val="0"/>
        <w:bidi w:val="0"/>
        <w:adjustRightInd/>
        <w:snapToGrid/>
        <w:spacing w:line="360" w:lineRule="auto"/>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自动1,2,3,4或5点校准</w:t>
      </w:r>
    </w:p>
    <w:p w14:paraId="317ADEC4">
      <w:pPr>
        <w:keepNext w:val="0"/>
        <w:keepLines w:val="0"/>
        <w:pageBreakBefore w:val="0"/>
        <w:widowControl w:val="0"/>
        <w:kinsoku/>
        <w:wordWrap w:val="0"/>
        <w:overflowPunct/>
        <w:topLinePunct w:val="0"/>
        <w:autoSpaceDE w:val="0"/>
        <w:autoSpaceDN w:val="0"/>
        <w:bidi w:val="0"/>
        <w:adjustRightInd/>
        <w:snapToGrid/>
        <w:spacing w:line="360" w:lineRule="auto"/>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校准状态监测:连续测量时,通过直观的刻度显示,随时监视测量值是否超出有效的校准范围存储功能,可自动或手动存储,每组数据包括测量值,温度,日期,时间,编号及测量时的校准状态。自动存储5000组测量数据,可在1s-60min之间设定存储间隔,手动存储200组</w:t>
      </w:r>
    </w:p>
    <w:p w14:paraId="3F89F1EF">
      <w:pPr>
        <w:keepNext w:val="0"/>
        <w:keepLines w:val="0"/>
        <w:pageBreakBefore w:val="0"/>
        <w:widowControl w:val="0"/>
        <w:kinsoku/>
        <w:wordWrap w:val="0"/>
        <w:overflowPunct/>
        <w:topLinePunct w:val="0"/>
        <w:autoSpaceDE w:val="0"/>
        <w:autoSpaceDN w:val="0"/>
        <w:bidi w:val="0"/>
        <w:adjustRightInd/>
        <w:snapToGrid/>
        <w:spacing w:line="360" w:lineRule="auto"/>
        <w:jc w:val="both"/>
        <w:textAlignment w:val="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7.</w:t>
      </w:r>
      <w:r>
        <w:rPr>
          <w:rFonts w:hint="eastAsia" w:ascii="宋体" w:hAnsi="宋体" w:eastAsia="宋体" w:cs="宋体"/>
          <w:color w:val="000000"/>
          <w:sz w:val="21"/>
          <w:szCs w:val="21"/>
          <w:highlight w:val="none"/>
        </w:rPr>
        <w:t>USB接口,存储的数据可同步传输到PC背光显示及自动关机功能(可在10min-24h之间设定)</w:t>
      </w:r>
    </w:p>
    <w:p w14:paraId="46B109D4">
      <w:pPr>
        <w:rPr>
          <w:rFonts w:hint="eastAsia" w:ascii="宋体" w:hAnsi="宋体" w:eastAsia="宋体" w:cs="Times New Roman"/>
          <w:b w:val="0"/>
          <w:bCs/>
          <w:szCs w:val="21"/>
          <w:highlight w:val="none"/>
          <w:lang w:val="en-US" w:eastAsia="zh-CN"/>
        </w:rPr>
      </w:pPr>
      <w:r>
        <w:rPr>
          <w:rFonts w:hint="eastAsia" w:ascii="宋体" w:hAnsi="宋体" w:eastAsia="宋体" w:cs="Times New Roman"/>
          <w:b w:val="0"/>
          <w:bCs/>
          <w:szCs w:val="21"/>
          <w:highlight w:val="none"/>
          <w:lang w:val="en-US" w:eastAsia="zh-CN"/>
        </w:rPr>
        <w:br w:type="page"/>
      </w:r>
    </w:p>
    <w:p w14:paraId="48FA1A5F">
      <w:pPr>
        <w:pStyle w:val="2"/>
        <w:numPr>
          <w:ilvl w:val="0"/>
          <w:numId w:val="0"/>
        </w:numPr>
        <w:adjustRightInd w:val="0"/>
        <w:snapToGrid w:val="0"/>
        <w:spacing w:after="0" w:line="360" w:lineRule="auto"/>
        <w:ind w:left="0" w:leftChars="0" w:firstLine="0" w:firstLineChars="0"/>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kern w:val="2"/>
          <w:sz w:val="21"/>
          <w:szCs w:val="21"/>
          <w:highlight w:val="none"/>
          <w:lang w:val="en-US" w:eastAsia="zh-CN" w:bidi="ar-SA"/>
        </w:rPr>
        <w:t>七、</w:t>
      </w:r>
      <w:r>
        <w:rPr>
          <w:rFonts w:hint="eastAsia" w:ascii="宋体" w:hAnsi="宋体" w:eastAsia="宋体" w:cs="Times New Roman"/>
          <w:b w:val="0"/>
          <w:bCs/>
          <w:szCs w:val="21"/>
          <w:highlight w:val="none"/>
          <w:lang w:val="en-US" w:eastAsia="zh-CN"/>
        </w:rPr>
        <w:t xml:space="preserve">拆蛋枪2支 </w:t>
      </w:r>
    </w:p>
    <w:p w14:paraId="0AD61B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u w:val="none"/>
        </w:rPr>
      </w:pPr>
      <w:r>
        <w:rPr>
          <w:rFonts w:hint="eastAsia" w:ascii="宋体" w:hAnsi="宋体" w:eastAsia="宋体" w:cs="宋体"/>
          <w:b w:val="0"/>
          <w:bCs w:val="0"/>
          <w:sz w:val="21"/>
          <w:szCs w:val="21"/>
          <w:highlight w:val="none"/>
          <w:u w:val="none"/>
          <w:lang w:val="en-US" w:eastAsia="zh-CN"/>
        </w:rPr>
        <w:t>兼容外径0.9mm的（RI或者cook）剥卵针，带人体工学手柄。</w:t>
      </w:r>
    </w:p>
    <w:p w14:paraId="4AACA2E3">
      <w:pPr>
        <w:rPr>
          <w:rFonts w:hint="eastAsia" w:ascii="宋体" w:hAnsi="宋体" w:eastAsia="宋体" w:cs="Times New Roman"/>
          <w:b w:val="0"/>
          <w:bCs/>
          <w:szCs w:val="21"/>
          <w:highlight w:val="none"/>
          <w:lang w:val="en-US" w:eastAsia="zh-CN"/>
        </w:rPr>
      </w:pPr>
      <w:r>
        <w:rPr>
          <w:rFonts w:hint="eastAsia" w:ascii="宋体" w:hAnsi="宋体" w:eastAsia="宋体" w:cs="Times New Roman"/>
          <w:b w:val="0"/>
          <w:bCs/>
          <w:szCs w:val="21"/>
          <w:highlight w:val="none"/>
          <w:lang w:val="en-US" w:eastAsia="zh-CN"/>
        </w:rPr>
        <w:br w:type="page"/>
      </w:r>
    </w:p>
    <w:p w14:paraId="190AFB5C">
      <w:pPr>
        <w:pStyle w:val="2"/>
        <w:numPr>
          <w:ilvl w:val="0"/>
          <w:numId w:val="0"/>
        </w:numPr>
        <w:adjustRightInd w:val="0"/>
        <w:snapToGrid w:val="0"/>
        <w:spacing w:after="0" w:line="360" w:lineRule="auto"/>
        <w:ind w:left="0" w:leftChars="0" w:firstLine="0" w:firstLineChars="0"/>
        <w:rPr>
          <w:rFonts w:hint="eastAsia" w:ascii="宋体" w:hAnsi="宋体" w:eastAsia="宋体" w:cs="Times New Roman"/>
          <w:b w:val="0"/>
          <w:bCs/>
          <w:szCs w:val="21"/>
          <w:highlight w:val="none"/>
          <w:lang w:val="en-US" w:eastAsia="zh-CN"/>
        </w:rPr>
      </w:pPr>
      <w:r>
        <w:rPr>
          <w:rFonts w:hint="eastAsia" w:ascii="宋体" w:hAnsi="宋体" w:eastAsia="宋体" w:cs="Times New Roman"/>
          <w:b w:val="0"/>
          <w:bCs/>
          <w:kern w:val="2"/>
          <w:sz w:val="21"/>
          <w:szCs w:val="21"/>
          <w:highlight w:val="none"/>
          <w:lang w:val="en-US" w:eastAsia="zh-CN" w:bidi="ar-SA"/>
        </w:rPr>
        <w:t>八、</w:t>
      </w:r>
      <w:r>
        <w:rPr>
          <w:rFonts w:hint="eastAsia" w:ascii="宋体" w:hAnsi="宋体" w:eastAsia="宋体" w:cs="Times New Roman"/>
          <w:b w:val="0"/>
          <w:bCs/>
          <w:szCs w:val="21"/>
          <w:highlight w:val="none"/>
          <w:lang w:val="en-US" w:eastAsia="zh-CN"/>
        </w:rPr>
        <w:t>电子天平2台</w:t>
      </w:r>
    </w:p>
    <w:p w14:paraId="4F44D296">
      <w:pPr>
        <w:pStyle w:val="39"/>
        <w:keepNext w:val="0"/>
        <w:keepLines w:val="0"/>
        <w:pageBreakBefore w:val="0"/>
        <w:widowControl w:val="0"/>
        <w:numPr>
          <w:ilvl w:val="0"/>
          <w:numId w:val="0"/>
        </w:numPr>
        <w:kinsoku/>
        <w:wordWrap/>
        <w:overflowPunct/>
        <w:topLinePunct w:val="0"/>
        <w:autoSpaceDE w:val="0"/>
        <w:autoSpaceDN w:val="0"/>
        <w:bidi w:val="0"/>
        <w:adjustRightInd w:val="0"/>
        <w:snapToGrid w:val="0"/>
        <w:spacing w:line="480" w:lineRule="auto"/>
        <w:ind w:leftChars="0"/>
        <w:jc w:val="left"/>
        <w:textAlignment w:val="auto"/>
        <w:rPr>
          <w:rFonts w:hint="eastAsia" w:asciiTheme="minorEastAsia" w:hAnsiTheme="minorEastAsia" w:eastAsiaTheme="minorEastAsia" w:cstheme="majorEastAsia"/>
          <w:sz w:val="21"/>
          <w:szCs w:val="21"/>
          <w:highlight w:val="none"/>
        </w:rPr>
      </w:pPr>
      <w:r>
        <w:rPr>
          <w:rFonts w:hint="eastAsia" w:asciiTheme="minorEastAsia" w:hAnsiTheme="minorEastAsia" w:eastAsiaTheme="minorEastAsia" w:cstheme="majorEastAsia"/>
          <w:sz w:val="21"/>
          <w:szCs w:val="21"/>
          <w:highlight w:val="none"/>
          <w:lang w:val="en-US" w:eastAsia="zh-CN"/>
        </w:rPr>
        <w:t>1.</w:t>
      </w:r>
      <w:r>
        <w:rPr>
          <w:rFonts w:hint="eastAsia" w:asciiTheme="minorEastAsia" w:hAnsiTheme="minorEastAsia" w:eastAsiaTheme="minorEastAsia" w:cstheme="majorEastAsia"/>
          <w:sz w:val="21"/>
          <w:szCs w:val="21"/>
          <w:highlight w:val="none"/>
        </w:rPr>
        <w:t>微量称重、精子密度校准、质控品、精密试剂</w:t>
      </w:r>
    </w:p>
    <w:p w14:paraId="26E2D688">
      <w:pPr>
        <w:pStyle w:val="39"/>
        <w:keepNext w:val="0"/>
        <w:keepLines w:val="0"/>
        <w:pageBreakBefore w:val="0"/>
        <w:widowControl w:val="0"/>
        <w:numPr>
          <w:ilvl w:val="0"/>
          <w:numId w:val="0"/>
        </w:numPr>
        <w:kinsoku/>
        <w:wordWrap/>
        <w:overflowPunct/>
        <w:topLinePunct w:val="0"/>
        <w:autoSpaceDE w:val="0"/>
        <w:autoSpaceDN w:val="0"/>
        <w:bidi w:val="0"/>
        <w:adjustRightInd w:val="0"/>
        <w:snapToGrid w:val="0"/>
        <w:spacing w:line="480" w:lineRule="auto"/>
        <w:ind w:leftChars="0"/>
        <w:jc w:val="left"/>
        <w:textAlignment w:val="auto"/>
        <w:rPr>
          <w:rFonts w:hint="eastAsia" w:asciiTheme="minorEastAsia" w:hAnsiTheme="minorEastAsia" w:eastAsiaTheme="minorEastAsia" w:cstheme="majorEastAsia"/>
          <w:sz w:val="21"/>
          <w:szCs w:val="21"/>
          <w:highlight w:val="none"/>
        </w:rPr>
      </w:pPr>
      <w:r>
        <w:rPr>
          <w:rFonts w:hint="eastAsia" w:asciiTheme="minorEastAsia" w:hAnsiTheme="minorEastAsia" w:eastAsiaTheme="minorEastAsia" w:cstheme="majorEastAsia"/>
          <w:sz w:val="21"/>
          <w:szCs w:val="21"/>
          <w:highlight w:val="none"/>
        </w:rPr>
        <w:t>2</w:t>
      </w:r>
      <w:r>
        <w:rPr>
          <w:rFonts w:hint="eastAsia" w:asciiTheme="minorEastAsia" w:hAnsiTheme="minorEastAsia" w:eastAsiaTheme="minorEastAsia" w:cstheme="majorEastAsia"/>
          <w:sz w:val="21"/>
          <w:szCs w:val="21"/>
          <w:highlight w:val="none"/>
          <w:lang w:eastAsia="zh-CN"/>
        </w:rPr>
        <w:t>.</w:t>
      </w:r>
      <w:r>
        <w:rPr>
          <w:rFonts w:hint="eastAsia" w:asciiTheme="minorEastAsia" w:hAnsiTheme="minorEastAsia" w:eastAsiaTheme="minorEastAsia" w:cstheme="majorEastAsia"/>
          <w:sz w:val="21"/>
          <w:szCs w:val="21"/>
          <w:highlight w:val="none"/>
        </w:rPr>
        <w:t>量程：120g</w:t>
      </w:r>
      <w:r>
        <w:rPr>
          <w:rFonts w:hint="eastAsia" w:asciiTheme="minorEastAsia" w:hAnsiTheme="minorEastAsia" w:eastAsiaTheme="minorEastAsia" w:cstheme="majorEastAsia"/>
          <w:sz w:val="21"/>
          <w:szCs w:val="21"/>
          <w:highlight w:val="none"/>
          <w:lang w:val="en-US" w:eastAsia="zh-CN"/>
        </w:rPr>
        <w:t xml:space="preserve">  </w:t>
      </w:r>
      <w:r>
        <w:rPr>
          <w:rFonts w:hint="eastAsia" w:asciiTheme="minorEastAsia" w:hAnsiTheme="minorEastAsia" w:eastAsiaTheme="minorEastAsia" w:cstheme="majorEastAsia"/>
          <w:sz w:val="21"/>
          <w:szCs w:val="21"/>
          <w:highlight w:val="none"/>
        </w:rPr>
        <w:t>精度：0.1mg</w:t>
      </w:r>
      <w:r>
        <w:rPr>
          <w:rFonts w:hint="eastAsia" w:asciiTheme="minorEastAsia" w:hAnsiTheme="minorEastAsia" w:eastAsiaTheme="minorEastAsia" w:cstheme="majorEastAsia"/>
          <w:sz w:val="21"/>
          <w:szCs w:val="21"/>
          <w:highlight w:val="none"/>
          <w:lang w:val="en-US" w:eastAsia="zh-CN"/>
        </w:rPr>
        <w:t xml:space="preserve">  </w:t>
      </w:r>
      <w:r>
        <w:rPr>
          <w:rFonts w:hint="eastAsia" w:asciiTheme="minorEastAsia" w:hAnsiTheme="minorEastAsia" w:eastAsiaTheme="minorEastAsia" w:cstheme="majorEastAsia"/>
          <w:sz w:val="21"/>
          <w:szCs w:val="21"/>
          <w:highlight w:val="none"/>
        </w:rPr>
        <w:t>秤盘：Φ80～Φ90（圆形）</w:t>
      </w:r>
    </w:p>
    <w:p w14:paraId="167BF441">
      <w:pPr>
        <w:pStyle w:val="39"/>
        <w:keepNext w:val="0"/>
        <w:keepLines w:val="0"/>
        <w:pageBreakBefore w:val="0"/>
        <w:widowControl w:val="0"/>
        <w:numPr>
          <w:ilvl w:val="0"/>
          <w:numId w:val="0"/>
        </w:numPr>
        <w:kinsoku/>
        <w:wordWrap/>
        <w:overflowPunct/>
        <w:topLinePunct w:val="0"/>
        <w:autoSpaceDE w:val="0"/>
        <w:autoSpaceDN w:val="0"/>
        <w:bidi w:val="0"/>
        <w:adjustRightInd w:val="0"/>
        <w:snapToGrid w:val="0"/>
        <w:spacing w:line="480" w:lineRule="auto"/>
        <w:ind w:leftChars="0"/>
        <w:jc w:val="left"/>
        <w:textAlignment w:val="auto"/>
        <w:rPr>
          <w:rFonts w:hint="eastAsia" w:asciiTheme="minorEastAsia" w:hAnsiTheme="minorEastAsia" w:eastAsiaTheme="minorEastAsia" w:cstheme="majorEastAsia"/>
          <w:sz w:val="21"/>
          <w:szCs w:val="21"/>
          <w:highlight w:val="none"/>
        </w:rPr>
      </w:pPr>
      <w:r>
        <w:rPr>
          <w:rFonts w:hint="eastAsia" w:asciiTheme="minorEastAsia" w:hAnsiTheme="minorEastAsia" w:eastAsiaTheme="minorEastAsia" w:cstheme="majorEastAsia"/>
          <w:sz w:val="21"/>
          <w:szCs w:val="21"/>
          <w:highlight w:val="none"/>
        </w:rPr>
        <w:t>外形（宽×深×高）主机：210mm</w:t>
      </w:r>
      <w:r>
        <w:rPr>
          <w:rFonts w:ascii="Segoe UI Emoji" w:hAnsi="Segoe UI Emoji" w:eastAsia="Segoe UI Emoji" w:cs="Segoe UI Emoji"/>
          <w:i w:val="0"/>
          <w:iCs w:val="0"/>
          <w:caps w:val="0"/>
          <w:color w:val="000000"/>
          <w:spacing w:val="0"/>
          <w:sz w:val="24"/>
          <w:szCs w:val="24"/>
          <w:highlight w:val="none"/>
          <w:shd w:val="clear" w:fill="FFFFFF"/>
        </w:rPr>
        <w:t>×</w:t>
      </w:r>
      <w:r>
        <w:rPr>
          <w:rFonts w:hint="eastAsia" w:asciiTheme="minorEastAsia" w:hAnsiTheme="minorEastAsia" w:eastAsiaTheme="minorEastAsia" w:cstheme="majorEastAsia"/>
          <w:sz w:val="21"/>
          <w:szCs w:val="21"/>
          <w:highlight w:val="none"/>
        </w:rPr>
        <w:t>320mm</w:t>
      </w:r>
      <w:r>
        <w:rPr>
          <w:rFonts w:ascii="Segoe UI Emoji" w:hAnsi="Segoe UI Emoji" w:eastAsia="Segoe UI Emoji" w:cs="Segoe UI Emoji"/>
          <w:i w:val="0"/>
          <w:iCs w:val="0"/>
          <w:caps w:val="0"/>
          <w:color w:val="000000"/>
          <w:spacing w:val="0"/>
          <w:sz w:val="24"/>
          <w:szCs w:val="24"/>
          <w:highlight w:val="none"/>
          <w:shd w:val="clear" w:fill="FFFFFF"/>
        </w:rPr>
        <w:t>×</w:t>
      </w:r>
      <w:r>
        <w:rPr>
          <w:rFonts w:hint="eastAsia" w:asciiTheme="minorEastAsia" w:hAnsiTheme="minorEastAsia" w:eastAsiaTheme="minorEastAsia" w:cstheme="majorEastAsia"/>
          <w:sz w:val="21"/>
          <w:szCs w:val="21"/>
          <w:highlight w:val="none"/>
        </w:rPr>
        <w:t>310mm左右</w:t>
      </w:r>
    </w:p>
    <w:p w14:paraId="4E386B66">
      <w:pPr>
        <w:pStyle w:val="39"/>
        <w:keepNext w:val="0"/>
        <w:keepLines w:val="0"/>
        <w:pageBreakBefore w:val="0"/>
        <w:widowControl w:val="0"/>
        <w:numPr>
          <w:ilvl w:val="0"/>
          <w:numId w:val="0"/>
        </w:numPr>
        <w:kinsoku/>
        <w:wordWrap/>
        <w:overflowPunct/>
        <w:topLinePunct w:val="0"/>
        <w:autoSpaceDE w:val="0"/>
        <w:autoSpaceDN w:val="0"/>
        <w:bidi w:val="0"/>
        <w:adjustRightInd w:val="0"/>
        <w:snapToGrid w:val="0"/>
        <w:spacing w:line="480" w:lineRule="auto"/>
        <w:ind w:leftChars="0"/>
        <w:jc w:val="left"/>
        <w:textAlignment w:val="auto"/>
        <w:rPr>
          <w:rFonts w:hint="eastAsia" w:asciiTheme="minorEastAsia" w:hAnsiTheme="minorEastAsia" w:eastAsiaTheme="minorEastAsia" w:cstheme="majorEastAsia"/>
          <w:sz w:val="21"/>
          <w:szCs w:val="21"/>
          <w:highlight w:val="none"/>
        </w:rPr>
      </w:pPr>
      <w:r>
        <w:rPr>
          <w:rFonts w:hint="eastAsia" w:asciiTheme="minorEastAsia" w:hAnsiTheme="minorEastAsia" w:eastAsiaTheme="minorEastAsia" w:cstheme="majorEastAsia"/>
          <w:sz w:val="21"/>
          <w:szCs w:val="21"/>
          <w:highlight w:val="none"/>
        </w:rPr>
        <w:t>3</w:t>
      </w:r>
      <w:r>
        <w:rPr>
          <w:rFonts w:hint="eastAsia" w:asciiTheme="minorEastAsia" w:hAnsiTheme="minorEastAsia" w:eastAsiaTheme="minorEastAsia" w:cstheme="majorEastAsia"/>
          <w:sz w:val="21"/>
          <w:szCs w:val="21"/>
          <w:highlight w:val="none"/>
          <w:lang w:eastAsia="zh-CN"/>
        </w:rPr>
        <w:t>.</w:t>
      </w:r>
      <w:r>
        <w:rPr>
          <w:rFonts w:hint="eastAsia" w:asciiTheme="minorEastAsia" w:hAnsiTheme="minorEastAsia" w:eastAsiaTheme="minorEastAsia" w:cstheme="majorEastAsia"/>
          <w:sz w:val="21"/>
          <w:szCs w:val="21"/>
          <w:highlight w:val="none"/>
        </w:rPr>
        <w:t>含防风罩：210mm</w:t>
      </w:r>
      <w:r>
        <w:rPr>
          <w:rFonts w:ascii="Segoe UI Emoji" w:hAnsi="Segoe UI Emoji" w:eastAsia="Segoe UI Emoji" w:cs="Segoe UI Emoji"/>
          <w:i w:val="0"/>
          <w:iCs w:val="0"/>
          <w:caps w:val="0"/>
          <w:color w:val="000000"/>
          <w:spacing w:val="0"/>
          <w:sz w:val="24"/>
          <w:szCs w:val="24"/>
          <w:highlight w:val="none"/>
          <w:shd w:val="clear" w:fill="FFFFFF"/>
        </w:rPr>
        <w:t>×</w:t>
      </w:r>
      <w:r>
        <w:rPr>
          <w:rFonts w:hint="eastAsia" w:asciiTheme="minorEastAsia" w:hAnsiTheme="minorEastAsia" w:eastAsiaTheme="minorEastAsia" w:cstheme="majorEastAsia"/>
          <w:sz w:val="21"/>
          <w:szCs w:val="21"/>
          <w:highlight w:val="none"/>
        </w:rPr>
        <w:t>320mm</w:t>
      </w:r>
      <w:r>
        <w:rPr>
          <w:rFonts w:ascii="Segoe UI Emoji" w:hAnsi="Segoe UI Emoji" w:eastAsia="Segoe UI Emoji" w:cs="Segoe UI Emoji"/>
          <w:i w:val="0"/>
          <w:iCs w:val="0"/>
          <w:caps w:val="0"/>
          <w:color w:val="000000"/>
          <w:spacing w:val="0"/>
          <w:sz w:val="24"/>
          <w:szCs w:val="24"/>
          <w:highlight w:val="none"/>
          <w:shd w:val="clear" w:fill="FFFFFF"/>
        </w:rPr>
        <w:t>×</w:t>
      </w:r>
      <w:r>
        <w:rPr>
          <w:rFonts w:hint="eastAsia" w:asciiTheme="minorEastAsia" w:hAnsiTheme="minorEastAsia" w:eastAsiaTheme="minorEastAsia" w:cstheme="majorEastAsia"/>
          <w:sz w:val="21"/>
          <w:szCs w:val="21"/>
          <w:highlight w:val="none"/>
        </w:rPr>
        <w:t>350mm～370mm</w:t>
      </w:r>
    </w:p>
    <w:p w14:paraId="7E6360B3">
      <w:pPr>
        <w:pStyle w:val="39"/>
        <w:keepNext w:val="0"/>
        <w:keepLines w:val="0"/>
        <w:pageBreakBefore w:val="0"/>
        <w:widowControl w:val="0"/>
        <w:numPr>
          <w:ilvl w:val="0"/>
          <w:numId w:val="0"/>
        </w:numPr>
        <w:kinsoku/>
        <w:wordWrap/>
        <w:overflowPunct/>
        <w:topLinePunct w:val="0"/>
        <w:autoSpaceDE w:val="0"/>
        <w:autoSpaceDN w:val="0"/>
        <w:bidi w:val="0"/>
        <w:adjustRightInd w:val="0"/>
        <w:snapToGrid w:val="0"/>
        <w:spacing w:line="480" w:lineRule="auto"/>
        <w:ind w:leftChars="0"/>
        <w:jc w:val="left"/>
        <w:textAlignment w:val="auto"/>
        <w:rPr>
          <w:rFonts w:hint="eastAsia" w:asciiTheme="minorEastAsia" w:hAnsiTheme="minorEastAsia" w:eastAsiaTheme="minorEastAsia" w:cstheme="majorEastAsia"/>
          <w:sz w:val="21"/>
          <w:szCs w:val="21"/>
          <w:highlight w:val="none"/>
        </w:rPr>
      </w:pPr>
      <w:r>
        <w:rPr>
          <w:rFonts w:hint="eastAsia" w:asciiTheme="minorEastAsia" w:hAnsiTheme="minorEastAsia" w:eastAsiaTheme="minorEastAsia" w:cstheme="majorEastAsia"/>
          <w:sz w:val="21"/>
          <w:szCs w:val="21"/>
          <w:highlight w:val="none"/>
          <w:lang w:val="en-US" w:eastAsia="zh-CN"/>
        </w:rPr>
        <w:t>4.</w:t>
      </w:r>
      <w:r>
        <w:rPr>
          <w:rFonts w:hint="eastAsia" w:asciiTheme="minorEastAsia" w:hAnsiTheme="minorEastAsia" w:eastAsiaTheme="minorEastAsia" w:cstheme="majorEastAsia"/>
          <w:sz w:val="21"/>
          <w:szCs w:val="21"/>
          <w:highlight w:val="none"/>
        </w:rPr>
        <w:t>防风罩内部（宽×深×高）：约190mm</w:t>
      </w:r>
      <w:r>
        <w:rPr>
          <w:rFonts w:ascii="Segoe UI Emoji" w:hAnsi="Segoe UI Emoji" w:eastAsia="Segoe UI Emoji" w:cs="Segoe UI Emoji"/>
          <w:i w:val="0"/>
          <w:iCs w:val="0"/>
          <w:caps w:val="0"/>
          <w:color w:val="000000"/>
          <w:spacing w:val="0"/>
          <w:sz w:val="24"/>
          <w:szCs w:val="24"/>
          <w:highlight w:val="none"/>
          <w:shd w:val="clear" w:fill="FFFFFF"/>
        </w:rPr>
        <w:t>×</w:t>
      </w:r>
      <w:r>
        <w:rPr>
          <w:rFonts w:hint="eastAsia" w:asciiTheme="minorEastAsia" w:hAnsiTheme="minorEastAsia" w:eastAsiaTheme="minorEastAsia" w:cstheme="majorEastAsia"/>
          <w:sz w:val="21"/>
          <w:szCs w:val="21"/>
          <w:highlight w:val="none"/>
        </w:rPr>
        <w:t>180mm</w:t>
      </w:r>
      <w:r>
        <w:rPr>
          <w:rFonts w:ascii="Segoe UI Emoji" w:hAnsi="Segoe UI Emoji" w:eastAsia="Segoe UI Emoji" w:cs="Segoe UI Emoji"/>
          <w:i w:val="0"/>
          <w:iCs w:val="0"/>
          <w:caps w:val="0"/>
          <w:color w:val="000000"/>
          <w:spacing w:val="0"/>
          <w:sz w:val="24"/>
          <w:szCs w:val="24"/>
          <w:highlight w:val="none"/>
          <w:shd w:val="clear" w:fill="FFFFFF"/>
        </w:rPr>
        <w:t>×</w:t>
      </w:r>
      <w:r>
        <w:rPr>
          <w:rFonts w:hint="eastAsia" w:asciiTheme="minorEastAsia" w:hAnsiTheme="minorEastAsia" w:eastAsiaTheme="minorEastAsia" w:cstheme="majorEastAsia"/>
          <w:sz w:val="21"/>
          <w:szCs w:val="21"/>
          <w:highlight w:val="none"/>
        </w:rPr>
        <w:t xml:space="preserve">200～220mm </w:t>
      </w:r>
    </w:p>
    <w:p w14:paraId="16793478">
      <w:pPr>
        <w:spacing w:line="480" w:lineRule="auto"/>
        <w:rPr>
          <w:rFonts w:hint="eastAsia" w:ascii="宋体" w:hAnsi="宋体" w:eastAsia="宋体" w:cs="Times New Roman"/>
          <w:b w:val="0"/>
          <w:bCs/>
          <w:szCs w:val="21"/>
          <w:highlight w:val="none"/>
          <w:lang w:val="en-US" w:eastAsia="zh-CN"/>
        </w:rPr>
      </w:pPr>
      <w:r>
        <w:rPr>
          <w:rFonts w:hint="eastAsia" w:asciiTheme="minorEastAsia" w:hAnsiTheme="minorEastAsia" w:eastAsiaTheme="minorEastAsia" w:cstheme="majorEastAsia"/>
          <w:sz w:val="21"/>
          <w:szCs w:val="21"/>
          <w:highlight w:val="none"/>
        </w:rPr>
        <w:t>5</w:t>
      </w:r>
      <w:r>
        <w:rPr>
          <w:rFonts w:hint="eastAsia" w:asciiTheme="minorEastAsia" w:hAnsiTheme="minorEastAsia" w:eastAsiaTheme="minorEastAsia" w:cstheme="majorEastAsia"/>
          <w:sz w:val="21"/>
          <w:szCs w:val="21"/>
          <w:highlight w:val="none"/>
          <w:lang w:eastAsia="zh-CN"/>
        </w:rPr>
        <w:t>.</w:t>
      </w:r>
      <w:r>
        <w:rPr>
          <w:rFonts w:hint="eastAsia" w:asciiTheme="minorEastAsia" w:hAnsiTheme="minorEastAsia" w:eastAsiaTheme="minorEastAsia" w:cstheme="majorEastAsia"/>
          <w:sz w:val="21"/>
          <w:szCs w:val="21"/>
          <w:highlight w:val="none"/>
        </w:rPr>
        <w:t>台面占地：约32cm（深）</w:t>
      </w:r>
      <w:r>
        <w:rPr>
          <w:rFonts w:ascii="Segoe UI Emoji" w:hAnsi="Segoe UI Emoji" w:eastAsia="Segoe UI Emoji" w:cs="Segoe UI Emoji"/>
          <w:i w:val="0"/>
          <w:iCs w:val="0"/>
          <w:caps w:val="0"/>
          <w:color w:val="000000"/>
          <w:spacing w:val="0"/>
          <w:sz w:val="24"/>
          <w:szCs w:val="24"/>
          <w:highlight w:val="none"/>
          <w:shd w:val="clear" w:fill="FFFFFF"/>
        </w:rPr>
        <w:t>×</w:t>
      </w:r>
      <w:r>
        <w:rPr>
          <w:rFonts w:hint="eastAsia" w:asciiTheme="minorEastAsia" w:hAnsiTheme="minorEastAsia" w:eastAsiaTheme="minorEastAsia" w:cstheme="majorEastAsia"/>
          <w:sz w:val="21"/>
          <w:szCs w:val="21"/>
          <w:highlight w:val="none"/>
        </w:rPr>
        <w:t>21cm（宽）</w:t>
      </w:r>
      <w:r>
        <w:rPr>
          <w:rFonts w:hint="eastAsia" w:ascii="宋体" w:hAnsi="宋体" w:eastAsia="宋体" w:cs="Times New Roman"/>
          <w:b w:val="0"/>
          <w:bCs/>
          <w:szCs w:val="21"/>
          <w:highlight w:val="none"/>
          <w:lang w:val="en-US" w:eastAsia="zh-CN"/>
        </w:rPr>
        <w:br w:type="page"/>
      </w:r>
    </w:p>
    <w:p w14:paraId="4DD61F84">
      <w:pPr>
        <w:pStyle w:val="2"/>
        <w:numPr>
          <w:ilvl w:val="0"/>
          <w:numId w:val="0"/>
        </w:numPr>
        <w:adjustRightInd w:val="0"/>
        <w:snapToGrid w:val="0"/>
        <w:spacing w:after="0" w:line="360" w:lineRule="auto"/>
        <w:ind w:left="0" w:leftChars="0" w:firstLine="0" w:firstLineChars="0"/>
        <w:rPr>
          <w:rFonts w:hint="eastAsia" w:ascii="宋体" w:hAnsi="宋体" w:eastAsia="宋体" w:cs="宋体"/>
          <w:sz w:val="21"/>
          <w:szCs w:val="21"/>
          <w:highlight w:val="none"/>
        </w:rPr>
      </w:pPr>
      <w:r>
        <w:rPr>
          <w:rFonts w:hint="eastAsia" w:ascii="宋体" w:hAnsi="宋体" w:eastAsia="宋体" w:cs="Times New Roman"/>
          <w:b w:val="0"/>
          <w:bCs/>
          <w:kern w:val="2"/>
          <w:sz w:val="21"/>
          <w:szCs w:val="21"/>
          <w:highlight w:val="none"/>
          <w:lang w:val="en-US" w:eastAsia="zh-CN" w:bidi="ar-SA"/>
        </w:rPr>
        <w:t>九、</w:t>
      </w:r>
      <w:r>
        <w:rPr>
          <w:rFonts w:hint="eastAsia" w:ascii="宋体" w:hAnsi="宋体" w:eastAsia="宋体" w:cs="Times New Roman"/>
          <w:b w:val="0"/>
          <w:bCs/>
          <w:szCs w:val="21"/>
          <w:highlight w:val="none"/>
          <w:lang w:val="en-US" w:eastAsia="zh-CN"/>
        </w:rPr>
        <w:t>移动式空气消毒机1台</w:t>
      </w:r>
    </w:p>
    <w:p w14:paraId="4DE4E08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该产品广泛用于手术室、医疗室、病房等空间的环境空气消毒，可移动式使用。</w:t>
      </w:r>
    </w:p>
    <w:p w14:paraId="6575390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消毒原理：物理过滤方式协同紫外线进行消毒；</w:t>
      </w:r>
    </w:p>
    <w:p w14:paraId="0670AC8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采用抗紫外ABS工程塑料制成，不易发黄发脆；</w:t>
      </w:r>
    </w:p>
    <w:p w14:paraId="174C9B75">
      <w:pPr>
        <w:keepNext w:val="0"/>
        <w:keepLines w:val="0"/>
        <w:pageBreakBefore w:val="0"/>
        <w:widowControl w:val="0"/>
        <w:tabs>
          <w:tab w:val="left" w:pos="223"/>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最大消毒体积：≥120m</w:t>
      </w:r>
      <w:r>
        <w:rPr>
          <w:rFonts w:hint="eastAsia" w:ascii="宋体" w:hAnsi="宋体" w:eastAsia="宋体" w:cs="宋体"/>
          <w:sz w:val="21"/>
          <w:szCs w:val="21"/>
          <w:highlight w:val="none"/>
          <w:vertAlign w:val="superscript"/>
        </w:rPr>
        <w:t>3</w:t>
      </w:r>
    </w:p>
    <w:p w14:paraId="2294752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消毒效果：对白色葡萄球菌（8032）的杀灭率≥99.97%，对空气中自然菌的消亡率≥90.00%，符合</w:t>
      </w:r>
      <w:r>
        <w:rPr>
          <w:rFonts w:hint="eastAsia" w:ascii="宋体" w:hAnsi="宋体" w:cs="宋体"/>
          <w:sz w:val="21"/>
          <w:szCs w:val="21"/>
          <w:highlight w:val="none"/>
          <w:lang w:val="en-US" w:eastAsia="zh-CN"/>
        </w:rPr>
        <w:t>卫生部</w:t>
      </w:r>
      <w:r>
        <w:rPr>
          <w:rFonts w:ascii="宋体" w:hAnsi="宋体" w:eastAsia="宋体" w:cs="宋体"/>
          <w:sz w:val="24"/>
          <w:szCs w:val="24"/>
          <w:highlight w:val="none"/>
        </w:rPr>
        <w:t>《医疗机构消毒技术规范》WS/T 367-2012</w:t>
      </w:r>
      <w:r>
        <w:rPr>
          <w:rFonts w:hint="eastAsia" w:ascii="宋体" w:hAnsi="宋体" w:eastAsia="宋体" w:cs="宋体"/>
          <w:sz w:val="21"/>
          <w:szCs w:val="21"/>
          <w:highlight w:val="none"/>
        </w:rPr>
        <w:t>消毒技术规范的要求</w:t>
      </w:r>
      <w:r>
        <w:rPr>
          <w:rFonts w:hint="eastAsia" w:ascii="宋体" w:hAnsi="宋体" w:cs="宋体"/>
          <w:sz w:val="21"/>
          <w:szCs w:val="21"/>
          <w:highlight w:val="none"/>
          <w:lang w:val="en-US" w:eastAsia="zh-CN"/>
        </w:rPr>
        <w:t>。</w:t>
      </w:r>
    </w:p>
    <w:p w14:paraId="119B771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消毒方式：长寿命、高强度紫外线循环风消毒，负氧离子清新空气，人机共存，动态持续消毒，消毒时无味、无辐射，不腐蚀设备；</w:t>
      </w:r>
    </w:p>
    <w:p w14:paraId="252D6F9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机外紫外线泄漏≤1uw/cm</w:t>
      </w:r>
      <w:r>
        <w:rPr>
          <w:rFonts w:hint="eastAsia" w:ascii="宋体" w:hAnsi="宋体" w:eastAsia="宋体" w:cs="宋体"/>
          <w:sz w:val="21"/>
          <w:szCs w:val="21"/>
          <w:highlight w:val="none"/>
          <w:vertAlign w:val="superscript"/>
        </w:rPr>
        <w:t>2</w:t>
      </w:r>
      <w:r>
        <w:rPr>
          <w:rFonts w:hint="eastAsia" w:ascii="宋体" w:hAnsi="宋体" w:eastAsia="宋体" w:cs="宋体"/>
          <w:sz w:val="21"/>
          <w:szCs w:val="21"/>
          <w:highlight w:val="none"/>
        </w:rPr>
        <w:t>,空气中的臭氧量≤0.1mg/m</w:t>
      </w:r>
      <w:r>
        <w:rPr>
          <w:rFonts w:hint="eastAsia" w:ascii="宋体" w:hAnsi="宋体" w:eastAsia="宋体" w:cs="宋体"/>
          <w:sz w:val="21"/>
          <w:szCs w:val="21"/>
          <w:highlight w:val="none"/>
          <w:vertAlign w:val="superscript"/>
        </w:rPr>
        <w:t>3</w:t>
      </w:r>
      <w:r>
        <w:rPr>
          <w:rFonts w:hint="eastAsia" w:ascii="宋体" w:hAnsi="宋体" w:eastAsia="宋体" w:cs="宋体"/>
          <w:sz w:val="21"/>
          <w:szCs w:val="21"/>
          <w:highlight w:val="none"/>
        </w:rPr>
        <w:t>，</w:t>
      </w:r>
    </w:p>
    <w:p w14:paraId="0F23D81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灯管寿命≥5000（h），机内紫外线辐射强度≥5000*6uw/cm</w:t>
      </w:r>
      <w:r>
        <w:rPr>
          <w:rFonts w:hint="eastAsia" w:ascii="宋体" w:hAnsi="宋体" w:eastAsia="宋体" w:cs="宋体"/>
          <w:sz w:val="21"/>
          <w:szCs w:val="21"/>
          <w:highlight w:val="none"/>
          <w:vertAlign w:val="superscript"/>
        </w:rPr>
        <w:t>2</w:t>
      </w:r>
      <w:r>
        <w:rPr>
          <w:rFonts w:hint="eastAsia" w:ascii="宋体" w:hAnsi="宋体" w:eastAsia="宋体" w:cs="宋体"/>
          <w:sz w:val="21"/>
          <w:szCs w:val="21"/>
          <w:highlight w:val="none"/>
        </w:rPr>
        <w:t>，负氧离子释放量≥6*10</w:t>
      </w:r>
      <w:r>
        <w:rPr>
          <w:rFonts w:hint="eastAsia" w:ascii="宋体" w:hAnsi="宋体" w:eastAsia="宋体" w:cs="宋体"/>
          <w:sz w:val="21"/>
          <w:szCs w:val="21"/>
          <w:highlight w:val="none"/>
          <w:vertAlign w:val="superscript"/>
        </w:rPr>
        <w:t>6</w:t>
      </w:r>
      <w:r>
        <w:rPr>
          <w:rFonts w:hint="eastAsia" w:ascii="宋体" w:hAnsi="宋体" w:eastAsia="宋体" w:cs="宋体"/>
          <w:sz w:val="21"/>
          <w:szCs w:val="21"/>
          <w:highlight w:val="none"/>
        </w:rPr>
        <w:t>个/cm</w:t>
      </w:r>
      <w:r>
        <w:rPr>
          <w:rFonts w:hint="eastAsia" w:ascii="宋体" w:hAnsi="宋体" w:eastAsia="宋体" w:cs="宋体"/>
          <w:sz w:val="21"/>
          <w:szCs w:val="21"/>
          <w:highlight w:val="none"/>
          <w:vertAlign w:val="superscript"/>
        </w:rPr>
        <w:t>3</w:t>
      </w:r>
      <w:r>
        <w:rPr>
          <w:rFonts w:hint="eastAsia" w:ascii="宋体" w:hAnsi="宋体" w:eastAsia="宋体" w:cs="宋体"/>
          <w:sz w:val="21"/>
          <w:szCs w:val="21"/>
          <w:highlight w:val="none"/>
        </w:rPr>
        <w:t>；</w:t>
      </w:r>
    </w:p>
    <w:p w14:paraId="18C8564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电源电压：~220V±22V  50Hz±1 Hz，输入功率≤260VA</w:t>
      </w:r>
    </w:p>
    <w:p w14:paraId="62C7A9D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产品证件：具有卫生安全评价报告</w:t>
      </w:r>
    </w:p>
    <w:p w14:paraId="233FC54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风速高中低</w:t>
      </w:r>
      <w:r>
        <w:rPr>
          <w:rFonts w:hint="eastAsia" w:ascii="宋体" w:hAnsi="宋体" w:cs="宋体"/>
          <w:sz w:val="21"/>
          <w:szCs w:val="21"/>
          <w:highlight w:val="none"/>
          <w:lang w:val="en-US" w:eastAsia="zh-CN"/>
        </w:rPr>
        <w:t>档</w:t>
      </w:r>
      <w:r>
        <w:rPr>
          <w:rFonts w:hint="eastAsia" w:ascii="宋体" w:hAnsi="宋体" w:eastAsia="宋体" w:cs="宋体"/>
          <w:sz w:val="21"/>
          <w:szCs w:val="21"/>
          <w:highlight w:val="none"/>
        </w:rPr>
        <w:t>可调；风向多角度可调，循环风量≥1200m</w:t>
      </w:r>
      <w:r>
        <w:rPr>
          <w:rFonts w:hint="eastAsia" w:ascii="宋体" w:hAnsi="宋体" w:eastAsia="宋体" w:cs="宋体"/>
          <w:sz w:val="21"/>
          <w:szCs w:val="21"/>
          <w:highlight w:val="none"/>
          <w:vertAlign w:val="superscript"/>
        </w:rPr>
        <w:t>3</w:t>
      </w:r>
      <w:r>
        <w:rPr>
          <w:rFonts w:hint="eastAsia" w:ascii="宋体" w:hAnsi="宋体" w:eastAsia="宋体" w:cs="宋体"/>
          <w:sz w:val="21"/>
          <w:szCs w:val="21"/>
          <w:highlight w:val="none"/>
        </w:rPr>
        <w:t>/h</w:t>
      </w:r>
    </w:p>
    <w:p w14:paraId="5D5EFFD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机器自带紫外线故障检测功能和紫外线强度显示功能，灯管损坏时自动提醒，</w:t>
      </w:r>
    </w:p>
    <w:p w14:paraId="3835A78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超静音轴流风机与合理的风道设计相结合，整机噪声≤50dB；</w:t>
      </w:r>
    </w:p>
    <w:p w14:paraId="4A360E88">
      <w:pPr>
        <w:keepNext w:val="0"/>
        <w:keepLines w:val="0"/>
        <w:pageBreakBefore w:val="0"/>
        <w:widowControl w:val="0"/>
        <w:tabs>
          <w:tab w:val="left" w:pos="118"/>
          <w:tab w:val="left" w:pos="223"/>
        </w:tabs>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机器微电脑程控自动运行，有三种消毒模式可供选择；</w:t>
      </w:r>
      <w:r>
        <w:rPr>
          <w:rFonts w:hint="eastAsia" w:ascii="宋体" w:hAnsi="宋体" w:eastAsia="宋体" w:cs="宋体"/>
          <w:sz w:val="21"/>
          <w:szCs w:val="21"/>
          <w:highlight w:val="none"/>
          <w:lang w:val="en-US" w:eastAsia="zh-CN"/>
        </w:rPr>
        <w:t>①</w:t>
      </w:r>
      <w:r>
        <w:rPr>
          <w:rFonts w:hint="eastAsia" w:ascii="宋体" w:hAnsi="宋体" w:eastAsia="宋体" w:cs="宋体"/>
          <w:sz w:val="21"/>
          <w:szCs w:val="21"/>
          <w:highlight w:val="none"/>
        </w:rPr>
        <w:t>手动常开消毒模式；</w:t>
      </w:r>
      <w:r>
        <w:rPr>
          <w:rFonts w:hint="eastAsia" w:ascii="宋体" w:hAnsi="宋体" w:eastAsia="宋体" w:cs="宋体"/>
          <w:sz w:val="21"/>
          <w:szCs w:val="21"/>
          <w:highlight w:val="none"/>
          <w:lang w:val="en-US" w:eastAsia="zh-CN"/>
        </w:rPr>
        <w:t>②</w:t>
      </w:r>
      <w:r>
        <w:rPr>
          <w:rFonts w:hint="eastAsia" w:ascii="宋体" w:hAnsi="宋体" w:eastAsia="宋体" w:cs="宋体"/>
          <w:sz w:val="21"/>
          <w:szCs w:val="21"/>
          <w:highlight w:val="none"/>
        </w:rPr>
        <w:t>手动定时消毒模式；</w:t>
      </w:r>
      <w:r>
        <w:rPr>
          <w:rFonts w:hint="eastAsia" w:ascii="宋体" w:hAnsi="宋体" w:eastAsia="宋体" w:cs="宋体"/>
          <w:sz w:val="21"/>
          <w:szCs w:val="21"/>
          <w:highlight w:val="none"/>
          <w:lang w:val="en-US" w:eastAsia="zh-CN"/>
        </w:rPr>
        <w:t>③</w:t>
      </w:r>
      <w:r>
        <w:rPr>
          <w:rFonts w:hint="eastAsia" w:ascii="宋体" w:hAnsi="宋体" w:eastAsia="宋体" w:cs="宋体"/>
          <w:sz w:val="21"/>
          <w:szCs w:val="21"/>
          <w:highlight w:val="none"/>
        </w:rPr>
        <w:t>程控定时自动消毒模式；可预设≥6个时段。</w:t>
      </w:r>
    </w:p>
    <w:p w14:paraId="1990A94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大屏幕显示屏，可显示工作状态、时钟、时段和报警提醒，机器触摸操作屏及遥控器都可对机器进行操作及设置；</w:t>
      </w:r>
    </w:p>
    <w:p w14:paraId="43F9D84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累计工作时间自动记录，累计时间功能分为灯管累时和滤网累时；</w:t>
      </w:r>
    </w:p>
    <w:p w14:paraId="0EA38CB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16</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推拉式手柄，配置四个医用静音脚轮使整机灵活移动，维护保养简单，只需打开前盖板即可轻松更换灯管及过滤网；</w:t>
      </w:r>
    </w:p>
    <w:p w14:paraId="1F4CBF91">
      <w:pPr>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br w:type="page"/>
      </w:r>
    </w:p>
    <w:p w14:paraId="2F072B37">
      <w:pPr>
        <w:pStyle w:val="5"/>
        <w:jc w:val="left"/>
        <w:rPr>
          <w:rFonts w:cs="宋体" w:asciiTheme="minorEastAsia" w:hAnsiTheme="minorEastAsia" w:eastAsiaTheme="minorEastAsia"/>
          <w:b w:val="0"/>
          <w:bCs/>
          <w:sz w:val="21"/>
          <w:szCs w:val="21"/>
          <w:highlight w:val="none"/>
        </w:rPr>
      </w:pPr>
      <w:bookmarkStart w:id="210" w:name="_Toc9872"/>
      <w:r>
        <w:rPr>
          <w:rFonts w:hint="eastAsia" w:ascii="宋体" w:hAnsi="宋体" w:eastAsia="宋体"/>
          <w:sz w:val="32"/>
          <w:szCs w:val="32"/>
          <w:highlight w:val="none"/>
        </w:rPr>
        <w:t>标段3：</w:t>
      </w:r>
      <w:bookmarkEnd w:id="210"/>
    </w:p>
    <w:p w14:paraId="28BEF7B2">
      <w:pPr>
        <w:pStyle w:val="2"/>
        <w:numPr>
          <w:ilvl w:val="0"/>
          <w:numId w:val="0"/>
        </w:numPr>
        <w:adjustRightInd w:val="0"/>
        <w:snapToGrid w:val="0"/>
        <w:spacing w:after="0" w:line="360" w:lineRule="auto"/>
        <w:ind w:left="0" w:leftChars="0" w:firstLine="0" w:firstLineChars="0"/>
        <w:rPr>
          <w:rFonts w:hint="eastAsia" w:ascii="宋体" w:hAnsi="宋体"/>
          <w:b w:val="0"/>
          <w:bCs/>
          <w:szCs w:val="21"/>
          <w:highlight w:val="none"/>
          <w:lang w:val="en-US" w:eastAsia="zh-CN"/>
        </w:rPr>
      </w:pPr>
      <w:r>
        <w:rPr>
          <w:rFonts w:hint="eastAsia" w:ascii="宋体" w:hAnsi="宋体" w:cs="Times New Roman"/>
          <w:b w:val="0"/>
          <w:bCs/>
          <w:kern w:val="2"/>
          <w:sz w:val="21"/>
          <w:szCs w:val="21"/>
          <w:highlight w:val="none"/>
          <w:lang w:val="en-US" w:eastAsia="zh-CN" w:bidi="ar-SA"/>
        </w:rPr>
        <w:t>一</w:t>
      </w:r>
      <w:r>
        <w:rPr>
          <w:rFonts w:hint="eastAsia" w:ascii="宋体" w:hAnsi="宋体" w:eastAsia="宋体" w:cs="Times New Roman"/>
          <w:b w:val="0"/>
          <w:bCs/>
          <w:kern w:val="2"/>
          <w:sz w:val="21"/>
          <w:szCs w:val="21"/>
          <w:highlight w:val="none"/>
          <w:lang w:val="en-US" w:eastAsia="zh-CN" w:bidi="ar-SA"/>
        </w:rPr>
        <w:t>、</w:t>
      </w:r>
      <w:r>
        <w:rPr>
          <w:rFonts w:hint="eastAsia" w:ascii="宋体" w:hAnsi="宋体"/>
          <w:b w:val="0"/>
          <w:bCs/>
          <w:szCs w:val="21"/>
          <w:highlight w:val="none"/>
          <w:lang w:val="en-US" w:eastAsia="zh-CN"/>
        </w:rPr>
        <w:t>全自动染色封片一体机1套</w:t>
      </w:r>
    </w:p>
    <w:p w14:paraId="7032A2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lang w:val="en-US" w:eastAsia="zh-CN"/>
        </w:rPr>
      </w:pPr>
      <w:r>
        <w:rPr>
          <w:rFonts w:hint="eastAsia" w:ascii="宋体" w:hAnsi="宋体" w:eastAsia="宋体" w:cs="宋体"/>
          <w:sz w:val="21"/>
          <w:szCs w:val="21"/>
          <w:highlight w:val="none"/>
          <w:lang w:val="en-US" w:eastAsia="zh-CN"/>
        </w:rPr>
        <w:t>技术要求：</w:t>
      </w:r>
    </w:p>
    <w:p w14:paraId="107E2333">
      <w:pPr>
        <w:keepNext w:val="0"/>
        <w:keepLines w:val="0"/>
        <w:pageBreakBefore w:val="0"/>
        <w:widowControl w:val="0"/>
        <w:numPr>
          <w:ilvl w:val="-1"/>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多线程智能任务调度，全自动化设计</w:t>
      </w:r>
      <w:r>
        <w:rPr>
          <w:rFonts w:hint="eastAsia" w:ascii="宋体" w:hAnsi="宋体" w:eastAsia="宋体" w:cs="宋体"/>
          <w:sz w:val="21"/>
          <w:szCs w:val="21"/>
          <w:highlight w:val="none"/>
          <w:lang w:eastAsia="zh-CN"/>
        </w:rPr>
        <w:t>。</w:t>
      </w:r>
    </w:p>
    <w:p w14:paraId="085F13C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w:t>
      </w:r>
      <w:r>
        <w:rPr>
          <w:rFonts w:hint="eastAsia" w:ascii="宋体" w:hAnsi="宋体" w:cs="宋体"/>
          <w:kern w:val="2"/>
          <w:sz w:val="21"/>
          <w:szCs w:val="21"/>
          <w:highlight w:val="none"/>
          <w:lang w:val="en-US" w:eastAsia="zh-CN" w:bidi="ar-SA"/>
        </w:rPr>
        <w:t>2.</w:t>
      </w:r>
      <w:r>
        <w:rPr>
          <w:rFonts w:hint="eastAsia" w:ascii="宋体" w:hAnsi="宋体" w:eastAsia="宋体" w:cs="宋体"/>
          <w:sz w:val="21"/>
          <w:szCs w:val="21"/>
          <w:highlight w:val="none"/>
          <w:lang w:val="en-US" w:eastAsia="zh-CN"/>
        </w:rPr>
        <w:t>可连续上载≥36架载玻片染色</w:t>
      </w:r>
      <w:r>
        <w:rPr>
          <w:rFonts w:hint="eastAsia" w:ascii="宋体" w:hAnsi="宋体" w:eastAsia="宋体" w:cs="宋体"/>
          <w:sz w:val="21"/>
          <w:szCs w:val="21"/>
          <w:highlight w:val="none"/>
        </w:rPr>
        <w:t>；每小时处理标本</w:t>
      </w:r>
      <w:r>
        <w:rPr>
          <w:rFonts w:hint="eastAsia" w:ascii="宋体" w:hAnsi="宋体" w:eastAsia="宋体" w:cs="宋体"/>
          <w:sz w:val="21"/>
          <w:szCs w:val="21"/>
          <w:highlight w:val="none"/>
          <w:lang w:val="en-US" w:eastAsia="zh-CN"/>
        </w:rPr>
        <w:t>≥72</w:t>
      </w:r>
      <w:r>
        <w:rPr>
          <w:rFonts w:hint="eastAsia" w:ascii="宋体" w:hAnsi="宋体" w:eastAsia="宋体" w:cs="宋体"/>
          <w:sz w:val="21"/>
          <w:szCs w:val="21"/>
          <w:highlight w:val="none"/>
        </w:rPr>
        <w:t>0张玻片</w:t>
      </w:r>
      <w:r>
        <w:rPr>
          <w:rFonts w:hint="eastAsia" w:ascii="宋体" w:hAnsi="宋体" w:eastAsia="宋体" w:cs="宋体"/>
          <w:sz w:val="21"/>
          <w:szCs w:val="21"/>
          <w:highlight w:val="none"/>
          <w:lang w:eastAsia="zh-CN"/>
        </w:rPr>
        <w:t>。</w:t>
      </w:r>
    </w:p>
    <w:p w14:paraId="67650A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sz w:val="21"/>
          <w:szCs w:val="21"/>
          <w:highlight w:val="none"/>
        </w:rPr>
        <w:t>★</w:t>
      </w:r>
      <w:r>
        <w:rPr>
          <w:rFonts w:hint="eastAsia" w:ascii="宋体" w:hAnsi="宋体" w:cs="宋体"/>
          <w:b w:val="0"/>
          <w:bCs w:val="0"/>
          <w:color w:val="000000"/>
          <w:kern w:val="2"/>
          <w:sz w:val="21"/>
          <w:szCs w:val="21"/>
          <w:highlight w:val="none"/>
          <w:lang w:val="en-US" w:eastAsia="zh-CN" w:bidi="ar-SA"/>
        </w:rPr>
        <w:t>3.</w:t>
      </w:r>
      <w:r>
        <w:rPr>
          <w:rFonts w:hint="eastAsia" w:ascii="宋体" w:hAnsi="宋体" w:eastAsia="宋体" w:cs="宋体"/>
          <w:b w:val="0"/>
          <w:bCs w:val="0"/>
          <w:color w:val="000000"/>
          <w:kern w:val="2"/>
          <w:sz w:val="21"/>
          <w:szCs w:val="21"/>
          <w:highlight w:val="none"/>
          <w:lang w:val="en-US" w:eastAsia="zh-CN" w:bidi="ar-SA"/>
        </w:rPr>
        <w:t>总站点数</w:t>
      </w:r>
      <w:r>
        <w:rPr>
          <w:rFonts w:hint="eastAsia" w:ascii="宋体" w:hAnsi="宋体" w:eastAsia="宋体" w:cs="宋体"/>
          <w:sz w:val="21"/>
          <w:szCs w:val="21"/>
          <w:highlight w:val="none"/>
          <w:lang w:val="en-US" w:eastAsia="zh-CN"/>
        </w:rPr>
        <w:t>≥</w:t>
      </w:r>
      <w:r>
        <w:rPr>
          <w:rFonts w:hint="eastAsia" w:ascii="宋体" w:hAnsi="宋体" w:eastAsia="宋体" w:cs="宋体"/>
          <w:b w:val="0"/>
          <w:bCs w:val="0"/>
          <w:color w:val="000000"/>
          <w:kern w:val="2"/>
          <w:sz w:val="21"/>
          <w:szCs w:val="21"/>
          <w:highlight w:val="none"/>
          <w:lang w:val="en-US" w:eastAsia="zh-CN" w:bidi="ar-SA"/>
        </w:rPr>
        <w:t>32个，水洗站点</w:t>
      </w:r>
      <w:r>
        <w:rPr>
          <w:rFonts w:hint="eastAsia" w:ascii="宋体" w:hAnsi="宋体" w:eastAsia="宋体" w:cs="宋体"/>
          <w:sz w:val="21"/>
          <w:szCs w:val="21"/>
          <w:highlight w:val="none"/>
          <w:lang w:val="en-US" w:eastAsia="zh-CN"/>
        </w:rPr>
        <w:t>≥</w:t>
      </w:r>
      <w:r>
        <w:rPr>
          <w:rFonts w:hint="eastAsia" w:ascii="宋体" w:hAnsi="宋体" w:eastAsia="宋体" w:cs="宋体"/>
          <w:b w:val="0"/>
          <w:bCs w:val="0"/>
          <w:color w:val="000000"/>
          <w:kern w:val="2"/>
          <w:sz w:val="21"/>
          <w:szCs w:val="21"/>
          <w:highlight w:val="none"/>
          <w:lang w:val="en-US" w:eastAsia="zh-CN" w:bidi="ar-SA"/>
        </w:rPr>
        <w:t>5个，烤缸</w:t>
      </w:r>
      <w:r>
        <w:rPr>
          <w:rFonts w:hint="eastAsia" w:ascii="宋体" w:hAnsi="宋体" w:eastAsia="宋体" w:cs="宋体"/>
          <w:sz w:val="21"/>
          <w:szCs w:val="21"/>
          <w:highlight w:val="none"/>
          <w:lang w:val="en-US" w:eastAsia="zh-CN"/>
        </w:rPr>
        <w:t>≥</w:t>
      </w:r>
      <w:r>
        <w:rPr>
          <w:rFonts w:hint="eastAsia" w:ascii="宋体" w:hAnsi="宋体" w:eastAsia="宋体" w:cs="宋体"/>
          <w:b w:val="0"/>
          <w:bCs w:val="0"/>
          <w:color w:val="000000"/>
          <w:kern w:val="2"/>
          <w:sz w:val="21"/>
          <w:szCs w:val="21"/>
          <w:highlight w:val="none"/>
          <w:lang w:val="en-US" w:eastAsia="zh-CN" w:bidi="ar-SA"/>
        </w:rPr>
        <w:t>3个，加载/卸载站点</w:t>
      </w:r>
      <w:r>
        <w:rPr>
          <w:rFonts w:hint="eastAsia" w:ascii="宋体" w:hAnsi="宋体" w:eastAsia="宋体" w:cs="宋体"/>
          <w:sz w:val="21"/>
          <w:szCs w:val="21"/>
          <w:highlight w:val="none"/>
          <w:lang w:val="en-US" w:eastAsia="zh-CN"/>
        </w:rPr>
        <w:t>≥</w:t>
      </w:r>
      <w:r>
        <w:rPr>
          <w:rFonts w:hint="eastAsia" w:ascii="宋体" w:hAnsi="宋体" w:eastAsia="宋体" w:cs="宋体"/>
          <w:b w:val="0"/>
          <w:bCs w:val="0"/>
          <w:color w:val="000000"/>
          <w:kern w:val="2"/>
          <w:sz w:val="21"/>
          <w:szCs w:val="21"/>
          <w:highlight w:val="none"/>
          <w:lang w:val="en-US" w:eastAsia="zh-CN" w:bidi="ar-SA"/>
        </w:rPr>
        <w:t>6个，水洗站点、烤缸、加载/卸载站点</w:t>
      </w:r>
      <w:r>
        <w:rPr>
          <w:rFonts w:hint="eastAsia" w:ascii="宋体" w:hAnsi="宋体" w:eastAsia="宋体" w:cs="宋体"/>
          <w:color w:val="000000"/>
          <w:sz w:val="21"/>
          <w:szCs w:val="21"/>
          <w:highlight w:val="none"/>
          <w:lang w:val="en-US" w:eastAsia="zh-CN"/>
        </w:rPr>
        <w:t>可根据客户需求设置为试剂缸，</w:t>
      </w:r>
      <w:r>
        <w:rPr>
          <w:rFonts w:hint="eastAsia" w:ascii="宋体" w:hAnsi="宋体" w:eastAsia="宋体" w:cs="宋体"/>
          <w:b w:val="0"/>
          <w:bCs w:val="0"/>
          <w:color w:val="000000"/>
          <w:kern w:val="2"/>
          <w:sz w:val="21"/>
          <w:szCs w:val="21"/>
          <w:highlight w:val="none"/>
          <w:lang w:val="en-US" w:eastAsia="zh-CN" w:bidi="ar-SA"/>
        </w:rPr>
        <w:t>试剂站点</w:t>
      </w:r>
      <w:r>
        <w:rPr>
          <w:rFonts w:hint="eastAsia" w:ascii="宋体" w:hAnsi="宋体" w:eastAsia="宋体" w:cs="宋体"/>
          <w:sz w:val="21"/>
          <w:szCs w:val="21"/>
          <w:highlight w:val="none"/>
          <w:lang w:val="en-US" w:eastAsia="zh-CN"/>
        </w:rPr>
        <w:t>≥</w:t>
      </w:r>
      <w:r>
        <w:rPr>
          <w:rFonts w:hint="eastAsia" w:ascii="宋体" w:hAnsi="宋体" w:eastAsia="宋体" w:cs="宋体"/>
          <w:b w:val="0"/>
          <w:bCs w:val="0"/>
          <w:color w:val="000000"/>
          <w:kern w:val="2"/>
          <w:sz w:val="21"/>
          <w:szCs w:val="21"/>
          <w:highlight w:val="none"/>
          <w:lang w:val="en-US" w:eastAsia="zh-CN" w:bidi="ar-SA"/>
        </w:rPr>
        <w:t>31个。</w:t>
      </w:r>
    </w:p>
    <w:p w14:paraId="047B59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cs="宋体"/>
          <w:b w:val="0"/>
          <w:bCs w:val="0"/>
          <w:color w:val="000000"/>
          <w:kern w:val="2"/>
          <w:sz w:val="21"/>
          <w:szCs w:val="21"/>
          <w:highlight w:val="none"/>
          <w:lang w:val="en-US" w:eastAsia="zh-CN" w:bidi="ar-SA"/>
        </w:rPr>
        <w:t>4.</w:t>
      </w:r>
      <w:r>
        <w:rPr>
          <w:rFonts w:hint="eastAsia" w:ascii="宋体" w:hAnsi="宋体" w:eastAsia="宋体" w:cs="宋体"/>
          <w:b w:val="0"/>
          <w:bCs w:val="0"/>
          <w:color w:val="000000"/>
          <w:kern w:val="2"/>
          <w:sz w:val="21"/>
          <w:szCs w:val="21"/>
          <w:highlight w:val="none"/>
          <w:lang w:val="en-US" w:eastAsia="zh-CN" w:bidi="ar-SA"/>
        </w:rPr>
        <w:t>每个试剂缸均可替换为小缸，小缸容量≤350ml。</w:t>
      </w:r>
    </w:p>
    <w:p w14:paraId="0E4A93F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 xml:space="preserve">5. </w:t>
      </w:r>
      <w:r>
        <w:rPr>
          <w:rFonts w:hint="eastAsia" w:ascii="宋体" w:hAnsi="宋体" w:eastAsia="宋体" w:cs="宋体"/>
          <w:sz w:val="21"/>
          <w:szCs w:val="21"/>
          <w:highlight w:val="none"/>
          <w:lang w:val="en-US" w:eastAsia="zh-CN"/>
        </w:rPr>
        <w:t>5个试剂缸具有加温保温功能，可同时加热≥15架染色架，温度范围为室温至95℃可调，利于切片脱蜡和苏木素染色，可在屏幕控制开关。</w:t>
      </w:r>
    </w:p>
    <w:p w14:paraId="2A87CBC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6.</w:t>
      </w:r>
      <w:r>
        <w:rPr>
          <w:rFonts w:hint="eastAsia" w:ascii="宋体" w:hAnsi="宋体" w:eastAsia="宋体" w:cs="宋体"/>
          <w:sz w:val="21"/>
          <w:szCs w:val="21"/>
          <w:highlight w:val="none"/>
          <w:lang w:val="en-US" w:eastAsia="zh-CN"/>
        </w:rPr>
        <w:t>加热试剂缸采用水浴加热模式，可以自动补水和排水，液位恒定。</w:t>
      </w:r>
    </w:p>
    <w:p w14:paraId="4B53618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7.</w:t>
      </w:r>
      <w:r>
        <w:rPr>
          <w:rFonts w:hint="eastAsia" w:ascii="宋体" w:hAnsi="宋体" w:eastAsia="宋体" w:cs="宋体"/>
          <w:sz w:val="21"/>
          <w:szCs w:val="21"/>
          <w:highlight w:val="none"/>
          <w:lang w:val="en-US" w:eastAsia="zh-CN"/>
        </w:rPr>
        <w:t>烤箱温度监测功能，温度在室温至99℃可调，可同时烤片数量≥9架。</w:t>
      </w:r>
    </w:p>
    <w:p w14:paraId="752EA13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8.</w:t>
      </w:r>
      <w:r>
        <w:rPr>
          <w:rFonts w:hint="eastAsia" w:ascii="宋体" w:hAnsi="宋体" w:eastAsia="宋体" w:cs="宋体"/>
          <w:sz w:val="21"/>
          <w:szCs w:val="21"/>
          <w:highlight w:val="none"/>
          <w:lang w:val="en-US" w:eastAsia="zh-CN"/>
        </w:rPr>
        <w:t>染色机配置≥12寸彩色触摸控制屏，可任意角度旋转，纯中文操作界面。</w:t>
      </w:r>
    </w:p>
    <w:p w14:paraId="7D2D783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9.</w:t>
      </w:r>
      <w:r>
        <w:rPr>
          <w:rFonts w:hint="eastAsia" w:ascii="宋体" w:hAnsi="宋体" w:eastAsia="宋体" w:cs="宋体"/>
          <w:sz w:val="21"/>
          <w:szCs w:val="21"/>
          <w:highlight w:val="none"/>
          <w:lang w:val="en-US" w:eastAsia="zh-CN"/>
        </w:rPr>
        <w:t>试剂缸位：三排，外加一排多功能缸位。</w:t>
      </w:r>
    </w:p>
    <w:p w14:paraId="27CCB47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10.</w:t>
      </w:r>
      <w:r>
        <w:rPr>
          <w:rFonts w:hint="eastAsia" w:ascii="宋体" w:hAnsi="宋体" w:eastAsia="宋体" w:cs="宋体"/>
          <w:sz w:val="21"/>
          <w:szCs w:val="21"/>
          <w:highlight w:val="none"/>
          <w:lang w:val="en-US" w:eastAsia="zh-CN"/>
        </w:rPr>
        <w:t>可同时运行多个程序，可同时进行常规染色、快速冰冻染色及细胞学巴氏染色。</w:t>
      </w:r>
    </w:p>
    <w:p w14:paraId="7D003F6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11.</w:t>
      </w:r>
      <w:r>
        <w:rPr>
          <w:rFonts w:hint="eastAsia" w:ascii="宋体" w:hAnsi="宋体" w:eastAsia="宋体" w:cs="宋体"/>
          <w:sz w:val="21"/>
          <w:szCs w:val="21"/>
          <w:highlight w:val="none"/>
          <w:lang w:val="en-US" w:eastAsia="zh-CN"/>
        </w:rPr>
        <w:t>智能按需供水，根据水压可调节水流量。</w:t>
      </w:r>
    </w:p>
    <w:p w14:paraId="4D8838C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12.</w:t>
      </w:r>
      <w:r>
        <w:rPr>
          <w:rFonts w:hint="eastAsia" w:ascii="宋体" w:hAnsi="宋体" w:eastAsia="宋体" w:cs="宋体"/>
          <w:sz w:val="21"/>
          <w:szCs w:val="21"/>
          <w:highlight w:val="none"/>
          <w:lang w:val="en-US" w:eastAsia="zh-CN"/>
        </w:rPr>
        <w:t>具有断电记忆功能，来电后提醒用户选择继续染色或重新染色。</w:t>
      </w:r>
    </w:p>
    <w:p w14:paraId="386DF3E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13.</w:t>
      </w:r>
      <w:r>
        <w:rPr>
          <w:rFonts w:hint="eastAsia" w:ascii="宋体" w:hAnsi="宋体" w:eastAsia="宋体" w:cs="宋体"/>
          <w:sz w:val="21"/>
          <w:szCs w:val="21"/>
          <w:highlight w:val="none"/>
          <w:lang w:val="en-US" w:eastAsia="zh-CN"/>
        </w:rPr>
        <w:t>根据试剂使用时间、染色片数智能调整染色时间。</w:t>
      </w:r>
    </w:p>
    <w:p w14:paraId="0CF782C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14.</w:t>
      </w:r>
      <w:r>
        <w:rPr>
          <w:rFonts w:hint="eastAsia" w:ascii="宋体" w:hAnsi="宋体" w:eastAsia="宋体" w:cs="宋体"/>
          <w:sz w:val="21"/>
          <w:szCs w:val="21"/>
          <w:highlight w:val="none"/>
          <w:lang w:val="en-US" w:eastAsia="zh-CN"/>
        </w:rPr>
        <w:t>具有试剂管理功能，对试剂的使用天数、次数进行精确管理，提醒用户及时更换试剂，可用多种不同颜色标识在主界面上进行试剂管理。</w:t>
      </w:r>
    </w:p>
    <w:p w14:paraId="5D2901F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15.</w:t>
      </w:r>
      <w:r>
        <w:rPr>
          <w:rFonts w:hint="eastAsia" w:ascii="宋体" w:hAnsi="宋体" w:eastAsia="宋体" w:cs="宋体"/>
          <w:sz w:val="21"/>
          <w:szCs w:val="21"/>
          <w:highlight w:val="none"/>
          <w:lang w:val="en-US" w:eastAsia="zh-CN"/>
        </w:rPr>
        <w:t>特殊材质染色架防止粘带任何试剂，以免污染下一试剂缸中的试剂。</w:t>
      </w:r>
    </w:p>
    <w:p w14:paraId="2D1B7BA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16.</w:t>
      </w:r>
      <w:r>
        <w:rPr>
          <w:rFonts w:hint="eastAsia" w:ascii="宋体" w:hAnsi="宋体" w:eastAsia="宋体" w:cs="宋体"/>
          <w:sz w:val="21"/>
          <w:szCs w:val="21"/>
          <w:highlight w:val="none"/>
          <w:lang w:val="en-US" w:eastAsia="zh-CN"/>
        </w:rPr>
        <w:t>远程智能监控：具有远程报警、远程监控功能，可以通过网页、微信小程序、APP</w:t>
      </w:r>
      <w:r>
        <w:rPr>
          <w:rFonts w:hint="eastAsia" w:ascii="宋体" w:hAnsi="宋体" w:cs="宋体"/>
          <w:sz w:val="21"/>
          <w:szCs w:val="21"/>
          <w:highlight w:val="none"/>
          <w:lang w:val="en-US" w:eastAsia="zh-Hans"/>
        </w:rPr>
        <w:t>等不少于</w:t>
      </w:r>
      <w:r>
        <w:rPr>
          <w:rFonts w:hint="eastAsia" w:ascii="宋体" w:hAnsi="宋体" w:eastAsia="宋体" w:cs="宋体"/>
          <w:sz w:val="21"/>
          <w:szCs w:val="21"/>
          <w:highlight w:val="none"/>
          <w:lang w:val="en-US" w:eastAsia="zh-CN"/>
        </w:rPr>
        <w:t>三个方式进行监控，实时了解设备运行状态，配置2个USB接口，可导出Excel的质量控制表。</w:t>
      </w:r>
    </w:p>
    <w:p w14:paraId="0BFFC62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17.</w:t>
      </w:r>
      <w:r>
        <w:rPr>
          <w:rFonts w:hint="eastAsia" w:ascii="宋体" w:hAnsi="宋体" w:eastAsia="宋体" w:cs="宋体"/>
          <w:sz w:val="21"/>
          <w:szCs w:val="21"/>
          <w:highlight w:val="none"/>
          <w:lang w:val="en-US" w:eastAsia="zh-CN"/>
        </w:rPr>
        <w:t>具有质量控制模块，包括质控设置及总览、历史运行程序及试剂使用明细等</w:t>
      </w:r>
    </w:p>
    <w:p w14:paraId="3E90789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w:t>
      </w:r>
      <w:r>
        <w:rPr>
          <w:rFonts w:hint="eastAsia" w:ascii="宋体" w:hAnsi="宋体" w:cs="宋体"/>
          <w:kern w:val="2"/>
          <w:sz w:val="21"/>
          <w:szCs w:val="21"/>
          <w:highlight w:val="none"/>
          <w:lang w:val="en-US" w:eastAsia="zh-CN" w:bidi="ar-SA"/>
        </w:rPr>
        <w:t>18.</w:t>
      </w:r>
      <w:r>
        <w:rPr>
          <w:rFonts w:hint="eastAsia" w:ascii="宋体" w:hAnsi="宋体" w:eastAsia="宋体" w:cs="宋体"/>
          <w:sz w:val="21"/>
          <w:szCs w:val="21"/>
          <w:highlight w:val="none"/>
          <w:lang w:val="en-US" w:eastAsia="zh-CN"/>
        </w:rPr>
        <w:t>采用圆弧方式盖片，减少气泡产生，盖片均匀，防止溢胶。</w:t>
      </w:r>
    </w:p>
    <w:p w14:paraId="5769CA0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w:t>
      </w:r>
      <w:r>
        <w:rPr>
          <w:rFonts w:hint="eastAsia" w:ascii="宋体" w:hAnsi="宋体" w:cs="宋体"/>
          <w:kern w:val="2"/>
          <w:sz w:val="21"/>
          <w:szCs w:val="21"/>
          <w:highlight w:val="none"/>
          <w:lang w:val="en-US" w:eastAsia="zh-CN" w:bidi="ar-SA"/>
        </w:rPr>
        <w:t>19.</w:t>
      </w:r>
      <w:r>
        <w:rPr>
          <w:rFonts w:hint="eastAsia" w:ascii="宋体" w:hAnsi="宋体" w:eastAsia="宋体" w:cs="宋体"/>
          <w:sz w:val="21"/>
          <w:szCs w:val="21"/>
          <w:highlight w:val="none"/>
          <w:lang w:val="en-US" w:eastAsia="zh-CN"/>
        </w:rPr>
        <w:t>封片速度</w:t>
      </w:r>
      <w:r>
        <w:rPr>
          <w:rFonts w:hint="eastAsia" w:ascii="宋体" w:hAnsi="宋体" w:cs="宋体"/>
          <w:szCs w:val="21"/>
          <w:highlight w:val="none"/>
          <w:lang w:val="en-US" w:eastAsia="zh-Hans"/>
        </w:rPr>
        <w:t>≥</w:t>
      </w:r>
      <w:r>
        <w:rPr>
          <w:rFonts w:hint="eastAsia" w:ascii="宋体" w:hAnsi="宋体" w:eastAsia="宋体" w:cs="宋体"/>
          <w:sz w:val="21"/>
          <w:szCs w:val="21"/>
          <w:highlight w:val="none"/>
          <w:lang w:val="en-US" w:eastAsia="zh-CN"/>
        </w:rPr>
        <w:t>800片/小时。</w:t>
      </w:r>
    </w:p>
    <w:p w14:paraId="01EC318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20.</w:t>
      </w:r>
      <w:r>
        <w:rPr>
          <w:rFonts w:hint="eastAsia" w:ascii="宋体" w:hAnsi="宋体" w:eastAsia="宋体" w:cs="宋体"/>
          <w:sz w:val="21"/>
          <w:szCs w:val="21"/>
          <w:highlight w:val="none"/>
          <w:lang w:val="en-US" w:eastAsia="zh-CN"/>
        </w:rPr>
        <w:t>坏盖玻片、无盖玻片智能检测。</w:t>
      </w:r>
    </w:p>
    <w:p w14:paraId="3B8CB7C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21.</w:t>
      </w:r>
      <w:r>
        <w:rPr>
          <w:rFonts w:hint="eastAsia" w:ascii="宋体" w:hAnsi="宋体" w:eastAsia="宋体" w:cs="宋体"/>
          <w:sz w:val="21"/>
          <w:szCs w:val="21"/>
          <w:highlight w:val="none"/>
          <w:lang w:val="en-US" w:eastAsia="zh-CN"/>
        </w:rPr>
        <w:t>可根据标本类型选择相应的盖片程序，具备≥6个快捷盖片程序。</w:t>
      </w:r>
    </w:p>
    <w:p w14:paraId="5D6FA82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22.</w:t>
      </w:r>
      <w:r>
        <w:rPr>
          <w:rFonts w:hint="eastAsia" w:ascii="宋体" w:hAnsi="宋体" w:eastAsia="宋体" w:cs="宋体"/>
          <w:sz w:val="21"/>
          <w:szCs w:val="21"/>
          <w:highlight w:val="none"/>
          <w:lang w:val="en-US" w:eastAsia="zh-CN"/>
        </w:rPr>
        <w:t>经典盖玻片盖片模式，降低科室耗材消耗。</w:t>
      </w:r>
    </w:p>
    <w:p w14:paraId="5E24AD5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23.</w:t>
      </w:r>
      <w:r>
        <w:rPr>
          <w:rFonts w:hint="eastAsia" w:ascii="宋体" w:hAnsi="宋体" w:eastAsia="宋体" w:cs="宋体"/>
          <w:sz w:val="21"/>
          <w:szCs w:val="21"/>
          <w:highlight w:val="none"/>
          <w:lang w:val="en-US" w:eastAsia="zh-CN"/>
        </w:rPr>
        <w:t>喷胶针工作位置实时检测。</w:t>
      </w:r>
    </w:p>
    <w:p w14:paraId="6831E2F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24.</w:t>
      </w:r>
      <w:r>
        <w:rPr>
          <w:rFonts w:hint="eastAsia" w:ascii="宋体" w:hAnsi="宋体" w:eastAsia="宋体" w:cs="宋体"/>
          <w:sz w:val="21"/>
          <w:szCs w:val="21"/>
          <w:highlight w:val="none"/>
          <w:lang w:val="en-US" w:eastAsia="zh-CN"/>
        </w:rPr>
        <w:t>实时智能检测、定位载玻片</w:t>
      </w:r>
      <w:bookmarkStart w:id="211" w:name="_Hlk531259882"/>
      <w:r>
        <w:rPr>
          <w:rFonts w:hint="eastAsia" w:ascii="宋体" w:hAnsi="宋体" w:eastAsia="宋体" w:cs="宋体"/>
          <w:sz w:val="21"/>
          <w:szCs w:val="21"/>
          <w:highlight w:val="none"/>
          <w:lang w:val="en-US" w:eastAsia="zh-CN"/>
        </w:rPr>
        <w:t>收集篮筐</w:t>
      </w:r>
      <w:bookmarkEnd w:id="211"/>
      <w:r>
        <w:rPr>
          <w:rFonts w:hint="eastAsia" w:ascii="宋体" w:hAnsi="宋体" w:eastAsia="宋体" w:cs="宋体"/>
          <w:sz w:val="21"/>
          <w:szCs w:val="21"/>
          <w:highlight w:val="none"/>
          <w:lang w:val="en-US" w:eastAsia="zh-CN"/>
        </w:rPr>
        <w:t>，无需暂停程序，随时提取已封好的玻片。</w:t>
      </w:r>
    </w:p>
    <w:p w14:paraId="3D0F21A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25.</w:t>
      </w:r>
      <w:r>
        <w:rPr>
          <w:rFonts w:hint="eastAsia" w:ascii="宋体" w:hAnsi="宋体" w:eastAsia="宋体" w:cs="宋体"/>
          <w:sz w:val="21"/>
          <w:szCs w:val="21"/>
          <w:highlight w:val="none"/>
          <w:lang w:val="en-US" w:eastAsia="zh-CN"/>
        </w:rPr>
        <w:t>尾气处理：具有活性炭吸附和废气抽排功能。</w:t>
      </w:r>
    </w:p>
    <w:p w14:paraId="59C70F6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26.</w:t>
      </w:r>
      <w:r>
        <w:rPr>
          <w:rFonts w:hint="eastAsia" w:ascii="宋体" w:hAnsi="宋体" w:eastAsia="宋体" w:cs="宋体"/>
          <w:sz w:val="21"/>
          <w:szCs w:val="21"/>
          <w:highlight w:val="none"/>
        </w:rPr>
        <w:t>盖片机配置载玻片自动风干功能</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 xml:space="preserve"> </w:t>
      </w:r>
    </w:p>
    <w:p w14:paraId="640894F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27.</w:t>
      </w:r>
      <w:r>
        <w:rPr>
          <w:rFonts w:hint="eastAsia" w:ascii="宋体" w:hAnsi="宋体" w:eastAsia="宋体" w:cs="宋体"/>
          <w:sz w:val="21"/>
          <w:szCs w:val="21"/>
          <w:highlight w:val="none"/>
          <w:lang w:val="en-US" w:eastAsia="zh-CN"/>
        </w:rPr>
        <w:t>染色机、盖片机可组成一体化染色盖片工作站，智能化速度匹配设计，两台机器无时间差流水线作业，且不需要单独的转运装置。</w:t>
      </w:r>
    </w:p>
    <w:p w14:paraId="745691D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kern w:val="2"/>
          <w:sz w:val="21"/>
          <w:szCs w:val="21"/>
          <w:highlight w:val="none"/>
          <w:lang w:val="en-US" w:eastAsia="zh-CN" w:bidi="ar-SA"/>
        </w:rPr>
        <w:t>28.</w:t>
      </w:r>
      <w:r>
        <w:rPr>
          <w:rFonts w:hint="eastAsia" w:ascii="宋体" w:hAnsi="宋体" w:eastAsia="宋体" w:cs="宋体"/>
          <w:sz w:val="21"/>
          <w:szCs w:val="21"/>
          <w:highlight w:val="none"/>
          <w:lang w:val="en-US" w:eastAsia="zh-CN"/>
        </w:rPr>
        <w:t>工作站的染色、盖片部分，既可单独使用，也可组合使用，盖好的玻片自动传送至内置储存器内，可储存≥240张玻片，任意时间取走阅片，实现批量化作业，</w:t>
      </w:r>
      <w:r>
        <w:rPr>
          <w:rFonts w:ascii="宋体" w:hAnsi="宋体" w:eastAsia="宋体" w:cs="宋体"/>
          <w:sz w:val="24"/>
          <w:szCs w:val="24"/>
          <w:highlight w:val="none"/>
        </w:rPr>
        <w:t>设备可全自动运行，无需专人看管</w:t>
      </w:r>
      <w:r>
        <w:rPr>
          <w:rFonts w:hint="eastAsia" w:ascii="宋体" w:hAnsi="宋体" w:eastAsia="宋体" w:cs="宋体"/>
          <w:sz w:val="21"/>
          <w:szCs w:val="21"/>
          <w:highlight w:val="none"/>
          <w:lang w:val="en-US" w:eastAsia="zh-CN"/>
        </w:rPr>
        <w:t>。</w:t>
      </w:r>
    </w:p>
    <w:p w14:paraId="3B0A0A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p>
    <w:p w14:paraId="6AAB70F2">
      <w:pPr>
        <w:pStyle w:val="28"/>
        <w:keepNext w:val="0"/>
        <w:keepLines w:val="0"/>
        <w:pageBreakBefore w:val="0"/>
        <w:kinsoku/>
        <w:wordWrap/>
        <w:overflowPunct/>
        <w:topLinePunct w:val="0"/>
        <w:autoSpaceDE/>
        <w:autoSpaceDN/>
        <w:bidi w:val="0"/>
        <w:adjustRightInd/>
        <w:snapToGrid/>
        <w:spacing w:before="0" w:after="0" w:line="360" w:lineRule="auto"/>
        <w:jc w:val="both"/>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配置清单</w:t>
      </w:r>
    </w:p>
    <w:tbl>
      <w:tblPr>
        <w:tblStyle w:val="30"/>
        <w:tblW w:w="431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42"/>
        <w:gridCol w:w="3002"/>
        <w:gridCol w:w="1951"/>
        <w:gridCol w:w="2068"/>
      </w:tblGrid>
      <w:tr w14:paraId="4D90F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751" w:type="pct"/>
            <w:tcBorders>
              <w:top w:val="single" w:color="000000" w:sz="4" w:space="0"/>
              <w:left w:val="single" w:color="000000" w:sz="4" w:space="0"/>
              <w:bottom w:val="single" w:color="000000" w:sz="4" w:space="0"/>
              <w:right w:val="single" w:color="000000" w:sz="4" w:space="0"/>
            </w:tcBorders>
            <w:noWrap/>
            <w:vAlign w:val="center"/>
          </w:tcPr>
          <w:p w14:paraId="5CBE2EC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816" w:type="pct"/>
            <w:tcBorders>
              <w:top w:val="single" w:color="000000" w:sz="4" w:space="0"/>
              <w:left w:val="single" w:color="000000" w:sz="4" w:space="0"/>
              <w:bottom w:val="single" w:color="000000" w:sz="4" w:space="0"/>
              <w:right w:val="single" w:color="000000" w:sz="4" w:space="0"/>
            </w:tcBorders>
            <w:noWrap/>
            <w:vAlign w:val="center"/>
          </w:tcPr>
          <w:p w14:paraId="4E30F2F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名称</w:t>
            </w:r>
          </w:p>
        </w:tc>
        <w:tc>
          <w:tcPr>
            <w:tcW w:w="1180" w:type="pct"/>
            <w:tcBorders>
              <w:top w:val="single" w:color="000000" w:sz="4" w:space="0"/>
              <w:left w:val="single" w:color="000000" w:sz="4" w:space="0"/>
              <w:bottom w:val="single" w:color="000000" w:sz="4" w:space="0"/>
              <w:right w:val="single" w:color="000000" w:sz="4" w:space="0"/>
            </w:tcBorders>
            <w:noWrap/>
            <w:vAlign w:val="center"/>
          </w:tcPr>
          <w:p w14:paraId="377B17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单位</w:t>
            </w:r>
          </w:p>
        </w:tc>
        <w:tc>
          <w:tcPr>
            <w:tcW w:w="1251" w:type="pct"/>
            <w:tcBorders>
              <w:top w:val="single" w:color="000000" w:sz="4" w:space="0"/>
              <w:left w:val="single" w:color="000000" w:sz="4" w:space="0"/>
              <w:bottom w:val="single" w:color="000000" w:sz="4" w:space="0"/>
              <w:right w:val="single" w:color="000000" w:sz="4" w:space="0"/>
            </w:tcBorders>
            <w:noWrap/>
            <w:vAlign w:val="center"/>
          </w:tcPr>
          <w:p w14:paraId="74D9163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r>
      <w:tr w14:paraId="736FB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751" w:type="pct"/>
            <w:tcBorders>
              <w:top w:val="single" w:color="000000" w:sz="4" w:space="0"/>
              <w:left w:val="single" w:color="000000" w:sz="4" w:space="0"/>
              <w:bottom w:val="single" w:color="000000" w:sz="4" w:space="0"/>
              <w:right w:val="single" w:color="000000" w:sz="4" w:space="0"/>
            </w:tcBorders>
            <w:noWrap/>
            <w:vAlign w:val="center"/>
          </w:tcPr>
          <w:p w14:paraId="5E18DDF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816" w:type="pct"/>
            <w:tcBorders>
              <w:top w:val="single" w:color="000000" w:sz="4" w:space="0"/>
              <w:left w:val="single" w:color="000000" w:sz="4" w:space="0"/>
              <w:bottom w:val="single" w:color="000000" w:sz="4" w:space="0"/>
              <w:right w:val="single" w:color="000000" w:sz="4" w:space="0"/>
            </w:tcBorders>
            <w:noWrap/>
            <w:vAlign w:val="center"/>
          </w:tcPr>
          <w:p w14:paraId="7D940E8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全自动染色机主机</w:t>
            </w:r>
          </w:p>
        </w:tc>
        <w:tc>
          <w:tcPr>
            <w:tcW w:w="1180" w:type="pct"/>
            <w:tcBorders>
              <w:top w:val="single" w:color="000000" w:sz="4" w:space="0"/>
              <w:left w:val="single" w:color="000000" w:sz="4" w:space="0"/>
              <w:bottom w:val="single" w:color="000000" w:sz="4" w:space="0"/>
              <w:right w:val="single" w:color="000000" w:sz="4" w:space="0"/>
            </w:tcBorders>
            <w:noWrap/>
            <w:vAlign w:val="center"/>
          </w:tcPr>
          <w:p w14:paraId="5B5AC34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1251" w:type="pct"/>
            <w:tcBorders>
              <w:top w:val="single" w:color="000000" w:sz="4" w:space="0"/>
              <w:left w:val="single" w:color="000000" w:sz="4" w:space="0"/>
              <w:bottom w:val="single" w:color="000000" w:sz="4" w:space="0"/>
              <w:right w:val="single" w:color="000000" w:sz="4" w:space="0"/>
            </w:tcBorders>
            <w:noWrap/>
            <w:vAlign w:val="center"/>
          </w:tcPr>
          <w:p w14:paraId="3D139D1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344B5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751" w:type="pct"/>
            <w:tcBorders>
              <w:top w:val="single" w:color="000000" w:sz="4" w:space="0"/>
              <w:left w:val="single" w:color="000000" w:sz="4" w:space="0"/>
              <w:bottom w:val="single" w:color="000000" w:sz="4" w:space="0"/>
              <w:right w:val="single" w:color="000000" w:sz="4" w:space="0"/>
            </w:tcBorders>
            <w:noWrap/>
            <w:vAlign w:val="center"/>
          </w:tcPr>
          <w:p w14:paraId="42804F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1816" w:type="pct"/>
            <w:tcBorders>
              <w:top w:val="single" w:color="000000" w:sz="4" w:space="0"/>
              <w:left w:val="single" w:color="000000" w:sz="4" w:space="0"/>
              <w:bottom w:val="single" w:color="000000" w:sz="4" w:space="0"/>
              <w:right w:val="single" w:color="000000" w:sz="4" w:space="0"/>
            </w:tcBorders>
            <w:noWrap/>
            <w:vAlign w:val="center"/>
          </w:tcPr>
          <w:p w14:paraId="3A55F23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封片机主机</w:t>
            </w:r>
          </w:p>
        </w:tc>
        <w:tc>
          <w:tcPr>
            <w:tcW w:w="1180" w:type="pct"/>
            <w:tcBorders>
              <w:top w:val="single" w:color="000000" w:sz="4" w:space="0"/>
              <w:left w:val="single" w:color="000000" w:sz="4" w:space="0"/>
              <w:bottom w:val="single" w:color="000000" w:sz="4" w:space="0"/>
              <w:right w:val="single" w:color="000000" w:sz="4" w:space="0"/>
            </w:tcBorders>
            <w:noWrap/>
            <w:vAlign w:val="center"/>
          </w:tcPr>
          <w:p w14:paraId="41BB5C7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台</w:t>
            </w:r>
          </w:p>
        </w:tc>
        <w:tc>
          <w:tcPr>
            <w:tcW w:w="1251" w:type="pct"/>
            <w:tcBorders>
              <w:top w:val="single" w:color="000000" w:sz="4" w:space="0"/>
              <w:left w:val="single" w:color="000000" w:sz="4" w:space="0"/>
              <w:bottom w:val="single" w:color="000000" w:sz="4" w:space="0"/>
              <w:right w:val="single" w:color="000000" w:sz="4" w:space="0"/>
            </w:tcBorders>
            <w:noWrap/>
            <w:vAlign w:val="center"/>
          </w:tcPr>
          <w:p w14:paraId="7CB2B3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r>
      <w:tr w14:paraId="29076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751" w:type="pct"/>
            <w:tcBorders>
              <w:top w:val="single" w:color="000000" w:sz="4" w:space="0"/>
              <w:left w:val="single" w:color="000000" w:sz="4" w:space="0"/>
              <w:bottom w:val="single" w:color="000000" w:sz="4" w:space="0"/>
              <w:right w:val="single" w:color="000000" w:sz="4" w:space="0"/>
            </w:tcBorders>
            <w:noWrap/>
            <w:vAlign w:val="center"/>
          </w:tcPr>
          <w:p w14:paraId="5C2F846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w:t>
            </w:r>
          </w:p>
        </w:tc>
        <w:tc>
          <w:tcPr>
            <w:tcW w:w="1816" w:type="pct"/>
            <w:tcBorders>
              <w:top w:val="single" w:color="000000" w:sz="4" w:space="0"/>
              <w:left w:val="single" w:color="000000" w:sz="4" w:space="0"/>
              <w:bottom w:val="single" w:color="000000" w:sz="4" w:space="0"/>
              <w:right w:val="single" w:color="000000" w:sz="4" w:space="0"/>
            </w:tcBorders>
            <w:noWrap/>
            <w:vAlign w:val="center"/>
          </w:tcPr>
          <w:p w14:paraId="4FBB4AB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电源线</w:t>
            </w:r>
          </w:p>
        </w:tc>
        <w:tc>
          <w:tcPr>
            <w:tcW w:w="1180" w:type="pct"/>
            <w:tcBorders>
              <w:top w:val="single" w:color="000000" w:sz="4" w:space="0"/>
              <w:left w:val="single" w:color="000000" w:sz="4" w:space="0"/>
              <w:bottom w:val="single" w:color="000000" w:sz="4" w:space="0"/>
              <w:right w:val="single" w:color="000000" w:sz="4" w:space="0"/>
            </w:tcBorders>
            <w:noWrap/>
            <w:vAlign w:val="center"/>
          </w:tcPr>
          <w:p w14:paraId="01DEBCA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套</w:t>
            </w:r>
          </w:p>
        </w:tc>
        <w:tc>
          <w:tcPr>
            <w:tcW w:w="1251" w:type="pct"/>
            <w:tcBorders>
              <w:top w:val="single" w:color="000000" w:sz="4" w:space="0"/>
              <w:left w:val="single" w:color="000000" w:sz="4" w:space="0"/>
              <w:bottom w:val="single" w:color="000000" w:sz="4" w:space="0"/>
              <w:right w:val="single" w:color="000000" w:sz="4" w:space="0"/>
            </w:tcBorders>
            <w:noWrap/>
            <w:vAlign w:val="center"/>
          </w:tcPr>
          <w:p w14:paraId="5D5C35F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r>
      <w:tr w14:paraId="69533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751" w:type="pct"/>
            <w:tcBorders>
              <w:top w:val="single" w:color="000000" w:sz="4" w:space="0"/>
              <w:left w:val="single" w:color="000000" w:sz="4" w:space="0"/>
              <w:bottom w:val="single" w:color="000000" w:sz="4" w:space="0"/>
              <w:right w:val="single" w:color="000000" w:sz="4" w:space="0"/>
            </w:tcBorders>
            <w:noWrap/>
            <w:vAlign w:val="center"/>
          </w:tcPr>
          <w:p w14:paraId="5437D5D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1816" w:type="pct"/>
            <w:tcBorders>
              <w:top w:val="single" w:color="000000" w:sz="4" w:space="0"/>
              <w:left w:val="single" w:color="000000" w:sz="4" w:space="0"/>
              <w:bottom w:val="single" w:color="000000" w:sz="4" w:space="0"/>
              <w:right w:val="single" w:color="000000" w:sz="4" w:space="0"/>
            </w:tcBorders>
            <w:noWrap/>
            <w:vAlign w:val="center"/>
          </w:tcPr>
          <w:p w14:paraId="5F2764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进水管</w:t>
            </w:r>
          </w:p>
        </w:tc>
        <w:tc>
          <w:tcPr>
            <w:tcW w:w="1180" w:type="pct"/>
            <w:tcBorders>
              <w:top w:val="single" w:color="000000" w:sz="4" w:space="0"/>
              <w:left w:val="single" w:color="000000" w:sz="4" w:space="0"/>
              <w:bottom w:val="single" w:color="000000" w:sz="4" w:space="0"/>
              <w:right w:val="single" w:color="000000" w:sz="4" w:space="0"/>
            </w:tcBorders>
            <w:noWrap/>
            <w:vAlign w:val="center"/>
          </w:tcPr>
          <w:p w14:paraId="368FC3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根</w:t>
            </w:r>
          </w:p>
        </w:tc>
        <w:tc>
          <w:tcPr>
            <w:tcW w:w="1251" w:type="pct"/>
            <w:tcBorders>
              <w:top w:val="single" w:color="000000" w:sz="4" w:space="0"/>
              <w:left w:val="single" w:color="000000" w:sz="4" w:space="0"/>
              <w:bottom w:val="single" w:color="000000" w:sz="4" w:space="0"/>
              <w:right w:val="single" w:color="000000" w:sz="4" w:space="0"/>
            </w:tcBorders>
            <w:noWrap/>
            <w:vAlign w:val="center"/>
          </w:tcPr>
          <w:p w14:paraId="19ED4AD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r>
      <w:tr w14:paraId="55670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751" w:type="pct"/>
            <w:tcBorders>
              <w:top w:val="single" w:color="000000" w:sz="4" w:space="0"/>
              <w:left w:val="single" w:color="000000" w:sz="4" w:space="0"/>
              <w:bottom w:val="single" w:color="000000" w:sz="4" w:space="0"/>
              <w:right w:val="single" w:color="000000" w:sz="4" w:space="0"/>
            </w:tcBorders>
            <w:noWrap/>
            <w:vAlign w:val="center"/>
          </w:tcPr>
          <w:p w14:paraId="23156C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5</w:t>
            </w:r>
          </w:p>
        </w:tc>
        <w:tc>
          <w:tcPr>
            <w:tcW w:w="1816" w:type="pct"/>
            <w:tcBorders>
              <w:top w:val="single" w:color="000000" w:sz="4" w:space="0"/>
              <w:left w:val="single" w:color="000000" w:sz="4" w:space="0"/>
              <w:bottom w:val="single" w:color="000000" w:sz="4" w:space="0"/>
              <w:right w:val="single" w:color="000000" w:sz="4" w:space="0"/>
            </w:tcBorders>
            <w:noWrap/>
            <w:vAlign w:val="center"/>
          </w:tcPr>
          <w:p w14:paraId="1E9E4A0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出水管</w:t>
            </w:r>
          </w:p>
        </w:tc>
        <w:tc>
          <w:tcPr>
            <w:tcW w:w="1180" w:type="pct"/>
            <w:tcBorders>
              <w:top w:val="single" w:color="000000" w:sz="4" w:space="0"/>
              <w:left w:val="single" w:color="000000" w:sz="4" w:space="0"/>
              <w:bottom w:val="single" w:color="000000" w:sz="4" w:space="0"/>
              <w:right w:val="single" w:color="000000" w:sz="4" w:space="0"/>
            </w:tcBorders>
            <w:noWrap/>
            <w:vAlign w:val="center"/>
          </w:tcPr>
          <w:p w14:paraId="5875521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根</w:t>
            </w:r>
          </w:p>
        </w:tc>
        <w:tc>
          <w:tcPr>
            <w:tcW w:w="1251" w:type="pct"/>
            <w:tcBorders>
              <w:top w:val="single" w:color="000000" w:sz="4" w:space="0"/>
              <w:left w:val="single" w:color="000000" w:sz="4" w:space="0"/>
              <w:bottom w:val="single" w:color="000000" w:sz="4" w:space="0"/>
              <w:right w:val="single" w:color="000000" w:sz="4" w:space="0"/>
            </w:tcBorders>
            <w:noWrap/>
            <w:vAlign w:val="center"/>
          </w:tcPr>
          <w:p w14:paraId="11FBFD8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r>
      <w:tr w14:paraId="1DAEA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751" w:type="pct"/>
            <w:tcBorders>
              <w:top w:val="single" w:color="000000" w:sz="4" w:space="0"/>
              <w:left w:val="single" w:color="000000" w:sz="4" w:space="0"/>
              <w:bottom w:val="single" w:color="000000" w:sz="4" w:space="0"/>
              <w:right w:val="single" w:color="000000" w:sz="4" w:space="0"/>
            </w:tcBorders>
            <w:noWrap/>
            <w:vAlign w:val="center"/>
          </w:tcPr>
          <w:p w14:paraId="436B723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6</w:t>
            </w:r>
          </w:p>
        </w:tc>
        <w:tc>
          <w:tcPr>
            <w:tcW w:w="1816" w:type="pct"/>
            <w:tcBorders>
              <w:top w:val="single" w:color="000000" w:sz="4" w:space="0"/>
              <w:left w:val="single" w:color="000000" w:sz="4" w:space="0"/>
              <w:bottom w:val="single" w:color="000000" w:sz="4" w:space="0"/>
              <w:right w:val="single" w:color="000000" w:sz="4" w:space="0"/>
            </w:tcBorders>
            <w:noWrap/>
            <w:vAlign w:val="center"/>
          </w:tcPr>
          <w:p w14:paraId="4CCEF0B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染色架</w:t>
            </w:r>
          </w:p>
        </w:tc>
        <w:tc>
          <w:tcPr>
            <w:tcW w:w="1180" w:type="pct"/>
            <w:tcBorders>
              <w:top w:val="single" w:color="000000" w:sz="4" w:space="0"/>
              <w:left w:val="single" w:color="000000" w:sz="4" w:space="0"/>
              <w:bottom w:val="single" w:color="000000" w:sz="4" w:space="0"/>
              <w:right w:val="single" w:color="000000" w:sz="4" w:space="0"/>
            </w:tcBorders>
            <w:noWrap/>
            <w:vAlign w:val="center"/>
          </w:tcPr>
          <w:p w14:paraId="4C04A17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件</w:t>
            </w:r>
          </w:p>
        </w:tc>
        <w:tc>
          <w:tcPr>
            <w:tcW w:w="1251" w:type="pct"/>
            <w:tcBorders>
              <w:top w:val="single" w:color="000000" w:sz="4" w:space="0"/>
              <w:left w:val="single" w:color="000000" w:sz="4" w:space="0"/>
              <w:bottom w:val="single" w:color="000000" w:sz="4" w:space="0"/>
              <w:right w:val="single" w:color="000000" w:sz="4" w:space="0"/>
            </w:tcBorders>
            <w:noWrap/>
            <w:vAlign w:val="center"/>
          </w:tcPr>
          <w:p w14:paraId="095E771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20</w:t>
            </w:r>
          </w:p>
        </w:tc>
      </w:tr>
      <w:tr w14:paraId="52396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751" w:type="pct"/>
            <w:tcBorders>
              <w:top w:val="single" w:color="000000" w:sz="4" w:space="0"/>
              <w:left w:val="single" w:color="000000" w:sz="4" w:space="0"/>
              <w:bottom w:val="single" w:color="000000" w:sz="4" w:space="0"/>
              <w:right w:val="single" w:color="000000" w:sz="4" w:space="0"/>
            </w:tcBorders>
            <w:noWrap/>
            <w:vAlign w:val="center"/>
          </w:tcPr>
          <w:p w14:paraId="6D3072E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7</w:t>
            </w:r>
          </w:p>
        </w:tc>
        <w:tc>
          <w:tcPr>
            <w:tcW w:w="1816" w:type="pct"/>
            <w:tcBorders>
              <w:top w:val="single" w:color="000000" w:sz="4" w:space="0"/>
              <w:left w:val="single" w:color="000000" w:sz="4" w:space="0"/>
              <w:bottom w:val="single" w:color="000000" w:sz="4" w:space="0"/>
              <w:right w:val="single" w:color="000000" w:sz="4" w:space="0"/>
            </w:tcBorders>
            <w:noWrap/>
            <w:vAlign w:val="center"/>
          </w:tcPr>
          <w:p w14:paraId="3C32D93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染色架挂钩</w:t>
            </w:r>
          </w:p>
        </w:tc>
        <w:tc>
          <w:tcPr>
            <w:tcW w:w="1180" w:type="pct"/>
            <w:tcBorders>
              <w:top w:val="single" w:color="000000" w:sz="4" w:space="0"/>
              <w:left w:val="single" w:color="000000" w:sz="4" w:space="0"/>
              <w:bottom w:val="single" w:color="000000" w:sz="4" w:space="0"/>
              <w:right w:val="single" w:color="000000" w:sz="4" w:space="0"/>
            </w:tcBorders>
            <w:noWrap/>
            <w:vAlign w:val="center"/>
          </w:tcPr>
          <w:p w14:paraId="349AB48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个</w:t>
            </w:r>
          </w:p>
        </w:tc>
        <w:tc>
          <w:tcPr>
            <w:tcW w:w="1251" w:type="pct"/>
            <w:tcBorders>
              <w:top w:val="single" w:color="000000" w:sz="4" w:space="0"/>
              <w:left w:val="single" w:color="000000" w:sz="4" w:space="0"/>
              <w:bottom w:val="single" w:color="000000" w:sz="4" w:space="0"/>
              <w:right w:val="single" w:color="000000" w:sz="4" w:space="0"/>
            </w:tcBorders>
            <w:noWrap/>
            <w:vAlign w:val="center"/>
          </w:tcPr>
          <w:p w14:paraId="6A7699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20</w:t>
            </w:r>
          </w:p>
        </w:tc>
      </w:tr>
      <w:tr w14:paraId="76A9E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751" w:type="pct"/>
            <w:tcBorders>
              <w:top w:val="single" w:color="000000" w:sz="4" w:space="0"/>
              <w:left w:val="single" w:color="000000" w:sz="4" w:space="0"/>
              <w:bottom w:val="single" w:color="000000" w:sz="4" w:space="0"/>
              <w:right w:val="single" w:color="000000" w:sz="4" w:space="0"/>
            </w:tcBorders>
            <w:noWrap/>
            <w:vAlign w:val="center"/>
          </w:tcPr>
          <w:p w14:paraId="428B64F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8</w:t>
            </w:r>
          </w:p>
        </w:tc>
        <w:tc>
          <w:tcPr>
            <w:tcW w:w="1816" w:type="pct"/>
            <w:tcBorders>
              <w:top w:val="single" w:color="000000" w:sz="4" w:space="0"/>
              <w:left w:val="single" w:color="000000" w:sz="4" w:space="0"/>
              <w:bottom w:val="single" w:color="000000" w:sz="4" w:space="0"/>
              <w:right w:val="single" w:color="000000" w:sz="4" w:space="0"/>
            </w:tcBorders>
            <w:noWrap/>
            <w:vAlign w:val="center"/>
          </w:tcPr>
          <w:p w14:paraId="0FE454E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试剂缸</w:t>
            </w:r>
          </w:p>
        </w:tc>
        <w:tc>
          <w:tcPr>
            <w:tcW w:w="1180" w:type="pct"/>
            <w:tcBorders>
              <w:top w:val="single" w:color="000000" w:sz="4" w:space="0"/>
              <w:left w:val="single" w:color="000000" w:sz="4" w:space="0"/>
              <w:bottom w:val="single" w:color="000000" w:sz="4" w:space="0"/>
              <w:right w:val="single" w:color="000000" w:sz="4" w:space="0"/>
            </w:tcBorders>
            <w:noWrap/>
            <w:vAlign w:val="center"/>
          </w:tcPr>
          <w:p w14:paraId="262547A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件</w:t>
            </w:r>
          </w:p>
        </w:tc>
        <w:tc>
          <w:tcPr>
            <w:tcW w:w="1251" w:type="pct"/>
            <w:tcBorders>
              <w:top w:val="single" w:color="000000" w:sz="4" w:space="0"/>
              <w:left w:val="single" w:color="000000" w:sz="4" w:space="0"/>
              <w:bottom w:val="single" w:color="000000" w:sz="4" w:space="0"/>
              <w:right w:val="single" w:color="000000" w:sz="4" w:space="0"/>
            </w:tcBorders>
            <w:noWrap/>
            <w:vAlign w:val="center"/>
          </w:tcPr>
          <w:p w14:paraId="76B4CA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r>
      <w:tr w14:paraId="4E17B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751" w:type="pct"/>
            <w:tcBorders>
              <w:top w:val="single" w:color="000000" w:sz="4" w:space="0"/>
              <w:left w:val="single" w:color="000000" w:sz="4" w:space="0"/>
              <w:bottom w:val="single" w:color="000000" w:sz="4" w:space="0"/>
              <w:right w:val="single" w:color="000000" w:sz="4" w:space="0"/>
            </w:tcBorders>
            <w:noWrap/>
            <w:vAlign w:val="center"/>
          </w:tcPr>
          <w:p w14:paraId="7699AF4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10</w:t>
            </w:r>
          </w:p>
        </w:tc>
        <w:tc>
          <w:tcPr>
            <w:tcW w:w="1816" w:type="pct"/>
            <w:tcBorders>
              <w:top w:val="single" w:color="000000" w:sz="4" w:space="0"/>
              <w:left w:val="single" w:color="000000" w:sz="4" w:space="0"/>
              <w:bottom w:val="single" w:color="000000" w:sz="4" w:space="0"/>
              <w:right w:val="single" w:color="000000" w:sz="4" w:space="0"/>
            </w:tcBorders>
            <w:noWrap w:val="0"/>
            <w:vAlign w:val="center"/>
          </w:tcPr>
          <w:p w14:paraId="74E271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染封连接板</w:t>
            </w:r>
          </w:p>
        </w:tc>
        <w:tc>
          <w:tcPr>
            <w:tcW w:w="1180" w:type="pct"/>
            <w:tcBorders>
              <w:top w:val="single" w:color="000000" w:sz="4" w:space="0"/>
              <w:left w:val="single" w:color="000000" w:sz="4" w:space="0"/>
              <w:bottom w:val="single" w:color="000000" w:sz="4" w:space="0"/>
              <w:right w:val="single" w:color="000000" w:sz="4" w:space="0"/>
            </w:tcBorders>
            <w:noWrap/>
            <w:vAlign w:val="center"/>
          </w:tcPr>
          <w:p w14:paraId="7E5BC74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件</w:t>
            </w:r>
          </w:p>
        </w:tc>
        <w:tc>
          <w:tcPr>
            <w:tcW w:w="1251" w:type="pct"/>
            <w:tcBorders>
              <w:top w:val="single" w:color="000000" w:sz="4" w:space="0"/>
              <w:left w:val="single" w:color="000000" w:sz="4" w:space="0"/>
              <w:bottom w:val="single" w:color="000000" w:sz="4" w:space="0"/>
              <w:right w:val="single" w:color="000000" w:sz="4" w:space="0"/>
            </w:tcBorders>
            <w:noWrap/>
            <w:vAlign w:val="center"/>
          </w:tcPr>
          <w:p w14:paraId="2E0121D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r>
      <w:tr w14:paraId="10BB5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751" w:type="pct"/>
            <w:tcBorders>
              <w:top w:val="single" w:color="000000" w:sz="4" w:space="0"/>
              <w:left w:val="single" w:color="000000" w:sz="4" w:space="0"/>
              <w:bottom w:val="single" w:color="000000" w:sz="4" w:space="0"/>
              <w:right w:val="single" w:color="000000" w:sz="4" w:space="0"/>
            </w:tcBorders>
            <w:noWrap/>
            <w:vAlign w:val="center"/>
          </w:tcPr>
          <w:p w14:paraId="5FE8C06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11</w:t>
            </w:r>
          </w:p>
        </w:tc>
        <w:tc>
          <w:tcPr>
            <w:tcW w:w="1816" w:type="pct"/>
            <w:tcBorders>
              <w:top w:val="single" w:color="000000" w:sz="4" w:space="0"/>
              <w:left w:val="single" w:color="000000" w:sz="4" w:space="0"/>
              <w:bottom w:val="single" w:color="000000" w:sz="4" w:space="0"/>
              <w:right w:val="single" w:color="000000" w:sz="4" w:space="0"/>
            </w:tcBorders>
            <w:noWrap/>
            <w:vAlign w:val="center"/>
          </w:tcPr>
          <w:p w14:paraId="112D29A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盖玻片盒</w:t>
            </w:r>
          </w:p>
        </w:tc>
        <w:tc>
          <w:tcPr>
            <w:tcW w:w="1180" w:type="pct"/>
            <w:tcBorders>
              <w:top w:val="single" w:color="000000" w:sz="4" w:space="0"/>
              <w:left w:val="single" w:color="000000" w:sz="4" w:space="0"/>
              <w:bottom w:val="single" w:color="000000" w:sz="4" w:space="0"/>
              <w:right w:val="single" w:color="000000" w:sz="4" w:space="0"/>
            </w:tcBorders>
            <w:noWrap/>
            <w:vAlign w:val="center"/>
          </w:tcPr>
          <w:p w14:paraId="4C782A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件</w:t>
            </w:r>
          </w:p>
        </w:tc>
        <w:tc>
          <w:tcPr>
            <w:tcW w:w="1251" w:type="pct"/>
            <w:tcBorders>
              <w:top w:val="single" w:color="000000" w:sz="4" w:space="0"/>
              <w:left w:val="single" w:color="000000" w:sz="4" w:space="0"/>
              <w:bottom w:val="single" w:color="000000" w:sz="4" w:space="0"/>
              <w:right w:val="single" w:color="000000" w:sz="4" w:space="0"/>
            </w:tcBorders>
            <w:noWrap/>
            <w:vAlign w:val="center"/>
          </w:tcPr>
          <w:p w14:paraId="04CBE7F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r>
      <w:tr w14:paraId="1513C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751" w:type="pct"/>
            <w:tcBorders>
              <w:top w:val="single" w:color="000000" w:sz="4" w:space="0"/>
              <w:left w:val="single" w:color="000000" w:sz="4" w:space="0"/>
              <w:bottom w:val="single" w:color="000000" w:sz="4" w:space="0"/>
              <w:right w:val="single" w:color="000000" w:sz="4" w:space="0"/>
            </w:tcBorders>
            <w:noWrap/>
            <w:vAlign w:val="center"/>
          </w:tcPr>
          <w:p w14:paraId="11515FB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12</w:t>
            </w:r>
          </w:p>
        </w:tc>
        <w:tc>
          <w:tcPr>
            <w:tcW w:w="1816" w:type="pct"/>
            <w:tcBorders>
              <w:top w:val="single" w:color="000000" w:sz="4" w:space="0"/>
              <w:left w:val="single" w:color="000000" w:sz="4" w:space="0"/>
              <w:bottom w:val="single" w:color="000000" w:sz="4" w:space="0"/>
              <w:right w:val="single" w:color="000000" w:sz="4" w:space="0"/>
            </w:tcBorders>
            <w:noWrap/>
            <w:vAlign w:val="center"/>
          </w:tcPr>
          <w:p w14:paraId="469AC55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安装附件</w:t>
            </w:r>
          </w:p>
        </w:tc>
        <w:tc>
          <w:tcPr>
            <w:tcW w:w="1180" w:type="pct"/>
            <w:tcBorders>
              <w:top w:val="single" w:color="000000" w:sz="4" w:space="0"/>
              <w:left w:val="single" w:color="000000" w:sz="4" w:space="0"/>
              <w:bottom w:val="single" w:color="000000" w:sz="4" w:space="0"/>
              <w:right w:val="single" w:color="000000" w:sz="4" w:space="0"/>
            </w:tcBorders>
            <w:noWrap/>
            <w:vAlign w:val="center"/>
          </w:tcPr>
          <w:p w14:paraId="159C2DD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套</w:t>
            </w:r>
          </w:p>
        </w:tc>
        <w:tc>
          <w:tcPr>
            <w:tcW w:w="1251" w:type="pct"/>
            <w:tcBorders>
              <w:top w:val="single" w:color="000000" w:sz="4" w:space="0"/>
              <w:left w:val="single" w:color="000000" w:sz="4" w:space="0"/>
              <w:bottom w:val="single" w:color="000000" w:sz="4" w:space="0"/>
              <w:right w:val="single" w:color="000000" w:sz="4" w:space="0"/>
            </w:tcBorders>
            <w:noWrap/>
            <w:vAlign w:val="center"/>
          </w:tcPr>
          <w:p w14:paraId="15A3C13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r>
    </w:tbl>
    <w:p w14:paraId="689ADAA2">
      <w:pPr>
        <w:rPr>
          <w:rFonts w:hint="eastAsia" w:cs="宋体" w:asciiTheme="minorEastAsia" w:hAnsiTheme="minorEastAsia" w:eastAsiaTheme="minorEastAsia"/>
          <w:b w:val="0"/>
          <w:bCs/>
          <w:kern w:val="2"/>
          <w:sz w:val="21"/>
          <w:szCs w:val="21"/>
          <w:highlight w:val="none"/>
          <w:lang w:val="en-US" w:eastAsia="zh-CN" w:bidi="ar-SA"/>
        </w:rPr>
      </w:pPr>
      <w:r>
        <w:rPr>
          <w:rFonts w:hint="eastAsia" w:cs="宋体" w:asciiTheme="minorEastAsia" w:hAnsiTheme="minorEastAsia" w:eastAsiaTheme="minorEastAsia"/>
          <w:b w:val="0"/>
          <w:bCs/>
          <w:kern w:val="2"/>
          <w:sz w:val="21"/>
          <w:szCs w:val="21"/>
          <w:highlight w:val="none"/>
          <w:lang w:val="en-US" w:eastAsia="zh-CN" w:bidi="ar-SA"/>
        </w:rPr>
        <w:br w:type="page"/>
      </w:r>
    </w:p>
    <w:p w14:paraId="4A95F9C0">
      <w:pPr>
        <w:pStyle w:val="2"/>
        <w:numPr>
          <w:ilvl w:val="0"/>
          <w:numId w:val="0"/>
        </w:numPr>
        <w:adjustRightInd w:val="0"/>
        <w:snapToGrid w:val="0"/>
        <w:spacing w:after="0" w:line="360" w:lineRule="auto"/>
        <w:ind w:left="0" w:leftChars="0" w:firstLine="0" w:firstLineChars="0"/>
        <w:rPr>
          <w:rFonts w:cs="宋体" w:asciiTheme="minorEastAsia" w:hAnsiTheme="minorEastAsia" w:eastAsiaTheme="minorEastAsia"/>
          <w:b w:val="0"/>
          <w:bCs/>
          <w:szCs w:val="21"/>
          <w:highlight w:val="none"/>
        </w:rPr>
      </w:pPr>
      <w:r>
        <w:rPr>
          <w:rFonts w:hint="eastAsia" w:cs="宋体" w:asciiTheme="minorEastAsia" w:hAnsiTheme="minorEastAsia" w:eastAsiaTheme="minorEastAsia"/>
          <w:b w:val="0"/>
          <w:bCs/>
          <w:kern w:val="2"/>
          <w:sz w:val="21"/>
          <w:szCs w:val="21"/>
          <w:highlight w:val="none"/>
          <w:lang w:val="en-US" w:eastAsia="zh-CN" w:bidi="ar-SA"/>
        </w:rPr>
        <w:t>二、</w:t>
      </w:r>
      <w:r>
        <w:rPr>
          <w:rFonts w:hint="eastAsia" w:ascii="宋体" w:hAnsi="宋体"/>
          <w:b w:val="0"/>
          <w:bCs/>
          <w:szCs w:val="21"/>
          <w:highlight w:val="none"/>
          <w:lang w:val="en-US" w:eastAsia="zh-CN"/>
        </w:rPr>
        <w:t>冰冻切片机1台、全自动快速组织脱水机1台</w:t>
      </w:r>
    </w:p>
    <w:p w14:paraId="5DF25DD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（一）冰冻切片机</w:t>
      </w:r>
      <w:r>
        <w:rPr>
          <w:rFonts w:hint="eastAsia" w:ascii="宋体" w:hAnsi="宋体" w:eastAsia="宋体" w:cs="宋体"/>
          <w:sz w:val="21"/>
          <w:szCs w:val="21"/>
          <w:highlight w:val="none"/>
          <w:lang w:val="en-US" w:eastAsia="zh-CN"/>
        </w:rPr>
        <w:t>技术要求：</w:t>
      </w:r>
    </w:p>
    <w:p w14:paraId="053126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设备操作：电动部件采用按键控制，便于戴手套操作，并且耐磨耐腐蚀，易于清洁</w:t>
      </w:r>
    </w:p>
    <w:p w14:paraId="05C9C4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具备双压缩机制冷，实现腔体与样本头单独制冷，轻松处理脂肪与致密组织。</w:t>
      </w:r>
    </w:p>
    <w:p w14:paraId="5D6C03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刀架制冷：采用冷空气循环技术，确保刀架和样本头周围空气低温恒定。</w:t>
      </w:r>
    </w:p>
    <w:p w14:paraId="635F63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环保：带HEPA空气净化系统，确保安全的实验室环境安全。</w:t>
      </w:r>
    </w:p>
    <w:p w14:paraId="6D9D7C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冷冻箱：冷冻箱制冷温度0~-35℃，冷冻箱采用不锈钢无缝焊接，无死角，易于清洗和消毒。</w:t>
      </w:r>
    </w:p>
    <w:p w14:paraId="6F2255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除霜功能：冷冻箱具备自动除霜功能并可编程，可设置24小时自动除霜一次，除霜时长</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12分钟。</w:t>
      </w:r>
    </w:p>
    <w:p w14:paraId="3B698860">
      <w:pPr>
        <w:pStyle w:val="11"/>
        <w:rPr>
          <w:rFonts w:hint="eastAsia" w:ascii="宋体" w:hAnsi="宋体" w:eastAsia="宋体" w:cs="宋体"/>
          <w:sz w:val="21"/>
          <w:szCs w:val="21"/>
          <w:highlight w:val="none"/>
        </w:rPr>
      </w:pPr>
      <w:r>
        <w:rPr>
          <w:rFonts w:hint="eastAsia" w:ascii="宋体" w:hAnsi="宋体" w:eastAsia="宋体" w:cs="宋体"/>
          <w:sz w:val="21"/>
          <w:szCs w:val="21"/>
          <w:highlight w:val="none"/>
        </w:rPr>
        <w:t>7</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样本头制冷系统可进行</w:t>
      </w:r>
      <w:r>
        <w:rPr>
          <w:rFonts w:hint="eastAsia" w:ascii="宋体" w:hAnsi="宋体" w:eastAsia="宋体" w:cs="宋体"/>
          <w:i w:val="0"/>
          <w:iCs w:val="0"/>
          <w:caps w:val="0"/>
          <w:spacing w:val="0"/>
          <w:sz w:val="21"/>
          <w:szCs w:val="21"/>
          <w:highlight w:val="none"/>
          <w:shd w:val="clear"/>
        </w:rPr>
        <w:t>样本头制冷系统具备快速除霜功能</w:t>
      </w:r>
      <w:r>
        <w:rPr>
          <w:rFonts w:hint="eastAsia" w:ascii="宋体" w:hAnsi="宋体" w:cs="宋体"/>
          <w:i w:val="0"/>
          <w:iCs w:val="0"/>
          <w:caps w:val="0"/>
          <w:spacing w:val="0"/>
          <w:sz w:val="21"/>
          <w:szCs w:val="21"/>
          <w:highlight w:val="none"/>
          <w:shd w:val="clear"/>
          <w:lang w:eastAsia="zh-CN"/>
        </w:rPr>
        <w:t>，</w:t>
      </w:r>
      <w:r>
        <w:rPr>
          <w:rFonts w:hint="eastAsia" w:ascii="宋体" w:hAnsi="宋体" w:eastAsia="宋体" w:cs="宋体"/>
          <w:sz w:val="21"/>
          <w:szCs w:val="21"/>
          <w:highlight w:val="none"/>
        </w:rPr>
        <w:t>除霜时长可</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15分钟。</w:t>
      </w:r>
    </w:p>
    <w:p w14:paraId="7BB3A4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速冻架：速冻架冷冻位点数≥17个，速冷架制冷温度最低≤-42℃。</w:t>
      </w:r>
    </w:p>
    <w:p w14:paraId="4B2764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快速制冷位点：具备珀尔帖快速制冷位点，位点数≥2个，珀尔帖元件可为速冻架提供额外制冷，并采用一键式额外制冷时间设置功能，与速冻架温差≥17℃。</w:t>
      </w:r>
    </w:p>
    <w:p w14:paraId="730CA2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机身控制面板：控制面板设计有电动粗进、切片和修块按键式控制按钮，并有指示灯提示功能。在样品回缩时面板以亮黄色提示，控制面板需含有样品头快速回位功能、样品头以20um恒定前移和后移功能、样品头快速前移功能。</w:t>
      </w:r>
    </w:p>
    <w:p w14:paraId="7F133C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半刀切片：具备半刀切片功能，可进行半刀切片。</w:t>
      </w:r>
    </w:p>
    <w:p w14:paraId="1FD4F4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切片厚度范围：1-100μm。</w:t>
      </w:r>
    </w:p>
    <w:p w14:paraId="70E345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修片厚度：修片厚度设置范围1-600</w:t>
      </w:r>
      <w:r>
        <w:rPr>
          <w:rFonts w:ascii="Segoe UI Emoji" w:hAnsi="Segoe UI Emoji" w:eastAsia="Segoe UI Emoji" w:cs="Segoe UI Emoji"/>
          <w:i w:val="0"/>
          <w:iCs w:val="0"/>
          <w:caps w:val="0"/>
          <w:color w:val="000000"/>
          <w:spacing w:val="0"/>
          <w:sz w:val="24"/>
          <w:szCs w:val="24"/>
          <w:highlight w:val="none"/>
          <w:shd w:val="clear" w:fill="FFFFFF"/>
        </w:rPr>
        <w:t>μm</w:t>
      </w:r>
      <w:r>
        <w:rPr>
          <w:rFonts w:hint="eastAsia" w:ascii="宋体" w:hAnsi="宋体" w:eastAsia="宋体" w:cs="宋体"/>
          <w:sz w:val="21"/>
          <w:szCs w:val="21"/>
          <w:highlight w:val="none"/>
        </w:rPr>
        <w:t>。修块值超出切片厚度 200 μm 时，控制面板显示屏闪烁，明确通知操作者切片过厚。</w:t>
      </w:r>
    </w:p>
    <w:p w14:paraId="0B711C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修片模式：设置有用于临床样本的快速修块模式，即10 μm、20 μm、30 μm、40 μm修块厚度快速设置。并设置有用于科研样本的精细修块模式，厚度1.0μm–10.0μm时以1.0 μm增幅；厚度10.0μm–20.0μm时以2.0μm增幅；厚度20.0 m –50.0 μm时以5.0 μm增幅；厚度50.0 μm – 100.0 μm时以10.0 μm增幅；厚度100.0 m –600.0 μm时以50.0 μm增幅。</w:t>
      </w:r>
    </w:p>
    <w:p w14:paraId="1D39CF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水平进样：≥ 25 mm</w:t>
      </w:r>
    </w:p>
    <w:p w14:paraId="4E90A9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16</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样品垂直行程：≥ 59 mm</w:t>
      </w:r>
    </w:p>
    <w:p w14:paraId="216BC0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电动粗修：采用2档电动粗修，快速修块速度</w:t>
      </w:r>
      <w:r>
        <w:rPr>
          <w:rFonts w:hint="eastAsia" w:ascii="Times New Roman" w:hAnsi="Times New Roman" w:eastAsia="宋体" w:cs="Times New Roman"/>
          <w:sz w:val="24"/>
          <w:szCs w:val="24"/>
          <w:highlight w:val="none"/>
          <w:lang w:val="en-US" w:eastAsia="zh-CN"/>
        </w:rPr>
        <w:t>≥</w:t>
      </w:r>
      <w:r>
        <w:rPr>
          <w:rFonts w:hint="eastAsia" w:ascii="宋体" w:hAnsi="宋体" w:eastAsia="宋体" w:cs="宋体"/>
          <w:sz w:val="21"/>
          <w:szCs w:val="21"/>
          <w:highlight w:val="none"/>
        </w:rPr>
        <w:t>900μm /s，慢速修块速度</w:t>
      </w:r>
      <w:r>
        <w:rPr>
          <w:rFonts w:hint="eastAsia" w:ascii="Times New Roman" w:hAnsi="Times New Roman" w:eastAsia="宋体" w:cs="Times New Roman"/>
          <w:sz w:val="24"/>
          <w:szCs w:val="24"/>
          <w:highlight w:val="none"/>
          <w:lang w:val="en-US" w:eastAsia="zh-CN"/>
        </w:rPr>
        <w:t>≥</w:t>
      </w:r>
      <w:r>
        <w:rPr>
          <w:rFonts w:hint="eastAsia" w:ascii="宋体" w:hAnsi="宋体" w:eastAsia="宋体" w:cs="宋体"/>
          <w:sz w:val="21"/>
          <w:szCs w:val="21"/>
          <w:highlight w:val="none"/>
        </w:rPr>
        <w:t>300 μm/s。</w:t>
      </w:r>
    </w:p>
    <w:p w14:paraId="36F918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18</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样品回缩：具备样品回缩功能，回缩行程20μm并可关闭。</w:t>
      </w:r>
    </w:p>
    <w:p w14:paraId="3C6D93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样品定位：± 8°定位及360°旋转，自动中心定位和精确0位指示确保样本准确快速定位</w:t>
      </w:r>
    </w:p>
    <w:p w14:paraId="7372A2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环境安全：设备机身采用抗菌银离子涂层技术，可有效阻止细菌与微生物在设备表面繁殖</w:t>
      </w:r>
    </w:p>
    <w:p w14:paraId="574144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人员安全：具备UVC紫外消毒系统，有效灭活新冠病毒、HIV、分枝杆菌肺结核、甲型流感病毒、脊髓灰质炎病毒、真菌、肝炎病毒等有害微生物和病毒。提供第三方检测实验室认证</w:t>
      </w:r>
    </w:p>
    <w:p w14:paraId="524BD1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22.</w:t>
      </w:r>
      <w:r>
        <w:rPr>
          <w:rFonts w:hint="eastAsia" w:ascii="宋体" w:hAnsi="宋体" w:eastAsia="宋体" w:cs="宋体"/>
          <w:sz w:val="21"/>
          <w:szCs w:val="21"/>
          <w:highlight w:val="none"/>
        </w:rPr>
        <w:t>消毒系统可预设置30分钟中等消毒与180分钟强效消毒2种消毒模式。</w:t>
      </w:r>
    </w:p>
    <w:p w14:paraId="483172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最大可切片样品尺寸：≥50 mm x 80 mm，刀架角度0-10°可调。</w:t>
      </w:r>
    </w:p>
    <w:p w14:paraId="425810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滑窗加热：具备滑窗加热功能，以避免滑窗产生雾气或结冰。</w:t>
      </w:r>
    </w:p>
    <w:p w14:paraId="4AA4EB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刀架配备手腕托，方便稳定切片。</w:t>
      </w:r>
    </w:p>
    <w:p w14:paraId="0B33AD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单独压缩机制冷的样本头温度最低为：–50°C ± 3 °C</w:t>
      </w:r>
    </w:p>
    <w:p w14:paraId="56BF62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采用平底样本拖，方便摆放，增大</w:t>
      </w:r>
      <w:r>
        <w:rPr>
          <w:rFonts w:hint="eastAsia" w:ascii="宋体" w:hAnsi="宋体" w:eastAsia="宋体" w:cs="宋体"/>
          <w:szCs w:val="21"/>
          <w:highlight w:val="none"/>
        </w:rPr>
        <w:t>接触面</w:t>
      </w:r>
      <w:r>
        <w:rPr>
          <w:rFonts w:hint="eastAsia" w:ascii="宋体" w:hAnsi="宋体" w:eastAsia="宋体" w:cs="宋体"/>
          <w:sz w:val="21"/>
          <w:szCs w:val="21"/>
          <w:highlight w:val="none"/>
        </w:rPr>
        <w:t>，制冷更快速。</w:t>
      </w:r>
    </w:p>
    <w:p w14:paraId="2321CD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p>
    <w:p w14:paraId="1E7E49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配置清单：</w:t>
      </w:r>
    </w:p>
    <w:tbl>
      <w:tblPr>
        <w:tblStyle w:val="30"/>
        <w:tblW w:w="431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66"/>
        <w:gridCol w:w="4573"/>
        <w:gridCol w:w="2928"/>
      </w:tblGrid>
      <w:tr w14:paraId="26262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3"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869CBBC">
            <w:pPr>
              <w:keepNext w:val="0"/>
              <w:keepLines w:val="0"/>
              <w:widowControl/>
              <w:suppressLineNumbers w:val="0"/>
              <w:spacing w:line="360" w:lineRule="auto"/>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276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64CBA25">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名称</w:t>
            </w:r>
          </w:p>
        </w:tc>
        <w:tc>
          <w:tcPr>
            <w:tcW w:w="177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657E766">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r>
      <w:tr w14:paraId="06C3A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3" w:type="pct"/>
            <w:tcBorders>
              <w:top w:val="single" w:color="000000" w:sz="4" w:space="0"/>
              <w:left w:val="single" w:color="000000" w:sz="4" w:space="0"/>
              <w:bottom w:val="single" w:color="000000" w:sz="4" w:space="0"/>
              <w:right w:val="single" w:color="000000" w:sz="4" w:space="0"/>
            </w:tcBorders>
            <w:noWrap/>
            <w:vAlign w:val="center"/>
          </w:tcPr>
          <w:p w14:paraId="4363A4DE">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2765" w:type="pct"/>
            <w:tcBorders>
              <w:top w:val="single" w:color="000000" w:sz="4" w:space="0"/>
              <w:left w:val="single" w:color="000000" w:sz="4" w:space="0"/>
              <w:bottom w:val="single" w:color="000000" w:sz="4" w:space="0"/>
              <w:right w:val="single" w:color="000000" w:sz="4" w:space="0"/>
            </w:tcBorders>
            <w:noWrap/>
            <w:vAlign w:val="center"/>
          </w:tcPr>
          <w:p w14:paraId="20217DA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主机</w:t>
            </w:r>
          </w:p>
        </w:tc>
        <w:tc>
          <w:tcPr>
            <w:tcW w:w="1770" w:type="pct"/>
            <w:tcBorders>
              <w:top w:val="single" w:color="000000" w:sz="4" w:space="0"/>
              <w:left w:val="single" w:color="000000" w:sz="4" w:space="0"/>
              <w:bottom w:val="single" w:color="000000" w:sz="4" w:space="0"/>
              <w:right w:val="single" w:color="000000" w:sz="4" w:space="0"/>
            </w:tcBorders>
            <w:noWrap/>
            <w:vAlign w:val="center"/>
          </w:tcPr>
          <w:p w14:paraId="53709E5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7C038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3" w:type="pct"/>
            <w:tcBorders>
              <w:top w:val="single" w:color="000000" w:sz="4" w:space="0"/>
              <w:left w:val="single" w:color="000000" w:sz="4" w:space="0"/>
              <w:bottom w:val="single" w:color="000000" w:sz="4" w:space="0"/>
              <w:right w:val="single" w:color="000000" w:sz="4" w:space="0"/>
            </w:tcBorders>
            <w:noWrap/>
            <w:vAlign w:val="center"/>
          </w:tcPr>
          <w:p w14:paraId="0647ED7A">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2765" w:type="pct"/>
            <w:tcBorders>
              <w:top w:val="single" w:color="000000" w:sz="4" w:space="0"/>
              <w:left w:val="single" w:color="000000" w:sz="4" w:space="0"/>
              <w:bottom w:val="single" w:color="000000" w:sz="4" w:space="0"/>
              <w:right w:val="single" w:color="000000" w:sz="4" w:space="0"/>
            </w:tcBorders>
            <w:noWrap/>
            <w:vAlign w:val="center"/>
          </w:tcPr>
          <w:p w14:paraId="70C32FD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手动手轮</w:t>
            </w:r>
          </w:p>
        </w:tc>
        <w:tc>
          <w:tcPr>
            <w:tcW w:w="1770" w:type="pct"/>
            <w:tcBorders>
              <w:top w:val="single" w:color="000000" w:sz="4" w:space="0"/>
              <w:left w:val="single" w:color="000000" w:sz="4" w:space="0"/>
              <w:bottom w:val="single" w:color="000000" w:sz="4" w:space="0"/>
              <w:right w:val="single" w:color="000000" w:sz="4" w:space="0"/>
            </w:tcBorders>
            <w:noWrap/>
            <w:vAlign w:val="center"/>
          </w:tcPr>
          <w:p w14:paraId="3E4CCF6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4EBEB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3" w:type="pct"/>
            <w:tcBorders>
              <w:top w:val="single" w:color="000000" w:sz="4" w:space="0"/>
              <w:left w:val="single" w:color="000000" w:sz="4" w:space="0"/>
              <w:bottom w:val="single" w:color="000000" w:sz="4" w:space="0"/>
              <w:right w:val="single" w:color="000000" w:sz="4" w:space="0"/>
            </w:tcBorders>
            <w:noWrap/>
            <w:vAlign w:val="center"/>
          </w:tcPr>
          <w:p w14:paraId="4E04E141">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w:t>
            </w:r>
          </w:p>
        </w:tc>
        <w:tc>
          <w:tcPr>
            <w:tcW w:w="2765" w:type="pct"/>
            <w:tcBorders>
              <w:top w:val="single" w:color="000000" w:sz="4" w:space="0"/>
              <w:left w:val="single" w:color="000000" w:sz="4" w:space="0"/>
              <w:bottom w:val="single" w:color="000000" w:sz="4" w:space="0"/>
              <w:right w:val="single" w:color="000000" w:sz="4" w:space="0"/>
            </w:tcBorders>
            <w:noWrap/>
            <w:vAlign w:val="center"/>
          </w:tcPr>
          <w:p w14:paraId="53E4D1D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样品托</w:t>
            </w:r>
          </w:p>
        </w:tc>
        <w:tc>
          <w:tcPr>
            <w:tcW w:w="1770" w:type="pct"/>
            <w:tcBorders>
              <w:top w:val="single" w:color="000000" w:sz="4" w:space="0"/>
              <w:left w:val="single" w:color="000000" w:sz="4" w:space="0"/>
              <w:bottom w:val="single" w:color="000000" w:sz="4" w:space="0"/>
              <w:right w:val="single" w:color="000000" w:sz="4" w:space="0"/>
            </w:tcBorders>
            <w:noWrap/>
            <w:vAlign w:val="center"/>
          </w:tcPr>
          <w:p w14:paraId="312A96D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r>
      <w:tr w14:paraId="6F762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3" w:type="pct"/>
            <w:tcBorders>
              <w:top w:val="single" w:color="000000" w:sz="4" w:space="0"/>
              <w:left w:val="single" w:color="000000" w:sz="4" w:space="0"/>
              <w:bottom w:val="single" w:color="000000" w:sz="4" w:space="0"/>
              <w:right w:val="single" w:color="000000" w:sz="4" w:space="0"/>
            </w:tcBorders>
            <w:noWrap/>
            <w:vAlign w:val="center"/>
          </w:tcPr>
          <w:p w14:paraId="1AE186CE">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w:t>
            </w:r>
          </w:p>
        </w:tc>
        <w:tc>
          <w:tcPr>
            <w:tcW w:w="2765" w:type="pct"/>
            <w:tcBorders>
              <w:top w:val="single" w:color="000000" w:sz="4" w:space="0"/>
              <w:left w:val="single" w:color="000000" w:sz="4" w:space="0"/>
              <w:bottom w:val="single" w:color="000000" w:sz="4" w:space="0"/>
              <w:right w:val="single" w:color="000000" w:sz="4" w:space="0"/>
            </w:tcBorders>
            <w:noWrap/>
            <w:vAlign w:val="center"/>
          </w:tcPr>
          <w:p w14:paraId="38D803E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切片废物槽</w:t>
            </w:r>
          </w:p>
        </w:tc>
        <w:tc>
          <w:tcPr>
            <w:tcW w:w="1770" w:type="pct"/>
            <w:tcBorders>
              <w:top w:val="single" w:color="000000" w:sz="4" w:space="0"/>
              <w:left w:val="single" w:color="000000" w:sz="4" w:space="0"/>
              <w:bottom w:val="single" w:color="000000" w:sz="4" w:space="0"/>
              <w:right w:val="single" w:color="000000" w:sz="4" w:space="0"/>
            </w:tcBorders>
            <w:noWrap/>
            <w:vAlign w:val="center"/>
          </w:tcPr>
          <w:p w14:paraId="2A824FF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312C8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3" w:type="pct"/>
            <w:tcBorders>
              <w:top w:val="single" w:color="000000" w:sz="4" w:space="0"/>
              <w:left w:val="single" w:color="000000" w:sz="4" w:space="0"/>
              <w:bottom w:val="single" w:color="000000" w:sz="4" w:space="0"/>
              <w:right w:val="single" w:color="000000" w:sz="4" w:space="0"/>
            </w:tcBorders>
            <w:noWrap/>
            <w:vAlign w:val="center"/>
          </w:tcPr>
          <w:p w14:paraId="064E5998">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w:t>
            </w:r>
          </w:p>
        </w:tc>
        <w:tc>
          <w:tcPr>
            <w:tcW w:w="2765" w:type="pct"/>
            <w:tcBorders>
              <w:top w:val="single" w:color="000000" w:sz="4" w:space="0"/>
              <w:left w:val="single" w:color="000000" w:sz="4" w:space="0"/>
              <w:bottom w:val="single" w:color="000000" w:sz="4" w:space="0"/>
              <w:right w:val="single" w:color="000000" w:sz="4" w:space="0"/>
            </w:tcBorders>
            <w:noWrap/>
            <w:vAlign w:val="center"/>
          </w:tcPr>
          <w:p w14:paraId="4DBA3DA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速冻架定位架</w:t>
            </w:r>
          </w:p>
        </w:tc>
        <w:tc>
          <w:tcPr>
            <w:tcW w:w="1770" w:type="pct"/>
            <w:tcBorders>
              <w:top w:val="single" w:color="000000" w:sz="4" w:space="0"/>
              <w:left w:val="single" w:color="000000" w:sz="4" w:space="0"/>
              <w:bottom w:val="single" w:color="000000" w:sz="4" w:space="0"/>
              <w:right w:val="single" w:color="000000" w:sz="4" w:space="0"/>
            </w:tcBorders>
            <w:noWrap/>
            <w:vAlign w:val="center"/>
          </w:tcPr>
          <w:p w14:paraId="3EDBAFD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416CE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3" w:type="pct"/>
            <w:tcBorders>
              <w:top w:val="single" w:color="000000" w:sz="4" w:space="0"/>
              <w:left w:val="single" w:color="000000" w:sz="4" w:space="0"/>
              <w:bottom w:val="single" w:color="000000" w:sz="4" w:space="0"/>
              <w:right w:val="single" w:color="000000" w:sz="4" w:space="0"/>
            </w:tcBorders>
            <w:noWrap/>
            <w:vAlign w:val="center"/>
          </w:tcPr>
          <w:p w14:paraId="562C794C">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w:t>
            </w:r>
          </w:p>
        </w:tc>
        <w:tc>
          <w:tcPr>
            <w:tcW w:w="2765" w:type="pct"/>
            <w:tcBorders>
              <w:top w:val="single" w:color="000000" w:sz="4" w:space="0"/>
              <w:left w:val="single" w:color="000000" w:sz="4" w:space="0"/>
              <w:bottom w:val="single" w:color="000000" w:sz="4" w:space="0"/>
              <w:right w:val="single" w:color="000000" w:sz="4" w:space="0"/>
            </w:tcBorders>
            <w:noWrap/>
            <w:vAlign w:val="center"/>
          </w:tcPr>
          <w:p w14:paraId="4FD263C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速冻架保护盖</w:t>
            </w:r>
          </w:p>
        </w:tc>
        <w:tc>
          <w:tcPr>
            <w:tcW w:w="1770" w:type="pct"/>
            <w:tcBorders>
              <w:top w:val="single" w:color="000000" w:sz="4" w:space="0"/>
              <w:left w:val="single" w:color="000000" w:sz="4" w:space="0"/>
              <w:bottom w:val="single" w:color="000000" w:sz="4" w:space="0"/>
              <w:right w:val="single" w:color="000000" w:sz="4" w:space="0"/>
            </w:tcBorders>
            <w:noWrap/>
            <w:vAlign w:val="center"/>
          </w:tcPr>
          <w:p w14:paraId="5794C22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36322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3" w:type="pct"/>
            <w:tcBorders>
              <w:top w:val="single" w:color="000000" w:sz="4" w:space="0"/>
              <w:left w:val="single" w:color="000000" w:sz="4" w:space="0"/>
              <w:bottom w:val="single" w:color="000000" w:sz="4" w:space="0"/>
              <w:right w:val="single" w:color="000000" w:sz="4" w:space="0"/>
            </w:tcBorders>
            <w:noWrap/>
            <w:vAlign w:val="center"/>
          </w:tcPr>
          <w:p w14:paraId="1E721D15">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w:t>
            </w:r>
          </w:p>
        </w:tc>
        <w:tc>
          <w:tcPr>
            <w:tcW w:w="2765" w:type="pct"/>
            <w:tcBorders>
              <w:top w:val="single" w:color="000000" w:sz="4" w:space="0"/>
              <w:left w:val="single" w:color="000000" w:sz="4" w:space="0"/>
              <w:bottom w:val="single" w:color="000000" w:sz="4" w:space="0"/>
              <w:right w:val="single" w:color="000000" w:sz="4" w:space="0"/>
            </w:tcBorders>
            <w:noWrap/>
            <w:vAlign w:val="center"/>
          </w:tcPr>
          <w:p w14:paraId="523F651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冷冻切片机机油，50 ml</w:t>
            </w:r>
          </w:p>
        </w:tc>
        <w:tc>
          <w:tcPr>
            <w:tcW w:w="1770" w:type="pct"/>
            <w:tcBorders>
              <w:top w:val="single" w:color="000000" w:sz="4" w:space="0"/>
              <w:left w:val="single" w:color="000000" w:sz="4" w:space="0"/>
              <w:bottom w:val="single" w:color="000000" w:sz="4" w:space="0"/>
              <w:right w:val="single" w:color="000000" w:sz="4" w:space="0"/>
            </w:tcBorders>
            <w:noWrap/>
            <w:vAlign w:val="center"/>
          </w:tcPr>
          <w:p w14:paraId="1BD8C02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65136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3" w:type="pct"/>
            <w:tcBorders>
              <w:top w:val="single" w:color="000000" w:sz="4" w:space="0"/>
              <w:left w:val="single" w:color="000000" w:sz="4" w:space="0"/>
              <w:bottom w:val="single" w:color="000000" w:sz="4" w:space="0"/>
              <w:right w:val="single" w:color="000000" w:sz="4" w:space="0"/>
            </w:tcBorders>
            <w:noWrap/>
            <w:vAlign w:val="center"/>
          </w:tcPr>
          <w:p w14:paraId="0896DBC3">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w:t>
            </w:r>
          </w:p>
        </w:tc>
        <w:tc>
          <w:tcPr>
            <w:tcW w:w="2765" w:type="pct"/>
            <w:tcBorders>
              <w:top w:val="single" w:color="000000" w:sz="4" w:space="0"/>
              <w:left w:val="single" w:color="000000" w:sz="4" w:space="0"/>
              <w:bottom w:val="single" w:color="000000" w:sz="4" w:space="0"/>
              <w:right w:val="single" w:color="000000" w:sz="4" w:space="0"/>
            </w:tcBorders>
            <w:noWrap/>
            <w:vAlign w:val="center"/>
          </w:tcPr>
          <w:p w14:paraId="7385707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OCT 冷冻包埋剂，125 ml</w:t>
            </w:r>
          </w:p>
        </w:tc>
        <w:tc>
          <w:tcPr>
            <w:tcW w:w="1770" w:type="pct"/>
            <w:tcBorders>
              <w:top w:val="single" w:color="000000" w:sz="4" w:space="0"/>
              <w:left w:val="single" w:color="000000" w:sz="4" w:space="0"/>
              <w:bottom w:val="single" w:color="000000" w:sz="4" w:space="0"/>
              <w:right w:val="single" w:color="000000" w:sz="4" w:space="0"/>
            </w:tcBorders>
            <w:noWrap/>
            <w:vAlign w:val="center"/>
          </w:tcPr>
          <w:p w14:paraId="197D1AC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23C32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3" w:type="pct"/>
            <w:tcBorders>
              <w:top w:val="single" w:color="000000" w:sz="4" w:space="0"/>
              <w:left w:val="single" w:color="000000" w:sz="4" w:space="0"/>
              <w:bottom w:val="single" w:color="000000" w:sz="4" w:space="0"/>
              <w:right w:val="single" w:color="000000" w:sz="4" w:space="0"/>
            </w:tcBorders>
            <w:noWrap/>
            <w:vAlign w:val="center"/>
          </w:tcPr>
          <w:p w14:paraId="69666C3E">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w:t>
            </w:r>
          </w:p>
        </w:tc>
        <w:tc>
          <w:tcPr>
            <w:tcW w:w="2765" w:type="pct"/>
            <w:tcBorders>
              <w:top w:val="single" w:color="000000" w:sz="4" w:space="0"/>
              <w:left w:val="single" w:color="000000" w:sz="4" w:space="0"/>
              <w:bottom w:val="single" w:color="000000" w:sz="4" w:space="0"/>
              <w:right w:val="single" w:color="000000" w:sz="4" w:space="0"/>
            </w:tcBorders>
            <w:noWrap/>
            <w:vAlign w:val="center"/>
          </w:tcPr>
          <w:p w14:paraId="38865D4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冷冻切片用安全手套</w:t>
            </w:r>
          </w:p>
        </w:tc>
        <w:tc>
          <w:tcPr>
            <w:tcW w:w="1770" w:type="pct"/>
            <w:tcBorders>
              <w:top w:val="single" w:color="000000" w:sz="4" w:space="0"/>
              <w:left w:val="single" w:color="000000" w:sz="4" w:space="0"/>
              <w:bottom w:val="single" w:color="000000" w:sz="4" w:space="0"/>
              <w:right w:val="single" w:color="000000" w:sz="4" w:space="0"/>
            </w:tcBorders>
            <w:noWrap/>
            <w:vAlign w:val="center"/>
          </w:tcPr>
          <w:p w14:paraId="0B63613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4A619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3" w:type="pct"/>
            <w:tcBorders>
              <w:top w:val="single" w:color="000000" w:sz="4" w:space="0"/>
              <w:left w:val="single" w:color="000000" w:sz="4" w:space="0"/>
              <w:bottom w:val="single" w:color="000000" w:sz="4" w:space="0"/>
              <w:right w:val="single" w:color="000000" w:sz="4" w:space="0"/>
            </w:tcBorders>
            <w:noWrap/>
            <w:vAlign w:val="center"/>
          </w:tcPr>
          <w:p w14:paraId="0DBE65CC">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2765" w:type="pct"/>
            <w:tcBorders>
              <w:top w:val="single" w:color="000000" w:sz="4" w:space="0"/>
              <w:left w:val="single" w:color="000000" w:sz="4" w:space="0"/>
              <w:bottom w:val="single" w:color="000000" w:sz="4" w:space="0"/>
              <w:right w:val="single" w:color="000000" w:sz="4" w:space="0"/>
            </w:tcBorders>
            <w:noWrap/>
            <w:vAlign w:val="center"/>
          </w:tcPr>
          <w:p w14:paraId="5FCDFA2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使用说明书</w:t>
            </w:r>
          </w:p>
        </w:tc>
        <w:tc>
          <w:tcPr>
            <w:tcW w:w="1770" w:type="pct"/>
            <w:tcBorders>
              <w:top w:val="single" w:color="000000" w:sz="4" w:space="0"/>
              <w:left w:val="single" w:color="000000" w:sz="4" w:space="0"/>
              <w:bottom w:val="single" w:color="000000" w:sz="4" w:space="0"/>
              <w:right w:val="single" w:color="000000" w:sz="4" w:space="0"/>
            </w:tcBorders>
            <w:noWrap/>
            <w:vAlign w:val="center"/>
          </w:tcPr>
          <w:p w14:paraId="1FEB86A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61624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3" w:type="pct"/>
            <w:tcBorders>
              <w:top w:val="single" w:color="000000" w:sz="4" w:space="0"/>
              <w:left w:val="single" w:color="000000" w:sz="4" w:space="0"/>
              <w:bottom w:val="single" w:color="000000" w:sz="4" w:space="0"/>
              <w:right w:val="single" w:color="000000" w:sz="4" w:space="0"/>
            </w:tcBorders>
            <w:noWrap/>
            <w:vAlign w:val="center"/>
          </w:tcPr>
          <w:p w14:paraId="1D44EA96">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11</w:t>
            </w:r>
          </w:p>
        </w:tc>
        <w:tc>
          <w:tcPr>
            <w:tcW w:w="2765" w:type="pct"/>
            <w:tcBorders>
              <w:top w:val="single" w:color="000000" w:sz="4" w:space="0"/>
              <w:left w:val="single" w:color="000000" w:sz="4" w:space="0"/>
              <w:bottom w:val="single" w:color="000000" w:sz="4" w:space="0"/>
              <w:right w:val="single" w:color="000000" w:sz="4" w:space="0"/>
            </w:tcBorders>
            <w:noWrap/>
            <w:vAlign w:val="center"/>
          </w:tcPr>
          <w:p w14:paraId="5965A694">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工具套件组</w:t>
            </w:r>
          </w:p>
        </w:tc>
        <w:tc>
          <w:tcPr>
            <w:tcW w:w="1770" w:type="pct"/>
            <w:tcBorders>
              <w:top w:val="single" w:color="000000" w:sz="4" w:space="0"/>
              <w:left w:val="single" w:color="000000" w:sz="4" w:space="0"/>
              <w:bottom w:val="single" w:color="000000" w:sz="4" w:space="0"/>
              <w:right w:val="single" w:color="000000" w:sz="4" w:space="0"/>
            </w:tcBorders>
            <w:noWrap/>
            <w:vAlign w:val="center"/>
          </w:tcPr>
          <w:p w14:paraId="70FF6F40">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r>
    </w:tbl>
    <w:p w14:paraId="3E06755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lang w:val="en-US" w:eastAsia="zh-CN"/>
        </w:rPr>
      </w:pPr>
    </w:p>
    <w:p w14:paraId="045527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p>
    <w:p w14:paraId="6403F71A">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（二）全自动快速组织脱水机技术参数：</w:t>
      </w:r>
    </w:p>
    <w:p w14:paraId="43A1DC63">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性能特点：</w:t>
      </w:r>
    </w:p>
    <w:p w14:paraId="55C8CA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该脱水机属病理真空脱水机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由主处理缸、试剂壶、气路、液路、集液器及废液瓶、泵等组成的全密闭的内循环系统；具有脱水标本多，自动化程度高、密封性能强、稳定可靠、环保等诸多优点，可完全替代进口设备；</w:t>
      </w:r>
    </w:p>
    <w:p w14:paraId="6C3034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大容量处理：处理量</w:t>
      </w:r>
      <w:r>
        <w:rPr>
          <w:rFonts w:hint="eastAsia" w:ascii="宋体" w:hAnsi="宋体" w:cs="宋体"/>
          <w:szCs w:val="21"/>
          <w:highlight w:val="none"/>
          <w:lang w:val="en-US" w:eastAsia="zh-Hans"/>
        </w:rPr>
        <w:t>≥</w:t>
      </w:r>
      <w:r>
        <w:rPr>
          <w:rFonts w:hint="eastAsia" w:ascii="宋体" w:hAnsi="宋体" w:eastAsia="宋体" w:cs="宋体"/>
          <w:color w:val="auto"/>
          <w:sz w:val="21"/>
          <w:szCs w:val="21"/>
          <w:highlight w:val="none"/>
          <w:lang w:val="en-US" w:eastAsia="zh-CN"/>
        </w:rPr>
        <w:t>300</w:t>
      </w:r>
      <w:r>
        <w:rPr>
          <w:rFonts w:hint="eastAsia" w:ascii="宋体" w:hAnsi="宋体" w:eastAsia="宋体" w:cs="宋体"/>
          <w:color w:val="auto"/>
          <w:sz w:val="21"/>
          <w:szCs w:val="21"/>
          <w:highlight w:val="none"/>
        </w:rPr>
        <w:t>个</w:t>
      </w:r>
      <w:r>
        <w:rPr>
          <w:rFonts w:hint="eastAsia" w:ascii="宋体" w:hAnsi="宋体" w:eastAsia="宋体" w:cs="宋体"/>
          <w:color w:val="auto"/>
          <w:sz w:val="21"/>
          <w:szCs w:val="21"/>
          <w:highlight w:val="none"/>
          <w:lang w:eastAsia="zh-CN"/>
        </w:rPr>
        <w:t>组织</w:t>
      </w:r>
      <w:r>
        <w:rPr>
          <w:rFonts w:hint="eastAsia" w:ascii="宋体" w:hAnsi="宋体" w:eastAsia="宋体" w:cs="宋体"/>
          <w:color w:val="auto"/>
          <w:sz w:val="21"/>
          <w:szCs w:val="21"/>
          <w:highlight w:val="none"/>
        </w:rPr>
        <w:t>包埋盒</w:t>
      </w:r>
      <w:r>
        <w:rPr>
          <w:rFonts w:hint="eastAsia" w:ascii="宋体" w:hAnsi="宋体" w:eastAsia="宋体" w:cs="宋体"/>
          <w:color w:val="auto"/>
          <w:sz w:val="21"/>
          <w:szCs w:val="21"/>
          <w:highlight w:val="none"/>
          <w:lang w:val="en-US" w:eastAsia="zh-CN"/>
        </w:rPr>
        <w:t xml:space="preserve"> ；</w:t>
      </w:r>
    </w:p>
    <w:p w14:paraId="2D7264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rPr>
        <w:t>★</w:t>
      </w:r>
      <w:r>
        <w:rPr>
          <w:rFonts w:hint="eastAsia" w:ascii="宋体" w:hAnsi="宋体" w:eastAsia="宋体" w:cs="宋体"/>
          <w:color w:val="auto"/>
          <w:kern w:val="2"/>
          <w:sz w:val="21"/>
          <w:szCs w:val="21"/>
          <w:highlight w:val="none"/>
          <w:lang w:val="en-US" w:eastAsia="zh-CN" w:bidi="ar-SA"/>
        </w:rPr>
        <w:t>3</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整机采用</w:t>
      </w:r>
      <w:r>
        <w:rPr>
          <w:rFonts w:hint="eastAsia" w:ascii="宋体" w:hAnsi="宋体" w:cs="宋体"/>
          <w:szCs w:val="21"/>
          <w:highlight w:val="none"/>
          <w:lang w:val="en-US" w:eastAsia="zh-Hans"/>
        </w:rPr>
        <w:t>≥</w:t>
      </w:r>
      <w:r>
        <w:rPr>
          <w:rFonts w:hint="eastAsia" w:ascii="宋体" w:hAnsi="宋体" w:eastAsia="宋体" w:cs="宋体"/>
          <w:color w:val="auto"/>
          <w:sz w:val="21"/>
          <w:szCs w:val="21"/>
          <w:highlight w:val="none"/>
          <w:lang w:val="en-US" w:eastAsia="zh-CN"/>
        </w:rPr>
        <w:t>13.3寸彩色触摸屏，</w:t>
      </w:r>
      <w:r>
        <w:rPr>
          <w:rFonts w:hint="eastAsia" w:ascii="宋体" w:hAnsi="宋体" w:eastAsia="宋体" w:cs="宋体"/>
          <w:color w:val="auto"/>
          <w:sz w:val="21"/>
          <w:szCs w:val="21"/>
          <w:highlight w:val="none"/>
        </w:rPr>
        <w:t>运行过程实时反映工作状态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操作便捷，客户 根据权限进行分级管理；</w:t>
      </w:r>
    </w:p>
    <w:p w14:paraId="061159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4</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脱水缸内设有</w:t>
      </w:r>
      <w:r>
        <w:rPr>
          <w:rFonts w:hint="eastAsia" w:ascii="宋体" w:hAnsi="宋体" w:cs="宋体"/>
          <w:szCs w:val="21"/>
          <w:highlight w:val="none"/>
          <w:lang w:val="en-US" w:eastAsia="zh-Hans"/>
        </w:rPr>
        <w:t>≥</w:t>
      </w:r>
      <w:r>
        <w:rPr>
          <w:rFonts w:hint="eastAsia" w:ascii="宋体" w:hAnsi="宋体" w:eastAsia="宋体" w:cs="宋体"/>
          <w:color w:val="auto"/>
          <w:sz w:val="21"/>
          <w:szCs w:val="21"/>
          <w:highlight w:val="none"/>
          <w:lang w:val="en-US" w:eastAsia="zh-CN"/>
        </w:rPr>
        <w:t>3个液位传感器，能够精准判断，保证组织标本充分浸泡同时并防溢流感应装置，</w:t>
      </w:r>
    </w:p>
    <w:p w14:paraId="771F05B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5</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脱水过程中提供</w:t>
      </w:r>
      <w:r>
        <w:rPr>
          <w:rFonts w:hint="eastAsia" w:ascii="宋体" w:hAnsi="宋体" w:cs="宋体"/>
          <w:color w:val="auto"/>
          <w:sz w:val="21"/>
          <w:szCs w:val="21"/>
          <w:highlight w:val="none"/>
          <w:lang w:val="en-US" w:eastAsia="zh-Hans"/>
        </w:rPr>
        <w:t>不少于</w:t>
      </w:r>
      <w:r>
        <w:rPr>
          <w:rFonts w:hint="eastAsia" w:ascii="宋体" w:hAnsi="宋体" w:eastAsia="宋体" w:cs="宋体"/>
          <w:color w:val="auto"/>
          <w:sz w:val="21"/>
          <w:szCs w:val="21"/>
          <w:highlight w:val="none"/>
          <w:lang w:val="en-US" w:eastAsia="zh-CN"/>
        </w:rPr>
        <w:t>三种搅拌方式：正压搅拌，负压搅拌，磁力搅拌；</w:t>
      </w:r>
    </w:p>
    <w:p w14:paraId="247D6C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6</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陶瓷材料转阀：试剂兼容性好，避免阀孔堵塞风险，使用寿命长；</w:t>
      </w:r>
    </w:p>
    <w:p w14:paraId="3809AE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7</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延时启动功能，适用于节假日，</w:t>
      </w:r>
      <w:r>
        <w:rPr>
          <w:rFonts w:hint="eastAsia" w:ascii="宋体" w:hAnsi="宋体" w:eastAsia="宋体" w:cs="宋体"/>
          <w:color w:val="auto"/>
          <w:sz w:val="21"/>
          <w:szCs w:val="21"/>
          <w:highlight w:val="none"/>
        </w:rPr>
        <w:t>其延时开机功能可以与任一个程序组合，极大地方便用户的选择、操作与使用；</w:t>
      </w:r>
    </w:p>
    <w:p w14:paraId="7CA45887">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机器</w:t>
      </w:r>
      <w:r>
        <w:rPr>
          <w:rFonts w:hint="eastAsia" w:ascii="宋体" w:hAnsi="宋体" w:eastAsia="宋体" w:cs="宋体"/>
          <w:color w:val="auto"/>
          <w:sz w:val="21"/>
          <w:szCs w:val="21"/>
          <w:highlight w:val="none"/>
          <w:lang w:eastAsia="zh-CN"/>
        </w:rPr>
        <w:t>内</w:t>
      </w:r>
      <w:r>
        <w:rPr>
          <w:rFonts w:hint="eastAsia" w:ascii="宋体" w:hAnsi="宋体" w:eastAsia="宋体" w:cs="宋体"/>
          <w:color w:val="auto"/>
          <w:sz w:val="21"/>
          <w:szCs w:val="21"/>
          <w:highlight w:val="none"/>
        </w:rPr>
        <w:t>部</w:t>
      </w:r>
      <w:r>
        <w:rPr>
          <w:rFonts w:hint="eastAsia" w:ascii="宋体" w:hAnsi="宋体" w:eastAsia="宋体" w:cs="宋体"/>
          <w:color w:val="auto"/>
          <w:sz w:val="21"/>
          <w:szCs w:val="21"/>
          <w:highlight w:val="none"/>
          <w:lang w:eastAsia="zh-CN"/>
        </w:rPr>
        <w:t>设有自动</w:t>
      </w:r>
      <w:r>
        <w:rPr>
          <w:rFonts w:hint="eastAsia" w:ascii="宋体" w:hAnsi="宋体" w:eastAsia="宋体" w:cs="宋体"/>
          <w:color w:val="auto"/>
          <w:sz w:val="21"/>
          <w:szCs w:val="21"/>
          <w:highlight w:val="none"/>
        </w:rPr>
        <w:t>停电</w:t>
      </w:r>
      <w:r>
        <w:rPr>
          <w:rFonts w:hint="eastAsia" w:ascii="宋体" w:hAnsi="宋体" w:eastAsia="宋体" w:cs="宋体"/>
          <w:color w:val="auto"/>
          <w:sz w:val="21"/>
          <w:szCs w:val="21"/>
          <w:highlight w:val="none"/>
          <w:lang w:eastAsia="zh-CN"/>
        </w:rPr>
        <w:t>切换</w:t>
      </w:r>
      <w:r>
        <w:rPr>
          <w:rFonts w:hint="eastAsia" w:ascii="宋体" w:hAnsi="宋体" w:eastAsia="宋体" w:cs="宋体"/>
          <w:color w:val="auto"/>
          <w:sz w:val="21"/>
          <w:szCs w:val="21"/>
          <w:highlight w:val="none"/>
        </w:rPr>
        <w:t>供电</w:t>
      </w:r>
      <w:r>
        <w:rPr>
          <w:rFonts w:hint="eastAsia" w:ascii="宋体" w:hAnsi="宋体" w:eastAsia="宋体" w:cs="宋体"/>
          <w:color w:val="auto"/>
          <w:sz w:val="21"/>
          <w:szCs w:val="21"/>
          <w:highlight w:val="none"/>
          <w:lang w:eastAsia="zh-CN"/>
        </w:rPr>
        <w:t>装置可进行</w:t>
      </w:r>
      <w:r>
        <w:rPr>
          <w:rFonts w:hint="eastAsia" w:ascii="宋体" w:hAnsi="宋体" w:eastAsia="宋体" w:cs="宋体"/>
          <w:color w:val="auto"/>
          <w:sz w:val="21"/>
          <w:szCs w:val="21"/>
          <w:highlight w:val="none"/>
          <w:lang w:val="en-US" w:eastAsia="zh-CN"/>
        </w:rPr>
        <w:t>自动切换</w:t>
      </w:r>
      <w:r>
        <w:rPr>
          <w:rFonts w:hint="eastAsia" w:ascii="宋体" w:hAnsi="宋体" w:eastAsia="宋体" w:cs="宋体"/>
          <w:color w:val="auto"/>
          <w:sz w:val="21"/>
          <w:szCs w:val="21"/>
          <w:highlight w:val="none"/>
        </w:rPr>
        <w:t>；</w:t>
      </w:r>
    </w:p>
    <w:p w14:paraId="6E035E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缸盖采用电子锁开关设计，减少手动锁的磨损，便捷安全；</w:t>
      </w:r>
    </w:p>
    <w:p w14:paraId="37936D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试剂质量智能管理系统：对包埋盒数量，试剂脱水次数，试剂使用天数等参数监控，记录可追溯，实时监控设备运行，并进行数据统计分析；</w:t>
      </w:r>
    </w:p>
    <w:p w14:paraId="4FCCBE56">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新型流体控制，有效减少杂质的粘连，双气泵双重压力保障，多温控系统确保温控效果正常运行，试剂轮换智能识别减少人工；</w:t>
      </w:r>
    </w:p>
    <w:p w14:paraId="3EECB310">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程序中每个步骤都可单独控温，根据用户需求在不同环境中使脱水效果达到最佳，4个蜡箱可单独精准控温，设备配有漏电保护和过载保护，安全可靠；</w:t>
      </w:r>
    </w:p>
    <w:p w14:paraId="2A7371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多重安全保护功能：内设置2感应多重保险，工作时超温检测，工作缸盖未锁紧自动报警功能；</w:t>
      </w:r>
    </w:p>
    <w:p w14:paraId="162011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台面与缸盖采用特殊材料设计，不易粘带试剂和石蜡，易清洁维护，并具有良好的隔热效果，同时增加密闭性；</w:t>
      </w:r>
    </w:p>
    <w:p w14:paraId="416D68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r>
        <w:rPr>
          <w:rFonts w:hint="eastAsia" w:ascii="宋体" w:hAnsi="宋体" w:cs="宋体"/>
          <w:color w:val="auto"/>
          <w:sz w:val="21"/>
          <w:szCs w:val="21"/>
          <w:highlight w:val="none"/>
          <w:lang w:val="en-US" w:eastAsia="zh-CN"/>
        </w:rPr>
        <w:t>.具体</w:t>
      </w:r>
      <w:r>
        <w:rPr>
          <w:rFonts w:hint="eastAsia" w:ascii="宋体" w:hAnsi="宋体" w:eastAsia="宋体" w:cs="宋体"/>
          <w:color w:val="auto"/>
          <w:sz w:val="21"/>
          <w:szCs w:val="21"/>
          <w:highlight w:val="none"/>
          <w:lang w:val="en-US" w:eastAsia="zh-CN"/>
        </w:rPr>
        <w:t>灯光预警</w:t>
      </w:r>
      <w:r>
        <w:rPr>
          <w:rFonts w:hint="eastAsia" w:ascii="宋体" w:hAnsi="宋体" w:cs="宋体"/>
          <w:color w:val="auto"/>
          <w:sz w:val="21"/>
          <w:szCs w:val="21"/>
          <w:highlight w:val="none"/>
          <w:lang w:val="en-US" w:eastAsia="zh-CN"/>
        </w:rPr>
        <w:t>功能</w:t>
      </w:r>
      <w:r>
        <w:rPr>
          <w:rFonts w:hint="eastAsia" w:ascii="宋体" w:hAnsi="宋体" w:eastAsia="宋体" w:cs="宋体"/>
          <w:color w:val="auto"/>
          <w:sz w:val="21"/>
          <w:szCs w:val="21"/>
          <w:highlight w:val="none"/>
          <w:lang w:val="en-US" w:eastAsia="zh-CN"/>
        </w:rPr>
        <w:t>；</w:t>
      </w:r>
    </w:p>
    <w:p w14:paraId="6F2D910C">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w:t>
      </w:r>
      <w:r>
        <w:rPr>
          <w:rFonts w:hint="eastAsia" w:ascii="宋体" w:hAnsi="宋体" w:cs="宋体"/>
          <w:color w:val="auto"/>
          <w:sz w:val="21"/>
          <w:szCs w:val="21"/>
          <w:highlight w:val="none"/>
          <w:lang w:val="en-US" w:eastAsia="zh-CN"/>
        </w:rPr>
        <w:t>.具有</w:t>
      </w:r>
      <w:r>
        <w:rPr>
          <w:rFonts w:hint="eastAsia" w:ascii="宋体" w:hAnsi="宋体" w:eastAsia="宋体" w:cs="宋体"/>
          <w:color w:val="auto"/>
          <w:sz w:val="21"/>
          <w:szCs w:val="21"/>
          <w:highlight w:val="none"/>
          <w:lang w:val="en-US" w:eastAsia="zh-CN"/>
        </w:rPr>
        <w:t>背光</w:t>
      </w:r>
      <w:r>
        <w:rPr>
          <w:rFonts w:hint="eastAsia" w:ascii="宋体" w:hAnsi="宋体" w:cs="宋体"/>
          <w:color w:val="auto"/>
          <w:sz w:val="21"/>
          <w:szCs w:val="21"/>
          <w:highlight w:val="none"/>
          <w:lang w:val="en-US" w:eastAsia="zh-CN"/>
        </w:rPr>
        <w:t>提醒</w:t>
      </w:r>
      <w:r>
        <w:rPr>
          <w:rFonts w:hint="eastAsia" w:ascii="宋体" w:hAnsi="宋体" w:eastAsia="宋体" w:cs="宋体"/>
          <w:color w:val="auto"/>
          <w:sz w:val="21"/>
          <w:szCs w:val="21"/>
          <w:highlight w:val="none"/>
          <w:lang w:val="en-US" w:eastAsia="zh-CN"/>
        </w:rPr>
        <w:t>系统；</w:t>
      </w:r>
    </w:p>
    <w:p w14:paraId="7FCFB8F5">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石蜡自动补液、石蜡自动轮换及补充功能，确保石蜡完全浸泡样本；</w:t>
      </w:r>
    </w:p>
    <w:p w14:paraId="4B9CF58B">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关键部件监控、实时掌握各部件的性能状态；</w:t>
      </w:r>
    </w:p>
    <w:p w14:paraId="1C84CC97">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自动进行二次排液，清洗更加干净安全，增加清洗试剂使用寿命，节约试剂；19、屏幕清洗，避免清洗时误操作的发生；</w:t>
      </w:r>
    </w:p>
    <w:p w14:paraId="7EFDD69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环保安全：组织处理系统呈封闭状态、互相独立的液体和气体通路，封闭的系统和</w:t>
      </w:r>
      <w:r>
        <w:rPr>
          <w:rFonts w:hint="eastAsia" w:ascii="宋体" w:hAnsi="宋体" w:eastAsia="宋体" w:cs="宋体"/>
          <w:color w:val="auto"/>
          <w:sz w:val="21"/>
          <w:szCs w:val="21"/>
          <w:highlight w:val="none"/>
          <w:lang w:eastAsia="zh-CN"/>
        </w:rPr>
        <w:t>空气净化系统过滤器可以让使用者免受有害气体污染。</w:t>
      </w:r>
    </w:p>
    <w:p w14:paraId="2C60D5C9">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辅助功能多：收集盘能方便收集到溢出的</w:t>
      </w:r>
      <w:r>
        <w:rPr>
          <w:rFonts w:hint="eastAsia" w:ascii="宋体" w:hAnsi="宋体" w:eastAsia="宋体" w:cs="宋体"/>
          <w:color w:val="auto"/>
          <w:sz w:val="21"/>
          <w:szCs w:val="21"/>
          <w:highlight w:val="none"/>
          <w:lang w:eastAsia="zh-CN"/>
        </w:rPr>
        <w:t>石蜡。</w:t>
      </w:r>
    </w:p>
    <w:p w14:paraId="5105C336">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lang w:val="en-US" w:eastAsia="zh-CN"/>
        </w:rPr>
        <w:t>22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双气压（负气压、正气压）</w:t>
      </w:r>
    </w:p>
    <w:p w14:paraId="6A9FEAD7">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双循环（双气路控制）</w:t>
      </w:r>
    </w:p>
    <w:p w14:paraId="6255ADF1">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b/>
          <w:bCs/>
          <w:color w:val="auto"/>
          <w:sz w:val="21"/>
          <w:szCs w:val="21"/>
          <w:highlight w:val="none"/>
          <w:lang w:eastAsia="zh-CN"/>
        </w:rPr>
      </w:pPr>
      <w:r>
        <w:rPr>
          <w:rFonts w:ascii="宋体" w:hAnsi="宋体" w:eastAsia="宋体" w:cs="宋体"/>
          <w:sz w:val="24"/>
          <w:szCs w:val="24"/>
          <w:highlight w:val="none"/>
        </w:rPr>
        <w:t>支持多国语言切换</w:t>
      </w:r>
      <w:r>
        <w:rPr>
          <w:rFonts w:hint="eastAsia" w:ascii="宋体" w:hAnsi="宋体" w:cs="宋体"/>
          <w:sz w:val="24"/>
          <w:szCs w:val="24"/>
          <w:highlight w:val="none"/>
          <w:lang w:eastAsia="zh-CN"/>
        </w:rPr>
        <w:t>。</w:t>
      </w:r>
    </w:p>
    <w:p w14:paraId="5C8AE1E0">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技术参数：</w:t>
      </w:r>
    </w:p>
    <w:p w14:paraId="0D9329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highlight w:val="none"/>
          <w:lang w:val="en-US" w:eastAsia="zh-CN" w:bidi="ar-SA"/>
        </w:rPr>
        <w:t>1.</w:t>
      </w:r>
      <w:r>
        <w:rPr>
          <w:rFonts w:hint="eastAsia" w:ascii="宋体" w:hAnsi="宋体" w:eastAsia="宋体" w:cs="宋体"/>
          <w:color w:val="auto"/>
          <w:sz w:val="21"/>
          <w:szCs w:val="21"/>
          <w:highlight w:val="none"/>
        </w:rPr>
        <w:t>脱水缸最大容积:</w:t>
      </w:r>
      <w:r>
        <w:rPr>
          <w:rFonts w:hint="eastAsia" w:ascii="宋体" w:hAnsi="宋体" w:eastAsia="宋体" w:cs="宋体"/>
          <w:color w:val="auto"/>
          <w:sz w:val="21"/>
          <w:szCs w:val="21"/>
          <w:highlight w:val="none"/>
          <w:lang w:val="en-US" w:eastAsia="zh-CN"/>
        </w:rPr>
        <w:t>4.8</w:t>
      </w:r>
      <w:r>
        <w:rPr>
          <w:rFonts w:hint="eastAsia" w:ascii="宋体" w:hAnsi="宋体" w:eastAsia="宋体" w:cs="宋体"/>
          <w:color w:val="auto"/>
          <w:sz w:val="21"/>
          <w:szCs w:val="21"/>
          <w:highlight w:val="none"/>
        </w:rPr>
        <w:t>升</w:t>
      </w:r>
    </w:p>
    <w:p w14:paraId="29B810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highlight w:val="none"/>
          <w:lang w:val="en-US" w:eastAsia="zh-CN" w:bidi="ar-SA"/>
        </w:rPr>
        <w:t>2.</w:t>
      </w:r>
      <w:r>
        <w:rPr>
          <w:rFonts w:hint="eastAsia" w:ascii="宋体" w:hAnsi="宋体" w:eastAsia="宋体" w:cs="宋体"/>
          <w:color w:val="auto"/>
          <w:sz w:val="21"/>
          <w:szCs w:val="21"/>
          <w:highlight w:val="none"/>
        </w:rPr>
        <w:t>标本</w:t>
      </w:r>
      <w:r>
        <w:rPr>
          <w:rFonts w:hint="eastAsia" w:ascii="宋体" w:hAnsi="宋体" w:eastAsia="宋体" w:cs="宋体"/>
          <w:color w:val="auto"/>
          <w:sz w:val="21"/>
          <w:szCs w:val="21"/>
          <w:highlight w:val="none"/>
          <w:lang w:eastAsia="zh-CN"/>
        </w:rPr>
        <w:t>篮</w:t>
      </w:r>
      <w:r>
        <w:rPr>
          <w:rFonts w:hint="eastAsia" w:ascii="宋体" w:hAnsi="宋体" w:eastAsia="宋体" w:cs="宋体"/>
          <w:color w:val="auto"/>
          <w:sz w:val="21"/>
          <w:szCs w:val="21"/>
          <w:highlight w:val="none"/>
        </w:rPr>
        <w:t>:2层,可单独分层使用</w:t>
      </w:r>
    </w:p>
    <w:p w14:paraId="1BA0E7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sz w:val="21"/>
          <w:szCs w:val="21"/>
          <w:highlight w:val="none"/>
        </w:rPr>
        <w:t>石蜡缸缸数:</w:t>
      </w:r>
      <w:r>
        <w:rPr>
          <w:rFonts w:hint="eastAsia" w:ascii="宋体" w:hAnsi="宋体" w:cs="宋体"/>
          <w:szCs w:val="21"/>
          <w:highlight w:val="none"/>
          <w:lang w:val="en-US" w:eastAsia="zh-Hans"/>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个</w:t>
      </w:r>
    </w:p>
    <w:p w14:paraId="378091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highlight w:val="none"/>
          <w:lang w:val="en-US" w:eastAsia="zh-CN" w:bidi="ar-SA"/>
        </w:rPr>
        <w:t>4.</w:t>
      </w:r>
      <w:r>
        <w:rPr>
          <w:rFonts w:hint="eastAsia" w:ascii="宋体" w:hAnsi="宋体" w:eastAsia="宋体" w:cs="宋体"/>
          <w:color w:val="auto"/>
          <w:sz w:val="21"/>
          <w:szCs w:val="21"/>
          <w:highlight w:val="none"/>
        </w:rPr>
        <w:t>石蜡缸容积(升):</w:t>
      </w:r>
      <w:r>
        <w:rPr>
          <w:rFonts w:hint="eastAsia" w:ascii="宋体" w:hAnsi="宋体" w:eastAsia="宋体" w:cs="宋体"/>
          <w:color w:val="auto"/>
          <w:sz w:val="21"/>
          <w:szCs w:val="21"/>
          <w:highlight w:val="none"/>
          <w:lang w:eastAsia="zh-CN"/>
        </w:rPr>
        <w:t>其中</w:t>
      </w:r>
      <w:r>
        <w:rPr>
          <w:rFonts w:hint="eastAsia" w:ascii="宋体" w:hAnsi="宋体" w:cs="宋体"/>
          <w:szCs w:val="21"/>
          <w:highlight w:val="none"/>
          <w:lang w:val="en-US" w:eastAsia="zh-Hans"/>
        </w:rPr>
        <w:t>≥</w:t>
      </w:r>
      <w:r>
        <w:rPr>
          <w:rFonts w:hint="eastAsia" w:ascii="宋体" w:hAnsi="宋体" w:eastAsia="宋体" w:cs="宋体"/>
          <w:color w:val="auto"/>
          <w:sz w:val="21"/>
          <w:szCs w:val="21"/>
          <w:highlight w:val="none"/>
          <w:lang w:val="en-US" w:eastAsia="zh-CN"/>
        </w:rPr>
        <w:t>3个容积</w:t>
      </w:r>
      <w:r>
        <w:rPr>
          <w:rFonts w:hint="eastAsia" w:ascii="宋体" w:hAnsi="宋体" w:cs="宋体"/>
          <w:szCs w:val="21"/>
          <w:highlight w:val="none"/>
          <w:lang w:val="en-US" w:eastAsia="zh-Hans"/>
        </w:rPr>
        <w:t>≥</w:t>
      </w:r>
      <w:r>
        <w:rPr>
          <w:rFonts w:hint="eastAsia" w:ascii="宋体" w:hAnsi="宋体" w:eastAsia="宋体" w:cs="宋体"/>
          <w:color w:val="auto"/>
          <w:sz w:val="21"/>
          <w:szCs w:val="21"/>
          <w:highlight w:val="none"/>
          <w:lang w:val="en-US" w:eastAsia="zh-CN"/>
        </w:rPr>
        <w:t>4.2升、</w:t>
      </w:r>
      <w:r>
        <w:rPr>
          <w:rFonts w:hint="eastAsia" w:ascii="宋体" w:hAnsi="宋体" w:cs="宋体"/>
          <w:szCs w:val="21"/>
          <w:highlight w:val="none"/>
          <w:lang w:val="en-US" w:eastAsia="zh-Hans"/>
        </w:rPr>
        <w:t>≥</w:t>
      </w:r>
      <w:r>
        <w:rPr>
          <w:rFonts w:hint="eastAsia" w:ascii="宋体" w:hAnsi="宋体" w:eastAsia="宋体" w:cs="宋体"/>
          <w:color w:val="auto"/>
          <w:sz w:val="21"/>
          <w:szCs w:val="21"/>
          <w:highlight w:val="none"/>
          <w:lang w:val="en-US" w:eastAsia="zh-CN"/>
        </w:rPr>
        <w:t>1个容积</w:t>
      </w:r>
      <w:r>
        <w:rPr>
          <w:rFonts w:hint="eastAsia" w:ascii="宋体" w:hAnsi="宋体" w:cs="宋体"/>
          <w:szCs w:val="21"/>
          <w:highlight w:val="none"/>
          <w:lang w:val="en-US" w:eastAsia="zh-Hans"/>
        </w:rPr>
        <w:t>≥</w:t>
      </w:r>
      <w:r>
        <w:rPr>
          <w:rFonts w:hint="eastAsia" w:ascii="宋体" w:hAnsi="宋体" w:eastAsia="宋体" w:cs="宋体"/>
          <w:color w:val="auto"/>
          <w:sz w:val="21"/>
          <w:szCs w:val="21"/>
          <w:highlight w:val="none"/>
          <w:lang w:val="en-US" w:eastAsia="zh-CN"/>
        </w:rPr>
        <w:t>5.6升</w:t>
      </w:r>
    </w:p>
    <w:p w14:paraId="5C3B09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highlight w:val="none"/>
          <w:lang w:val="en-US" w:eastAsia="zh-CN" w:bidi="ar-SA"/>
        </w:rPr>
        <w:t>5.</w:t>
      </w:r>
      <w:r>
        <w:rPr>
          <w:rFonts w:hint="eastAsia" w:ascii="宋体" w:hAnsi="宋体" w:eastAsia="宋体" w:cs="宋体"/>
          <w:color w:val="auto"/>
          <w:sz w:val="21"/>
          <w:szCs w:val="21"/>
          <w:highlight w:val="none"/>
        </w:rPr>
        <w:t>蜡缸温度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55~85℃</w:t>
      </w:r>
      <w:r>
        <w:rPr>
          <w:rFonts w:hint="eastAsia" w:ascii="宋体" w:hAnsi="宋体" w:eastAsia="宋体" w:cs="宋体"/>
          <w:color w:val="auto"/>
          <w:sz w:val="21"/>
          <w:szCs w:val="21"/>
          <w:highlight w:val="none"/>
          <w:lang w:eastAsia="zh-CN"/>
        </w:rPr>
        <w:t>可调</w:t>
      </w:r>
    </w:p>
    <w:p w14:paraId="46575E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highlight w:val="none"/>
          <w:lang w:val="en-US" w:eastAsia="zh-CN" w:bidi="ar-SA"/>
        </w:rPr>
        <w:t>6.</w:t>
      </w:r>
      <w:r>
        <w:rPr>
          <w:rFonts w:hint="eastAsia" w:ascii="宋体" w:hAnsi="宋体" w:eastAsia="宋体" w:cs="宋体"/>
          <w:color w:val="auto"/>
          <w:sz w:val="21"/>
          <w:szCs w:val="21"/>
          <w:highlight w:val="none"/>
        </w:rPr>
        <w:t>脱水缸标本:最多</w:t>
      </w:r>
      <w:r>
        <w:rPr>
          <w:rFonts w:hint="eastAsia" w:ascii="宋体" w:hAnsi="宋体" w:eastAsia="宋体" w:cs="宋体"/>
          <w:color w:val="auto"/>
          <w:sz w:val="21"/>
          <w:szCs w:val="21"/>
          <w:highlight w:val="none"/>
          <w:lang w:val="en-US" w:eastAsia="zh-CN"/>
        </w:rPr>
        <w:t>300</w:t>
      </w:r>
      <w:r>
        <w:rPr>
          <w:rFonts w:hint="eastAsia" w:ascii="宋体" w:hAnsi="宋体" w:eastAsia="宋体" w:cs="宋体"/>
          <w:color w:val="auto"/>
          <w:sz w:val="21"/>
          <w:szCs w:val="21"/>
          <w:highlight w:val="none"/>
        </w:rPr>
        <w:t>个包埋盒</w:t>
      </w:r>
    </w:p>
    <w:p w14:paraId="456C7C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highlight w:val="none"/>
          <w:lang w:val="en-US" w:eastAsia="zh-CN" w:bidi="ar-SA"/>
        </w:rPr>
        <w:t>7.</w:t>
      </w:r>
      <w:r>
        <w:rPr>
          <w:rFonts w:hint="eastAsia" w:ascii="宋体" w:hAnsi="宋体" w:eastAsia="宋体" w:cs="宋体"/>
          <w:color w:val="auto"/>
          <w:sz w:val="21"/>
          <w:szCs w:val="21"/>
          <w:highlight w:val="none"/>
        </w:rPr>
        <w:t>试剂容积(升):</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升</w:t>
      </w:r>
    </w:p>
    <w:p w14:paraId="0EADB3C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highlight w:val="none"/>
          <w:lang w:val="en-US" w:eastAsia="zh-CN" w:bidi="ar-SA"/>
        </w:rPr>
        <w:t>8.</w:t>
      </w:r>
      <w:r>
        <w:rPr>
          <w:rFonts w:hint="eastAsia" w:ascii="宋体" w:hAnsi="宋体" w:eastAsia="宋体" w:cs="宋体"/>
          <w:color w:val="auto"/>
          <w:sz w:val="21"/>
          <w:szCs w:val="21"/>
          <w:highlight w:val="none"/>
        </w:rPr>
        <w:t>脱水缸温度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0~85℃</w:t>
      </w:r>
      <w:r>
        <w:rPr>
          <w:rFonts w:hint="eastAsia" w:ascii="宋体" w:hAnsi="宋体" w:eastAsia="宋体" w:cs="宋体"/>
          <w:color w:val="auto"/>
          <w:sz w:val="21"/>
          <w:szCs w:val="21"/>
          <w:highlight w:val="none"/>
          <w:lang w:eastAsia="zh-CN"/>
        </w:rPr>
        <w:t>可调</w:t>
      </w:r>
    </w:p>
    <w:p w14:paraId="2166A0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highlight w:val="none"/>
          <w:lang w:val="en-US" w:eastAsia="zh-CN" w:bidi="ar-SA"/>
        </w:rPr>
        <w:t>9.</w:t>
      </w:r>
      <w:r>
        <w:rPr>
          <w:rFonts w:hint="eastAsia" w:ascii="宋体" w:hAnsi="宋体" w:eastAsia="宋体" w:cs="宋体"/>
          <w:color w:val="auto"/>
          <w:sz w:val="21"/>
          <w:szCs w:val="21"/>
          <w:highlight w:val="none"/>
        </w:rPr>
        <w:t>温度(处理试剂):环境温度到</w:t>
      </w:r>
      <w:r>
        <w:rPr>
          <w:rFonts w:hint="eastAsia" w:ascii="宋体" w:hAnsi="宋体" w:eastAsia="宋体" w:cs="宋体"/>
          <w:color w:val="auto"/>
          <w:sz w:val="21"/>
          <w:szCs w:val="21"/>
          <w:highlight w:val="none"/>
          <w:lang w:val="en-US" w:eastAsia="zh-CN"/>
        </w:rPr>
        <w:t>65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可调</w:t>
      </w:r>
    </w:p>
    <w:p w14:paraId="5407C0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highlight w:val="none"/>
          <w:lang w:val="en-US" w:eastAsia="zh-CN" w:bidi="ar-SA"/>
        </w:rPr>
        <w:t>10.</w:t>
      </w:r>
      <w:r>
        <w:rPr>
          <w:rFonts w:hint="eastAsia" w:ascii="宋体" w:hAnsi="宋体" w:eastAsia="宋体" w:cs="宋体"/>
          <w:color w:val="auto"/>
          <w:sz w:val="21"/>
          <w:szCs w:val="21"/>
          <w:highlight w:val="none"/>
        </w:rPr>
        <w:t>温度(石蜡试剂):55~85℃</w:t>
      </w:r>
    </w:p>
    <w:p w14:paraId="21D932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highlight w:val="none"/>
          <w:lang w:val="en-US" w:eastAsia="zh-CN" w:bidi="ar-SA"/>
        </w:rPr>
        <w:t>11.</w:t>
      </w:r>
      <w:r>
        <w:rPr>
          <w:rFonts w:hint="eastAsia" w:ascii="宋体" w:hAnsi="宋体" w:eastAsia="宋体" w:cs="宋体"/>
          <w:color w:val="auto"/>
          <w:sz w:val="21"/>
          <w:szCs w:val="21"/>
          <w:highlight w:val="none"/>
        </w:rPr>
        <w:t>加注时间:约90~180秒</w:t>
      </w:r>
    </w:p>
    <w:p w14:paraId="548136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highlight w:val="none"/>
          <w:lang w:val="en-US" w:eastAsia="zh-CN" w:bidi="ar-SA"/>
        </w:rPr>
        <w:t>12.</w:t>
      </w:r>
      <w:r>
        <w:rPr>
          <w:rFonts w:hint="eastAsia" w:ascii="宋体" w:hAnsi="宋体" w:eastAsia="宋体" w:cs="宋体"/>
          <w:color w:val="auto"/>
          <w:sz w:val="21"/>
          <w:szCs w:val="21"/>
          <w:highlight w:val="none"/>
        </w:rPr>
        <w:t>排放时间:约80~</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0秒</w:t>
      </w:r>
    </w:p>
    <w:p w14:paraId="3E5372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highlight w:val="none"/>
          <w:lang w:val="en-US" w:eastAsia="zh-CN" w:bidi="ar-SA"/>
        </w:rPr>
        <w:t>13.</w:t>
      </w:r>
      <w:r>
        <w:rPr>
          <w:rFonts w:hint="eastAsia" w:ascii="宋体" w:hAnsi="宋体" w:eastAsia="宋体" w:cs="宋体"/>
          <w:color w:val="auto"/>
          <w:sz w:val="21"/>
          <w:szCs w:val="21"/>
          <w:highlight w:val="none"/>
        </w:rPr>
        <w:t>浸渍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加注真空:</w:t>
      </w:r>
      <w:r>
        <w:rPr>
          <w:rFonts w:hint="eastAsia" w:ascii="宋体" w:hAnsi="宋体" w:eastAsia="宋体" w:cs="宋体"/>
          <w:color w:val="auto"/>
          <w:sz w:val="21"/>
          <w:szCs w:val="21"/>
          <w:highlight w:val="none"/>
          <w:lang w:val="en-US" w:eastAsia="zh-CN"/>
        </w:rPr>
        <w:t>0~ -6</w:t>
      </w:r>
      <w:r>
        <w:rPr>
          <w:rFonts w:hint="eastAsia" w:ascii="宋体" w:hAnsi="宋体" w:eastAsia="宋体" w:cs="宋体"/>
          <w:color w:val="auto"/>
          <w:sz w:val="21"/>
          <w:szCs w:val="21"/>
          <w:highlight w:val="none"/>
        </w:rPr>
        <w:t>0kPa(g)</w:t>
      </w:r>
      <w:r>
        <w:rPr>
          <w:rFonts w:hint="eastAsia" w:ascii="宋体" w:hAnsi="宋体" w:eastAsia="宋体" w:cs="宋体"/>
          <w:color w:val="auto"/>
          <w:sz w:val="21"/>
          <w:szCs w:val="21"/>
          <w:highlight w:val="none"/>
          <w:lang w:eastAsia="zh-CN"/>
        </w:rPr>
        <w:t>可调</w:t>
      </w:r>
    </w:p>
    <w:p w14:paraId="29AA063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highlight w:val="none"/>
          <w:lang w:val="en-US" w:eastAsia="zh-CN" w:bidi="ar-SA"/>
        </w:rPr>
        <w:t>14.</w:t>
      </w:r>
      <w:r>
        <w:rPr>
          <w:rFonts w:hint="eastAsia" w:ascii="宋体" w:hAnsi="宋体" w:eastAsia="宋体" w:cs="宋体"/>
          <w:color w:val="auto"/>
          <w:sz w:val="21"/>
          <w:szCs w:val="21"/>
          <w:highlight w:val="none"/>
        </w:rPr>
        <w:t>浸渍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排放压力:</w:t>
      </w:r>
      <w:r>
        <w:rPr>
          <w:rFonts w:hint="eastAsia" w:ascii="宋体" w:hAnsi="宋体" w:eastAsia="宋体" w:cs="宋体"/>
          <w:color w:val="auto"/>
          <w:sz w:val="21"/>
          <w:szCs w:val="21"/>
          <w:highlight w:val="none"/>
          <w:lang w:val="en-US" w:eastAsia="zh-CN"/>
        </w:rPr>
        <w:t>0~ 60</w:t>
      </w:r>
      <w:r>
        <w:rPr>
          <w:rFonts w:hint="eastAsia" w:ascii="宋体" w:hAnsi="宋体" w:eastAsia="宋体" w:cs="宋体"/>
          <w:color w:val="auto"/>
          <w:sz w:val="21"/>
          <w:szCs w:val="21"/>
          <w:highlight w:val="none"/>
        </w:rPr>
        <w:t>kPa(g)</w:t>
      </w:r>
      <w:r>
        <w:rPr>
          <w:rFonts w:hint="eastAsia" w:ascii="宋体" w:hAnsi="宋体" w:eastAsia="宋体" w:cs="宋体"/>
          <w:color w:val="auto"/>
          <w:sz w:val="21"/>
          <w:szCs w:val="21"/>
          <w:highlight w:val="none"/>
          <w:lang w:eastAsia="zh-CN"/>
        </w:rPr>
        <w:t>可调</w:t>
      </w:r>
    </w:p>
    <w:p w14:paraId="77CADA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highlight w:val="none"/>
          <w:lang w:val="en-US" w:eastAsia="zh-CN" w:bidi="ar-SA"/>
        </w:rPr>
        <w:t>15.</w:t>
      </w:r>
      <w:r>
        <w:rPr>
          <w:rFonts w:hint="eastAsia" w:ascii="宋体" w:hAnsi="宋体" w:eastAsia="宋体" w:cs="宋体"/>
          <w:color w:val="auto"/>
          <w:sz w:val="21"/>
          <w:szCs w:val="21"/>
          <w:highlight w:val="none"/>
        </w:rPr>
        <w:t>气压动力:交流泵220V、直流泵24V</w:t>
      </w:r>
    </w:p>
    <w:p w14:paraId="484313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auto"/>
          <w:sz w:val="21"/>
          <w:szCs w:val="21"/>
          <w:highlight w:val="none"/>
        </w:rPr>
      </w:pPr>
      <w:r>
        <w:rPr>
          <w:rFonts w:hint="default" w:ascii="宋体" w:hAnsi="宋体" w:eastAsia="宋体" w:cs="宋体"/>
          <w:b/>
          <w:bCs/>
          <w:color w:val="auto"/>
          <w:kern w:val="2"/>
          <w:sz w:val="21"/>
          <w:szCs w:val="21"/>
          <w:highlight w:val="none"/>
          <w:lang w:val="en-US" w:eastAsia="zh-CN" w:bidi="ar-SA"/>
        </w:rPr>
        <w:t>16.</w:t>
      </w:r>
      <w:r>
        <w:rPr>
          <w:rFonts w:hint="eastAsia" w:ascii="宋体" w:hAnsi="宋体" w:eastAsia="宋体" w:cs="宋体"/>
          <w:b/>
          <w:bCs/>
          <w:color w:val="auto"/>
          <w:sz w:val="21"/>
          <w:szCs w:val="21"/>
          <w:highlight w:val="none"/>
        </w:rPr>
        <w:t>试剂</w:t>
      </w:r>
      <w:r>
        <w:rPr>
          <w:rFonts w:hint="eastAsia" w:ascii="宋体" w:hAnsi="宋体" w:eastAsia="宋体" w:cs="宋体"/>
          <w:b/>
          <w:bCs/>
          <w:color w:val="auto"/>
          <w:sz w:val="21"/>
          <w:szCs w:val="21"/>
          <w:highlight w:val="none"/>
          <w:lang w:eastAsia="zh-CN"/>
        </w:rPr>
        <w:t>瓶：</w:t>
      </w: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0</w:t>
      </w:r>
      <w:r>
        <w:rPr>
          <w:rFonts w:hint="eastAsia" w:ascii="宋体" w:hAnsi="宋体" w:cs="宋体"/>
          <w:b/>
          <w:bCs/>
          <w:color w:val="auto"/>
          <w:sz w:val="21"/>
          <w:szCs w:val="21"/>
          <w:highlight w:val="none"/>
          <w:lang w:val="en-US" w:eastAsia="zh-CN"/>
        </w:rPr>
        <w:t>个</w:t>
      </w:r>
    </w:p>
    <w:p w14:paraId="509DC0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auto"/>
          <w:sz w:val="21"/>
          <w:szCs w:val="21"/>
          <w:highlight w:val="none"/>
        </w:rPr>
      </w:pPr>
      <w:r>
        <w:rPr>
          <w:rFonts w:hint="default" w:ascii="宋体" w:hAnsi="宋体" w:eastAsia="宋体" w:cs="宋体"/>
          <w:b/>
          <w:bCs/>
          <w:color w:val="auto"/>
          <w:kern w:val="2"/>
          <w:sz w:val="21"/>
          <w:szCs w:val="21"/>
          <w:highlight w:val="none"/>
          <w:lang w:val="en-US" w:eastAsia="zh-CN" w:bidi="ar-SA"/>
        </w:rPr>
        <w:t>17.</w:t>
      </w:r>
      <w:r>
        <w:rPr>
          <w:rFonts w:hint="eastAsia" w:ascii="宋体" w:hAnsi="宋体" w:eastAsia="宋体" w:cs="宋体"/>
          <w:b/>
          <w:bCs/>
          <w:color w:val="auto"/>
          <w:sz w:val="21"/>
          <w:szCs w:val="21"/>
          <w:highlight w:val="none"/>
        </w:rPr>
        <w:t>清洗</w:t>
      </w:r>
      <w:r>
        <w:rPr>
          <w:rFonts w:hint="eastAsia" w:ascii="宋体" w:hAnsi="宋体" w:eastAsia="宋体" w:cs="宋体"/>
          <w:b/>
          <w:bCs/>
          <w:color w:val="auto"/>
          <w:sz w:val="21"/>
          <w:szCs w:val="21"/>
          <w:highlight w:val="none"/>
          <w:lang w:eastAsia="zh-CN"/>
        </w:rPr>
        <w:t>瓶：</w:t>
      </w:r>
      <w:r>
        <w:rPr>
          <w:rFonts w:hint="eastAsia" w:ascii="宋体" w:hAnsi="宋体" w:eastAsia="宋体" w:cs="宋体"/>
          <w:b/>
          <w:bCs/>
          <w:color w:val="auto"/>
          <w:sz w:val="21"/>
          <w:szCs w:val="21"/>
          <w:highlight w:val="none"/>
          <w:lang w:val="en-US" w:eastAsia="zh-CN"/>
        </w:rPr>
        <w:t>2</w:t>
      </w:r>
      <w:r>
        <w:rPr>
          <w:rFonts w:hint="eastAsia" w:ascii="宋体" w:hAnsi="宋体" w:cs="宋体"/>
          <w:b/>
          <w:bCs/>
          <w:color w:val="auto"/>
          <w:sz w:val="21"/>
          <w:szCs w:val="21"/>
          <w:highlight w:val="none"/>
          <w:lang w:val="en-US" w:eastAsia="zh-CN"/>
        </w:rPr>
        <w:t>个</w:t>
      </w:r>
    </w:p>
    <w:p w14:paraId="7440EF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sz w:val="21"/>
          <w:szCs w:val="21"/>
          <w:highlight w:val="none"/>
          <w:lang w:val="en-US" w:eastAsia="zh-CN"/>
        </w:rPr>
      </w:pPr>
      <w:r>
        <w:rPr>
          <w:rFonts w:hint="default" w:ascii="宋体" w:hAnsi="宋体" w:eastAsia="宋体" w:cs="宋体"/>
          <w:b/>
          <w:bCs/>
          <w:kern w:val="2"/>
          <w:sz w:val="21"/>
          <w:szCs w:val="21"/>
          <w:highlight w:val="none"/>
          <w:lang w:val="en-US" w:eastAsia="zh-CN" w:bidi="ar-SA"/>
        </w:rPr>
        <w:t>18.</w:t>
      </w:r>
      <w:r>
        <w:rPr>
          <w:rFonts w:hint="eastAsia" w:ascii="宋体" w:hAnsi="宋体" w:eastAsia="宋体" w:cs="宋体"/>
          <w:b/>
          <w:bCs/>
          <w:color w:val="auto"/>
          <w:sz w:val="21"/>
          <w:szCs w:val="21"/>
          <w:highlight w:val="none"/>
          <w:lang w:eastAsia="zh-CN"/>
        </w:rPr>
        <w:t>冷凝瓶：</w:t>
      </w:r>
      <w:r>
        <w:rPr>
          <w:rFonts w:hint="eastAsia" w:ascii="宋体" w:hAnsi="宋体" w:eastAsia="宋体" w:cs="宋体"/>
          <w:b/>
          <w:bCs/>
          <w:color w:val="auto"/>
          <w:sz w:val="21"/>
          <w:szCs w:val="21"/>
          <w:highlight w:val="none"/>
          <w:lang w:val="en-US" w:eastAsia="zh-CN"/>
        </w:rPr>
        <w:t>1</w:t>
      </w:r>
      <w:r>
        <w:rPr>
          <w:rFonts w:hint="eastAsia"/>
          <w:b/>
          <w:bCs/>
          <w:highlight w:val="none"/>
          <w:lang w:eastAsia="zh-CN"/>
        </w:rPr>
        <w:t>个</w:t>
      </w:r>
    </w:p>
    <w:p w14:paraId="6D8CC5EC">
      <w:pPr>
        <w:rPr>
          <w:rFonts w:hint="eastAsia" w:cs="宋体" w:asciiTheme="minorEastAsia" w:hAnsiTheme="minorEastAsia" w:eastAsiaTheme="minorEastAsia"/>
          <w:b/>
          <w:bCs/>
          <w:kern w:val="2"/>
          <w:sz w:val="21"/>
          <w:szCs w:val="21"/>
          <w:highlight w:val="none"/>
          <w:lang w:val="en-US" w:eastAsia="zh-CN" w:bidi="ar-SA"/>
        </w:rPr>
      </w:pPr>
      <w:r>
        <w:rPr>
          <w:rFonts w:hint="eastAsia" w:cs="宋体" w:asciiTheme="minorEastAsia" w:hAnsiTheme="minorEastAsia" w:eastAsiaTheme="minorEastAsia"/>
          <w:b/>
          <w:bCs/>
          <w:kern w:val="2"/>
          <w:sz w:val="21"/>
          <w:szCs w:val="21"/>
          <w:highlight w:val="none"/>
          <w:lang w:val="en-US" w:eastAsia="zh-CN" w:bidi="ar-SA"/>
        </w:rPr>
        <w:br w:type="page"/>
      </w:r>
    </w:p>
    <w:p w14:paraId="149A5330">
      <w:pPr>
        <w:pStyle w:val="2"/>
        <w:numPr>
          <w:ilvl w:val="0"/>
          <w:numId w:val="0"/>
        </w:numPr>
        <w:adjustRightInd w:val="0"/>
        <w:snapToGrid w:val="0"/>
        <w:spacing w:after="0" w:line="360" w:lineRule="auto"/>
        <w:ind w:left="0" w:leftChars="0" w:firstLine="0" w:firstLineChars="0"/>
        <w:rPr>
          <w:rFonts w:cs="宋体" w:asciiTheme="minorEastAsia" w:hAnsiTheme="minorEastAsia" w:eastAsiaTheme="minorEastAsia"/>
          <w:b w:val="0"/>
          <w:bCs/>
          <w:szCs w:val="21"/>
          <w:highlight w:val="none"/>
        </w:rPr>
      </w:pPr>
      <w:r>
        <w:rPr>
          <w:rFonts w:hint="eastAsia" w:cs="宋体" w:asciiTheme="minorEastAsia" w:hAnsiTheme="minorEastAsia" w:eastAsiaTheme="minorEastAsia"/>
          <w:b w:val="0"/>
          <w:bCs/>
          <w:kern w:val="2"/>
          <w:sz w:val="21"/>
          <w:szCs w:val="21"/>
          <w:highlight w:val="none"/>
          <w:lang w:val="en-US" w:eastAsia="zh-CN" w:bidi="ar-SA"/>
        </w:rPr>
        <w:t>三、</w:t>
      </w:r>
      <w:r>
        <w:rPr>
          <w:rFonts w:hint="eastAsia" w:ascii="宋体" w:hAnsi="宋体"/>
          <w:b w:val="0"/>
          <w:bCs/>
          <w:szCs w:val="21"/>
          <w:highlight w:val="none"/>
          <w:lang w:val="en-US" w:eastAsia="zh-CN"/>
        </w:rPr>
        <w:t>包埋盒打号机1台</w:t>
      </w:r>
    </w:p>
    <w:p w14:paraId="337B84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bookmarkStart w:id="212" w:name="_Hlk225888339"/>
      <w:r>
        <w:rPr>
          <w:rFonts w:hint="default" w:ascii="宋体" w:hAnsi="宋体" w:eastAsia="宋体" w:cs="宋体"/>
          <w:kern w:val="2"/>
          <w:sz w:val="21"/>
          <w:szCs w:val="21"/>
          <w:highlight w:val="none"/>
          <w:lang w:val="en-US" w:eastAsia="zh-CN" w:bidi="ar-SA"/>
        </w:rPr>
        <w:t>1</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w:t>
      </w:r>
      <w:bookmarkEnd w:id="212"/>
      <w:r>
        <w:rPr>
          <w:rFonts w:hint="eastAsia" w:ascii="宋体" w:hAnsi="宋体" w:eastAsia="宋体" w:cs="宋体"/>
          <w:sz w:val="21"/>
          <w:szCs w:val="21"/>
          <w:highlight w:val="none"/>
        </w:rPr>
        <w:t>非接触式喷墨打印技术。</w:t>
      </w:r>
    </w:p>
    <w:p w14:paraId="14C08C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2</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▲打印速度≤2.5秒/个包埋盒。</w:t>
      </w:r>
    </w:p>
    <w:p w14:paraId="65E77B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3</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▲墨盒连续打印容量≥100,000个包埋盒。</w:t>
      </w:r>
    </w:p>
    <w:p w14:paraId="5D4BD4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bookmarkStart w:id="213" w:name="_Hlk225888388"/>
      <w:r>
        <w:rPr>
          <w:rFonts w:hint="default" w:ascii="宋体" w:hAnsi="宋体" w:eastAsia="宋体" w:cs="宋体"/>
          <w:kern w:val="2"/>
          <w:sz w:val="21"/>
          <w:szCs w:val="21"/>
          <w:highlight w:val="none"/>
          <w:lang w:val="en-US" w:eastAsia="zh-CN" w:bidi="ar-SA"/>
        </w:rPr>
        <w:t>4</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▲打印颜色深黑色标记灰度值≤5级。</w:t>
      </w:r>
    </w:p>
    <w:bookmarkEnd w:id="213"/>
    <w:p w14:paraId="3181EA0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bookmarkStart w:id="214" w:name="_Hlk225888409"/>
      <w:r>
        <w:rPr>
          <w:rFonts w:hint="default" w:ascii="宋体" w:hAnsi="宋体" w:eastAsia="宋体" w:cs="宋体"/>
          <w:kern w:val="2"/>
          <w:sz w:val="21"/>
          <w:szCs w:val="21"/>
          <w:highlight w:val="none"/>
          <w:lang w:val="en-US" w:eastAsia="zh-CN" w:bidi="ar-SA"/>
        </w:rPr>
        <w:t>5</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可打印中英文各国字符/符号、数字、罗马数字，windows系统自带的各种字体和字号以及特殊符号、图形、LOGO、条码、二维码、QR码等。</w:t>
      </w:r>
    </w:p>
    <w:bookmarkEnd w:id="214"/>
    <w:p w14:paraId="6699A8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bookmarkStart w:id="215" w:name="OLE_LINK6"/>
      <w:r>
        <w:rPr>
          <w:rFonts w:hint="default" w:ascii="宋体" w:hAnsi="宋体" w:eastAsia="宋体" w:cs="宋体"/>
          <w:kern w:val="2"/>
          <w:sz w:val="21"/>
          <w:szCs w:val="21"/>
          <w:highlight w:val="none"/>
          <w:lang w:val="en-US" w:eastAsia="zh-CN" w:bidi="ar-SA"/>
        </w:rPr>
        <w:t>6</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w:t>
      </w:r>
      <w:bookmarkEnd w:id="215"/>
      <w:r>
        <w:rPr>
          <w:rFonts w:hint="eastAsia" w:ascii="宋体" w:hAnsi="宋体" w:eastAsia="宋体" w:cs="宋体"/>
          <w:sz w:val="21"/>
          <w:szCs w:val="21"/>
          <w:highlight w:val="none"/>
        </w:rPr>
        <w:t>墨盒与打印喷头一体化设计，更换墨盒同时也更换打印喷头。</w:t>
      </w:r>
    </w:p>
    <w:p w14:paraId="42995E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7</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w:t>
      </w:r>
      <w:bookmarkStart w:id="216" w:name="_Hlk225888474"/>
      <w:r>
        <w:rPr>
          <w:rFonts w:hint="eastAsia" w:ascii="宋体" w:hAnsi="宋体" w:eastAsia="宋体" w:cs="宋体"/>
          <w:sz w:val="21"/>
          <w:szCs w:val="21"/>
          <w:highlight w:val="none"/>
        </w:rPr>
        <w:t>打印字迹清晰，且耐磨、耐刮、耐腐蚀，长期保存不褪色，已通过第三方实验室字符耐受性测试。</w:t>
      </w:r>
      <w:bookmarkEnd w:id="216"/>
    </w:p>
    <w:p w14:paraId="5FC53B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s="宋体"/>
          <w:sz w:val="21"/>
          <w:szCs w:val="21"/>
          <w:highlight w:val="none"/>
          <w:lang w:eastAsia="zh-CN"/>
        </w:rPr>
      </w:pPr>
      <w:r>
        <w:rPr>
          <w:rFonts w:hint="default" w:ascii="宋体" w:hAnsi="宋体" w:eastAsia="宋体" w:cs="宋体"/>
          <w:kern w:val="2"/>
          <w:sz w:val="21"/>
          <w:szCs w:val="21"/>
          <w:highlight w:val="none"/>
          <w:lang w:val="en-US" w:eastAsia="zh-CN" w:bidi="ar-SA"/>
        </w:rPr>
        <w:t>8</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w:t>
      </w:r>
      <w:bookmarkStart w:id="217" w:name="_Hlk225888491"/>
      <w:r>
        <w:rPr>
          <w:rFonts w:hint="eastAsia" w:ascii="宋体" w:hAnsi="宋体" w:eastAsia="宋体" w:cs="宋体"/>
          <w:sz w:val="21"/>
          <w:szCs w:val="21"/>
          <w:highlight w:val="none"/>
        </w:rPr>
        <w:t>打印过程中不产生化学挥发物、有害气体、气溶胶及烟尘等，无需内置空气净化系统</w:t>
      </w:r>
      <w:r>
        <w:rPr>
          <w:rFonts w:hint="eastAsia" w:ascii="宋体" w:hAnsi="宋体" w:cs="宋体"/>
          <w:sz w:val="21"/>
          <w:szCs w:val="21"/>
          <w:highlight w:val="none"/>
          <w:lang w:eastAsia="zh-CN"/>
        </w:rPr>
        <w:t>。</w:t>
      </w:r>
    </w:p>
    <w:bookmarkEnd w:id="217"/>
    <w:p w14:paraId="507504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9</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装载槽采用金属制管槽。</w:t>
      </w:r>
    </w:p>
    <w:p w14:paraId="791574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10</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 xml:space="preserve">兼容标准尺寸的包埋盒，包括标准尺寸的无盖包埋盒、连体后开盖包埋  </w:t>
      </w:r>
    </w:p>
    <w:p w14:paraId="616ACF64">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盒、分体带盖包埋盒等，不需要更换包埋盒配方或专用包埋盒。</w:t>
      </w:r>
    </w:p>
    <w:p w14:paraId="0648CD2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11</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包埋盒上载量≥2*50个包埋盒（可扩充2*125个包埋盒）。</w:t>
      </w:r>
    </w:p>
    <w:p w14:paraId="5677E3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12</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包埋盒收集数量≥10个包埋盒。</w:t>
      </w:r>
    </w:p>
    <w:p w14:paraId="7B1D71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13</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兼容条码扫描枪，具有扫描二维码直接打印功能。</w:t>
      </w:r>
    </w:p>
    <w:p w14:paraId="1F75D4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14</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兼容HIS、LIS、PIS、PACS等系统，实现数据共享功能。</w:t>
      </w:r>
    </w:p>
    <w:p w14:paraId="07D5E43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15</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打印分辨率≥600dpi。</w:t>
      </w:r>
    </w:p>
    <w:p w14:paraId="703FDF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bookmarkStart w:id="218" w:name="_Hlk225889638"/>
      <w:r>
        <w:rPr>
          <w:rFonts w:hint="default" w:ascii="宋体" w:hAnsi="宋体" w:eastAsia="宋体" w:cs="宋体"/>
          <w:kern w:val="2"/>
          <w:sz w:val="21"/>
          <w:szCs w:val="21"/>
          <w:highlight w:val="none"/>
          <w:lang w:val="en-US" w:eastAsia="zh-CN" w:bidi="ar-SA"/>
        </w:rPr>
        <w:t>16</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操作软件：可根据科室现有的操作习惯定制功能，自定义格式、内容、个性功能，无需改变原有操作流程，软件能实现中英文语言切换，用户打印界面包含打印编辑窗、待打印窗、已打印窗，可查询已打印、未打印数据信息，可按月/年统计打印数量，模板图形化拖拽式设计，支持多模板选择（不限数量），支持数字转中文、中文转数字，数字转圆圈等，可定义多个组合字段、自定义字段，可自动打印实时系统日期</w:t>
      </w:r>
      <w:bookmarkEnd w:id="218"/>
      <w:r>
        <w:rPr>
          <w:rFonts w:hint="eastAsia" w:ascii="宋体" w:hAnsi="宋体" w:eastAsia="宋体" w:cs="宋体"/>
          <w:sz w:val="21"/>
          <w:szCs w:val="21"/>
          <w:highlight w:val="none"/>
        </w:rPr>
        <w:t>。</w:t>
      </w:r>
    </w:p>
    <w:p w14:paraId="7ECE4668">
      <w:pPr>
        <w:rPr>
          <w:rFonts w:hint="eastAsia" w:cs="宋体" w:asciiTheme="minorEastAsia" w:hAnsiTheme="minorEastAsia" w:eastAsiaTheme="minorEastAsia"/>
          <w:b w:val="0"/>
          <w:bCs/>
          <w:kern w:val="2"/>
          <w:sz w:val="21"/>
          <w:szCs w:val="21"/>
          <w:highlight w:val="none"/>
          <w:lang w:val="en-US" w:eastAsia="zh-CN" w:bidi="ar-SA"/>
        </w:rPr>
      </w:pPr>
      <w:r>
        <w:rPr>
          <w:rFonts w:hint="eastAsia" w:cs="宋体" w:asciiTheme="minorEastAsia" w:hAnsiTheme="minorEastAsia" w:eastAsiaTheme="minorEastAsia"/>
          <w:b w:val="0"/>
          <w:bCs/>
          <w:kern w:val="2"/>
          <w:sz w:val="21"/>
          <w:szCs w:val="21"/>
          <w:highlight w:val="none"/>
          <w:lang w:val="en-US" w:eastAsia="zh-CN" w:bidi="ar-SA"/>
        </w:rPr>
        <w:br w:type="page"/>
      </w:r>
    </w:p>
    <w:p w14:paraId="34E5DF5B">
      <w:pPr>
        <w:pStyle w:val="2"/>
        <w:keepNext w:val="0"/>
        <w:keepLines w:val="0"/>
        <w:pageBreakBefore w:val="0"/>
        <w:widowControl w:val="0"/>
        <w:numPr>
          <w:ilvl w:val="0"/>
          <w:numId w:val="0"/>
        </w:numPr>
        <w:kinsoku/>
        <w:wordWrap/>
        <w:overflowPunct/>
        <w:topLinePunct w:val="0"/>
        <w:autoSpaceDE/>
        <w:autoSpaceDN/>
        <w:bidi w:val="0"/>
        <w:adjustRightInd w:val="0"/>
        <w:snapToGrid w:val="0"/>
        <w:ind w:left="0" w:leftChars="0" w:right="0" w:rightChars="0" w:firstLine="0" w:firstLineChars="0"/>
        <w:jc w:val="center"/>
        <w:textAlignment w:val="auto"/>
        <w:rPr>
          <w:rFonts w:hint="eastAsia" w:ascii="宋体" w:hAnsi="宋体" w:eastAsia="宋体" w:cs="宋体"/>
          <w:b/>
          <w:bCs/>
          <w:sz w:val="21"/>
          <w:szCs w:val="21"/>
          <w:highlight w:val="none"/>
        </w:rPr>
      </w:pPr>
      <w:r>
        <w:rPr>
          <w:rFonts w:hint="eastAsia" w:cs="宋体" w:asciiTheme="minorEastAsia" w:hAnsiTheme="minorEastAsia" w:eastAsiaTheme="minorEastAsia"/>
          <w:b w:val="0"/>
          <w:bCs/>
          <w:kern w:val="2"/>
          <w:sz w:val="21"/>
          <w:szCs w:val="21"/>
          <w:highlight w:val="none"/>
          <w:lang w:val="en-US" w:eastAsia="zh-CN" w:bidi="ar-SA"/>
        </w:rPr>
        <w:t>四、</w:t>
      </w:r>
      <w:r>
        <w:rPr>
          <w:rFonts w:hint="eastAsia" w:ascii="宋体" w:hAnsi="宋体"/>
          <w:b w:val="0"/>
          <w:bCs/>
          <w:szCs w:val="21"/>
          <w:highlight w:val="none"/>
          <w:lang w:val="en-US" w:eastAsia="zh-CN"/>
        </w:rPr>
        <w:t>玻片打号机1台</w:t>
      </w:r>
    </w:p>
    <w:p w14:paraId="3949D7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1</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★非接触式喷墨打印技术。</w:t>
      </w:r>
    </w:p>
    <w:p w14:paraId="7EF2E4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2</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打印速度：≤6秒/片。</w:t>
      </w:r>
    </w:p>
    <w:p w14:paraId="2A63C0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3</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▲墨盒容量：墨盒连续打印数量≥100，000片。</w:t>
      </w:r>
    </w:p>
    <w:p w14:paraId="689BC6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4</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▲打印颜色深黑色标记灰度值≤5级。</w:t>
      </w:r>
    </w:p>
    <w:p w14:paraId="50EC05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5</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可打印中英文各国字符/符号、数字、罗马数字，windows系统自带的各种字体和字号以及特殊符号</w:t>
      </w:r>
      <w:bookmarkStart w:id="219" w:name="_Hlk225888640"/>
      <w:r>
        <w:rPr>
          <w:rFonts w:hint="eastAsia" w:ascii="宋体" w:hAnsi="宋体" w:eastAsia="宋体" w:cs="宋体"/>
          <w:sz w:val="21"/>
          <w:szCs w:val="21"/>
          <w:highlight w:val="none"/>
        </w:rPr>
        <w:t>、图形、LOGO、条码、二维码、QR码等</w:t>
      </w:r>
      <w:bookmarkEnd w:id="219"/>
      <w:r>
        <w:rPr>
          <w:rFonts w:hint="eastAsia" w:ascii="宋体" w:hAnsi="宋体" w:eastAsia="宋体" w:cs="宋体"/>
          <w:sz w:val="21"/>
          <w:szCs w:val="21"/>
          <w:highlight w:val="none"/>
        </w:rPr>
        <w:t>。</w:t>
      </w:r>
    </w:p>
    <w:p w14:paraId="38F4FB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6</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▲打印字迹清晰，且耐磨、耐刮、耐腐蚀，长期保存不褪色，已通过第三方实验室字符耐受性测试。</w:t>
      </w:r>
    </w:p>
    <w:p w14:paraId="7DAD718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cs="宋体"/>
          <w:sz w:val="21"/>
          <w:szCs w:val="21"/>
          <w:highlight w:val="none"/>
          <w:lang w:eastAsia="zh-CN"/>
        </w:rPr>
      </w:pPr>
      <w:r>
        <w:rPr>
          <w:rFonts w:hint="default" w:ascii="宋体" w:hAnsi="宋体" w:eastAsia="宋体" w:cs="宋体"/>
          <w:kern w:val="2"/>
          <w:sz w:val="21"/>
          <w:szCs w:val="21"/>
          <w:highlight w:val="none"/>
          <w:lang w:val="en-US" w:eastAsia="zh-CN" w:bidi="ar-SA"/>
        </w:rPr>
        <w:t>7</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▲打印过程中不产生化学挥发物、有害气体、气溶胶及烟尘等，无需内置空气净化系统</w:t>
      </w:r>
      <w:r>
        <w:rPr>
          <w:rFonts w:hint="eastAsia" w:ascii="宋体" w:hAnsi="宋体" w:cs="宋体"/>
          <w:sz w:val="21"/>
          <w:szCs w:val="21"/>
          <w:highlight w:val="none"/>
          <w:lang w:eastAsia="zh-CN"/>
        </w:rPr>
        <w:t>。</w:t>
      </w:r>
    </w:p>
    <w:p w14:paraId="5DF635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8</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玻片装载容量≥150片。</w:t>
      </w:r>
    </w:p>
    <w:p w14:paraId="7CE869C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9</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玻片收集容量≥30片。</w:t>
      </w:r>
    </w:p>
    <w:p w14:paraId="5CA342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10</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▲玻片出片时通过抬片机构托起上载槽内的玻片，减轻玻片出片时的压力。</w:t>
      </w:r>
    </w:p>
    <w:p w14:paraId="47E65C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11</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▲玻片传送过程通过橡胶皮带传送出片，有效减少因金属结构传送导致的碎屑产生。</w:t>
      </w:r>
    </w:p>
    <w:p w14:paraId="10E6D6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12</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配置10-11英寸一体化触摸显示屏，内置windows系统，可进行单机操作，无需外接电脑。</w:t>
      </w:r>
    </w:p>
    <w:p w14:paraId="14E214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13</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兼容HIS、LIS、PIS、PACS系统，可通过虚拟打印机形式或缓存文件形式打印。</w:t>
      </w:r>
    </w:p>
    <w:p w14:paraId="4FA686F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14</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整机宽度≤18cm，可放在切片机上。</w:t>
      </w:r>
    </w:p>
    <w:p w14:paraId="774F233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15</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兼容条码扫描枪。</w:t>
      </w:r>
    </w:p>
    <w:p w14:paraId="0CF75B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sz w:val="21"/>
          <w:szCs w:val="21"/>
          <w:highlight w:val="none"/>
        </w:rPr>
      </w:pPr>
      <w:r>
        <w:rPr>
          <w:rFonts w:hint="default" w:ascii="宋体" w:hAnsi="宋体" w:eastAsia="宋体" w:cs="宋体"/>
          <w:kern w:val="2"/>
          <w:sz w:val="21"/>
          <w:szCs w:val="21"/>
          <w:highlight w:val="none"/>
          <w:lang w:val="en-US" w:eastAsia="zh-CN" w:bidi="ar-SA"/>
        </w:rPr>
        <w:t>16</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打印方向0°，90°，180°，270°四向可调。</w:t>
      </w:r>
    </w:p>
    <w:p w14:paraId="1886F721">
      <w:pPr>
        <w:numPr>
          <w:ilvl w:val="0"/>
          <w:numId w:val="0"/>
        </w:numPr>
        <w:spacing w:line="360" w:lineRule="auto"/>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17</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rPr>
        <w:t>操作软件：支持用户自定义打印模板、格式、内容，模板数量无限制，适配科室现有操作流程，自定义格式、内容、个性功能，无需改变原有操作流程，软件能实现中英文语言切换，用户打印界面包含打印编辑窗、待打印窗、已打印窗，可查询已打印、未打印数据信息，可按月/年统计打印数量，模板图形化拖拽式设计，支持多模板选择（不限数量），支持数字转中文、中文转数字，数字转圆圈等，可定义多个组合字段、自定义字段，可自动打印实时系统日期。</w:t>
      </w:r>
    </w:p>
    <w:p w14:paraId="1BF8ED06">
      <w:pPr>
        <w:numPr>
          <w:ilvl w:val="0"/>
          <w:numId w:val="0"/>
        </w:numPr>
        <w:spacing w:line="360" w:lineRule="auto"/>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br w:type="page"/>
      </w:r>
    </w:p>
    <w:p w14:paraId="43BBD0C0">
      <w:pPr>
        <w:pStyle w:val="2"/>
        <w:numPr>
          <w:ilvl w:val="0"/>
          <w:numId w:val="0"/>
        </w:numPr>
        <w:adjustRightInd w:val="0"/>
        <w:snapToGrid w:val="0"/>
        <w:spacing w:after="0" w:line="360" w:lineRule="auto"/>
        <w:ind w:left="0" w:leftChars="0" w:firstLine="420" w:firstLineChars="200"/>
        <w:rPr>
          <w:rFonts w:cs="宋体" w:asciiTheme="minorEastAsia" w:hAnsiTheme="minorEastAsia" w:eastAsiaTheme="minorEastAsia"/>
          <w:b w:val="0"/>
          <w:bCs/>
          <w:szCs w:val="21"/>
          <w:highlight w:val="none"/>
        </w:rPr>
      </w:pPr>
      <w:r>
        <w:rPr>
          <w:rFonts w:hint="eastAsia" w:cs="宋体" w:asciiTheme="minorEastAsia" w:hAnsiTheme="minorEastAsia" w:eastAsiaTheme="minorEastAsia"/>
          <w:b w:val="0"/>
          <w:bCs/>
          <w:kern w:val="2"/>
          <w:sz w:val="21"/>
          <w:szCs w:val="21"/>
          <w:highlight w:val="none"/>
          <w:lang w:val="en-US" w:eastAsia="zh-CN" w:bidi="ar-SA"/>
        </w:rPr>
        <w:t>五、</w:t>
      </w:r>
      <w:r>
        <w:rPr>
          <w:rFonts w:hint="eastAsia" w:ascii="宋体" w:hAnsi="宋体"/>
          <w:b w:val="0"/>
          <w:bCs/>
          <w:szCs w:val="21"/>
          <w:highlight w:val="none"/>
          <w:lang w:val="en-US" w:eastAsia="zh-CN"/>
        </w:rPr>
        <w:t>全自动免疫组化机1台</w:t>
      </w:r>
    </w:p>
    <w:p w14:paraId="6AB94C6E">
      <w:pPr>
        <w:keepNext w:val="0"/>
        <w:keepLines w:val="0"/>
        <w:pageBreakBefore w:val="0"/>
        <w:widowControl/>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lang w:val="en-US" w:eastAsia="zh-CN"/>
        </w:rPr>
        <w:t>一</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rPr>
        <w:t>适用范围</w:t>
      </w:r>
    </w:p>
    <w:p w14:paraId="5491129E">
      <w:pPr>
        <w:keepNext w:val="0"/>
        <w:keepLines w:val="0"/>
        <w:pageBreakBefore w:val="0"/>
        <w:widowControl/>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用于石蜡、穿刺、细胞涂片等标本</w:t>
      </w:r>
      <w:bookmarkStart w:id="220" w:name="_Hlk75446049"/>
    </w:p>
    <w:p w14:paraId="0BD9F22E">
      <w:pPr>
        <w:keepNext w:val="0"/>
        <w:keepLines w:val="0"/>
        <w:pageBreakBefore w:val="0"/>
        <w:widowControl/>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lang w:val="en-US" w:eastAsia="zh-CN"/>
        </w:rPr>
        <w:t>二</w:t>
      </w:r>
      <w:r>
        <w:rPr>
          <w:rFonts w:hint="eastAsia" w:ascii="宋体" w:hAnsi="宋体" w:eastAsia="宋体" w:cs="宋体"/>
          <w:bCs/>
          <w:sz w:val="21"/>
          <w:szCs w:val="21"/>
          <w:highlight w:val="none"/>
          <w:lang w:eastAsia="zh-CN"/>
        </w:rPr>
        <w:t>）</w:t>
      </w:r>
      <w:r>
        <w:rPr>
          <w:rFonts w:hint="eastAsia" w:ascii="宋体" w:hAnsi="宋体" w:eastAsia="宋体" w:cs="宋体"/>
          <w:b/>
          <w:sz w:val="21"/>
          <w:szCs w:val="21"/>
          <w:highlight w:val="none"/>
        </w:rPr>
        <w:t>技术参数</w:t>
      </w:r>
    </w:p>
    <w:p w14:paraId="193C96B2">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lang w:val="en-US" w:eastAsia="zh-CN" w:bidi="ar-SA"/>
        </w:rPr>
        <w:t>1.</w:t>
      </w:r>
      <w:r>
        <w:rPr>
          <w:rFonts w:hint="eastAsia" w:ascii="宋体" w:hAnsi="宋体" w:eastAsia="宋体" w:cs="宋体"/>
          <w:sz w:val="21"/>
          <w:szCs w:val="21"/>
          <w:highlight w:val="none"/>
        </w:rPr>
        <w:t>全自动：中文操作界面可完成从烤片、脱蜡、抗原修复、阻断、标记、显色、复染所有步骤，无需人工干预。</w:t>
      </w:r>
    </w:p>
    <w:p w14:paraId="7D715407">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lang w:val="en-US" w:eastAsia="zh-CN" w:bidi="ar-SA"/>
        </w:rPr>
        <w:t>2.</w:t>
      </w:r>
      <w:r>
        <w:rPr>
          <w:rFonts w:hint="eastAsia" w:ascii="宋体" w:hAnsi="宋体" w:eastAsia="宋体" w:cs="宋体"/>
          <w:sz w:val="21"/>
          <w:szCs w:val="21"/>
          <w:highlight w:val="none"/>
        </w:rPr>
        <w:t>具备免疫组化单染、双染、</w:t>
      </w:r>
      <w:r>
        <w:rPr>
          <w:rFonts w:hint="eastAsia" w:ascii="宋体" w:hAnsi="宋体" w:eastAsia="宋体" w:cs="宋体"/>
          <w:sz w:val="21"/>
          <w:szCs w:val="21"/>
          <w:highlight w:val="none"/>
          <w:lang w:val="en-US" w:eastAsia="zh-CN"/>
        </w:rPr>
        <w:t>EBER</w:t>
      </w:r>
      <w:r>
        <w:rPr>
          <w:rFonts w:hint="eastAsia" w:ascii="宋体" w:hAnsi="宋体" w:eastAsia="宋体" w:cs="宋体"/>
          <w:sz w:val="21"/>
          <w:szCs w:val="21"/>
          <w:highlight w:val="none"/>
        </w:rPr>
        <w:t>原位杂交、mIHC等多种染色功能。</w:t>
      </w:r>
    </w:p>
    <w:p w14:paraId="7F745F37">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lang w:val="en-US" w:eastAsia="zh-CN" w:bidi="ar-SA"/>
        </w:rPr>
        <w:t>3.</w:t>
      </w:r>
      <w:r>
        <w:rPr>
          <w:rFonts w:hint="eastAsia" w:ascii="宋体" w:hAnsi="宋体" w:eastAsia="宋体" w:cs="宋体"/>
          <w:sz w:val="21"/>
          <w:szCs w:val="21"/>
          <w:highlight w:val="none"/>
        </w:rPr>
        <w:t>玻片容量：单次切片装载能力</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30</w:t>
      </w:r>
      <w:r>
        <w:rPr>
          <w:rFonts w:hint="eastAsia" w:ascii="宋体" w:hAnsi="宋体" w:eastAsia="宋体" w:cs="宋体"/>
          <w:color w:val="000000" w:themeColor="text1"/>
          <w:sz w:val="21"/>
          <w:szCs w:val="21"/>
          <w:highlight w:val="none"/>
          <w14:textFill>
            <w14:solidFill>
              <w14:schemeClr w14:val="tx1"/>
            </w14:solidFill>
          </w14:textFill>
        </w:rPr>
        <w:t>张，试剂位≥</w:t>
      </w:r>
      <w:r>
        <w:rPr>
          <w:rFonts w:hint="eastAsia" w:ascii="宋体" w:hAnsi="宋体" w:eastAsia="宋体" w:cs="宋体"/>
          <w:color w:val="000000" w:themeColor="text1"/>
          <w:sz w:val="21"/>
          <w:szCs w:val="21"/>
          <w:highlight w:val="none"/>
          <w:lang w:val="en-US" w:eastAsia="zh-CN"/>
          <w14:textFill>
            <w14:solidFill>
              <w14:schemeClr w14:val="tx1"/>
            </w14:solidFill>
          </w14:textFill>
        </w:rPr>
        <w:t>36</w:t>
      </w:r>
      <w:r>
        <w:rPr>
          <w:rFonts w:hint="eastAsia" w:ascii="宋体" w:hAnsi="宋体" w:eastAsia="宋体" w:cs="宋体"/>
          <w:color w:val="000000" w:themeColor="text1"/>
          <w:sz w:val="21"/>
          <w:szCs w:val="21"/>
          <w:highlight w:val="none"/>
          <w14:textFill>
            <w14:solidFill>
              <w14:schemeClr w14:val="tx1"/>
            </w14:solidFill>
          </w14:textFill>
        </w:rPr>
        <w:t>。</w:t>
      </w:r>
    </w:p>
    <w:p w14:paraId="4C7E9895">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4.</w:t>
      </w:r>
      <w:r>
        <w:rPr>
          <w:rFonts w:hint="eastAsia" w:ascii="宋体" w:hAnsi="宋体" w:eastAsia="宋体" w:cs="宋体"/>
          <w:bCs/>
          <w:color w:val="000000" w:themeColor="text1"/>
          <w:sz w:val="21"/>
          <w:szCs w:val="21"/>
          <w:highlight w:val="none"/>
          <w14:textFill>
            <w14:solidFill>
              <w14:schemeClr w14:val="tx1"/>
            </w14:solidFill>
          </w14:textFill>
        </w:rPr>
        <w:t>染色时间：根据染色程序的时间不同，2.5-</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Cs/>
          <w:color w:val="000000" w:themeColor="text1"/>
          <w:sz w:val="21"/>
          <w:szCs w:val="21"/>
          <w:highlight w:val="none"/>
          <w14:textFill>
            <w14:solidFill>
              <w14:schemeClr w14:val="tx1"/>
            </w14:solidFill>
          </w14:textFill>
        </w:rPr>
        <w:t>小时</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8小时玻片处理量≥60片。</w:t>
      </w:r>
      <w:r>
        <w:rPr>
          <w:rFonts w:hint="eastAsia" w:ascii="宋体" w:hAnsi="宋体" w:eastAsia="宋体" w:cs="宋体"/>
          <w:bCs/>
          <w:color w:val="000000" w:themeColor="text1"/>
          <w:sz w:val="21"/>
          <w:szCs w:val="21"/>
          <w:highlight w:val="none"/>
          <w:lang w:eastAsia="zh-CN"/>
          <w14:textFill>
            <w14:solidFill>
              <w14:schemeClr w14:val="tx1"/>
            </w14:solidFill>
          </w14:textFill>
        </w:rPr>
        <w:t>机器状态以及染色剩余时间可在仪器系统面板上显示。</w:t>
      </w:r>
    </w:p>
    <w:p w14:paraId="534C9616">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lang w:val="en-US" w:eastAsia="zh-CN" w:bidi="ar-SA"/>
        </w:rPr>
        <w:t>5.</w:t>
      </w:r>
      <w:r>
        <w:rPr>
          <w:rFonts w:hint="eastAsia" w:ascii="宋体" w:hAnsi="宋体" w:eastAsia="宋体" w:cs="宋体"/>
          <w:sz w:val="21"/>
          <w:szCs w:val="21"/>
          <w:highlight w:val="none"/>
        </w:rPr>
        <w:t>抗原修复方式采用常规的热修复（高PH、低PH），酶修复，并且每张玻片可以使用独立的修复条件，可个性化设定酸修复、碱修复、酶修复、不修复等条件方式。</w:t>
      </w:r>
    </w:p>
    <w:p w14:paraId="5053C148">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bookmarkStart w:id="221" w:name="_Hlk183432290"/>
      <w:r>
        <w:rPr>
          <w:rFonts w:hint="eastAsia" w:ascii="宋体" w:hAnsi="宋体" w:eastAsia="宋体" w:cs="宋体"/>
          <w:bCs/>
          <w:sz w:val="21"/>
          <w:szCs w:val="21"/>
          <w:highlight w:val="none"/>
          <w:lang w:val="en-US" w:eastAsia="zh-CN" w:bidi="ar-SA"/>
        </w:rPr>
        <w:t>6.</w:t>
      </w:r>
      <w:r>
        <w:rPr>
          <w:rFonts w:hint="eastAsia" w:ascii="宋体" w:hAnsi="宋体" w:eastAsia="宋体" w:cs="宋体"/>
          <w:sz w:val="21"/>
          <w:szCs w:val="21"/>
          <w:highlight w:val="none"/>
        </w:rPr>
        <w:t>试剂滴加量：精密定位加样，加样量低至70ul。</w:t>
      </w:r>
    </w:p>
    <w:bookmarkEnd w:id="221"/>
    <w:p w14:paraId="65F3CF0A">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lang w:val="en-US" w:eastAsia="zh-CN" w:bidi="ar-SA"/>
        </w:rPr>
        <w:t>7.</w:t>
      </w:r>
      <w:r>
        <w:rPr>
          <w:rFonts w:hint="eastAsia" w:ascii="宋体" w:hAnsi="宋体" w:eastAsia="宋体" w:cs="宋体"/>
          <w:sz w:val="21"/>
          <w:szCs w:val="21"/>
          <w:highlight w:val="none"/>
        </w:rPr>
        <w:t>机器配套二抗试剂生产商具有医疗器械生产许可证。</w:t>
      </w:r>
    </w:p>
    <w:p w14:paraId="51C6115F">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bookmarkStart w:id="222" w:name="_Hlk180869040"/>
      <w:r>
        <w:rPr>
          <w:rFonts w:hint="eastAsia" w:ascii="宋体" w:hAnsi="宋体" w:eastAsia="宋体" w:cs="宋体"/>
          <w:sz w:val="21"/>
          <w:szCs w:val="21"/>
          <w:highlight w:val="none"/>
        </w:rPr>
        <w:t>▲</w:t>
      </w:r>
      <w:r>
        <w:rPr>
          <w:rFonts w:hint="eastAsia" w:ascii="宋体" w:hAnsi="宋体" w:eastAsia="宋体" w:cs="宋体"/>
          <w:bCs/>
          <w:sz w:val="21"/>
          <w:szCs w:val="21"/>
          <w:highlight w:val="none"/>
          <w:lang w:val="en-US" w:eastAsia="zh-CN" w:bidi="ar-SA"/>
        </w:rPr>
        <w:t>8.</w:t>
      </w:r>
      <w:bookmarkEnd w:id="222"/>
      <w:r>
        <w:rPr>
          <w:rFonts w:hint="eastAsia" w:ascii="宋体" w:hAnsi="宋体" w:eastAsia="宋体" w:cs="宋体"/>
          <w:sz w:val="21"/>
          <w:szCs w:val="21"/>
          <w:highlight w:val="none"/>
        </w:rPr>
        <w:t>满足单次切片装载能力≥</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0张通量的同时，独立的玻片架≥</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个，每架容纳玻片数≥10张，可连续上载长度和宽度均＜1米，高度＜</w:t>
      </w:r>
      <w:r>
        <w:rPr>
          <w:rFonts w:hint="eastAsia" w:ascii="宋体" w:hAnsi="宋体" w:eastAsia="宋体" w:cs="宋体"/>
          <w:sz w:val="21"/>
          <w:szCs w:val="21"/>
          <w:highlight w:val="none"/>
          <w:lang w:val="en-US" w:eastAsia="zh-CN"/>
        </w:rPr>
        <w:t>1.8</w:t>
      </w:r>
      <w:r>
        <w:rPr>
          <w:rFonts w:hint="eastAsia" w:ascii="宋体" w:hAnsi="宋体" w:eastAsia="宋体" w:cs="宋体"/>
          <w:sz w:val="21"/>
          <w:szCs w:val="21"/>
          <w:highlight w:val="none"/>
        </w:rPr>
        <w:t>米，占地面积小。</w:t>
      </w:r>
    </w:p>
    <w:p w14:paraId="2E7491DA">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lang w:val="en-US" w:eastAsia="zh-CN" w:bidi="ar-SA"/>
        </w:rPr>
        <w:t>9.</w:t>
      </w:r>
      <w:r>
        <w:rPr>
          <w:rFonts w:hint="eastAsia" w:ascii="宋体" w:hAnsi="宋体" w:eastAsia="宋体" w:cs="宋体"/>
          <w:sz w:val="21"/>
          <w:szCs w:val="21"/>
          <w:highlight w:val="none"/>
        </w:rPr>
        <w:t>脱蜡、抗原修复及染色的整个免疫组化流程中，切片始终处于水平状态。</w:t>
      </w:r>
    </w:p>
    <w:p w14:paraId="501C0056">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lang w:val="en-US" w:eastAsia="zh-CN" w:bidi="ar-SA"/>
        </w:rPr>
        <w:t>10.</w:t>
      </w:r>
      <w:r>
        <w:rPr>
          <w:rFonts w:hint="eastAsia" w:ascii="宋体" w:hAnsi="宋体" w:eastAsia="宋体" w:cs="宋体"/>
          <w:sz w:val="21"/>
          <w:szCs w:val="21"/>
          <w:highlight w:val="none"/>
        </w:rPr>
        <w:t>具备独立的两套大容量试剂瓶≥</w:t>
      </w:r>
      <w:r>
        <w:rPr>
          <w:rFonts w:hint="eastAsia" w:ascii="宋体" w:hAnsi="宋体" w:cs="宋体"/>
          <w:sz w:val="21"/>
          <w:szCs w:val="21"/>
          <w:highlight w:val="none"/>
          <w:lang w:val="en-US" w:eastAsia="zh-CN"/>
        </w:rPr>
        <w:t>1L</w:t>
      </w:r>
      <w:r>
        <w:rPr>
          <w:rFonts w:hint="eastAsia" w:ascii="宋体" w:hAnsi="宋体" w:eastAsia="宋体" w:cs="宋体"/>
          <w:sz w:val="21"/>
          <w:szCs w:val="21"/>
          <w:highlight w:val="none"/>
        </w:rPr>
        <w:t>盛装辅助试剂，以两套独立的试剂加样系统高效独立运行，互不干扰。</w:t>
      </w:r>
    </w:p>
    <w:p w14:paraId="5E025A06">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lang w:val="en-US" w:eastAsia="zh-CN" w:bidi="ar-SA"/>
        </w:rPr>
        <w:t>11.</w:t>
      </w:r>
      <w:r>
        <w:rPr>
          <w:rFonts w:hint="eastAsia" w:ascii="宋体" w:hAnsi="宋体" w:eastAsia="宋体" w:cs="宋体"/>
          <w:sz w:val="21"/>
          <w:szCs w:val="21"/>
          <w:highlight w:val="none"/>
        </w:rPr>
        <w:t>可提供设备配套二抗试剂同品牌的ER/PR符合NMPA要求的注册证或备案凭证。</w:t>
      </w:r>
    </w:p>
    <w:p w14:paraId="0763BFAD">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lang w:val="en-US" w:eastAsia="zh-CN" w:bidi="ar-SA"/>
        </w:rPr>
        <w:t>12.</w:t>
      </w:r>
      <w:r>
        <w:rPr>
          <w:rFonts w:hint="eastAsia" w:ascii="宋体" w:hAnsi="宋体" w:eastAsia="宋体" w:cs="宋体"/>
          <w:sz w:val="21"/>
          <w:szCs w:val="21"/>
          <w:highlight w:val="none"/>
        </w:rPr>
        <w:t>每个玻片位加热温度范围从室温至</w:t>
      </w:r>
      <w:r>
        <w:rPr>
          <w:rFonts w:hint="eastAsia" w:ascii="宋体" w:hAnsi="宋体" w:eastAsia="宋体" w:cs="宋体"/>
          <w:sz w:val="21"/>
          <w:szCs w:val="21"/>
          <w:highlight w:val="none"/>
          <w:lang w:val="en-US" w:eastAsia="zh-CN"/>
        </w:rPr>
        <w:t>110℃</w:t>
      </w:r>
      <w:r>
        <w:rPr>
          <w:rFonts w:hint="eastAsia" w:ascii="宋体" w:hAnsi="宋体" w:eastAsia="宋体" w:cs="宋体"/>
          <w:sz w:val="21"/>
          <w:szCs w:val="21"/>
          <w:highlight w:val="none"/>
        </w:rPr>
        <w:t>。</w:t>
      </w:r>
    </w:p>
    <w:p w14:paraId="003EB8F0">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Cs/>
          <w:color w:val="auto"/>
          <w:sz w:val="21"/>
          <w:szCs w:val="21"/>
          <w:highlight w:val="none"/>
        </w:rPr>
      </w:pPr>
      <w:r>
        <w:rPr>
          <w:rFonts w:hint="eastAsia" w:ascii="宋体" w:hAnsi="宋体" w:eastAsia="宋体" w:cs="宋体"/>
          <w:sz w:val="21"/>
          <w:szCs w:val="21"/>
          <w:highlight w:val="none"/>
        </w:rPr>
        <w:t>▲</w:t>
      </w:r>
      <w:r>
        <w:rPr>
          <w:rFonts w:hint="eastAsia" w:ascii="宋体" w:hAnsi="宋体" w:eastAsia="宋体" w:cs="宋体"/>
          <w:bCs/>
          <w:color w:val="auto"/>
          <w:sz w:val="21"/>
          <w:szCs w:val="21"/>
          <w:highlight w:val="none"/>
          <w:lang w:val="en-US" w:eastAsia="zh-CN" w:bidi="ar-SA"/>
        </w:rPr>
        <w:t>13.</w:t>
      </w:r>
      <w:r>
        <w:rPr>
          <w:rFonts w:hint="eastAsia" w:ascii="宋体" w:hAnsi="宋体" w:eastAsia="宋体" w:cs="宋体"/>
          <w:bCs/>
          <w:color w:val="auto"/>
          <w:sz w:val="21"/>
          <w:szCs w:val="21"/>
          <w:highlight w:val="none"/>
        </w:rPr>
        <w:t>试剂滴加量：</w:t>
      </w:r>
      <w:r>
        <w:rPr>
          <w:rFonts w:hint="eastAsia" w:ascii="宋体" w:hAnsi="宋体" w:eastAsia="宋体" w:cs="宋体"/>
          <w:b w:val="0"/>
          <w:bCs w:val="0"/>
          <w:color w:val="auto"/>
          <w:sz w:val="21"/>
          <w:szCs w:val="21"/>
          <w:highlight w:val="none"/>
        </w:rPr>
        <w:t>精准化加样方式，抗体滴加量根据组织大小可调80ul、100</w:t>
      </w:r>
      <w:r>
        <w:rPr>
          <w:rFonts w:hint="eastAsia" w:ascii="宋体" w:hAnsi="宋体" w:eastAsia="宋体" w:cs="宋体"/>
          <w:b w:val="0"/>
          <w:bCs w:val="0"/>
          <w:color w:val="auto"/>
          <w:sz w:val="21"/>
          <w:szCs w:val="21"/>
          <w:highlight w:val="none"/>
          <w:lang w:val="en-US" w:eastAsia="zh-CN"/>
        </w:rPr>
        <w:t>ul</w:t>
      </w:r>
      <w:r>
        <w:rPr>
          <w:rFonts w:hint="eastAsia" w:ascii="宋体" w:hAnsi="宋体" w:eastAsia="宋体" w:cs="宋体"/>
          <w:b w:val="0"/>
          <w:bCs w:val="0"/>
          <w:color w:val="auto"/>
          <w:sz w:val="21"/>
          <w:szCs w:val="21"/>
          <w:highlight w:val="none"/>
        </w:rPr>
        <w:t>、120ul、150ul，保证染色质量。组织覆盖完全，染色质量得以保证；</w:t>
      </w:r>
    </w:p>
    <w:p w14:paraId="44545D83">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Cs/>
          <w:color w:val="auto"/>
          <w:sz w:val="21"/>
          <w:szCs w:val="21"/>
          <w:highlight w:val="none"/>
        </w:rPr>
      </w:pPr>
      <w:r>
        <w:rPr>
          <w:rFonts w:hint="eastAsia" w:ascii="宋体" w:hAnsi="宋体" w:eastAsia="宋体" w:cs="宋体"/>
          <w:sz w:val="21"/>
          <w:szCs w:val="21"/>
          <w:highlight w:val="none"/>
        </w:rPr>
        <w:t>▲</w:t>
      </w:r>
      <w:r>
        <w:rPr>
          <w:rFonts w:hint="eastAsia" w:ascii="宋体" w:hAnsi="宋体" w:eastAsia="宋体" w:cs="宋体"/>
          <w:bCs/>
          <w:color w:val="auto"/>
          <w:sz w:val="21"/>
          <w:szCs w:val="21"/>
          <w:highlight w:val="none"/>
          <w:lang w:val="en-US" w:eastAsia="zh-CN" w:bidi="ar-SA"/>
        </w:rPr>
        <w:t>14.</w:t>
      </w:r>
      <w:r>
        <w:rPr>
          <w:rFonts w:hint="eastAsia" w:ascii="宋体" w:hAnsi="宋体" w:eastAsia="宋体" w:cs="宋体"/>
          <w:bCs/>
          <w:color w:val="auto"/>
          <w:sz w:val="21"/>
          <w:szCs w:val="21"/>
          <w:highlight w:val="none"/>
        </w:rPr>
        <w:t>试剂滴加方式：侧面负压吸附滴加，最大限度减少对组织切片的伤害。</w:t>
      </w:r>
    </w:p>
    <w:p w14:paraId="6ED2C56A">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lang w:val="en-US" w:eastAsia="zh-CN" w:bidi="ar-SA"/>
        </w:rPr>
        <w:t>15.</w:t>
      </w:r>
      <w:r>
        <w:rPr>
          <w:rFonts w:hint="eastAsia" w:ascii="宋体" w:hAnsi="宋体" w:eastAsia="宋体" w:cs="宋体"/>
          <w:b w:val="0"/>
          <w:bCs w:val="0"/>
          <w:sz w:val="21"/>
          <w:szCs w:val="21"/>
          <w:highlight w:val="none"/>
        </w:rPr>
        <w:t>独特盖片技术</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color w:val="000000"/>
          <w:kern w:val="0"/>
          <w:sz w:val="21"/>
          <w:szCs w:val="21"/>
          <w:highlight w:val="none"/>
          <w:lang w:val="en-US" w:eastAsia="zh-CN" w:bidi="ar"/>
        </w:rPr>
        <w:t>在染色过程中，</w:t>
      </w:r>
      <w:r>
        <w:rPr>
          <w:rFonts w:hint="eastAsia" w:ascii="宋体" w:hAnsi="宋体" w:eastAsia="宋体" w:cs="宋体"/>
          <w:b w:val="0"/>
          <w:bCs w:val="0"/>
          <w:sz w:val="21"/>
          <w:szCs w:val="21"/>
          <w:highlight w:val="none"/>
        </w:rPr>
        <w:t>可防止组织干片脱落现象，使抗体与组织充分结合，防止边缘效应及阶梯效应；</w:t>
      </w:r>
    </w:p>
    <w:p w14:paraId="31D4C43B">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bookmarkStart w:id="223" w:name="_Hlk161257742"/>
      <w:r>
        <w:rPr>
          <w:rFonts w:hint="eastAsia" w:ascii="宋体" w:hAnsi="宋体" w:eastAsia="宋体" w:cs="宋体"/>
          <w:sz w:val="21"/>
          <w:szCs w:val="21"/>
          <w:highlight w:val="none"/>
        </w:rPr>
        <w:t>▲</w:t>
      </w:r>
      <w:r>
        <w:rPr>
          <w:rFonts w:hint="eastAsia" w:ascii="宋体" w:hAnsi="宋体" w:eastAsia="宋体" w:cs="宋体"/>
          <w:bCs/>
          <w:sz w:val="21"/>
          <w:szCs w:val="21"/>
          <w:highlight w:val="none"/>
          <w:lang w:val="en-US" w:eastAsia="zh-CN" w:bidi="ar-SA"/>
        </w:rPr>
        <w:t>16.</w:t>
      </w:r>
      <w:r>
        <w:rPr>
          <w:rFonts w:hint="eastAsia" w:ascii="宋体" w:hAnsi="宋体" w:eastAsia="宋体" w:cs="宋体"/>
          <w:sz w:val="21"/>
          <w:szCs w:val="21"/>
          <w:highlight w:val="none"/>
        </w:rPr>
        <w:t>EBER探针采用杂交探针复合体，携带4个可检测标记物，该项技术具有自主知识产权。原位杂交与IHC可同时上机染色，方便管理。</w:t>
      </w:r>
    </w:p>
    <w:p w14:paraId="35D82311">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lang w:val="en-US" w:eastAsia="zh-CN" w:bidi="ar-SA"/>
        </w:rPr>
        <w:t>17.</w:t>
      </w:r>
      <w:bookmarkStart w:id="224" w:name="_Hlk180504861"/>
      <w:r>
        <w:rPr>
          <w:rFonts w:hint="eastAsia" w:ascii="宋体" w:hAnsi="宋体" w:eastAsia="宋体" w:cs="宋体"/>
          <w:sz w:val="21"/>
          <w:szCs w:val="21"/>
          <w:highlight w:val="none"/>
        </w:rPr>
        <w:t>一抗兼容性：设备可兼容市面上大部分免疫组化抗体试剂，软件支持针对不同疾病诊断指标套餐设置</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设备配套二抗试剂同品牌免疫组化抗体</w:t>
      </w:r>
      <w:r>
        <w:rPr>
          <w:rFonts w:hint="eastAsia" w:ascii="宋体" w:hAnsi="宋体" w:eastAsia="宋体" w:cs="宋体"/>
          <w:sz w:val="21"/>
          <w:szCs w:val="21"/>
          <w:highlight w:val="none"/>
          <w:lang w:val="en-US" w:eastAsia="zh-CN"/>
        </w:rPr>
        <w:t>＞500</w:t>
      </w:r>
      <w:r>
        <w:rPr>
          <w:rFonts w:hint="eastAsia" w:ascii="宋体" w:hAnsi="宋体" w:eastAsia="宋体" w:cs="宋体"/>
          <w:sz w:val="21"/>
          <w:szCs w:val="21"/>
          <w:highlight w:val="none"/>
        </w:rPr>
        <w:t>种，且有符合NMPA要求的注册证或备案凭证</w:t>
      </w:r>
      <w:r>
        <w:rPr>
          <w:rFonts w:hint="eastAsia" w:ascii="宋体" w:hAnsi="宋体" w:eastAsia="宋体" w:cs="宋体"/>
          <w:sz w:val="21"/>
          <w:szCs w:val="21"/>
          <w:highlight w:val="none"/>
          <w:lang w:eastAsia="zh-CN"/>
        </w:rPr>
        <w:t>。</w:t>
      </w:r>
    </w:p>
    <w:p w14:paraId="4D21F1B1">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lang w:val="en-US" w:eastAsia="zh-CN" w:bidi="ar-SA"/>
        </w:rPr>
        <w:t>18.</w:t>
      </w:r>
      <w:r>
        <w:rPr>
          <w:rFonts w:hint="eastAsia" w:ascii="宋体" w:hAnsi="宋体" w:eastAsia="宋体" w:cs="宋体"/>
          <w:sz w:val="21"/>
          <w:szCs w:val="21"/>
          <w:highlight w:val="none"/>
        </w:rPr>
        <w:t>设备配套二抗试剂同品牌的免疫组化抗体具备官方证明材料。</w:t>
      </w:r>
    </w:p>
    <w:bookmarkEnd w:id="224"/>
    <w:p w14:paraId="443D6C05">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lang w:val="en-US" w:eastAsia="zh-CN" w:bidi="ar-SA"/>
        </w:rPr>
        <w:t>19.</w:t>
      </w:r>
      <w:r>
        <w:rPr>
          <w:rFonts w:hint="eastAsia" w:ascii="宋体" w:hAnsi="宋体" w:eastAsia="宋体" w:cs="宋体"/>
          <w:sz w:val="21"/>
          <w:szCs w:val="21"/>
          <w:highlight w:val="none"/>
        </w:rPr>
        <w:t>设备上的染色流程</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具备官方证明材料。</w:t>
      </w:r>
    </w:p>
    <w:p w14:paraId="4F927826">
      <w:pPr>
        <w:pStyle w:val="3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lang w:val="en-US" w:eastAsia="zh-CN" w:bidi="ar-SA"/>
        </w:rPr>
        <w:t>20.</w:t>
      </w:r>
      <w:r>
        <w:rPr>
          <w:rFonts w:hint="eastAsia" w:ascii="宋体" w:hAnsi="宋体" w:eastAsia="宋体" w:cs="宋体"/>
          <w:bCs/>
          <w:sz w:val="21"/>
          <w:szCs w:val="21"/>
          <w:highlight w:val="none"/>
        </w:rPr>
        <w:t>标签打印及识别系统：含红外线和摄像头的OCR识别系统；可打印并识别条形码标签、二维码和文字标签；开放标签可被LIS连接的外部扫描系统识别；可通过LIS编辑打印标签。</w:t>
      </w:r>
      <w:bookmarkEnd w:id="223"/>
    </w:p>
    <w:bookmarkEnd w:id="220"/>
    <w:p w14:paraId="289C88CC">
      <w:pPr>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br w:type="page"/>
      </w:r>
    </w:p>
    <w:p w14:paraId="47AF3762">
      <w:pPr>
        <w:pStyle w:val="5"/>
        <w:jc w:val="left"/>
        <w:rPr>
          <w:rFonts w:cs="宋体" w:asciiTheme="minorEastAsia" w:hAnsiTheme="minorEastAsia" w:eastAsiaTheme="minorEastAsia"/>
          <w:b w:val="0"/>
          <w:bCs/>
          <w:sz w:val="21"/>
          <w:szCs w:val="21"/>
          <w:highlight w:val="none"/>
        </w:rPr>
      </w:pPr>
      <w:bookmarkStart w:id="225" w:name="_Toc10127"/>
      <w:r>
        <w:rPr>
          <w:rFonts w:hint="eastAsia" w:ascii="宋体" w:hAnsi="宋体" w:eastAsia="宋体"/>
          <w:sz w:val="32"/>
          <w:szCs w:val="32"/>
          <w:highlight w:val="none"/>
        </w:rPr>
        <w:t>标段4：</w:t>
      </w:r>
      <w:bookmarkEnd w:id="225"/>
    </w:p>
    <w:p w14:paraId="3A271908">
      <w:pPr>
        <w:pStyle w:val="2"/>
        <w:numPr>
          <w:ilvl w:val="0"/>
          <w:numId w:val="15"/>
        </w:numPr>
        <w:adjustRightInd w:val="0"/>
        <w:snapToGrid w:val="0"/>
        <w:spacing w:after="0" w:line="360" w:lineRule="auto"/>
        <w:ind w:left="0" w:leftChars="0" w:firstLine="420" w:firstLineChars="200"/>
        <w:rPr>
          <w:rFonts w:hint="eastAsia" w:ascii="宋体" w:hAnsi="宋体"/>
          <w:b w:val="0"/>
          <w:bCs/>
          <w:szCs w:val="21"/>
          <w:highlight w:val="none"/>
          <w:lang w:val="en-US" w:eastAsia="zh-CN"/>
        </w:rPr>
      </w:pPr>
      <w:r>
        <w:rPr>
          <w:rFonts w:hint="eastAsia" w:ascii="宋体" w:hAnsi="宋体"/>
          <w:b w:val="0"/>
          <w:bCs/>
          <w:szCs w:val="21"/>
          <w:highlight w:val="none"/>
          <w:lang w:val="en-US" w:eastAsia="zh-CN"/>
        </w:rPr>
        <w:t>全自动血型分析仪1台</w:t>
      </w:r>
    </w:p>
    <w:tbl>
      <w:tblPr>
        <w:tblStyle w:val="31"/>
        <w:tblpPr w:leftFromText="180" w:rightFromText="180" w:vertAnchor="text" w:horzAnchor="page" w:tblpX="1796" w:tblpY="295"/>
        <w:tblOverlap w:val="never"/>
        <w:tblW w:w="87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0"/>
        <w:gridCol w:w="7708"/>
      </w:tblGrid>
      <w:tr w14:paraId="554F3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noWrap w:val="0"/>
            <w:vAlign w:val="center"/>
          </w:tcPr>
          <w:p w14:paraId="13805DA3">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序号</w:t>
            </w:r>
          </w:p>
        </w:tc>
        <w:tc>
          <w:tcPr>
            <w:tcW w:w="7708" w:type="dxa"/>
            <w:noWrap w:val="0"/>
            <w:vAlign w:val="center"/>
          </w:tcPr>
          <w:p w14:paraId="5CC4EF56">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技术参数要求</w:t>
            </w:r>
          </w:p>
        </w:tc>
      </w:tr>
      <w:tr w14:paraId="71FEF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noWrap w:val="0"/>
            <w:vAlign w:val="center"/>
          </w:tcPr>
          <w:p w14:paraId="1874733B">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w:t>
            </w:r>
          </w:p>
        </w:tc>
        <w:tc>
          <w:tcPr>
            <w:tcW w:w="7708" w:type="dxa"/>
            <w:noWrap w:val="0"/>
            <w:vAlign w:val="center"/>
          </w:tcPr>
          <w:p w14:paraId="5A5F80A1">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样本位：≥96个样本位。</w:t>
            </w:r>
          </w:p>
        </w:tc>
      </w:tr>
      <w:tr w14:paraId="09FB5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1020" w:type="dxa"/>
            <w:noWrap w:val="0"/>
            <w:vAlign w:val="center"/>
          </w:tcPr>
          <w:p w14:paraId="4135D7BA">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2</w:t>
            </w:r>
          </w:p>
        </w:tc>
        <w:tc>
          <w:tcPr>
            <w:tcW w:w="7708" w:type="dxa"/>
            <w:noWrap w:val="0"/>
            <w:vAlign w:val="center"/>
          </w:tcPr>
          <w:p w14:paraId="06D07E92">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试剂位：≥14个试剂位，具有自动混匀功能。</w:t>
            </w:r>
          </w:p>
        </w:tc>
      </w:tr>
      <w:tr w14:paraId="4CD51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noWrap w:val="0"/>
            <w:vAlign w:val="center"/>
          </w:tcPr>
          <w:p w14:paraId="193881B7">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3</w:t>
            </w:r>
          </w:p>
        </w:tc>
        <w:tc>
          <w:tcPr>
            <w:tcW w:w="7708" w:type="dxa"/>
            <w:noWrap w:val="0"/>
            <w:vAlign w:val="center"/>
          </w:tcPr>
          <w:p w14:paraId="0E120921">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配套</w:t>
            </w:r>
            <w:r>
              <w:rPr>
                <w:rFonts w:hint="eastAsia" w:ascii="宋体" w:hAnsi="宋体" w:cs="宋体"/>
                <w:sz w:val="21"/>
                <w:szCs w:val="21"/>
                <w:highlight w:val="none"/>
                <w:vertAlign w:val="baseline"/>
                <w:lang w:eastAsia="zh-CN"/>
              </w:rPr>
              <w:t>工作站</w:t>
            </w:r>
            <w:r>
              <w:rPr>
                <w:rFonts w:hint="eastAsia" w:ascii="宋体" w:hAnsi="宋体" w:eastAsia="宋体" w:cs="宋体"/>
                <w:sz w:val="21"/>
                <w:szCs w:val="21"/>
                <w:highlight w:val="none"/>
                <w:vertAlign w:val="baseline"/>
              </w:rPr>
              <w:t>：配置摇臂触摸屏幕电脑，触摸屏≥23.8寸。</w:t>
            </w:r>
          </w:p>
        </w:tc>
      </w:tr>
      <w:tr w14:paraId="74E15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noWrap w:val="0"/>
            <w:vAlign w:val="center"/>
          </w:tcPr>
          <w:p w14:paraId="6BB5F524">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★4</w:t>
            </w:r>
          </w:p>
        </w:tc>
        <w:tc>
          <w:tcPr>
            <w:tcW w:w="7708" w:type="dxa"/>
            <w:noWrap w:val="0"/>
            <w:vAlign w:val="center"/>
          </w:tcPr>
          <w:p w14:paraId="542E8CD3">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凝胶卡位：≥12</w:t>
            </w:r>
            <w:r>
              <w:rPr>
                <w:rFonts w:hint="eastAsia" w:ascii="宋体" w:hAnsi="宋体" w:eastAsia="宋体" w:cs="宋体"/>
                <w:sz w:val="21"/>
                <w:szCs w:val="21"/>
                <w:highlight w:val="none"/>
                <w:vertAlign w:val="baseline"/>
                <w:lang w:val="en-US" w:eastAsia="zh-CN"/>
              </w:rPr>
              <w:t>0</w:t>
            </w:r>
            <w:r>
              <w:rPr>
                <w:rFonts w:hint="eastAsia" w:ascii="宋体" w:hAnsi="宋体" w:eastAsia="宋体" w:cs="宋体"/>
                <w:sz w:val="21"/>
                <w:szCs w:val="21"/>
                <w:highlight w:val="none"/>
                <w:vertAlign w:val="baseline"/>
              </w:rPr>
              <w:t>卡位。</w:t>
            </w:r>
          </w:p>
        </w:tc>
      </w:tr>
      <w:tr w14:paraId="565A8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noWrap w:val="0"/>
            <w:vAlign w:val="center"/>
          </w:tcPr>
          <w:p w14:paraId="41B3AF60">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5</w:t>
            </w:r>
          </w:p>
        </w:tc>
        <w:tc>
          <w:tcPr>
            <w:tcW w:w="7708" w:type="dxa"/>
            <w:noWrap w:val="0"/>
            <w:vAlign w:val="center"/>
          </w:tcPr>
          <w:p w14:paraId="7DB7DDDE">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载体类型及方法学：可同时使用6 孔、8 孔微柱凝胶卡作为载体，方法学为微柱凝胶法。</w:t>
            </w:r>
          </w:p>
        </w:tc>
      </w:tr>
      <w:tr w14:paraId="3BB1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noWrap w:val="0"/>
            <w:vAlign w:val="center"/>
          </w:tcPr>
          <w:p w14:paraId="11B9F31E">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★6</w:t>
            </w:r>
          </w:p>
        </w:tc>
        <w:tc>
          <w:tcPr>
            <w:tcW w:w="7708" w:type="dxa"/>
            <w:noWrap w:val="0"/>
            <w:vAlign w:val="center"/>
          </w:tcPr>
          <w:p w14:paraId="6860B07F">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检测速度：≥800测试/小时。</w:t>
            </w:r>
          </w:p>
        </w:tc>
      </w:tr>
      <w:tr w14:paraId="3AC43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20" w:type="dxa"/>
            <w:noWrap w:val="0"/>
            <w:vAlign w:val="center"/>
          </w:tcPr>
          <w:p w14:paraId="00D1B8AF">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★7</w:t>
            </w:r>
          </w:p>
        </w:tc>
        <w:tc>
          <w:tcPr>
            <w:tcW w:w="7708" w:type="dxa"/>
            <w:noWrap w:val="0"/>
            <w:vAlign w:val="center"/>
          </w:tcPr>
          <w:p w14:paraId="34CD740A">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加样系统：</w:t>
            </w:r>
          </w:p>
          <w:p w14:paraId="40064601">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(1)两个独立加样通道,用于样本、稀释液和试剂红细胞的分配;</w:t>
            </w:r>
          </w:p>
          <w:p w14:paraId="25A2C2A4">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(2)一次性TIP头,自动检测TIP头装载情况，具有液面探测功能、凝块检测功能、样本稀释功能；</w:t>
            </w:r>
          </w:p>
          <w:p w14:paraId="7C9DDDFD">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(3)使用96 孔板稀释样本红细胞,实现稀释液的自动分配以及样本的自动稀释混匀，可搭载≥2个稀释板。</w:t>
            </w:r>
          </w:p>
        </w:tc>
      </w:tr>
      <w:tr w14:paraId="39E27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noWrap w:val="0"/>
            <w:vAlign w:val="center"/>
          </w:tcPr>
          <w:p w14:paraId="3DC719EE">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8</w:t>
            </w:r>
          </w:p>
        </w:tc>
        <w:tc>
          <w:tcPr>
            <w:tcW w:w="7708" w:type="dxa"/>
            <w:noWrap w:val="0"/>
            <w:vAlign w:val="center"/>
          </w:tcPr>
          <w:p w14:paraId="01372EEC">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加样范围：10～1000μl</w:t>
            </w:r>
          </w:p>
        </w:tc>
      </w:tr>
      <w:tr w14:paraId="38AF8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noWrap w:val="0"/>
            <w:vAlign w:val="center"/>
          </w:tcPr>
          <w:p w14:paraId="0FC69420">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9</w:t>
            </w:r>
          </w:p>
        </w:tc>
        <w:tc>
          <w:tcPr>
            <w:tcW w:w="7708" w:type="dxa"/>
            <w:noWrap w:val="0"/>
            <w:vAlign w:val="center"/>
          </w:tcPr>
          <w:p w14:paraId="4ADD85AE">
            <w:pPr>
              <w:ind w:firstLine="420" w:firstLineChars="200"/>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rPr>
              <w:t>加样量 (μl）</w:t>
            </w:r>
            <w:r>
              <w:rPr>
                <w:rFonts w:hint="eastAsia" w:ascii="宋体" w:hAnsi="宋体" w:eastAsia="宋体" w:cs="宋体"/>
                <w:sz w:val="21"/>
                <w:szCs w:val="21"/>
                <w:highlight w:val="none"/>
                <w:vertAlign w:val="baseline"/>
                <w:lang w:val="en-US" w:eastAsia="zh-CN"/>
              </w:rPr>
              <w:t xml:space="preserve">           精密度 CV(%)               准确度(%)</w:t>
            </w:r>
          </w:p>
          <w:p w14:paraId="6EC60BD3">
            <w:pPr>
              <w:ind w:firstLine="630" w:firstLineChars="300"/>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rPr>
              <w:t>10</w:t>
            </w:r>
            <w:r>
              <w:rPr>
                <w:rFonts w:hint="eastAsia" w:ascii="宋体" w:hAnsi="宋体" w:eastAsia="宋体" w:cs="宋体"/>
                <w:sz w:val="21"/>
                <w:szCs w:val="21"/>
                <w:highlight w:val="none"/>
                <w:vertAlign w:val="baseline"/>
                <w:lang w:val="en-US" w:eastAsia="zh-CN"/>
              </w:rPr>
              <w:t xml:space="preserve">                       ≤3.0                     ±5.0  </w:t>
            </w:r>
          </w:p>
          <w:p w14:paraId="05EAE249">
            <w:pPr>
              <w:ind w:firstLine="630" w:firstLineChars="300"/>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rPr>
              <w:t>100</w:t>
            </w:r>
            <w:r>
              <w:rPr>
                <w:rFonts w:hint="eastAsia" w:ascii="宋体" w:hAnsi="宋体" w:eastAsia="宋体" w:cs="宋体"/>
                <w:sz w:val="21"/>
                <w:szCs w:val="21"/>
                <w:highlight w:val="none"/>
                <w:vertAlign w:val="baseline"/>
                <w:lang w:val="en-US" w:eastAsia="zh-CN"/>
              </w:rPr>
              <w:t xml:space="preserve">                      ≤1.0                     ±1.0 </w:t>
            </w:r>
          </w:p>
          <w:p w14:paraId="4DE10B20">
            <w:pPr>
              <w:ind w:firstLine="630" w:firstLineChars="300"/>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rPr>
              <w:t>1000</w:t>
            </w:r>
            <w:r>
              <w:rPr>
                <w:rFonts w:hint="eastAsia" w:ascii="宋体" w:hAnsi="宋体" w:eastAsia="宋体" w:cs="宋体"/>
                <w:sz w:val="21"/>
                <w:szCs w:val="21"/>
                <w:highlight w:val="none"/>
                <w:vertAlign w:val="baseline"/>
                <w:lang w:val="en-US" w:eastAsia="zh-CN"/>
              </w:rPr>
              <w:t xml:space="preserve">                     ≤0.5                     ±0.9</w:t>
            </w:r>
          </w:p>
        </w:tc>
      </w:tr>
      <w:tr w14:paraId="71245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1020" w:type="dxa"/>
            <w:noWrap w:val="0"/>
            <w:vAlign w:val="center"/>
          </w:tcPr>
          <w:p w14:paraId="2A7AC46F">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★10</w:t>
            </w:r>
          </w:p>
        </w:tc>
        <w:tc>
          <w:tcPr>
            <w:tcW w:w="7708" w:type="dxa"/>
            <w:noWrap w:val="0"/>
            <w:vAlign w:val="center"/>
          </w:tcPr>
          <w:p w14:paraId="76065AE4">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打孔装置：</w:t>
            </w:r>
            <w:r>
              <w:rPr>
                <w:rFonts w:hint="default" w:ascii="宋体" w:hAnsi="宋体" w:cs="宋体"/>
                <w:sz w:val="21"/>
                <w:szCs w:val="21"/>
                <w:highlight w:val="none"/>
                <w:vertAlign w:val="baseline"/>
              </w:rPr>
              <w:t xml:space="preserve"> </w:t>
            </w:r>
            <w:r>
              <w:rPr>
                <w:rFonts w:hint="eastAsia" w:ascii="宋体" w:hAnsi="宋体" w:cs="宋体"/>
                <w:sz w:val="21"/>
                <w:szCs w:val="21"/>
                <w:highlight w:val="none"/>
                <w:vertAlign w:val="baseline"/>
                <w:lang w:val="en-US" w:eastAsia="zh-Hans"/>
              </w:rPr>
              <w:t>具备智能打孔功能</w:t>
            </w:r>
          </w:p>
        </w:tc>
      </w:tr>
      <w:tr w14:paraId="692C5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noWrap w:val="0"/>
            <w:vAlign w:val="center"/>
          </w:tcPr>
          <w:p w14:paraId="7A2C938D">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w:t>
            </w:r>
            <w:r>
              <w:rPr>
                <w:rFonts w:hint="eastAsia" w:ascii="宋体" w:hAnsi="宋体" w:eastAsia="宋体" w:cs="宋体"/>
                <w:sz w:val="21"/>
                <w:szCs w:val="21"/>
                <w:highlight w:val="none"/>
                <w:vertAlign w:val="baseline"/>
                <w:lang w:val="en-US" w:eastAsia="zh-CN"/>
              </w:rPr>
              <w:t>11</w:t>
            </w:r>
          </w:p>
        </w:tc>
        <w:tc>
          <w:tcPr>
            <w:tcW w:w="7708" w:type="dxa"/>
            <w:noWrap w:val="0"/>
            <w:vAlign w:val="center"/>
          </w:tcPr>
          <w:p w14:paraId="38F9FB57">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离心系统：≥2 台独立的封闭式离心机，同时离心≥24张卡。</w:t>
            </w:r>
          </w:p>
        </w:tc>
      </w:tr>
      <w:tr w14:paraId="7C9E5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noWrap w:val="0"/>
            <w:vAlign w:val="center"/>
          </w:tcPr>
          <w:p w14:paraId="24D062A2">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12</w:t>
            </w:r>
          </w:p>
        </w:tc>
        <w:tc>
          <w:tcPr>
            <w:tcW w:w="7708" w:type="dxa"/>
            <w:noWrap w:val="0"/>
            <w:vAlign w:val="center"/>
          </w:tcPr>
          <w:p w14:paraId="3C462DB4">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孵育系统：孵育温度 37℃±2℃。</w:t>
            </w:r>
          </w:p>
        </w:tc>
      </w:tr>
      <w:tr w14:paraId="4F5E6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020" w:type="dxa"/>
            <w:noWrap w:val="0"/>
            <w:vAlign w:val="center"/>
          </w:tcPr>
          <w:p w14:paraId="169C4DA0">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w:t>
            </w:r>
            <w:r>
              <w:rPr>
                <w:rFonts w:hint="eastAsia" w:ascii="宋体" w:hAnsi="宋体" w:eastAsia="宋体" w:cs="宋体"/>
                <w:sz w:val="21"/>
                <w:szCs w:val="21"/>
                <w:highlight w:val="none"/>
                <w:vertAlign w:val="baseline"/>
                <w:lang w:val="en-US" w:eastAsia="zh-CN"/>
              </w:rPr>
              <w:t>13</w:t>
            </w:r>
          </w:p>
        </w:tc>
        <w:tc>
          <w:tcPr>
            <w:tcW w:w="7708" w:type="dxa"/>
            <w:noWrap w:val="0"/>
            <w:vAlign w:val="center"/>
          </w:tcPr>
          <w:p w14:paraId="0ECAD758">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成像系统：双面拍照成像;前后光源，高清彩色成像系统,图像清晰、真实、直观,原始影像图片可永久保存。</w:t>
            </w:r>
          </w:p>
        </w:tc>
      </w:tr>
      <w:tr w14:paraId="3CC8B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noWrap w:val="0"/>
            <w:vAlign w:val="center"/>
          </w:tcPr>
          <w:p w14:paraId="54640372">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w:t>
            </w:r>
            <w:r>
              <w:rPr>
                <w:rFonts w:hint="eastAsia" w:ascii="宋体" w:hAnsi="宋体" w:eastAsia="宋体" w:cs="宋体"/>
                <w:sz w:val="21"/>
                <w:szCs w:val="21"/>
                <w:highlight w:val="none"/>
                <w:vertAlign w:val="baseline"/>
                <w:lang w:val="en-US" w:eastAsia="zh-CN"/>
              </w:rPr>
              <w:t>14</w:t>
            </w:r>
          </w:p>
        </w:tc>
        <w:tc>
          <w:tcPr>
            <w:tcW w:w="7708" w:type="dxa"/>
            <w:noWrap w:val="0"/>
            <w:vAlign w:val="center"/>
          </w:tcPr>
          <w:p w14:paraId="1B6C2E30">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条码扫描：装载时自动扫描样本、试剂条码,测试中自动扫描凝胶卡条码,支持多种格式条形码。</w:t>
            </w:r>
          </w:p>
        </w:tc>
      </w:tr>
      <w:tr w14:paraId="3CCC1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noWrap w:val="0"/>
            <w:vAlign w:val="center"/>
          </w:tcPr>
          <w:p w14:paraId="05723595">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★15</w:t>
            </w:r>
          </w:p>
        </w:tc>
        <w:tc>
          <w:tcPr>
            <w:tcW w:w="7708" w:type="dxa"/>
            <w:noWrap w:val="0"/>
            <w:vAlign w:val="center"/>
          </w:tcPr>
          <w:p w14:paraId="46113213">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耗材管理：运行状态下,支持样本、试剂、耗材在线装卸;支持凝胶卡原包装整盒上机。</w:t>
            </w:r>
          </w:p>
        </w:tc>
      </w:tr>
      <w:tr w14:paraId="23C4E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noWrap w:val="0"/>
            <w:vAlign w:val="center"/>
          </w:tcPr>
          <w:p w14:paraId="40CA4E5D">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16</w:t>
            </w:r>
          </w:p>
        </w:tc>
        <w:tc>
          <w:tcPr>
            <w:tcW w:w="7708" w:type="dxa"/>
            <w:noWrap w:val="0"/>
            <w:vAlign w:val="center"/>
          </w:tcPr>
          <w:p w14:paraId="4352B055">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数据传输：支持与LIS系统双向通讯,可自动/手动传输测试结果。</w:t>
            </w:r>
          </w:p>
        </w:tc>
      </w:tr>
      <w:tr w14:paraId="48361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noWrap w:val="0"/>
            <w:vAlign w:val="center"/>
          </w:tcPr>
          <w:p w14:paraId="365B8CDE">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17</w:t>
            </w:r>
          </w:p>
        </w:tc>
        <w:tc>
          <w:tcPr>
            <w:tcW w:w="7708" w:type="dxa"/>
            <w:noWrap w:val="0"/>
            <w:vAlign w:val="center"/>
          </w:tcPr>
          <w:p w14:paraId="7DDA4FDD">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生物安全：废 TIP、废卡封闭式管理, 防止生物危害;封闭式操作, 防止测试过程中对操作人员造成伤害。</w:t>
            </w:r>
          </w:p>
        </w:tc>
      </w:tr>
      <w:tr w14:paraId="5455D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noWrap w:val="0"/>
            <w:vAlign w:val="center"/>
          </w:tcPr>
          <w:p w14:paraId="45FDD16F">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18</w:t>
            </w:r>
          </w:p>
        </w:tc>
        <w:tc>
          <w:tcPr>
            <w:tcW w:w="7708" w:type="dxa"/>
            <w:noWrap w:val="0"/>
            <w:vAlign w:val="center"/>
          </w:tcPr>
          <w:p w14:paraId="2B844447">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检测项目：</w:t>
            </w:r>
          </w:p>
          <w:p w14:paraId="643547C0">
            <w:pPr>
              <w:numPr>
                <w:ilvl w:val="0"/>
                <w:numId w:val="16"/>
              </w:num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ABO</w:t>
            </w:r>
            <w:r>
              <w:rPr>
                <w:rFonts w:hint="eastAsia" w:ascii="宋体" w:hAnsi="宋体" w:eastAsia="宋体" w:cs="宋体"/>
                <w:sz w:val="21"/>
                <w:szCs w:val="21"/>
                <w:highlight w:val="none"/>
                <w:vertAlign w:val="baseline"/>
                <w:lang w:eastAsia="zh-CN"/>
              </w:rPr>
              <w:t>、</w:t>
            </w:r>
            <w:r>
              <w:rPr>
                <w:rFonts w:hint="eastAsia" w:ascii="宋体" w:hAnsi="宋体" w:eastAsia="宋体" w:cs="宋体"/>
                <w:sz w:val="21"/>
                <w:szCs w:val="21"/>
                <w:highlight w:val="none"/>
                <w:vertAlign w:val="baseline"/>
              </w:rPr>
              <w:t>RhD血型正反定型检测；</w:t>
            </w:r>
          </w:p>
          <w:p w14:paraId="5322A84C">
            <w:pPr>
              <w:numPr>
                <w:ilvl w:val="0"/>
                <w:numId w:val="16"/>
              </w:num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ABO、RhD血型检测；</w:t>
            </w:r>
          </w:p>
          <w:p w14:paraId="25A66E68">
            <w:pPr>
              <w:numPr>
                <w:ilvl w:val="0"/>
                <w:numId w:val="16"/>
              </w:num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独立的ABO血型正定型检测</w:t>
            </w:r>
            <w:r>
              <w:rPr>
                <w:rFonts w:hint="eastAsia" w:ascii="宋体" w:hAnsi="宋体" w:eastAsia="宋体" w:cs="宋体"/>
                <w:sz w:val="21"/>
                <w:szCs w:val="21"/>
                <w:highlight w:val="none"/>
                <w:vertAlign w:val="baseline"/>
                <w:lang w:eastAsia="zh-CN"/>
              </w:rPr>
              <w:t>；</w:t>
            </w:r>
          </w:p>
          <w:p w14:paraId="508B434B">
            <w:pPr>
              <w:numPr>
                <w:ilvl w:val="0"/>
                <w:numId w:val="16"/>
              </w:num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独立的ABO血型反定型检测；</w:t>
            </w:r>
          </w:p>
          <w:p w14:paraId="3F1D1D41">
            <w:pPr>
              <w:numPr>
                <w:ilvl w:val="0"/>
                <w:numId w:val="16"/>
              </w:num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不规则抗体筛检；</w:t>
            </w:r>
          </w:p>
          <w:p w14:paraId="55667140">
            <w:pPr>
              <w:numPr>
                <w:ilvl w:val="0"/>
                <w:numId w:val="16"/>
              </w:num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交叉配血检测；</w:t>
            </w:r>
          </w:p>
          <w:p w14:paraId="061D80F9">
            <w:pPr>
              <w:numPr>
                <w:ilvl w:val="0"/>
                <w:numId w:val="16"/>
              </w:num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Rh 血型抗原检测；</w:t>
            </w:r>
          </w:p>
          <w:p w14:paraId="327C50D1">
            <w:pPr>
              <w:numPr>
                <w:ilvl w:val="0"/>
                <w:numId w:val="16"/>
              </w:num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直抗分型检测；</w:t>
            </w:r>
          </w:p>
          <w:p w14:paraId="03BAD911">
            <w:pPr>
              <w:numPr>
                <w:ilvl w:val="0"/>
                <w:numId w:val="16"/>
              </w:num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室内质控。</w:t>
            </w:r>
          </w:p>
        </w:tc>
      </w:tr>
      <w:tr w14:paraId="146CC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noWrap w:val="0"/>
            <w:vAlign w:val="center"/>
          </w:tcPr>
          <w:p w14:paraId="5BEF5D26">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19</w:t>
            </w:r>
          </w:p>
        </w:tc>
        <w:tc>
          <w:tcPr>
            <w:tcW w:w="7708" w:type="dxa"/>
            <w:noWrap w:val="0"/>
            <w:vAlign w:val="center"/>
          </w:tcPr>
          <w:p w14:paraId="527D5F61">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软件功能：</w:t>
            </w:r>
          </w:p>
          <w:p w14:paraId="27BACD69">
            <w:pPr>
              <w:numPr>
                <w:ilvl w:val="0"/>
                <w:numId w:val="17"/>
              </w:num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运行状态实时检测;</w:t>
            </w:r>
          </w:p>
          <w:p w14:paraId="363AFAB4">
            <w:pPr>
              <w:numPr>
                <w:ilvl w:val="0"/>
                <w:numId w:val="17"/>
              </w:num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异常状态报警,提醒操作人员注意;异常检测结果、特殊检测结果自动提示;</w:t>
            </w:r>
          </w:p>
          <w:p w14:paraId="293691C8">
            <w:pPr>
              <w:numPr>
                <w:ilvl w:val="0"/>
                <w:numId w:val="17"/>
              </w:num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运行过程记录追踪，数据和图像自动备份;</w:t>
            </w:r>
          </w:p>
          <w:p w14:paraId="47C7BC89">
            <w:pPr>
              <w:numPr>
                <w:ilvl w:val="0"/>
                <w:numId w:val="17"/>
              </w:num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日志管理,便于追溯查源；</w:t>
            </w:r>
          </w:p>
          <w:p w14:paraId="671DF135">
            <w:pPr>
              <w:numPr>
                <w:ilvl w:val="0"/>
                <w:numId w:val="17"/>
              </w:num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支持检测结果批量审核及上传实验室管理系统；</w:t>
            </w:r>
          </w:p>
          <w:p w14:paraId="38C7B8F7">
            <w:pPr>
              <w:numPr>
                <w:ilvl w:val="0"/>
                <w:numId w:val="17"/>
              </w:num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TIP头、稀释板使用状态记忆功能;</w:t>
            </w:r>
          </w:p>
          <w:p w14:paraId="39E03900">
            <w:pPr>
              <w:numPr>
                <w:ilvl w:val="0"/>
                <w:numId w:val="17"/>
              </w:num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试剂、耗材余量实时监测、自动提示余量不足。</w:t>
            </w:r>
          </w:p>
        </w:tc>
      </w:tr>
      <w:tr w14:paraId="1CE13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020" w:type="dxa"/>
            <w:noWrap w:val="0"/>
            <w:vAlign w:val="center"/>
          </w:tcPr>
          <w:p w14:paraId="7AD5A123">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20</w:t>
            </w:r>
          </w:p>
        </w:tc>
        <w:tc>
          <w:tcPr>
            <w:tcW w:w="7708" w:type="dxa"/>
            <w:noWrap w:val="0"/>
            <w:vAlign w:val="center"/>
          </w:tcPr>
          <w:p w14:paraId="4546B323">
            <w:pPr>
              <w:jc w:val="both"/>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急诊功能：具备急诊通道，可手动设置样本紧急程度，保证急诊样本优先出具结果。</w:t>
            </w:r>
          </w:p>
        </w:tc>
      </w:tr>
      <w:tr w14:paraId="2EDAC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20" w:type="dxa"/>
            <w:noWrap w:val="0"/>
            <w:vAlign w:val="center"/>
          </w:tcPr>
          <w:p w14:paraId="4AFF16DC">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21</w:t>
            </w:r>
          </w:p>
        </w:tc>
        <w:tc>
          <w:tcPr>
            <w:tcW w:w="7708" w:type="dxa"/>
            <w:noWrap w:val="0"/>
            <w:vAlign w:val="center"/>
          </w:tcPr>
          <w:p w14:paraId="31EE3951">
            <w:pPr>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随主机配备一台可容纳12张卡医用离心机及一台可容纳24张卡试剂卡孵育器。</w:t>
            </w:r>
          </w:p>
        </w:tc>
      </w:tr>
    </w:tbl>
    <w:p w14:paraId="5EBFACF5">
      <w:pPr>
        <w:rPr>
          <w:rFonts w:asciiTheme="minorEastAsia" w:hAnsiTheme="minorEastAsia" w:eastAsiaTheme="minorEastAsia"/>
          <w:szCs w:val="21"/>
          <w:highlight w:val="none"/>
        </w:rPr>
      </w:pPr>
      <w:r>
        <w:rPr>
          <w:rFonts w:hint="eastAsia" w:ascii="宋体" w:hAnsi="宋体"/>
          <w:b w:val="0"/>
          <w:bCs/>
          <w:szCs w:val="21"/>
          <w:highlight w:val="none"/>
          <w:lang w:val="en-US" w:eastAsia="zh-CN"/>
        </w:rPr>
        <w:br w:type="page"/>
      </w:r>
    </w:p>
    <w:p w14:paraId="1319C682">
      <w:pPr>
        <w:pStyle w:val="2"/>
        <w:numPr>
          <w:ilvl w:val="0"/>
          <w:numId w:val="15"/>
        </w:numPr>
        <w:adjustRightInd w:val="0"/>
        <w:snapToGrid w:val="0"/>
        <w:spacing w:after="0" w:line="360" w:lineRule="auto"/>
        <w:ind w:left="0" w:leftChars="0" w:firstLine="420" w:firstLineChars="200"/>
        <w:rPr>
          <w:rFonts w:asciiTheme="minorEastAsia" w:hAnsiTheme="minorEastAsia" w:eastAsiaTheme="minorEastAsia"/>
          <w:szCs w:val="21"/>
          <w:highlight w:val="none"/>
        </w:rPr>
      </w:pPr>
      <w:r>
        <w:rPr>
          <w:rFonts w:hint="eastAsia" w:ascii="宋体" w:hAnsi="宋体"/>
          <w:b w:val="0"/>
          <w:bCs/>
          <w:szCs w:val="21"/>
          <w:highlight w:val="none"/>
          <w:lang w:val="en-US" w:eastAsia="zh-CN"/>
        </w:rPr>
        <w:t>全自动化学发光免疫分析仪1台</w:t>
      </w:r>
    </w:p>
    <w:tbl>
      <w:tblPr>
        <w:tblStyle w:val="30"/>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1986"/>
        <w:gridCol w:w="6891"/>
      </w:tblGrid>
      <w:tr w14:paraId="19CBF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729" w:type="dxa"/>
            <w:noWrap w:val="0"/>
            <w:vAlign w:val="top"/>
          </w:tcPr>
          <w:p w14:paraId="0221A68B">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1986" w:type="dxa"/>
            <w:noWrap w:val="0"/>
            <w:vAlign w:val="top"/>
          </w:tcPr>
          <w:p w14:paraId="0D95DFA4">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技术规格</w:t>
            </w:r>
          </w:p>
        </w:tc>
        <w:tc>
          <w:tcPr>
            <w:tcW w:w="6891" w:type="dxa"/>
            <w:noWrap w:val="0"/>
            <w:vAlign w:val="top"/>
          </w:tcPr>
          <w:p w14:paraId="529156FF">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招标要求</w:t>
            </w:r>
          </w:p>
        </w:tc>
      </w:tr>
      <w:tr w14:paraId="2105A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729" w:type="dxa"/>
            <w:noWrap w:val="0"/>
            <w:vAlign w:val="center"/>
          </w:tcPr>
          <w:p w14:paraId="3E973CCC">
            <w:pPr>
              <w:spacing w:line="360" w:lineRule="auto"/>
              <w:jc w:val="center"/>
              <w:rPr>
                <w:rFonts w:hint="eastAsia" w:ascii="宋体" w:hAnsi="宋体" w:eastAsia="宋体" w:cs="宋体"/>
                <w:bCs/>
                <w:sz w:val="21"/>
                <w:szCs w:val="21"/>
                <w:highlight w:val="none"/>
              </w:rPr>
            </w:pPr>
            <w:r>
              <w:rPr>
                <w:rFonts w:hint="eastAsia" w:ascii="宋体" w:hAnsi="宋体" w:eastAsia="宋体" w:cs="宋体"/>
                <w:bCs/>
                <w:color w:val="000000"/>
                <w:sz w:val="21"/>
                <w:szCs w:val="21"/>
                <w:highlight w:val="none"/>
              </w:rPr>
              <w:t>★</w:t>
            </w:r>
            <w:r>
              <w:rPr>
                <w:rFonts w:hint="eastAsia" w:ascii="宋体" w:hAnsi="宋体" w:eastAsia="宋体" w:cs="宋体"/>
                <w:bCs/>
                <w:sz w:val="21"/>
                <w:szCs w:val="21"/>
                <w:highlight w:val="none"/>
              </w:rPr>
              <w:t>1</w:t>
            </w:r>
          </w:p>
        </w:tc>
        <w:tc>
          <w:tcPr>
            <w:tcW w:w="1986" w:type="dxa"/>
            <w:noWrap w:val="0"/>
            <w:vAlign w:val="center"/>
          </w:tcPr>
          <w:p w14:paraId="5BF68D9F">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检测原理</w:t>
            </w:r>
          </w:p>
        </w:tc>
        <w:tc>
          <w:tcPr>
            <w:tcW w:w="6891" w:type="dxa"/>
            <w:noWrap w:val="0"/>
            <w:vAlign w:val="top"/>
          </w:tcPr>
          <w:p w14:paraId="1899FF39">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微粒子酶促化学发光</w:t>
            </w:r>
          </w:p>
        </w:tc>
      </w:tr>
      <w:tr w14:paraId="775FD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29" w:type="dxa"/>
            <w:noWrap w:val="0"/>
            <w:vAlign w:val="center"/>
          </w:tcPr>
          <w:p w14:paraId="344EC23D">
            <w:pPr>
              <w:spacing w:line="360" w:lineRule="auto"/>
              <w:jc w:val="center"/>
              <w:rPr>
                <w:rFonts w:hint="eastAsia" w:ascii="宋体" w:hAnsi="宋体" w:eastAsia="宋体" w:cs="宋体"/>
                <w:bCs/>
                <w:sz w:val="21"/>
                <w:szCs w:val="21"/>
                <w:highlight w:val="none"/>
              </w:rPr>
            </w:pPr>
            <w:r>
              <w:rPr>
                <w:rFonts w:hint="eastAsia" w:ascii="宋体" w:hAnsi="宋体" w:eastAsia="宋体" w:cs="宋体"/>
                <w:bCs/>
                <w:color w:val="000000"/>
                <w:sz w:val="21"/>
                <w:szCs w:val="21"/>
                <w:highlight w:val="none"/>
              </w:rPr>
              <w:t>★</w:t>
            </w:r>
            <w:r>
              <w:rPr>
                <w:rFonts w:hint="eastAsia" w:ascii="宋体" w:hAnsi="宋体" w:eastAsia="宋体" w:cs="宋体"/>
                <w:bCs/>
                <w:sz w:val="21"/>
                <w:szCs w:val="21"/>
                <w:highlight w:val="none"/>
              </w:rPr>
              <w:t>2</w:t>
            </w:r>
          </w:p>
        </w:tc>
        <w:tc>
          <w:tcPr>
            <w:tcW w:w="1986" w:type="dxa"/>
            <w:noWrap w:val="0"/>
            <w:vAlign w:val="center"/>
          </w:tcPr>
          <w:p w14:paraId="0FC3E13D">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检测速度</w:t>
            </w:r>
          </w:p>
        </w:tc>
        <w:tc>
          <w:tcPr>
            <w:tcW w:w="6891" w:type="dxa"/>
            <w:noWrap w:val="0"/>
            <w:vAlign w:val="top"/>
          </w:tcPr>
          <w:p w14:paraId="123C4EDB">
            <w:pPr>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Hans"/>
              </w:rPr>
              <w:t>≥</w:t>
            </w:r>
            <w:r>
              <w:rPr>
                <w:rFonts w:hint="eastAsia" w:ascii="宋体" w:hAnsi="宋体" w:eastAsia="宋体" w:cs="宋体"/>
                <w:bCs/>
                <w:sz w:val="21"/>
                <w:szCs w:val="21"/>
                <w:highlight w:val="none"/>
              </w:rPr>
              <w:t xml:space="preserve">400测试/小时（单台仪器）      </w:t>
            </w:r>
          </w:p>
        </w:tc>
      </w:tr>
      <w:tr w14:paraId="65840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71488A91">
            <w:pPr>
              <w:spacing w:line="360" w:lineRule="auto"/>
              <w:jc w:val="center"/>
              <w:rPr>
                <w:rFonts w:hint="eastAsia" w:ascii="宋体" w:hAnsi="宋体" w:eastAsia="宋体" w:cs="宋体"/>
                <w:bCs/>
                <w:sz w:val="21"/>
                <w:szCs w:val="21"/>
                <w:highlight w:val="none"/>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rPr>
              <w:t>3</w:t>
            </w:r>
          </w:p>
        </w:tc>
        <w:tc>
          <w:tcPr>
            <w:tcW w:w="1986" w:type="dxa"/>
            <w:noWrap w:val="0"/>
            <w:vAlign w:val="center"/>
          </w:tcPr>
          <w:p w14:paraId="3E29031C">
            <w:pPr>
              <w:spacing w:line="360" w:lineRule="auto"/>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样品位</w:t>
            </w:r>
          </w:p>
        </w:tc>
        <w:tc>
          <w:tcPr>
            <w:tcW w:w="6891" w:type="dxa"/>
            <w:noWrap w:val="0"/>
            <w:vAlign w:val="top"/>
          </w:tcPr>
          <w:p w14:paraId="12E77698">
            <w:pPr>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Hans"/>
              </w:rPr>
              <w:t>≥</w:t>
            </w:r>
            <w:r>
              <w:rPr>
                <w:rFonts w:hint="eastAsia" w:ascii="宋体" w:hAnsi="宋体" w:eastAsia="宋体" w:cs="宋体"/>
                <w:color w:val="000000"/>
                <w:sz w:val="21"/>
                <w:szCs w:val="21"/>
                <w:highlight w:val="none"/>
              </w:rPr>
              <w:t>120个样品位，可连续进样</w:t>
            </w:r>
          </w:p>
        </w:tc>
      </w:tr>
      <w:tr w14:paraId="0E0F4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1FF364BD">
            <w:pPr>
              <w:spacing w:line="360" w:lineRule="auto"/>
              <w:jc w:val="center"/>
              <w:rPr>
                <w:rFonts w:hint="eastAsia" w:ascii="宋体" w:hAnsi="宋体" w:eastAsia="宋体" w:cs="宋体"/>
                <w:bCs/>
                <w:sz w:val="21"/>
                <w:szCs w:val="21"/>
                <w:highlight w:val="none"/>
              </w:rPr>
            </w:pPr>
            <w:r>
              <w:rPr>
                <w:rFonts w:hint="eastAsia" w:ascii="宋体" w:hAnsi="宋体" w:eastAsia="宋体" w:cs="宋体"/>
                <w:bCs/>
                <w:color w:val="000000"/>
                <w:sz w:val="21"/>
                <w:szCs w:val="21"/>
                <w:highlight w:val="none"/>
              </w:rPr>
              <w:t>★</w:t>
            </w:r>
            <w:r>
              <w:rPr>
                <w:rFonts w:hint="eastAsia" w:ascii="宋体" w:hAnsi="宋体" w:eastAsia="宋体" w:cs="宋体"/>
                <w:bCs/>
                <w:sz w:val="21"/>
                <w:szCs w:val="21"/>
                <w:highlight w:val="none"/>
              </w:rPr>
              <w:t>4</w:t>
            </w:r>
          </w:p>
        </w:tc>
        <w:tc>
          <w:tcPr>
            <w:tcW w:w="1986" w:type="dxa"/>
            <w:noWrap w:val="0"/>
            <w:vAlign w:val="center"/>
          </w:tcPr>
          <w:p w14:paraId="556A626B">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试剂位</w:t>
            </w:r>
          </w:p>
        </w:tc>
        <w:tc>
          <w:tcPr>
            <w:tcW w:w="6891" w:type="dxa"/>
            <w:noWrap w:val="0"/>
            <w:vAlign w:val="top"/>
          </w:tcPr>
          <w:p w14:paraId="3FF00348">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单台设备试剂位置≥</w:t>
            </w:r>
            <w:r>
              <w:rPr>
                <w:rFonts w:hint="eastAsia" w:ascii="宋体" w:hAnsi="宋体" w:eastAsia="宋体" w:cs="宋体"/>
                <w:bCs/>
                <w:sz w:val="21"/>
                <w:szCs w:val="21"/>
                <w:highlight w:val="none"/>
                <w:lang w:eastAsia="zh-CN"/>
              </w:rPr>
              <w:t>50</w:t>
            </w:r>
            <w:r>
              <w:rPr>
                <w:rFonts w:hint="eastAsia" w:ascii="宋体" w:hAnsi="宋体" w:eastAsia="宋体" w:cs="宋体"/>
                <w:bCs/>
                <w:sz w:val="21"/>
                <w:szCs w:val="21"/>
                <w:highlight w:val="none"/>
              </w:rPr>
              <w:t xml:space="preserve">，试剂仓有冷藏功能 </w:t>
            </w:r>
          </w:p>
        </w:tc>
      </w:tr>
      <w:tr w14:paraId="1A63E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4BDD218E">
            <w:pPr>
              <w:spacing w:line="360" w:lineRule="auto"/>
              <w:jc w:val="center"/>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lang w:eastAsia="zh-CN"/>
              </w:rPr>
              <w:t>5</w:t>
            </w:r>
          </w:p>
        </w:tc>
        <w:tc>
          <w:tcPr>
            <w:tcW w:w="1986" w:type="dxa"/>
            <w:noWrap w:val="0"/>
            <w:vAlign w:val="center"/>
          </w:tcPr>
          <w:p w14:paraId="2B40D67E">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第一个出结果时间</w:t>
            </w:r>
          </w:p>
        </w:tc>
        <w:tc>
          <w:tcPr>
            <w:tcW w:w="6891" w:type="dxa"/>
            <w:noWrap w:val="0"/>
            <w:vAlign w:val="top"/>
          </w:tcPr>
          <w:p w14:paraId="60B8B8AC">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≤15分钟</w:t>
            </w:r>
          </w:p>
        </w:tc>
      </w:tr>
      <w:tr w14:paraId="565B0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0F031966">
            <w:pPr>
              <w:spacing w:line="360" w:lineRule="auto"/>
              <w:jc w:val="cente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6</w:t>
            </w:r>
          </w:p>
        </w:tc>
        <w:tc>
          <w:tcPr>
            <w:tcW w:w="1986" w:type="dxa"/>
            <w:noWrap w:val="0"/>
            <w:vAlign w:val="center"/>
          </w:tcPr>
          <w:p w14:paraId="438EE845">
            <w:pPr>
              <w:spacing w:line="360" w:lineRule="auto"/>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最大离机时间</w:t>
            </w:r>
          </w:p>
        </w:tc>
        <w:tc>
          <w:tcPr>
            <w:tcW w:w="6891" w:type="dxa"/>
            <w:noWrap w:val="0"/>
            <w:vAlign w:val="top"/>
          </w:tcPr>
          <w:p w14:paraId="27DD0C1E">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≤3小时</w:t>
            </w:r>
          </w:p>
        </w:tc>
      </w:tr>
      <w:tr w14:paraId="62962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6F3E22E6">
            <w:pPr>
              <w:spacing w:line="360" w:lineRule="auto"/>
              <w:jc w:val="center"/>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lang w:eastAsia="zh-CN"/>
              </w:rPr>
              <w:t>7</w:t>
            </w:r>
          </w:p>
        </w:tc>
        <w:tc>
          <w:tcPr>
            <w:tcW w:w="1986" w:type="dxa"/>
            <w:noWrap w:val="0"/>
            <w:vAlign w:val="center"/>
          </w:tcPr>
          <w:p w14:paraId="16E04829">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急诊功能</w:t>
            </w:r>
          </w:p>
        </w:tc>
        <w:tc>
          <w:tcPr>
            <w:tcW w:w="6891" w:type="dxa"/>
            <w:noWrap w:val="0"/>
            <w:vAlign w:val="top"/>
          </w:tcPr>
          <w:p w14:paraId="1BA676EF">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急诊样品可以随时加入，无需停机操作</w:t>
            </w:r>
          </w:p>
        </w:tc>
      </w:tr>
      <w:tr w14:paraId="1666C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055C7944">
            <w:pPr>
              <w:spacing w:line="360" w:lineRule="auto"/>
              <w:jc w:val="center"/>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lang w:eastAsia="zh-CN"/>
              </w:rPr>
              <w:t>8</w:t>
            </w:r>
          </w:p>
        </w:tc>
        <w:tc>
          <w:tcPr>
            <w:tcW w:w="1986" w:type="dxa"/>
            <w:noWrap w:val="0"/>
            <w:vAlign w:val="center"/>
          </w:tcPr>
          <w:p w14:paraId="14F85958">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消耗品更换</w:t>
            </w:r>
          </w:p>
        </w:tc>
        <w:tc>
          <w:tcPr>
            <w:tcW w:w="6891" w:type="dxa"/>
            <w:noWrap w:val="0"/>
            <w:vAlign w:val="top"/>
          </w:tcPr>
          <w:p w14:paraId="2077B5DA">
            <w:pPr>
              <w:tabs>
                <w:tab w:val="left" w:pos="540"/>
                <w:tab w:val="left" w:pos="1080"/>
              </w:tabs>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运行过程中随时连续加载、更换试剂盒，消耗品和缓冲液 </w:t>
            </w:r>
          </w:p>
        </w:tc>
      </w:tr>
      <w:tr w14:paraId="47D1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19FE6D39">
            <w:pPr>
              <w:spacing w:line="360" w:lineRule="auto"/>
              <w:jc w:val="cente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9</w:t>
            </w:r>
          </w:p>
        </w:tc>
        <w:tc>
          <w:tcPr>
            <w:tcW w:w="1986" w:type="dxa"/>
            <w:noWrap w:val="0"/>
            <w:vAlign w:val="center"/>
          </w:tcPr>
          <w:p w14:paraId="41190EFE">
            <w:pPr>
              <w:spacing w:line="360" w:lineRule="auto"/>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试剂盒</w:t>
            </w:r>
          </w:p>
        </w:tc>
        <w:tc>
          <w:tcPr>
            <w:tcW w:w="6891" w:type="dxa"/>
            <w:noWrap w:val="0"/>
            <w:vAlign w:val="top"/>
          </w:tcPr>
          <w:p w14:paraId="4194F6DA">
            <w:pPr>
              <w:tabs>
                <w:tab w:val="left" w:pos="540"/>
                <w:tab w:val="left" w:pos="1080"/>
              </w:tabs>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具有多层覆膜密封，有弹性膜进行保护        </w:t>
            </w:r>
          </w:p>
        </w:tc>
      </w:tr>
      <w:tr w14:paraId="4F40B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2D653DE3">
            <w:pPr>
              <w:spacing w:line="360" w:lineRule="auto"/>
              <w:jc w:val="center"/>
              <w:rPr>
                <w:rFonts w:hint="eastAsia" w:ascii="宋体" w:hAnsi="宋体" w:eastAsia="宋体" w:cs="宋体"/>
                <w:bCs/>
                <w:sz w:val="21"/>
                <w:szCs w:val="21"/>
                <w:highlight w:val="none"/>
                <w:lang w:eastAsia="zh"/>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rPr>
              <w:t>1</w:t>
            </w:r>
            <w:r>
              <w:rPr>
                <w:rFonts w:hint="eastAsia" w:ascii="宋体" w:hAnsi="宋体" w:eastAsia="宋体" w:cs="宋体"/>
                <w:bCs/>
                <w:sz w:val="21"/>
                <w:szCs w:val="21"/>
                <w:highlight w:val="none"/>
                <w:lang w:eastAsia="zh-CN"/>
              </w:rPr>
              <w:t>0</w:t>
            </w:r>
          </w:p>
        </w:tc>
        <w:tc>
          <w:tcPr>
            <w:tcW w:w="1986" w:type="dxa"/>
            <w:noWrap w:val="0"/>
            <w:vAlign w:val="center"/>
          </w:tcPr>
          <w:p w14:paraId="2A09BD9A">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探针</w:t>
            </w:r>
          </w:p>
        </w:tc>
        <w:tc>
          <w:tcPr>
            <w:tcW w:w="6891" w:type="dxa"/>
            <w:noWrap w:val="0"/>
            <w:vAlign w:val="top"/>
          </w:tcPr>
          <w:p w14:paraId="70285044">
            <w:pPr>
              <w:tabs>
                <w:tab w:val="left" w:pos="540"/>
                <w:tab w:val="left" w:pos="1080"/>
              </w:tabs>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具有液面感应功能和血凝块监测及纠正功能</w:t>
            </w:r>
          </w:p>
        </w:tc>
      </w:tr>
      <w:tr w14:paraId="5EF80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19D9193F">
            <w:pPr>
              <w:spacing w:line="360" w:lineRule="auto"/>
              <w:jc w:val="center"/>
              <w:rPr>
                <w:rFonts w:hint="eastAsia" w:ascii="宋体" w:hAnsi="宋体" w:eastAsia="宋体" w:cs="宋体"/>
                <w:bCs/>
                <w:sz w:val="21"/>
                <w:szCs w:val="21"/>
                <w:highlight w:val="none"/>
                <w:lang w:eastAsia="zh"/>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rPr>
              <w:t>1</w:t>
            </w:r>
            <w:r>
              <w:rPr>
                <w:rFonts w:hint="eastAsia" w:ascii="宋体" w:hAnsi="宋体" w:eastAsia="宋体" w:cs="宋体"/>
                <w:bCs/>
                <w:sz w:val="21"/>
                <w:szCs w:val="21"/>
                <w:highlight w:val="none"/>
                <w:lang w:eastAsia="zh-CN"/>
              </w:rPr>
              <w:t>1</w:t>
            </w:r>
          </w:p>
        </w:tc>
        <w:tc>
          <w:tcPr>
            <w:tcW w:w="1986" w:type="dxa"/>
            <w:noWrap w:val="0"/>
            <w:vAlign w:val="center"/>
          </w:tcPr>
          <w:p w14:paraId="49C916EE">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重检，稀释</w:t>
            </w:r>
          </w:p>
        </w:tc>
        <w:tc>
          <w:tcPr>
            <w:tcW w:w="6891" w:type="dxa"/>
            <w:noWrap w:val="0"/>
            <w:vAlign w:val="top"/>
          </w:tcPr>
          <w:p w14:paraId="5EA4C126">
            <w:pPr>
              <w:tabs>
                <w:tab w:val="left" w:pos="540"/>
                <w:tab w:val="left" w:pos="1080"/>
              </w:tabs>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自动重检和稀释重检功能</w:t>
            </w:r>
          </w:p>
        </w:tc>
      </w:tr>
      <w:tr w14:paraId="4618D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75D4F6A9">
            <w:pPr>
              <w:spacing w:line="360" w:lineRule="auto"/>
              <w:jc w:val="center"/>
              <w:rPr>
                <w:rFonts w:hint="eastAsia" w:ascii="宋体" w:hAnsi="宋体" w:eastAsia="宋体" w:cs="宋体"/>
                <w:bCs/>
                <w:sz w:val="21"/>
                <w:szCs w:val="21"/>
                <w:highlight w:val="none"/>
                <w:lang w:eastAsia="zh"/>
              </w:rPr>
            </w:pPr>
            <w:r>
              <w:rPr>
                <w:rFonts w:hint="eastAsia" w:ascii="宋体" w:hAnsi="宋体" w:eastAsia="宋体" w:cs="宋体"/>
                <w:bCs/>
                <w:sz w:val="21"/>
                <w:szCs w:val="21"/>
                <w:highlight w:val="none"/>
              </w:rPr>
              <w:t>1</w:t>
            </w:r>
            <w:r>
              <w:rPr>
                <w:rFonts w:hint="eastAsia" w:ascii="宋体" w:hAnsi="宋体" w:eastAsia="宋体" w:cs="宋体"/>
                <w:bCs/>
                <w:sz w:val="21"/>
                <w:szCs w:val="21"/>
                <w:highlight w:val="none"/>
                <w:lang w:eastAsia="zh-CN"/>
              </w:rPr>
              <w:t>2</w:t>
            </w:r>
          </w:p>
        </w:tc>
        <w:tc>
          <w:tcPr>
            <w:tcW w:w="1986" w:type="dxa"/>
            <w:noWrap w:val="0"/>
            <w:vAlign w:val="center"/>
          </w:tcPr>
          <w:p w14:paraId="1CE07C92">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软件连接</w:t>
            </w:r>
          </w:p>
        </w:tc>
        <w:tc>
          <w:tcPr>
            <w:tcW w:w="6891" w:type="dxa"/>
            <w:noWrap w:val="0"/>
            <w:vAlign w:val="top"/>
          </w:tcPr>
          <w:p w14:paraId="6C0AED05">
            <w:pPr>
              <w:tabs>
                <w:tab w:val="left" w:pos="540"/>
                <w:tab w:val="left" w:pos="1080"/>
              </w:tabs>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实验室自动化系统预备接口，便于连接实验室分析前和分析后处理系统 </w:t>
            </w:r>
          </w:p>
        </w:tc>
      </w:tr>
      <w:tr w14:paraId="7B45A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334A696A">
            <w:pPr>
              <w:spacing w:line="360" w:lineRule="auto"/>
              <w:jc w:val="center"/>
              <w:rPr>
                <w:rFonts w:hint="eastAsia" w:ascii="宋体" w:hAnsi="宋体" w:eastAsia="宋体" w:cs="宋体"/>
                <w:bCs/>
                <w:sz w:val="21"/>
                <w:szCs w:val="21"/>
                <w:highlight w:val="none"/>
                <w:lang w:eastAsia="zh"/>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rPr>
              <w:t>1</w:t>
            </w:r>
            <w:r>
              <w:rPr>
                <w:rFonts w:hint="eastAsia" w:ascii="宋体" w:hAnsi="宋体" w:eastAsia="宋体" w:cs="宋体"/>
                <w:bCs/>
                <w:sz w:val="21"/>
                <w:szCs w:val="21"/>
                <w:highlight w:val="none"/>
                <w:lang w:eastAsia="zh-CN"/>
              </w:rPr>
              <w:t>3</w:t>
            </w:r>
          </w:p>
        </w:tc>
        <w:tc>
          <w:tcPr>
            <w:tcW w:w="1986" w:type="dxa"/>
            <w:noWrap w:val="0"/>
            <w:vAlign w:val="center"/>
          </w:tcPr>
          <w:p w14:paraId="135564FF">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清洗功能</w:t>
            </w:r>
          </w:p>
        </w:tc>
        <w:tc>
          <w:tcPr>
            <w:tcW w:w="6891" w:type="dxa"/>
            <w:noWrap w:val="0"/>
            <w:vAlign w:val="top"/>
          </w:tcPr>
          <w:p w14:paraId="34C3EF1E">
            <w:pPr>
              <w:tabs>
                <w:tab w:val="left" w:pos="540"/>
                <w:tab w:val="left" w:pos="1080"/>
              </w:tabs>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超声波配合缓冲液清洗方式</w:t>
            </w:r>
          </w:p>
        </w:tc>
      </w:tr>
      <w:tr w14:paraId="2B9D7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59B9E349">
            <w:pPr>
              <w:spacing w:line="360" w:lineRule="auto"/>
              <w:jc w:val="center"/>
              <w:rPr>
                <w:rFonts w:hint="eastAsia" w:ascii="宋体" w:hAnsi="宋体" w:eastAsia="宋体" w:cs="宋体"/>
                <w:bCs/>
                <w:sz w:val="21"/>
                <w:szCs w:val="21"/>
                <w:highlight w:val="none"/>
                <w:lang w:eastAsia="zh"/>
              </w:rPr>
            </w:pPr>
            <w:r>
              <w:rPr>
                <w:rFonts w:hint="eastAsia" w:ascii="宋体" w:hAnsi="宋体" w:eastAsia="宋体" w:cs="宋体"/>
                <w:bCs/>
                <w:sz w:val="21"/>
                <w:szCs w:val="21"/>
                <w:highlight w:val="none"/>
              </w:rPr>
              <w:t>1</w:t>
            </w:r>
            <w:r>
              <w:rPr>
                <w:rFonts w:hint="eastAsia" w:ascii="宋体" w:hAnsi="宋体" w:eastAsia="宋体" w:cs="宋体"/>
                <w:bCs/>
                <w:sz w:val="21"/>
                <w:szCs w:val="21"/>
                <w:highlight w:val="none"/>
                <w:lang w:eastAsia="zh-CN"/>
              </w:rPr>
              <w:t>4</w:t>
            </w:r>
          </w:p>
        </w:tc>
        <w:tc>
          <w:tcPr>
            <w:tcW w:w="1986" w:type="dxa"/>
            <w:noWrap w:val="0"/>
            <w:vAlign w:val="center"/>
          </w:tcPr>
          <w:p w14:paraId="324ACA13">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仪器保养</w:t>
            </w:r>
          </w:p>
        </w:tc>
        <w:tc>
          <w:tcPr>
            <w:tcW w:w="6891" w:type="dxa"/>
            <w:noWrap w:val="0"/>
            <w:vAlign w:val="top"/>
          </w:tcPr>
          <w:p w14:paraId="1F612ADC">
            <w:pPr>
              <w:tabs>
                <w:tab w:val="left" w:pos="540"/>
                <w:tab w:val="left" w:pos="1080"/>
              </w:tabs>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保养程序简单，程序自动完成</w:t>
            </w:r>
          </w:p>
        </w:tc>
      </w:tr>
      <w:tr w14:paraId="4BE4B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6B50C14B">
            <w:pPr>
              <w:spacing w:line="360" w:lineRule="auto"/>
              <w:jc w:val="center"/>
              <w:rPr>
                <w:rFonts w:hint="eastAsia" w:ascii="宋体" w:hAnsi="宋体" w:eastAsia="宋体" w:cs="宋体"/>
                <w:bCs/>
                <w:sz w:val="21"/>
                <w:szCs w:val="21"/>
                <w:highlight w:val="none"/>
                <w:lang w:eastAsia="zh"/>
              </w:rPr>
            </w:pPr>
            <w:r>
              <w:rPr>
                <w:rFonts w:hint="eastAsia" w:ascii="宋体" w:hAnsi="宋体" w:eastAsia="宋体" w:cs="宋体"/>
                <w:bCs/>
                <w:sz w:val="21"/>
                <w:szCs w:val="21"/>
                <w:highlight w:val="none"/>
              </w:rPr>
              <w:t>1</w:t>
            </w:r>
            <w:r>
              <w:rPr>
                <w:rFonts w:hint="eastAsia" w:ascii="宋体" w:hAnsi="宋体" w:eastAsia="宋体" w:cs="宋体"/>
                <w:bCs/>
                <w:sz w:val="21"/>
                <w:szCs w:val="21"/>
                <w:highlight w:val="none"/>
                <w:lang w:eastAsia="zh-CN"/>
              </w:rPr>
              <w:t>5</w:t>
            </w:r>
          </w:p>
        </w:tc>
        <w:tc>
          <w:tcPr>
            <w:tcW w:w="1986" w:type="dxa"/>
            <w:noWrap w:val="0"/>
            <w:vAlign w:val="center"/>
          </w:tcPr>
          <w:p w14:paraId="2165131F">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试剂盒包装</w:t>
            </w:r>
          </w:p>
        </w:tc>
        <w:tc>
          <w:tcPr>
            <w:tcW w:w="6891" w:type="dxa"/>
            <w:noWrap w:val="0"/>
            <w:vAlign w:val="top"/>
          </w:tcPr>
          <w:p w14:paraId="1FD97D30">
            <w:pPr>
              <w:tabs>
                <w:tab w:val="left" w:pos="540"/>
                <w:tab w:val="left" w:pos="1080"/>
              </w:tabs>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具有</w:t>
            </w:r>
            <w:r>
              <w:rPr>
                <w:rFonts w:hint="eastAsia" w:ascii="宋体" w:hAnsi="宋体" w:eastAsia="宋体" w:cs="宋体"/>
                <w:bCs/>
                <w:sz w:val="21"/>
                <w:szCs w:val="21"/>
                <w:highlight w:val="none"/>
              </w:rPr>
              <w:t>≤</w:t>
            </w:r>
            <w:r>
              <w:rPr>
                <w:rFonts w:hint="eastAsia" w:ascii="宋体" w:hAnsi="宋体" w:eastAsia="宋体" w:cs="宋体"/>
                <w:color w:val="000000"/>
                <w:sz w:val="21"/>
                <w:szCs w:val="21"/>
                <w:highlight w:val="none"/>
              </w:rPr>
              <w:t>50测试/</w:t>
            </w:r>
            <w:r>
              <w:rPr>
                <w:rFonts w:hint="eastAsia" w:ascii="宋体" w:hAnsi="宋体" w:eastAsia="宋体" w:cs="宋体"/>
                <w:color w:val="000000"/>
                <w:sz w:val="21"/>
                <w:szCs w:val="21"/>
                <w:highlight w:val="none"/>
                <w:lang w:eastAsia="zh-CN"/>
              </w:rPr>
              <w:t>包装，2*50测试/盒</w:t>
            </w:r>
            <w:r>
              <w:rPr>
                <w:rFonts w:hint="eastAsia" w:ascii="宋体" w:hAnsi="宋体" w:eastAsia="宋体" w:cs="宋体"/>
                <w:color w:val="000000"/>
                <w:sz w:val="21"/>
                <w:szCs w:val="21"/>
                <w:highlight w:val="none"/>
              </w:rPr>
              <w:t>的规格试剂</w:t>
            </w:r>
          </w:p>
        </w:tc>
      </w:tr>
      <w:tr w14:paraId="3DACD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729" w:type="dxa"/>
            <w:noWrap w:val="0"/>
            <w:vAlign w:val="center"/>
          </w:tcPr>
          <w:p w14:paraId="036F7A14">
            <w:pPr>
              <w:spacing w:line="360" w:lineRule="auto"/>
              <w:jc w:val="center"/>
              <w:rPr>
                <w:rFonts w:hint="eastAsia" w:ascii="宋体" w:hAnsi="宋体" w:eastAsia="宋体" w:cs="宋体"/>
                <w:bCs/>
                <w:color w:val="000000"/>
                <w:sz w:val="21"/>
                <w:szCs w:val="21"/>
                <w:highlight w:val="none"/>
                <w:lang w:eastAsia="zh"/>
              </w:rPr>
            </w:pPr>
            <w:r>
              <w:rPr>
                <w:rFonts w:hint="eastAsia" w:ascii="宋体" w:hAnsi="宋体" w:eastAsia="宋体" w:cs="宋体"/>
                <w:sz w:val="21"/>
                <w:szCs w:val="21"/>
                <w:highlight w:val="none"/>
              </w:rPr>
              <w:t>▲</w:t>
            </w:r>
            <w:r>
              <w:rPr>
                <w:rFonts w:hint="eastAsia" w:ascii="宋体" w:hAnsi="宋体" w:eastAsia="宋体" w:cs="宋体"/>
                <w:bCs/>
                <w:color w:val="000000"/>
                <w:sz w:val="21"/>
                <w:szCs w:val="21"/>
                <w:highlight w:val="none"/>
              </w:rPr>
              <w:t>1</w:t>
            </w:r>
            <w:r>
              <w:rPr>
                <w:rFonts w:hint="eastAsia" w:ascii="宋体" w:hAnsi="宋体" w:eastAsia="宋体" w:cs="宋体"/>
                <w:bCs/>
                <w:color w:val="000000"/>
                <w:sz w:val="21"/>
                <w:szCs w:val="21"/>
                <w:highlight w:val="none"/>
                <w:lang w:eastAsia="zh-CN"/>
              </w:rPr>
              <w:t>6</w:t>
            </w:r>
          </w:p>
        </w:tc>
        <w:tc>
          <w:tcPr>
            <w:tcW w:w="1986" w:type="dxa"/>
            <w:noWrap w:val="0"/>
            <w:vAlign w:val="center"/>
          </w:tcPr>
          <w:p w14:paraId="160628ED">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高敏肌钙蛋白项目</w:t>
            </w:r>
          </w:p>
        </w:tc>
        <w:tc>
          <w:tcPr>
            <w:tcW w:w="6891" w:type="dxa"/>
            <w:noWrap w:val="0"/>
            <w:vAlign w:val="top"/>
          </w:tcPr>
          <w:p w14:paraId="556BEA17">
            <w:pPr>
              <w:tabs>
                <w:tab w:val="left" w:pos="540"/>
                <w:tab w:val="left" w:pos="1080"/>
              </w:tabs>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可提供高敏肌钙蛋白I试剂，99百分位 CV</w:t>
            </w:r>
            <w:r>
              <w:rPr>
                <w:rFonts w:hint="eastAsia" w:ascii="宋体" w:hAnsi="宋体" w:eastAsia="宋体" w:cs="宋体"/>
                <w:color w:val="000000"/>
                <w:sz w:val="21"/>
                <w:szCs w:val="21"/>
                <w:highlight w:val="none"/>
                <w:lang w:eastAsia="zh"/>
              </w:rPr>
              <w:t>≤</w:t>
            </w:r>
            <w:r>
              <w:rPr>
                <w:rFonts w:hint="eastAsia" w:ascii="宋体" w:hAnsi="宋体" w:eastAsia="宋体" w:cs="宋体"/>
                <w:color w:val="000000"/>
                <w:sz w:val="21"/>
                <w:szCs w:val="21"/>
                <w:highlight w:val="none"/>
              </w:rPr>
              <w:t xml:space="preserve">10%，可根据性别不同提供不同的99百分位参考值                     </w:t>
            </w:r>
          </w:p>
        </w:tc>
      </w:tr>
      <w:tr w14:paraId="41A2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1CC34E5B">
            <w:pPr>
              <w:spacing w:line="360" w:lineRule="auto"/>
              <w:jc w:val="center"/>
              <w:rPr>
                <w:rFonts w:hint="eastAsia" w:ascii="宋体" w:hAnsi="宋体" w:eastAsia="宋体" w:cs="宋体"/>
                <w:bCs/>
                <w:color w:val="000000"/>
                <w:sz w:val="21"/>
                <w:szCs w:val="21"/>
                <w:highlight w:val="none"/>
                <w:lang w:eastAsia="zh"/>
              </w:rPr>
            </w:pPr>
            <w:r>
              <w:rPr>
                <w:rFonts w:hint="eastAsia" w:ascii="宋体" w:hAnsi="宋体" w:eastAsia="宋体" w:cs="宋体"/>
                <w:sz w:val="21"/>
                <w:szCs w:val="21"/>
                <w:highlight w:val="none"/>
              </w:rPr>
              <w:t>▲</w:t>
            </w:r>
            <w:r>
              <w:rPr>
                <w:rFonts w:hint="eastAsia" w:ascii="宋体" w:hAnsi="宋体" w:eastAsia="宋体" w:cs="宋体"/>
                <w:bCs/>
                <w:color w:val="000000"/>
                <w:sz w:val="21"/>
                <w:szCs w:val="21"/>
                <w:highlight w:val="none"/>
                <w:lang w:eastAsia="zh"/>
              </w:rPr>
              <w:t>1</w:t>
            </w:r>
            <w:r>
              <w:rPr>
                <w:rFonts w:hint="eastAsia" w:ascii="宋体" w:hAnsi="宋体" w:eastAsia="宋体" w:cs="宋体"/>
                <w:bCs/>
                <w:color w:val="000000"/>
                <w:sz w:val="21"/>
                <w:szCs w:val="21"/>
                <w:highlight w:val="none"/>
                <w:lang w:eastAsia="zh-CN"/>
              </w:rPr>
              <w:t>7</w:t>
            </w:r>
          </w:p>
        </w:tc>
        <w:tc>
          <w:tcPr>
            <w:tcW w:w="1986" w:type="dxa"/>
            <w:noWrap w:val="0"/>
            <w:vAlign w:val="center"/>
          </w:tcPr>
          <w:p w14:paraId="670142D7">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激素项目</w:t>
            </w:r>
          </w:p>
        </w:tc>
        <w:tc>
          <w:tcPr>
            <w:tcW w:w="6891" w:type="dxa"/>
            <w:noWrap w:val="0"/>
            <w:vAlign w:val="top"/>
          </w:tcPr>
          <w:p w14:paraId="0197547C">
            <w:pPr>
              <w:tabs>
                <w:tab w:val="left" w:pos="540"/>
                <w:tab w:val="left" w:pos="1080"/>
              </w:tabs>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可开展性激素六项及性激素结合球蛋白项目    </w:t>
            </w:r>
          </w:p>
        </w:tc>
      </w:tr>
      <w:tr w14:paraId="374D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462AC2E1">
            <w:pPr>
              <w:spacing w:line="360" w:lineRule="auto"/>
              <w:jc w:val="center"/>
              <w:rPr>
                <w:rFonts w:hint="eastAsia" w:ascii="宋体" w:hAnsi="宋体" w:eastAsia="宋体" w:cs="宋体"/>
                <w:bCs/>
                <w:color w:val="000000"/>
                <w:sz w:val="21"/>
                <w:szCs w:val="21"/>
                <w:highlight w:val="none"/>
                <w:lang w:eastAsia="zh"/>
              </w:rPr>
            </w:pPr>
            <w:r>
              <w:rPr>
                <w:rFonts w:hint="eastAsia" w:ascii="宋体" w:hAnsi="宋体" w:eastAsia="宋体" w:cs="宋体"/>
                <w:sz w:val="21"/>
                <w:szCs w:val="21"/>
                <w:highlight w:val="none"/>
              </w:rPr>
              <w:t>▲</w:t>
            </w:r>
            <w:r>
              <w:rPr>
                <w:rFonts w:hint="eastAsia" w:ascii="宋体" w:hAnsi="宋体" w:eastAsia="宋体" w:cs="宋体"/>
                <w:bCs/>
                <w:color w:val="000000"/>
                <w:sz w:val="21"/>
                <w:szCs w:val="21"/>
                <w:highlight w:val="none"/>
                <w:lang w:eastAsia="zh"/>
              </w:rPr>
              <w:t>1</w:t>
            </w:r>
            <w:r>
              <w:rPr>
                <w:rFonts w:hint="eastAsia" w:ascii="宋体" w:hAnsi="宋体" w:eastAsia="宋体" w:cs="宋体"/>
                <w:bCs/>
                <w:color w:val="000000"/>
                <w:sz w:val="21"/>
                <w:szCs w:val="21"/>
                <w:highlight w:val="none"/>
                <w:lang w:eastAsia="zh-CN"/>
              </w:rPr>
              <w:t>8</w:t>
            </w:r>
          </w:p>
        </w:tc>
        <w:tc>
          <w:tcPr>
            <w:tcW w:w="1986" w:type="dxa"/>
            <w:noWrap w:val="0"/>
            <w:vAlign w:val="center"/>
          </w:tcPr>
          <w:p w14:paraId="490B6EFD">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产筛项目</w:t>
            </w:r>
          </w:p>
        </w:tc>
        <w:tc>
          <w:tcPr>
            <w:tcW w:w="6891" w:type="dxa"/>
            <w:noWrap w:val="0"/>
            <w:vAlign w:val="top"/>
          </w:tcPr>
          <w:p w14:paraId="5E419A29">
            <w:pPr>
              <w:tabs>
                <w:tab w:val="left" w:pos="540"/>
                <w:tab w:val="left" w:pos="1080"/>
              </w:tabs>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具备唐氏四联筛查包括AFP、HCG、uE3 、抑制素A四项目测试，并提供产前四联筛查有中华人民共和国医疗器械注册证的中文分析软件。</w:t>
            </w:r>
          </w:p>
        </w:tc>
      </w:tr>
      <w:tr w14:paraId="45384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6F11797D">
            <w:pPr>
              <w:keepNext w:val="0"/>
              <w:keepLines w:val="0"/>
              <w:widowControl/>
              <w:suppressLineNumbers w:val="0"/>
              <w:jc w:val="center"/>
              <w:textAlignment w:val="center"/>
              <w:rPr>
                <w:rFonts w:hint="eastAsia" w:ascii="宋体" w:hAnsi="宋体" w:eastAsia="宋体" w:cs="宋体"/>
                <w:bCs/>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1986" w:type="dxa"/>
            <w:noWrap w:val="0"/>
            <w:vAlign w:val="center"/>
          </w:tcPr>
          <w:p w14:paraId="54700015">
            <w:pPr>
              <w:keepNext w:val="0"/>
              <w:keepLines w:val="0"/>
              <w:widowControl/>
              <w:suppressLineNumbers w:val="0"/>
              <w:jc w:val="both"/>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进出样模块</w:t>
            </w:r>
          </w:p>
        </w:tc>
        <w:tc>
          <w:tcPr>
            <w:tcW w:w="6891" w:type="dxa"/>
            <w:noWrap w:val="0"/>
            <w:vAlign w:val="center"/>
          </w:tcPr>
          <w:p w14:paraId="484CE8DE">
            <w:pPr>
              <w:keepNext w:val="0"/>
              <w:keepLines w:val="0"/>
              <w:widowControl/>
              <w:suppressLineNumbers w:val="0"/>
              <w:jc w:val="left"/>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进出样模块处理速度≥1200管/小时，总处理速度≥1500管/小时</w:t>
            </w:r>
          </w:p>
        </w:tc>
      </w:tr>
      <w:tr w14:paraId="49FB8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25A0E444">
            <w:pPr>
              <w:keepNext w:val="0"/>
              <w:keepLines w:val="0"/>
              <w:widowControl/>
              <w:suppressLineNumbers w:val="0"/>
              <w:jc w:val="center"/>
              <w:textAlignment w:val="center"/>
              <w:rPr>
                <w:rFonts w:hint="eastAsia" w:ascii="宋体" w:hAnsi="宋体" w:eastAsia="宋体" w:cs="宋体"/>
                <w:bCs/>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1986" w:type="dxa"/>
            <w:noWrap w:val="0"/>
            <w:vAlign w:val="center"/>
          </w:tcPr>
          <w:p w14:paraId="79D5C4AE">
            <w:pPr>
              <w:keepNext w:val="0"/>
              <w:keepLines w:val="0"/>
              <w:widowControl/>
              <w:suppressLineNumbers w:val="0"/>
              <w:jc w:val="both"/>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进样方式</w:t>
            </w:r>
          </w:p>
        </w:tc>
        <w:tc>
          <w:tcPr>
            <w:tcW w:w="6891" w:type="dxa"/>
            <w:noWrap w:val="0"/>
            <w:vAlign w:val="center"/>
          </w:tcPr>
          <w:p w14:paraId="3E875267">
            <w:pPr>
              <w:keepNext w:val="0"/>
              <w:keepLines w:val="0"/>
              <w:widowControl/>
              <w:suppressLineNumbers w:val="0"/>
              <w:jc w:val="left"/>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进样模式包含无序进样和抽屉式进样两种模式</w:t>
            </w:r>
          </w:p>
        </w:tc>
      </w:tr>
      <w:tr w14:paraId="706A9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795830FA">
            <w:pPr>
              <w:keepNext w:val="0"/>
              <w:keepLines w:val="0"/>
              <w:widowControl/>
              <w:suppressLineNumbers w:val="0"/>
              <w:jc w:val="center"/>
              <w:textAlignment w:val="center"/>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rPr>
              <w:t>▲</w:t>
            </w:r>
            <w:r>
              <w:rPr>
                <w:rFonts w:hint="eastAsia" w:ascii="宋体" w:hAnsi="宋体" w:eastAsia="宋体" w:cs="宋体"/>
                <w:i w:val="0"/>
                <w:iCs w:val="0"/>
                <w:color w:val="000000"/>
                <w:kern w:val="0"/>
                <w:sz w:val="21"/>
                <w:szCs w:val="21"/>
                <w:highlight w:val="none"/>
                <w:u w:val="none"/>
                <w:lang w:val="en-US" w:eastAsia="zh-CN" w:bidi="ar"/>
              </w:rPr>
              <w:t>21</w:t>
            </w:r>
          </w:p>
        </w:tc>
        <w:tc>
          <w:tcPr>
            <w:tcW w:w="1986" w:type="dxa"/>
            <w:noWrap w:val="0"/>
            <w:vAlign w:val="center"/>
          </w:tcPr>
          <w:p w14:paraId="148914AB">
            <w:pPr>
              <w:keepNext w:val="0"/>
              <w:keepLines w:val="0"/>
              <w:widowControl/>
              <w:suppressLineNumbers w:val="0"/>
              <w:jc w:val="both"/>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离心机</w:t>
            </w:r>
          </w:p>
        </w:tc>
        <w:tc>
          <w:tcPr>
            <w:tcW w:w="6891" w:type="dxa"/>
            <w:noWrap w:val="0"/>
            <w:vAlign w:val="center"/>
          </w:tcPr>
          <w:p w14:paraId="7428783F">
            <w:pPr>
              <w:keepNext w:val="0"/>
              <w:keepLines w:val="0"/>
              <w:widowControl/>
              <w:suppressLineNumbers w:val="0"/>
              <w:jc w:val="left"/>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配置2台低温离心机，离心机总处理能力≥1000管/小时</w:t>
            </w:r>
          </w:p>
        </w:tc>
      </w:tr>
      <w:tr w14:paraId="2C2C8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7112CF8C">
            <w:pPr>
              <w:keepNext w:val="0"/>
              <w:keepLines w:val="0"/>
              <w:widowControl/>
              <w:suppressLineNumbers w:val="0"/>
              <w:jc w:val="center"/>
              <w:textAlignment w:val="center"/>
              <w:rPr>
                <w:rFonts w:hint="eastAsia" w:ascii="宋体" w:hAnsi="宋体" w:eastAsia="宋体" w:cs="宋体"/>
                <w:bCs/>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★23</w:t>
            </w:r>
          </w:p>
        </w:tc>
        <w:tc>
          <w:tcPr>
            <w:tcW w:w="1986" w:type="dxa"/>
            <w:noWrap w:val="0"/>
            <w:vAlign w:val="center"/>
          </w:tcPr>
          <w:p w14:paraId="1D2DF589">
            <w:pPr>
              <w:keepNext w:val="0"/>
              <w:keepLines w:val="0"/>
              <w:widowControl/>
              <w:suppressLineNumbers w:val="0"/>
              <w:jc w:val="both"/>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数据管理系统</w:t>
            </w:r>
          </w:p>
        </w:tc>
        <w:tc>
          <w:tcPr>
            <w:tcW w:w="6891" w:type="dxa"/>
            <w:noWrap w:val="0"/>
            <w:vAlign w:val="center"/>
          </w:tcPr>
          <w:p w14:paraId="574589A5">
            <w:pPr>
              <w:keepNext w:val="0"/>
              <w:keepLines w:val="0"/>
              <w:widowControl/>
              <w:suppressLineNumbers w:val="0"/>
              <w:jc w:val="left"/>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数据管理系统具有大屏幕管理功能，支持危急值管理，样本TAT管理、仪器质控状态及样本工作量管理等功能，及时提醒危急值、TAT超时、异常质控状态。并可实时监控检测的标本状态和追踪标本位置信息以及仪器运行状态、试剂和耗材信息。</w:t>
            </w:r>
          </w:p>
        </w:tc>
      </w:tr>
    </w:tbl>
    <w:p w14:paraId="7A096624">
      <w:pPr>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br w:type="page"/>
      </w:r>
    </w:p>
    <w:p w14:paraId="2853877C">
      <w:pPr>
        <w:pStyle w:val="2"/>
        <w:adjustRightInd w:val="0"/>
        <w:snapToGrid w:val="0"/>
        <w:spacing w:after="0" w:line="360" w:lineRule="auto"/>
        <w:ind w:left="0" w:leftChars="0" w:firstLine="643" w:firstLineChars="200"/>
        <w:jc w:val="center"/>
        <w:rPr>
          <w:rFonts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商务要求</w:t>
      </w:r>
    </w:p>
    <w:p w14:paraId="69C3C947">
      <w:pPr>
        <w:widowControl/>
        <w:adjustRightInd w:val="0"/>
        <w:snapToGrid w:val="0"/>
        <w:spacing w:line="360" w:lineRule="auto"/>
        <w:ind w:firstLine="0" w:firstLineChars="0"/>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技术支持与售后：</w:t>
      </w:r>
    </w:p>
    <w:p w14:paraId="5072BA22">
      <w:pPr>
        <w:widowControl/>
        <w:adjustRightInd w:val="0"/>
        <w:snapToGrid w:val="0"/>
        <w:spacing w:line="360" w:lineRule="auto"/>
        <w:ind w:firstLine="480" w:firstLineChars="200"/>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★1.售后工程师2小时内响应，24小时内到达现场检修，若设备维修在2个工作日内无法完成，需在3个工作日内提供备用机</w:t>
      </w:r>
      <w:r>
        <w:rPr>
          <w:rFonts w:hint="eastAsia" w:cs="宋体" w:asciiTheme="minorEastAsia" w:hAnsiTheme="minorEastAsia" w:eastAsiaTheme="minorEastAsia"/>
          <w:b/>
          <w:bCs/>
          <w:sz w:val="24"/>
          <w:szCs w:val="24"/>
          <w:highlight w:val="none"/>
        </w:rPr>
        <w:t>（需提供承诺函）。</w:t>
      </w:r>
    </w:p>
    <w:p w14:paraId="38C1BABE">
      <w:pPr>
        <w:widowControl/>
        <w:adjustRightInd w:val="0"/>
        <w:snapToGrid w:val="0"/>
        <w:spacing w:line="360" w:lineRule="auto"/>
        <w:ind w:firstLine="480" w:firstLineChars="200"/>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2．定期巡访为设备维护、保养 。</w:t>
      </w:r>
    </w:p>
    <w:p w14:paraId="01F5DD68">
      <w:pPr>
        <w:widowControl/>
        <w:adjustRightInd w:val="0"/>
        <w:snapToGrid w:val="0"/>
        <w:spacing w:line="360" w:lineRule="auto"/>
        <w:ind w:firstLine="480" w:firstLineChars="200"/>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3．设备安装完成后，由厂家人员负责使用和维护培训，培训内容包括设备的专业操作和维护、清洗、消毒、保养的基本知识，使用过程需注意的事项等，保证医院相关人员熟悉掌握。</w:t>
      </w:r>
    </w:p>
    <w:p w14:paraId="0EDFF759">
      <w:pPr>
        <w:widowControl/>
        <w:adjustRightInd w:val="0"/>
        <w:snapToGrid w:val="0"/>
        <w:spacing w:line="360" w:lineRule="auto"/>
        <w:ind w:firstLine="480" w:firstLineChars="200"/>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4.质量要求：符合国家及行业有关生产、制造的规定、规范和标准，满足招标文件规定的技术要求和采购人使用需要，一次验收合格。产品质保期内的任何质量问题，供应商必须及时、按质、主动处理解决并承担一切费用，直至满足采购人要求。</w:t>
      </w:r>
    </w:p>
    <w:p w14:paraId="338317D4">
      <w:pPr>
        <w:widowControl/>
        <w:adjustRightInd w:val="0"/>
        <w:snapToGrid w:val="0"/>
        <w:spacing w:line="360" w:lineRule="auto"/>
        <w:ind w:firstLine="480" w:firstLineChars="200"/>
        <w:jc w:val="lef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5.交货要求：自合同签订之日起30个日历日内完成设备的供货及安装调试，确保一次性验收合格，具体以合同签订为准；所交付设备原则上为出厂日期3个月以内全新产品；供应商提供的所有软件供医院永久使用，使用过程中无需承担额外费用，软件使用、升级费用包含在投标总价中</w:t>
      </w:r>
      <w:r>
        <w:rPr>
          <w:rFonts w:hint="eastAsia" w:cs="宋体" w:asciiTheme="minorEastAsia" w:hAnsiTheme="minorEastAsia" w:eastAsiaTheme="minorEastAsia"/>
          <w:b/>
          <w:bCs/>
          <w:sz w:val="24"/>
          <w:szCs w:val="24"/>
          <w:highlight w:val="none"/>
        </w:rPr>
        <w:t>（需提供承诺函）</w:t>
      </w:r>
      <w:r>
        <w:rPr>
          <w:rFonts w:hint="eastAsia" w:cs="宋体" w:asciiTheme="minorEastAsia" w:hAnsiTheme="minorEastAsia" w:eastAsiaTheme="minorEastAsia"/>
          <w:sz w:val="24"/>
          <w:szCs w:val="24"/>
          <w:highlight w:val="none"/>
        </w:rPr>
        <w:t>。</w:t>
      </w:r>
    </w:p>
    <w:p w14:paraId="79FE9B8F">
      <w:pPr>
        <w:pStyle w:val="2"/>
        <w:adjustRightInd w:val="0"/>
        <w:snapToGrid w:val="0"/>
        <w:spacing w:after="0" w:line="360" w:lineRule="auto"/>
        <w:ind w:left="0" w:leftChars="0" w:firstLine="480" w:firstLineChars="200"/>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sz w:val="24"/>
          <w:szCs w:val="24"/>
          <w:highlight w:val="none"/>
        </w:rPr>
        <w:t>★6.</w:t>
      </w:r>
      <w:r>
        <w:rPr>
          <w:rFonts w:hint="eastAsia" w:cs="宋体" w:asciiTheme="minorEastAsia" w:hAnsiTheme="minorEastAsia" w:eastAsiaTheme="minorEastAsia"/>
          <w:sz w:val="24"/>
          <w:szCs w:val="24"/>
          <w:highlight w:val="none"/>
          <w:lang w:val="en-US" w:eastAsia="zh-CN"/>
        </w:rPr>
        <w:t>各</w:t>
      </w:r>
      <w:r>
        <w:rPr>
          <w:rFonts w:hint="eastAsia" w:cs="宋体" w:asciiTheme="minorEastAsia" w:hAnsiTheme="minorEastAsia" w:eastAsiaTheme="minorEastAsia"/>
          <w:sz w:val="24"/>
          <w:szCs w:val="24"/>
          <w:highlight w:val="none"/>
        </w:rPr>
        <w:t>标段标的均需负责集成接入医院信息系统，包括HIS、LIS、PACS、护士工作站遥测集成监测平台等。医院所有信息系统(如 HS、LIS、PACS)网络接口费由投标人负责，费用包含在投标报价中（医疗设备不具备相关功能的除外）。</w:t>
      </w:r>
    </w:p>
    <w:p w14:paraId="0EDC052E">
      <w:pPr>
        <w:widowControl/>
        <w:jc w:val="left"/>
        <w:rPr>
          <w:rFonts w:cs="宋体" w:asciiTheme="minorEastAsia" w:hAnsiTheme="minorEastAsia" w:eastAsiaTheme="minorEastAsia"/>
          <w:b/>
          <w:bCs/>
          <w:szCs w:val="21"/>
          <w:highlight w:val="none"/>
        </w:rPr>
      </w:pPr>
      <w:r>
        <w:rPr>
          <w:rFonts w:cs="宋体" w:asciiTheme="minorEastAsia" w:hAnsiTheme="minorEastAsia" w:eastAsiaTheme="minorEastAsia"/>
          <w:b/>
          <w:bCs/>
          <w:szCs w:val="21"/>
          <w:highlight w:val="none"/>
        </w:rPr>
        <w:br w:type="page"/>
      </w:r>
    </w:p>
    <w:p w14:paraId="4405BBBC">
      <w:pPr>
        <w:widowControl/>
        <w:jc w:val="left"/>
        <w:rPr>
          <w:rFonts w:ascii="宋体" w:hAnsi="宋体"/>
          <w:b/>
          <w:szCs w:val="21"/>
          <w:highlight w:val="none"/>
        </w:rPr>
      </w:pPr>
    </w:p>
    <w:p w14:paraId="25A7E3D2">
      <w:pPr>
        <w:pStyle w:val="4"/>
        <w:jc w:val="center"/>
        <w:rPr>
          <w:rFonts w:ascii="宋体" w:hAnsi="宋体" w:eastAsia="宋体"/>
          <w:szCs w:val="28"/>
          <w:highlight w:val="none"/>
        </w:rPr>
      </w:pPr>
      <w:bookmarkStart w:id="226" w:name="_Toc6025"/>
      <w:r>
        <w:rPr>
          <w:rFonts w:hint="eastAsia" w:ascii="宋体" w:hAnsi="宋体" w:eastAsia="宋体"/>
          <w:bCs/>
          <w:sz w:val="36"/>
          <w:szCs w:val="36"/>
          <w:highlight w:val="none"/>
        </w:rPr>
        <w:t>第六章 资格评审标准</w:t>
      </w:r>
      <w:bookmarkEnd w:id="226"/>
    </w:p>
    <w:p w14:paraId="2FC266E6">
      <w:pPr>
        <w:pStyle w:val="16"/>
        <w:tabs>
          <w:tab w:val="left" w:pos="2472"/>
        </w:tabs>
        <w:adjustRightInd w:val="0"/>
        <w:snapToGrid w:val="0"/>
        <w:spacing w:line="360" w:lineRule="auto"/>
        <w:ind w:firstLine="480" w:firstLineChars="200"/>
        <w:rPr>
          <w:rFonts w:hAnsi="宋体"/>
          <w:szCs w:val="21"/>
          <w:highlight w:val="none"/>
        </w:rPr>
      </w:pPr>
      <w:r>
        <w:rPr>
          <w:rFonts w:hint="eastAsia" w:hAnsi="宋体"/>
          <w:sz w:val="24"/>
          <w:highlight w:val="none"/>
        </w:rPr>
        <w:t>投标文件出现不满足下列各项评审内容及标准要求之一的，则资格评审为不合格。合格投标人不足3家的，不得评标。下列各项评审内容及标准均为招标文件的实质性要求，除招标文件规定的澄清情形外，投标文件响应各款所列材料在开标后不得后补、修改。</w:t>
      </w:r>
    </w:p>
    <w:tbl>
      <w:tblPr>
        <w:tblStyle w:val="30"/>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708"/>
        <w:gridCol w:w="8222"/>
      </w:tblGrid>
      <w:tr w14:paraId="57055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1101" w:type="dxa"/>
            <w:vAlign w:val="center"/>
          </w:tcPr>
          <w:p w14:paraId="49C45325">
            <w:pPr>
              <w:spacing w:before="100" w:beforeAutospacing="1" w:after="100" w:afterAutospacing="1"/>
              <w:jc w:val="center"/>
              <w:rPr>
                <w:rFonts w:ascii="宋体" w:hAnsi="宋体"/>
                <w:b/>
                <w:szCs w:val="21"/>
                <w:highlight w:val="none"/>
              </w:rPr>
            </w:pPr>
            <w:r>
              <w:rPr>
                <w:rFonts w:hint="eastAsia" w:ascii="宋体" w:hAnsi="宋体"/>
                <w:b/>
                <w:szCs w:val="21"/>
                <w:highlight w:val="none"/>
              </w:rPr>
              <w:t>评审程序</w:t>
            </w:r>
          </w:p>
        </w:tc>
        <w:tc>
          <w:tcPr>
            <w:tcW w:w="8930" w:type="dxa"/>
            <w:gridSpan w:val="2"/>
            <w:vAlign w:val="center"/>
          </w:tcPr>
          <w:p w14:paraId="262F3D9F">
            <w:pPr>
              <w:spacing w:before="100" w:beforeAutospacing="1" w:after="100" w:afterAutospacing="1"/>
              <w:jc w:val="center"/>
              <w:rPr>
                <w:rFonts w:ascii="宋体" w:hAnsi="宋体"/>
                <w:b/>
                <w:szCs w:val="21"/>
                <w:highlight w:val="none"/>
              </w:rPr>
            </w:pPr>
            <w:r>
              <w:rPr>
                <w:rFonts w:hint="eastAsia" w:ascii="宋体" w:hAnsi="宋体"/>
                <w:b/>
                <w:szCs w:val="21"/>
                <w:highlight w:val="none"/>
              </w:rPr>
              <w:t>评 审 内 容 及 标 准</w:t>
            </w:r>
          </w:p>
        </w:tc>
      </w:tr>
      <w:tr w14:paraId="44B6E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1101" w:type="dxa"/>
            <w:vMerge w:val="restart"/>
            <w:vAlign w:val="center"/>
          </w:tcPr>
          <w:p w14:paraId="223D4C75">
            <w:pPr>
              <w:spacing w:before="100" w:beforeAutospacing="1" w:after="100" w:afterAutospacing="1"/>
              <w:jc w:val="center"/>
              <w:rPr>
                <w:rFonts w:ascii="宋体" w:hAnsi="宋体"/>
                <w:b/>
                <w:szCs w:val="21"/>
                <w:highlight w:val="none"/>
              </w:rPr>
            </w:pPr>
            <w:r>
              <w:rPr>
                <w:rFonts w:hint="eastAsia" w:ascii="宋体" w:hAnsi="宋体"/>
                <w:szCs w:val="21"/>
                <w:highlight w:val="none"/>
              </w:rPr>
              <w:t>资格评审标准</w:t>
            </w:r>
          </w:p>
        </w:tc>
        <w:tc>
          <w:tcPr>
            <w:tcW w:w="708" w:type="dxa"/>
            <w:vAlign w:val="center"/>
          </w:tcPr>
          <w:p w14:paraId="234C9801">
            <w:pPr>
              <w:spacing w:before="100" w:beforeAutospacing="1" w:after="100" w:afterAutospacing="1" w:line="320" w:lineRule="exact"/>
              <w:jc w:val="center"/>
              <w:rPr>
                <w:rFonts w:ascii="宋体" w:hAnsi="宋体"/>
                <w:b/>
                <w:szCs w:val="21"/>
                <w:highlight w:val="none"/>
              </w:rPr>
            </w:pPr>
            <w:r>
              <w:rPr>
                <w:rFonts w:hint="eastAsia" w:ascii="宋体" w:hAnsi="宋体"/>
                <w:b/>
                <w:szCs w:val="21"/>
                <w:highlight w:val="none"/>
              </w:rPr>
              <w:t>1</w:t>
            </w:r>
          </w:p>
        </w:tc>
        <w:tc>
          <w:tcPr>
            <w:tcW w:w="8222" w:type="dxa"/>
            <w:vAlign w:val="center"/>
          </w:tcPr>
          <w:p w14:paraId="08861DC0">
            <w:pPr>
              <w:keepNext w:val="0"/>
              <w:keepLines w:val="0"/>
              <w:pageBreakBefore w:val="0"/>
              <w:widowControl w:val="0"/>
              <w:kinsoku/>
              <w:wordWrap/>
              <w:overflowPunct/>
              <w:topLinePunct w:val="0"/>
              <w:autoSpaceDE/>
              <w:autoSpaceDN/>
              <w:bidi w:val="0"/>
              <w:adjustRightInd/>
              <w:snapToGrid/>
              <w:spacing w:before="100" w:beforeAutospacing="1" w:after="100" w:afterAutospacing="1" w:line="480" w:lineRule="exact"/>
              <w:jc w:val="left"/>
              <w:textAlignment w:val="auto"/>
              <w:rPr>
                <w:rFonts w:ascii="宋体" w:hAnsi="宋体"/>
                <w:b/>
                <w:szCs w:val="21"/>
                <w:highlight w:val="none"/>
              </w:rPr>
            </w:pPr>
            <w:r>
              <w:rPr>
                <w:rFonts w:hint="eastAsia" w:ascii="宋体" w:hAnsi="宋体"/>
                <w:b/>
                <w:szCs w:val="21"/>
                <w:highlight w:val="none"/>
              </w:rPr>
              <w:t>投标人应具备《中华人民共和国政府采购法》第二十二条规定的条件，并提供下列材料：</w:t>
            </w:r>
          </w:p>
        </w:tc>
      </w:tr>
      <w:tr w14:paraId="1E35B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101" w:type="dxa"/>
            <w:vMerge w:val="continue"/>
            <w:vAlign w:val="center"/>
          </w:tcPr>
          <w:p w14:paraId="482620D1">
            <w:pPr>
              <w:spacing w:before="100" w:beforeAutospacing="1" w:after="100" w:afterAutospacing="1"/>
              <w:jc w:val="center"/>
              <w:rPr>
                <w:rFonts w:ascii="宋体" w:hAnsi="宋体"/>
                <w:szCs w:val="21"/>
                <w:highlight w:val="none"/>
              </w:rPr>
            </w:pPr>
          </w:p>
        </w:tc>
        <w:tc>
          <w:tcPr>
            <w:tcW w:w="708" w:type="dxa"/>
            <w:vAlign w:val="center"/>
          </w:tcPr>
          <w:p w14:paraId="7E642B00">
            <w:pPr>
              <w:spacing w:before="100" w:beforeAutospacing="1" w:after="100" w:afterAutospacing="1" w:line="280" w:lineRule="exact"/>
              <w:jc w:val="center"/>
              <w:rPr>
                <w:rFonts w:ascii="宋体" w:hAnsi="宋体"/>
                <w:szCs w:val="21"/>
                <w:highlight w:val="none"/>
              </w:rPr>
            </w:pPr>
            <w:r>
              <w:rPr>
                <w:rFonts w:hint="eastAsia" w:ascii="宋体" w:hAnsi="宋体"/>
                <w:szCs w:val="21"/>
                <w:highlight w:val="none"/>
              </w:rPr>
              <w:t>1.1</w:t>
            </w:r>
          </w:p>
        </w:tc>
        <w:tc>
          <w:tcPr>
            <w:tcW w:w="8222" w:type="dxa"/>
            <w:vAlign w:val="center"/>
          </w:tcPr>
          <w:p w14:paraId="71262875">
            <w:pPr>
              <w:keepNext w:val="0"/>
              <w:keepLines w:val="0"/>
              <w:pageBreakBefore w:val="0"/>
              <w:widowControl w:val="0"/>
              <w:kinsoku/>
              <w:wordWrap/>
              <w:overflowPunct/>
              <w:topLinePunct w:val="0"/>
              <w:autoSpaceDE/>
              <w:autoSpaceDN/>
              <w:bidi w:val="0"/>
              <w:adjustRightInd/>
              <w:snapToGrid/>
              <w:spacing w:before="100" w:beforeAutospacing="1" w:after="100" w:afterAutospacing="1" w:line="480" w:lineRule="exact"/>
              <w:jc w:val="left"/>
              <w:textAlignment w:val="auto"/>
              <w:rPr>
                <w:rFonts w:ascii="宋体" w:hAnsi="宋体"/>
                <w:szCs w:val="21"/>
                <w:highlight w:val="none"/>
              </w:rPr>
            </w:pPr>
            <w:r>
              <w:rPr>
                <w:rFonts w:hint="eastAsia" w:ascii="宋体" w:hAnsi="宋体"/>
                <w:szCs w:val="21"/>
                <w:highlight w:val="none"/>
              </w:rPr>
              <w:t>投标人必须具备独立承担民事责任的能力，提供法人或者其他组织的营业执照等证明文件；投标人是自然人的，提供自然人身份证明（扫描件）</w:t>
            </w:r>
          </w:p>
        </w:tc>
      </w:tr>
      <w:tr w14:paraId="2A900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101" w:type="dxa"/>
            <w:vMerge w:val="continue"/>
            <w:vAlign w:val="center"/>
          </w:tcPr>
          <w:p w14:paraId="2AB51749">
            <w:pPr>
              <w:spacing w:before="100" w:beforeAutospacing="1" w:after="100" w:afterAutospacing="1"/>
              <w:jc w:val="center"/>
              <w:rPr>
                <w:rFonts w:ascii="宋体" w:hAnsi="宋体"/>
                <w:szCs w:val="21"/>
                <w:highlight w:val="none"/>
              </w:rPr>
            </w:pPr>
          </w:p>
        </w:tc>
        <w:tc>
          <w:tcPr>
            <w:tcW w:w="708" w:type="dxa"/>
            <w:vAlign w:val="center"/>
          </w:tcPr>
          <w:p w14:paraId="3A0CBA39">
            <w:pPr>
              <w:spacing w:before="100" w:beforeAutospacing="1" w:after="100" w:afterAutospacing="1" w:line="280" w:lineRule="exact"/>
              <w:jc w:val="center"/>
              <w:rPr>
                <w:rFonts w:ascii="宋体" w:hAnsi="宋体"/>
                <w:szCs w:val="21"/>
                <w:highlight w:val="none"/>
              </w:rPr>
            </w:pPr>
            <w:r>
              <w:rPr>
                <w:rFonts w:hint="eastAsia" w:ascii="宋体" w:hAnsi="宋体"/>
                <w:szCs w:val="21"/>
                <w:highlight w:val="none"/>
              </w:rPr>
              <w:t>1.2</w:t>
            </w:r>
          </w:p>
        </w:tc>
        <w:tc>
          <w:tcPr>
            <w:tcW w:w="8222" w:type="dxa"/>
            <w:vAlign w:val="center"/>
          </w:tcPr>
          <w:p w14:paraId="5A615C19">
            <w:pPr>
              <w:keepNext w:val="0"/>
              <w:keepLines w:val="0"/>
              <w:pageBreakBefore w:val="0"/>
              <w:widowControl w:val="0"/>
              <w:kinsoku/>
              <w:wordWrap/>
              <w:overflowPunct/>
              <w:topLinePunct w:val="0"/>
              <w:autoSpaceDE/>
              <w:autoSpaceDN/>
              <w:bidi w:val="0"/>
              <w:adjustRightInd/>
              <w:snapToGrid/>
              <w:spacing w:before="100" w:beforeAutospacing="1" w:after="100" w:afterAutospacing="1" w:line="480" w:lineRule="exact"/>
              <w:jc w:val="left"/>
              <w:textAlignment w:val="auto"/>
              <w:rPr>
                <w:rFonts w:ascii="宋体" w:hAnsi="宋体"/>
                <w:szCs w:val="21"/>
                <w:highlight w:val="none"/>
              </w:rPr>
            </w:pPr>
            <w:r>
              <w:rPr>
                <w:rFonts w:hint="eastAsia" w:ascii="宋体" w:hAnsi="宋体"/>
                <w:szCs w:val="21"/>
                <w:highlight w:val="none"/>
              </w:rPr>
              <w:t>投标人须提供财务状况报告，内容可为以下三者之一：提</w:t>
            </w:r>
            <w:r>
              <w:rPr>
                <w:rFonts w:hint="eastAsia" w:ascii="宋体" w:hAnsi="宋体"/>
                <w:szCs w:val="21"/>
                <w:highlight w:val="none"/>
              </w:rPr>
              <w:t>供</w:t>
            </w:r>
            <w:r>
              <w:rPr>
                <w:rFonts w:hint="eastAsia" w:ascii="宋体" w:hAnsi="宋体"/>
                <w:szCs w:val="21"/>
                <w:highlight w:val="none"/>
                <w:lang w:eastAsia="zh-CN"/>
              </w:rPr>
              <w:t>2024年或2025年</w:t>
            </w:r>
            <w:r>
              <w:rPr>
                <w:rFonts w:hint="eastAsia" w:ascii="宋体" w:hAnsi="宋体"/>
                <w:szCs w:val="21"/>
                <w:highlight w:val="none"/>
              </w:rPr>
              <w:t>经</w:t>
            </w:r>
            <w:r>
              <w:rPr>
                <w:rFonts w:hint="eastAsia" w:ascii="宋体" w:hAnsi="宋体"/>
                <w:szCs w:val="21"/>
                <w:highlight w:val="none"/>
              </w:rPr>
              <w:t>审计的财务报告（扫描件）或提交投标文件截止时间前三个月内基本开户银行出具的资信证明（扫描件）或财政部门认可的政府采购专业担保机构出具的投标担保函（扫描件）（成立时间不足一年的，可提供提交投标文件截止时间前3个月内基本开户银行出具的资信证明或自成立至今经第三方审计的财务报告；如提供投标担保函的，需同时提供专业担保机构经财政部门认可的证明文件）</w:t>
            </w:r>
          </w:p>
        </w:tc>
      </w:tr>
      <w:tr w14:paraId="62C76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101" w:type="dxa"/>
            <w:vMerge w:val="continue"/>
            <w:vAlign w:val="center"/>
          </w:tcPr>
          <w:p w14:paraId="65C5DF87">
            <w:pPr>
              <w:spacing w:before="100" w:beforeAutospacing="1" w:after="100" w:afterAutospacing="1"/>
              <w:rPr>
                <w:rFonts w:ascii="宋体" w:hAnsi="宋体"/>
                <w:szCs w:val="21"/>
                <w:highlight w:val="none"/>
              </w:rPr>
            </w:pPr>
          </w:p>
        </w:tc>
        <w:tc>
          <w:tcPr>
            <w:tcW w:w="708" w:type="dxa"/>
            <w:vAlign w:val="center"/>
          </w:tcPr>
          <w:p w14:paraId="52395984">
            <w:pPr>
              <w:spacing w:before="100" w:beforeAutospacing="1" w:after="100" w:afterAutospacing="1" w:line="280" w:lineRule="exact"/>
              <w:jc w:val="center"/>
              <w:rPr>
                <w:rFonts w:ascii="宋体" w:hAnsi="宋体"/>
                <w:szCs w:val="21"/>
                <w:highlight w:val="none"/>
              </w:rPr>
            </w:pPr>
            <w:r>
              <w:rPr>
                <w:rFonts w:hint="eastAsia" w:ascii="宋体" w:hAnsi="宋体"/>
                <w:szCs w:val="21"/>
                <w:highlight w:val="none"/>
              </w:rPr>
              <w:t>1.3</w:t>
            </w:r>
          </w:p>
        </w:tc>
        <w:tc>
          <w:tcPr>
            <w:tcW w:w="8222" w:type="dxa"/>
            <w:vAlign w:val="center"/>
          </w:tcPr>
          <w:p w14:paraId="21F2D5A0">
            <w:pPr>
              <w:keepNext w:val="0"/>
              <w:keepLines w:val="0"/>
              <w:pageBreakBefore w:val="0"/>
              <w:widowControl w:val="0"/>
              <w:kinsoku/>
              <w:wordWrap/>
              <w:overflowPunct/>
              <w:topLinePunct w:val="0"/>
              <w:autoSpaceDE/>
              <w:autoSpaceDN/>
              <w:bidi w:val="0"/>
              <w:adjustRightInd/>
              <w:snapToGrid/>
              <w:spacing w:before="100" w:beforeAutospacing="1" w:after="100" w:afterAutospacing="1" w:line="480" w:lineRule="exact"/>
              <w:jc w:val="left"/>
              <w:textAlignment w:val="auto"/>
              <w:rPr>
                <w:rFonts w:ascii="宋体" w:hAnsi="宋体"/>
                <w:szCs w:val="21"/>
                <w:highlight w:val="none"/>
              </w:rPr>
            </w:pPr>
            <w:r>
              <w:rPr>
                <w:rFonts w:hint="eastAsia" w:ascii="宋体" w:hAnsi="宋体"/>
                <w:szCs w:val="21"/>
                <w:highlight w:val="none"/>
              </w:rPr>
              <w:t>缴税所属时间在202</w:t>
            </w:r>
            <w:r>
              <w:rPr>
                <w:rFonts w:hint="eastAsia" w:ascii="宋体" w:hAnsi="宋体"/>
                <w:szCs w:val="21"/>
                <w:highlight w:val="none"/>
                <w:lang w:val="en-US" w:eastAsia="zh-CN"/>
              </w:rPr>
              <w:t>5</w:t>
            </w:r>
            <w:r>
              <w:rPr>
                <w:rFonts w:hint="eastAsia" w:ascii="宋体" w:hAnsi="宋体"/>
                <w:szCs w:val="21"/>
                <w:highlight w:val="none"/>
              </w:rPr>
              <w:t>年1月至投标截止日期前任意2个月的税务局税收通用缴款书扫描件或银行电子缴税（费）凭证扫描件或税务局出具纳税情况的相关证明扫描件（成立未满2个月的提供成立以来的纳税相关证明或相关情况说明；依法免税的，应提供相应文件证明其依法免税）</w:t>
            </w:r>
          </w:p>
        </w:tc>
      </w:tr>
      <w:tr w14:paraId="2EEF2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101" w:type="dxa"/>
            <w:vMerge w:val="continue"/>
            <w:vAlign w:val="center"/>
          </w:tcPr>
          <w:p w14:paraId="7F09F8C0">
            <w:pPr>
              <w:spacing w:before="100" w:beforeAutospacing="1" w:after="100" w:afterAutospacing="1"/>
              <w:rPr>
                <w:rFonts w:ascii="宋体" w:hAnsi="宋体"/>
                <w:szCs w:val="21"/>
                <w:highlight w:val="none"/>
              </w:rPr>
            </w:pPr>
          </w:p>
        </w:tc>
        <w:tc>
          <w:tcPr>
            <w:tcW w:w="708" w:type="dxa"/>
            <w:vAlign w:val="center"/>
          </w:tcPr>
          <w:p w14:paraId="5E50C1F0">
            <w:pPr>
              <w:spacing w:before="100" w:beforeAutospacing="1" w:after="100" w:afterAutospacing="1" w:line="280" w:lineRule="exact"/>
              <w:jc w:val="center"/>
              <w:rPr>
                <w:rFonts w:ascii="宋体" w:hAnsi="宋体"/>
                <w:szCs w:val="21"/>
                <w:highlight w:val="none"/>
              </w:rPr>
            </w:pPr>
            <w:r>
              <w:rPr>
                <w:rFonts w:hint="eastAsia" w:ascii="宋体" w:hAnsi="宋体"/>
                <w:szCs w:val="21"/>
                <w:highlight w:val="none"/>
              </w:rPr>
              <w:t>1.4</w:t>
            </w:r>
          </w:p>
        </w:tc>
        <w:tc>
          <w:tcPr>
            <w:tcW w:w="8222" w:type="dxa"/>
            <w:vAlign w:val="center"/>
          </w:tcPr>
          <w:p w14:paraId="463C0B49">
            <w:pPr>
              <w:keepNext w:val="0"/>
              <w:keepLines w:val="0"/>
              <w:pageBreakBefore w:val="0"/>
              <w:widowControl w:val="0"/>
              <w:kinsoku/>
              <w:wordWrap/>
              <w:overflowPunct/>
              <w:topLinePunct w:val="0"/>
              <w:autoSpaceDE/>
              <w:autoSpaceDN/>
              <w:bidi w:val="0"/>
              <w:adjustRightInd/>
              <w:snapToGrid/>
              <w:spacing w:before="100" w:beforeAutospacing="1" w:after="100" w:afterAutospacing="1" w:line="480" w:lineRule="exact"/>
              <w:jc w:val="left"/>
              <w:textAlignment w:val="auto"/>
              <w:rPr>
                <w:rFonts w:ascii="宋体" w:hAnsi="宋体"/>
                <w:szCs w:val="21"/>
                <w:highlight w:val="none"/>
              </w:rPr>
            </w:pPr>
            <w:r>
              <w:rPr>
                <w:rFonts w:hint="eastAsia" w:ascii="宋体" w:hAnsi="宋体"/>
                <w:szCs w:val="21"/>
                <w:highlight w:val="none"/>
              </w:rPr>
              <w:t>缴费所属时间在202</w:t>
            </w:r>
            <w:r>
              <w:rPr>
                <w:rFonts w:hint="eastAsia" w:ascii="宋体" w:hAnsi="宋体"/>
                <w:szCs w:val="21"/>
                <w:highlight w:val="none"/>
                <w:lang w:val="en-US" w:eastAsia="zh-CN"/>
              </w:rPr>
              <w:t>5</w:t>
            </w:r>
            <w:r>
              <w:rPr>
                <w:rFonts w:hint="eastAsia" w:ascii="宋体" w:hAnsi="宋体"/>
                <w:szCs w:val="21"/>
                <w:highlight w:val="none"/>
              </w:rPr>
              <w:t>年1月至投标截止日期前任意2个月的社会保险费缴款书扫描件或银行电子缴税（费）凭证扫描件或社保管理部门出具的有效的缴款证明扫描件（成立未满2个月的提供成立以来的社会保险费缴纳证明或相关情况说明；不需要缴纳社会保险费的，应提供相应文件证明其不需要缴纳社会保险费）</w:t>
            </w:r>
          </w:p>
        </w:tc>
      </w:tr>
      <w:tr w14:paraId="7F7DE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1101" w:type="dxa"/>
            <w:vMerge w:val="continue"/>
            <w:vAlign w:val="center"/>
          </w:tcPr>
          <w:p w14:paraId="3EE5452C">
            <w:pPr>
              <w:spacing w:before="100" w:beforeAutospacing="1" w:after="100" w:afterAutospacing="1"/>
              <w:rPr>
                <w:rFonts w:ascii="宋体" w:hAnsi="宋体"/>
                <w:szCs w:val="21"/>
                <w:highlight w:val="none"/>
              </w:rPr>
            </w:pPr>
          </w:p>
        </w:tc>
        <w:tc>
          <w:tcPr>
            <w:tcW w:w="708" w:type="dxa"/>
            <w:vAlign w:val="center"/>
          </w:tcPr>
          <w:p w14:paraId="7437CE5B">
            <w:pPr>
              <w:spacing w:before="100" w:beforeAutospacing="1" w:after="100" w:afterAutospacing="1" w:line="280" w:lineRule="exact"/>
              <w:jc w:val="center"/>
              <w:rPr>
                <w:rFonts w:ascii="宋体" w:hAnsi="宋体"/>
                <w:szCs w:val="21"/>
                <w:highlight w:val="none"/>
              </w:rPr>
            </w:pPr>
            <w:r>
              <w:rPr>
                <w:rFonts w:hint="eastAsia" w:ascii="宋体" w:hAnsi="宋体"/>
                <w:szCs w:val="21"/>
                <w:highlight w:val="none"/>
              </w:rPr>
              <w:t>1.5</w:t>
            </w:r>
          </w:p>
        </w:tc>
        <w:tc>
          <w:tcPr>
            <w:tcW w:w="8222" w:type="dxa"/>
            <w:vAlign w:val="center"/>
          </w:tcPr>
          <w:p w14:paraId="56301673">
            <w:pPr>
              <w:keepNext w:val="0"/>
              <w:keepLines w:val="0"/>
              <w:pageBreakBefore w:val="0"/>
              <w:widowControl w:val="0"/>
              <w:kinsoku/>
              <w:wordWrap/>
              <w:overflowPunct/>
              <w:topLinePunct w:val="0"/>
              <w:autoSpaceDE/>
              <w:autoSpaceDN/>
              <w:bidi w:val="0"/>
              <w:adjustRightInd/>
              <w:snapToGrid/>
              <w:spacing w:before="100" w:beforeAutospacing="1" w:after="100" w:afterAutospacing="1" w:line="480" w:lineRule="exact"/>
              <w:jc w:val="left"/>
              <w:textAlignment w:val="auto"/>
              <w:rPr>
                <w:rFonts w:ascii="宋体" w:hAnsi="宋体"/>
                <w:szCs w:val="21"/>
                <w:highlight w:val="none"/>
              </w:rPr>
            </w:pPr>
            <w:r>
              <w:rPr>
                <w:rFonts w:hint="eastAsia" w:ascii="宋体" w:hAnsi="宋体"/>
                <w:szCs w:val="21"/>
                <w:highlight w:val="none"/>
              </w:rPr>
              <w:t>投标人须提供具备履行合同所必需的设备和专业技术能力的证明材料或承诺函</w:t>
            </w:r>
          </w:p>
        </w:tc>
      </w:tr>
      <w:tr w14:paraId="1D1CB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101" w:type="dxa"/>
            <w:vMerge w:val="continue"/>
            <w:vAlign w:val="center"/>
          </w:tcPr>
          <w:p w14:paraId="3911C3FF">
            <w:pPr>
              <w:spacing w:before="100" w:beforeAutospacing="1" w:after="100" w:afterAutospacing="1"/>
              <w:rPr>
                <w:rFonts w:ascii="宋体" w:hAnsi="宋体"/>
                <w:szCs w:val="21"/>
                <w:highlight w:val="none"/>
              </w:rPr>
            </w:pPr>
          </w:p>
        </w:tc>
        <w:tc>
          <w:tcPr>
            <w:tcW w:w="708" w:type="dxa"/>
            <w:vAlign w:val="center"/>
          </w:tcPr>
          <w:p w14:paraId="38953C72">
            <w:pPr>
              <w:spacing w:before="100" w:beforeAutospacing="1" w:after="100" w:afterAutospacing="1" w:line="280" w:lineRule="exact"/>
              <w:jc w:val="center"/>
              <w:rPr>
                <w:rFonts w:ascii="宋体" w:hAnsi="宋体"/>
                <w:szCs w:val="21"/>
                <w:highlight w:val="none"/>
              </w:rPr>
            </w:pPr>
            <w:r>
              <w:rPr>
                <w:rFonts w:hint="eastAsia" w:ascii="宋体" w:hAnsi="宋体"/>
                <w:szCs w:val="21"/>
                <w:highlight w:val="none"/>
              </w:rPr>
              <w:t>1.6</w:t>
            </w:r>
          </w:p>
        </w:tc>
        <w:tc>
          <w:tcPr>
            <w:tcW w:w="8222" w:type="dxa"/>
            <w:vAlign w:val="center"/>
          </w:tcPr>
          <w:p w14:paraId="030FF1EC">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ascii="宋体" w:hAnsi="宋体"/>
                <w:szCs w:val="21"/>
                <w:highlight w:val="none"/>
              </w:rPr>
            </w:pPr>
            <w:r>
              <w:rPr>
                <w:rFonts w:hint="eastAsia" w:ascii="宋体" w:hAnsi="宋体"/>
                <w:szCs w:val="21"/>
                <w:highlight w:val="none"/>
              </w:rPr>
              <w:t>投标人必须提供参加政府采购活动前3年内在经营活动中没有重大违法记录的书面声明（重大违法记录，是指供应商因违法经营受到刑事处罚或者责令停产停业、吊销许可证或者执照、较大数额罚款等行政处罚）</w:t>
            </w:r>
          </w:p>
          <w:p w14:paraId="63723221">
            <w:pPr>
              <w:pStyle w:val="2"/>
              <w:keepNext w:val="0"/>
              <w:keepLines w:val="0"/>
              <w:pageBreakBefore w:val="0"/>
              <w:widowControl w:val="0"/>
              <w:kinsoku/>
              <w:wordWrap/>
              <w:overflowPunct/>
              <w:topLinePunct w:val="0"/>
              <w:autoSpaceDE/>
              <w:autoSpaceDN/>
              <w:bidi w:val="0"/>
              <w:adjustRightInd/>
              <w:snapToGrid/>
              <w:spacing w:line="480" w:lineRule="exact"/>
              <w:ind w:left="0" w:leftChars="0"/>
              <w:textAlignment w:val="auto"/>
              <w:rPr>
                <w:highlight w:val="none"/>
              </w:rPr>
            </w:pPr>
            <w:r>
              <w:rPr>
                <w:rFonts w:hint="eastAsia"/>
                <w:highlight w:val="none"/>
              </w:rPr>
              <w:t>采购代理机构将于评标前在“信用中国”网站（www.creditchina.gov.cn）失信被执行人、重大税收违法失信主体及中国政府采购网（www.ccgp.gov.cn）“政府采购严重违法失信行为信息记录”对投标人进行信用信息查询。查询记录为上述网站信用信息查询结果的网页截图或网页打印稿。列入失信被执行人或重大税收违法失信主体或政府采购严重违法失信行为记录名单的投标人，不得参加政府采购活动</w:t>
            </w:r>
          </w:p>
        </w:tc>
      </w:tr>
      <w:tr w14:paraId="3849E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101" w:type="dxa"/>
            <w:vMerge w:val="continue"/>
            <w:vAlign w:val="center"/>
          </w:tcPr>
          <w:p w14:paraId="730E19F0">
            <w:pPr>
              <w:spacing w:before="100" w:beforeAutospacing="1" w:after="100" w:afterAutospacing="1"/>
              <w:rPr>
                <w:rFonts w:ascii="宋体" w:hAnsi="宋体"/>
                <w:szCs w:val="21"/>
                <w:highlight w:val="none"/>
              </w:rPr>
            </w:pPr>
          </w:p>
        </w:tc>
        <w:tc>
          <w:tcPr>
            <w:tcW w:w="708" w:type="dxa"/>
            <w:vAlign w:val="center"/>
          </w:tcPr>
          <w:p w14:paraId="6F9D0D51">
            <w:pPr>
              <w:spacing w:before="100" w:beforeAutospacing="1" w:after="100" w:afterAutospacing="1" w:line="280" w:lineRule="exact"/>
              <w:jc w:val="center"/>
              <w:rPr>
                <w:rFonts w:ascii="宋体" w:hAnsi="宋体"/>
                <w:b/>
                <w:szCs w:val="21"/>
                <w:highlight w:val="none"/>
              </w:rPr>
            </w:pPr>
            <w:r>
              <w:rPr>
                <w:rFonts w:hint="eastAsia" w:ascii="宋体" w:hAnsi="宋体"/>
                <w:b/>
                <w:szCs w:val="21"/>
                <w:highlight w:val="none"/>
              </w:rPr>
              <w:t>2</w:t>
            </w:r>
          </w:p>
        </w:tc>
        <w:tc>
          <w:tcPr>
            <w:tcW w:w="8222" w:type="dxa"/>
            <w:vAlign w:val="center"/>
          </w:tcPr>
          <w:p w14:paraId="7C020688">
            <w:pPr>
              <w:keepNext w:val="0"/>
              <w:keepLines w:val="0"/>
              <w:pageBreakBefore w:val="0"/>
              <w:widowControl w:val="0"/>
              <w:kinsoku/>
              <w:wordWrap/>
              <w:overflowPunct/>
              <w:topLinePunct w:val="0"/>
              <w:autoSpaceDE/>
              <w:autoSpaceDN/>
              <w:bidi w:val="0"/>
              <w:adjustRightInd/>
              <w:snapToGrid/>
              <w:spacing w:before="100" w:beforeAutospacing="1" w:after="100" w:afterAutospacing="1" w:line="480" w:lineRule="exact"/>
              <w:jc w:val="left"/>
              <w:textAlignment w:val="auto"/>
              <w:rPr>
                <w:rFonts w:ascii="宋体" w:hAnsi="宋体"/>
                <w:b/>
                <w:szCs w:val="21"/>
                <w:highlight w:val="none"/>
              </w:rPr>
            </w:pPr>
            <w:r>
              <w:rPr>
                <w:rFonts w:hint="eastAsia" w:ascii="宋体" w:hAnsi="宋体"/>
                <w:b/>
                <w:szCs w:val="21"/>
                <w:highlight w:val="none"/>
              </w:rPr>
              <w:t>投标人应符合采购人根据采购项目的特殊要求规定的特定条件</w:t>
            </w:r>
          </w:p>
        </w:tc>
      </w:tr>
      <w:tr w14:paraId="74BF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101" w:type="dxa"/>
            <w:vMerge w:val="continue"/>
            <w:vAlign w:val="center"/>
          </w:tcPr>
          <w:p w14:paraId="556EDB72">
            <w:pPr>
              <w:spacing w:before="100" w:beforeAutospacing="1" w:after="100" w:afterAutospacing="1"/>
              <w:rPr>
                <w:rFonts w:ascii="宋体" w:hAnsi="宋体"/>
                <w:szCs w:val="21"/>
                <w:highlight w:val="none"/>
              </w:rPr>
            </w:pPr>
          </w:p>
        </w:tc>
        <w:tc>
          <w:tcPr>
            <w:tcW w:w="708" w:type="dxa"/>
            <w:vAlign w:val="center"/>
          </w:tcPr>
          <w:p w14:paraId="3DC61643">
            <w:pPr>
              <w:spacing w:before="100" w:beforeAutospacing="1" w:after="100" w:afterAutospacing="1" w:line="280" w:lineRule="exact"/>
              <w:jc w:val="center"/>
              <w:rPr>
                <w:rFonts w:ascii="宋体" w:hAnsi="宋体"/>
                <w:szCs w:val="21"/>
                <w:highlight w:val="none"/>
              </w:rPr>
            </w:pPr>
            <w:r>
              <w:rPr>
                <w:rFonts w:hint="eastAsia" w:ascii="宋体" w:hAnsi="宋体"/>
                <w:szCs w:val="21"/>
                <w:highlight w:val="none"/>
              </w:rPr>
              <w:t>2.</w:t>
            </w:r>
            <w:r>
              <w:rPr>
                <w:rFonts w:ascii="宋体" w:hAnsi="宋体"/>
                <w:szCs w:val="21"/>
                <w:highlight w:val="none"/>
              </w:rPr>
              <w:t>1</w:t>
            </w:r>
          </w:p>
        </w:tc>
        <w:tc>
          <w:tcPr>
            <w:tcW w:w="8222" w:type="dxa"/>
            <w:vAlign w:val="center"/>
          </w:tcPr>
          <w:p w14:paraId="512D0AFA">
            <w:pPr>
              <w:keepNext w:val="0"/>
              <w:keepLines w:val="0"/>
              <w:pageBreakBefore w:val="0"/>
              <w:widowControl w:val="0"/>
              <w:kinsoku/>
              <w:wordWrap/>
              <w:overflowPunct/>
              <w:topLinePunct w:val="0"/>
              <w:autoSpaceDE/>
              <w:autoSpaceDN/>
              <w:bidi w:val="0"/>
              <w:adjustRightInd/>
              <w:snapToGrid/>
              <w:spacing w:before="100" w:beforeAutospacing="1" w:after="100" w:afterAutospacing="1" w:line="480" w:lineRule="exact"/>
              <w:jc w:val="left"/>
              <w:textAlignment w:val="auto"/>
              <w:rPr>
                <w:rFonts w:ascii="宋体" w:hAnsi="宋体"/>
                <w:szCs w:val="21"/>
                <w:highlight w:val="none"/>
              </w:rPr>
            </w:pPr>
            <w:r>
              <w:rPr>
                <w:rFonts w:hint="eastAsia" w:ascii="宋体" w:hAnsi="宋体"/>
                <w:kern w:val="0"/>
                <w:szCs w:val="21"/>
                <w:highlight w:val="none"/>
              </w:rPr>
              <w:t>投标人如果是代理商或经销商，须提供医疗器械经营许可/备案证、所投产品制造商医疗器械生产许可/备案证（制造商工商注册地在中华人民共和国境外的，不做此要求）、所投产品的医疗器械注册证；投标人如果是制造商，须提供医疗器械生产许可/备案证（制造商工商注册地在中华人民共和国境外的，不做此要求）、所投产品的医疗器械注册证。医疗器械生产或经营许可/备案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tc>
      </w:tr>
      <w:tr w14:paraId="34B79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101" w:type="dxa"/>
            <w:vMerge w:val="continue"/>
            <w:vAlign w:val="center"/>
          </w:tcPr>
          <w:p w14:paraId="223B0625">
            <w:pPr>
              <w:spacing w:before="100" w:beforeAutospacing="1" w:after="100" w:afterAutospacing="1"/>
              <w:rPr>
                <w:rFonts w:ascii="宋体" w:hAnsi="宋体"/>
                <w:szCs w:val="21"/>
                <w:highlight w:val="none"/>
              </w:rPr>
            </w:pPr>
          </w:p>
        </w:tc>
        <w:tc>
          <w:tcPr>
            <w:tcW w:w="708" w:type="dxa"/>
            <w:vAlign w:val="center"/>
          </w:tcPr>
          <w:p w14:paraId="4C74D3F4">
            <w:pPr>
              <w:spacing w:before="100" w:beforeAutospacing="1" w:after="100" w:afterAutospacing="1" w:line="280" w:lineRule="exact"/>
              <w:jc w:val="center"/>
              <w:rPr>
                <w:rFonts w:ascii="宋体" w:hAnsi="宋体"/>
                <w:szCs w:val="21"/>
                <w:highlight w:val="none"/>
              </w:rPr>
            </w:pPr>
            <w:r>
              <w:rPr>
                <w:rFonts w:hint="eastAsia" w:ascii="宋体" w:hAnsi="宋体"/>
                <w:szCs w:val="21"/>
                <w:highlight w:val="none"/>
              </w:rPr>
              <w:t>2.</w:t>
            </w:r>
            <w:r>
              <w:rPr>
                <w:rFonts w:ascii="宋体" w:hAnsi="宋体"/>
                <w:szCs w:val="21"/>
                <w:highlight w:val="none"/>
              </w:rPr>
              <w:t>2</w:t>
            </w:r>
          </w:p>
        </w:tc>
        <w:tc>
          <w:tcPr>
            <w:tcW w:w="8222" w:type="dxa"/>
            <w:vAlign w:val="center"/>
          </w:tcPr>
          <w:p w14:paraId="1D30E340">
            <w:pPr>
              <w:keepNext w:val="0"/>
              <w:keepLines w:val="0"/>
              <w:pageBreakBefore w:val="0"/>
              <w:widowControl w:val="0"/>
              <w:kinsoku/>
              <w:wordWrap/>
              <w:overflowPunct/>
              <w:topLinePunct w:val="0"/>
              <w:autoSpaceDE/>
              <w:autoSpaceDN/>
              <w:bidi w:val="0"/>
              <w:adjustRightInd/>
              <w:snapToGrid/>
              <w:spacing w:before="100" w:beforeAutospacing="1" w:after="100" w:afterAutospacing="1" w:line="480" w:lineRule="exact"/>
              <w:jc w:val="left"/>
              <w:textAlignment w:val="auto"/>
              <w:rPr>
                <w:rFonts w:ascii="宋体" w:hAnsi="宋体"/>
                <w:kern w:val="0"/>
                <w:szCs w:val="21"/>
                <w:highlight w:val="none"/>
              </w:rPr>
            </w:pPr>
            <w:r>
              <w:rPr>
                <w:rFonts w:hint="eastAsia" w:ascii="宋体" w:hAnsi="宋体"/>
                <w:kern w:val="0"/>
                <w:szCs w:val="21"/>
                <w:highlight w:val="none"/>
              </w:rPr>
              <w:t>单位负责人为同一人或者存在直接控股、管理关系的不同供应商，不得参加同一合同项下的政府采购活动。为本项目提供整体设计、规范编制或者项目管理、监理、检测等服务的供应商，不得再参加本项目的采购活动</w:t>
            </w:r>
          </w:p>
        </w:tc>
      </w:tr>
      <w:tr w14:paraId="54E0F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101" w:type="dxa"/>
            <w:vMerge w:val="continue"/>
            <w:vAlign w:val="center"/>
          </w:tcPr>
          <w:p w14:paraId="4BB4DC0F">
            <w:pPr>
              <w:spacing w:before="100" w:beforeAutospacing="1" w:after="100" w:afterAutospacing="1"/>
              <w:rPr>
                <w:rFonts w:ascii="宋体" w:hAnsi="宋体"/>
                <w:szCs w:val="21"/>
                <w:highlight w:val="none"/>
              </w:rPr>
            </w:pPr>
          </w:p>
        </w:tc>
        <w:tc>
          <w:tcPr>
            <w:tcW w:w="708" w:type="dxa"/>
            <w:vAlign w:val="center"/>
          </w:tcPr>
          <w:p w14:paraId="1FBB2873">
            <w:pPr>
              <w:spacing w:before="100" w:beforeAutospacing="1" w:after="100" w:afterAutospacing="1" w:line="280" w:lineRule="exact"/>
              <w:jc w:val="center"/>
              <w:rPr>
                <w:rFonts w:ascii="宋体" w:hAnsi="宋体"/>
                <w:szCs w:val="21"/>
                <w:highlight w:val="none"/>
              </w:rPr>
            </w:pPr>
            <w:r>
              <w:rPr>
                <w:rFonts w:hint="eastAsia" w:ascii="宋体" w:hAnsi="宋体"/>
                <w:szCs w:val="21"/>
                <w:highlight w:val="none"/>
                <w:lang w:val="en-US" w:eastAsia="zh-CN"/>
              </w:rPr>
              <w:t>2.</w:t>
            </w:r>
            <w:r>
              <w:rPr>
                <w:rFonts w:ascii="宋体" w:hAnsi="宋体"/>
                <w:szCs w:val="21"/>
                <w:highlight w:val="none"/>
              </w:rPr>
              <w:t>3</w:t>
            </w:r>
          </w:p>
        </w:tc>
        <w:tc>
          <w:tcPr>
            <w:tcW w:w="8222" w:type="dxa"/>
            <w:vAlign w:val="center"/>
          </w:tcPr>
          <w:p w14:paraId="16D9D62C">
            <w:pPr>
              <w:keepNext w:val="0"/>
              <w:keepLines w:val="0"/>
              <w:pageBreakBefore w:val="0"/>
              <w:widowControl w:val="0"/>
              <w:kinsoku/>
              <w:wordWrap/>
              <w:overflowPunct/>
              <w:topLinePunct w:val="0"/>
              <w:autoSpaceDE/>
              <w:autoSpaceDN/>
              <w:bidi w:val="0"/>
              <w:adjustRightInd/>
              <w:snapToGrid/>
              <w:spacing w:before="100" w:beforeAutospacing="1" w:after="100" w:afterAutospacing="1" w:line="480" w:lineRule="exact"/>
              <w:jc w:val="left"/>
              <w:textAlignment w:val="auto"/>
              <w:rPr>
                <w:rFonts w:ascii="宋体" w:hAnsi="宋体"/>
                <w:szCs w:val="21"/>
                <w:highlight w:val="none"/>
              </w:rPr>
            </w:pPr>
            <w:r>
              <w:rPr>
                <w:rFonts w:hint="eastAsia" w:ascii="宋体" w:hAnsi="宋体"/>
                <w:kern w:val="0"/>
                <w:szCs w:val="21"/>
                <w:highlight w:val="none"/>
              </w:rPr>
              <w:t>本次招标不接受联合体投标</w:t>
            </w:r>
          </w:p>
        </w:tc>
      </w:tr>
    </w:tbl>
    <w:p w14:paraId="38170DAA">
      <w:pPr>
        <w:rPr>
          <w:highlight w:val="none"/>
        </w:rPr>
      </w:pPr>
    </w:p>
    <w:p w14:paraId="78110DDF">
      <w:pPr>
        <w:widowControl/>
        <w:jc w:val="left"/>
        <w:rPr>
          <w:rFonts w:ascii="宋体" w:hAnsi="宋体"/>
          <w:b/>
          <w:bCs/>
          <w:kern w:val="44"/>
          <w:sz w:val="36"/>
          <w:szCs w:val="36"/>
          <w:highlight w:val="none"/>
        </w:rPr>
      </w:pPr>
      <w:r>
        <w:rPr>
          <w:rFonts w:ascii="宋体" w:hAnsi="宋体"/>
          <w:b/>
          <w:bCs/>
          <w:kern w:val="44"/>
          <w:sz w:val="36"/>
          <w:szCs w:val="36"/>
          <w:highlight w:val="none"/>
        </w:rPr>
        <w:br w:type="page"/>
      </w:r>
    </w:p>
    <w:p w14:paraId="4194AD33">
      <w:pPr>
        <w:widowControl/>
        <w:jc w:val="left"/>
        <w:rPr>
          <w:rFonts w:ascii="宋体" w:hAnsi="宋体"/>
          <w:b/>
          <w:bCs/>
          <w:kern w:val="44"/>
          <w:sz w:val="36"/>
          <w:szCs w:val="36"/>
          <w:highlight w:val="none"/>
        </w:rPr>
      </w:pPr>
    </w:p>
    <w:p w14:paraId="547F523F">
      <w:pPr>
        <w:pStyle w:val="4"/>
        <w:jc w:val="center"/>
        <w:rPr>
          <w:rFonts w:ascii="宋体" w:hAnsi="宋体" w:eastAsia="宋体"/>
          <w:bCs/>
          <w:sz w:val="36"/>
          <w:szCs w:val="36"/>
          <w:highlight w:val="none"/>
        </w:rPr>
      </w:pPr>
      <w:bookmarkStart w:id="227" w:name="_Toc5416"/>
      <w:r>
        <w:rPr>
          <w:rFonts w:hint="eastAsia" w:ascii="宋体" w:hAnsi="宋体" w:eastAsia="宋体"/>
          <w:bCs/>
          <w:sz w:val="36"/>
          <w:szCs w:val="36"/>
          <w:highlight w:val="none"/>
        </w:rPr>
        <w:t>第七章 评标方法（综合评分法）</w:t>
      </w:r>
      <w:bookmarkEnd w:id="227"/>
    </w:p>
    <w:p w14:paraId="752F0A4B">
      <w:pPr>
        <w:pStyle w:val="5"/>
        <w:tabs>
          <w:tab w:val="left" w:pos="426"/>
          <w:tab w:val="clear" w:pos="1021"/>
        </w:tabs>
        <w:snapToGrid w:val="0"/>
        <w:spacing w:before="0"/>
        <w:ind w:hanging="2"/>
        <w:jc w:val="center"/>
        <w:rPr>
          <w:b w:val="0"/>
          <w:bCs/>
          <w:highlight w:val="none"/>
        </w:rPr>
      </w:pPr>
      <w:bookmarkStart w:id="228" w:name="_Toc101004126"/>
      <w:bookmarkStart w:id="229" w:name="_Toc402942147"/>
      <w:bookmarkStart w:id="230" w:name="_Toc33095576"/>
      <w:bookmarkStart w:id="231" w:name="_Toc16168596"/>
      <w:bookmarkStart w:id="232" w:name="_Toc398126394"/>
      <w:bookmarkStart w:id="233" w:name="_Toc87"/>
      <w:r>
        <w:rPr>
          <w:rFonts w:hint="eastAsia" w:ascii="宋体" w:hAnsi="宋体" w:eastAsia="宋体"/>
          <w:bCs/>
          <w:kern w:val="44"/>
          <w:sz w:val="36"/>
          <w:szCs w:val="36"/>
          <w:highlight w:val="none"/>
        </w:rPr>
        <w:t>评标方法前附表</w:t>
      </w:r>
      <w:bookmarkEnd w:id="228"/>
      <w:bookmarkEnd w:id="229"/>
      <w:bookmarkEnd w:id="230"/>
      <w:bookmarkEnd w:id="231"/>
      <w:bookmarkEnd w:id="232"/>
      <w:bookmarkEnd w:id="233"/>
    </w:p>
    <w:tbl>
      <w:tblPr>
        <w:tblStyle w:val="30"/>
        <w:tblW w:w="10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1276"/>
        <w:gridCol w:w="1853"/>
        <w:gridCol w:w="5943"/>
      </w:tblGrid>
      <w:tr w14:paraId="1B655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973" w:type="dxa"/>
            <w:vAlign w:val="center"/>
          </w:tcPr>
          <w:p w14:paraId="29149587">
            <w:pPr>
              <w:spacing w:before="100" w:beforeAutospacing="1" w:after="100" w:afterAutospacing="1"/>
              <w:jc w:val="center"/>
              <w:rPr>
                <w:rFonts w:ascii="宋体" w:hAnsi="宋体"/>
                <w:b/>
                <w:szCs w:val="21"/>
                <w:highlight w:val="none"/>
              </w:rPr>
            </w:pPr>
            <w:r>
              <w:rPr>
                <w:rFonts w:hint="eastAsia" w:ascii="宋体" w:hAnsi="宋体"/>
                <w:b/>
                <w:szCs w:val="21"/>
                <w:highlight w:val="none"/>
              </w:rPr>
              <w:t>条款号</w:t>
            </w:r>
          </w:p>
        </w:tc>
        <w:tc>
          <w:tcPr>
            <w:tcW w:w="1276" w:type="dxa"/>
            <w:vAlign w:val="center"/>
          </w:tcPr>
          <w:p w14:paraId="53BD1CE7">
            <w:pPr>
              <w:spacing w:before="100" w:beforeAutospacing="1" w:after="100" w:afterAutospacing="1"/>
              <w:jc w:val="center"/>
              <w:rPr>
                <w:rFonts w:ascii="宋体" w:hAnsi="宋体"/>
                <w:b/>
                <w:szCs w:val="21"/>
                <w:highlight w:val="none"/>
              </w:rPr>
            </w:pPr>
            <w:r>
              <w:rPr>
                <w:rFonts w:hint="eastAsia" w:ascii="宋体" w:hAnsi="宋体"/>
                <w:b/>
                <w:szCs w:val="21"/>
                <w:highlight w:val="none"/>
              </w:rPr>
              <w:t>评审程序</w:t>
            </w:r>
          </w:p>
        </w:tc>
        <w:tc>
          <w:tcPr>
            <w:tcW w:w="7796" w:type="dxa"/>
            <w:gridSpan w:val="2"/>
            <w:vAlign w:val="center"/>
          </w:tcPr>
          <w:p w14:paraId="37E03505">
            <w:pPr>
              <w:spacing w:before="100" w:beforeAutospacing="1" w:after="100" w:afterAutospacing="1"/>
              <w:jc w:val="center"/>
              <w:rPr>
                <w:rFonts w:ascii="宋体" w:hAnsi="宋体"/>
                <w:b/>
                <w:szCs w:val="21"/>
                <w:highlight w:val="none"/>
              </w:rPr>
            </w:pPr>
            <w:r>
              <w:rPr>
                <w:rFonts w:hint="eastAsia" w:ascii="宋体" w:hAnsi="宋体"/>
                <w:b/>
                <w:szCs w:val="21"/>
                <w:highlight w:val="none"/>
              </w:rPr>
              <w:t>评 审 内 容 及 标 准</w:t>
            </w:r>
          </w:p>
        </w:tc>
      </w:tr>
      <w:tr w14:paraId="43D6A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restart"/>
            <w:vAlign w:val="center"/>
          </w:tcPr>
          <w:p w14:paraId="7F73737C">
            <w:pPr>
              <w:spacing w:before="100" w:beforeAutospacing="1" w:after="100" w:afterAutospacing="1"/>
              <w:jc w:val="center"/>
              <w:rPr>
                <w:rFonts w:ascii="宋体" w:hAnsi="宋体"/>
                <w:szCs w:val="21"/>
                <w:highlight w:val="none"/>
              </w:rPr>
            </w:pPr>
            <w:r>
              <w:rPr>
                <w:rFonts w:hint="eastAsia" w:ascii="宋体" w:hAnsi="宋体"/>
                <w:szCs w:val="21"/>
                <w:highlight w:val="none"/>
              </w:rPr>
              <w:t>3.1</w:t>
            </w:r>
          </w:p>
        </w:tc>
        <w:tc>
          <w:tcPr>
            <w:tcW w:w="1276" w:type="dxa"/>
            <w:vMerge w:val="restart"/>
            <w:vAlign w:val="center"/>
          </w:tcPr>
          <w:p w14:paraId="21727D64">
            <w:pPr>
              <w:spacing w:before="100" w:beforeAutospacing="1" w:after="100" w:afterAutospacing="1"/>
              <w:jc w:val="center"/>
              <w:rPr>
                <w:rFonts w:ascii="宋体" w:hAnsi="宋体"/>
                <w:szCs w:val="21"/>
                <w:highlight w:val="none"/>
              </w:rPr>
            </w:pPr>
            <w:r>
              <w:rPr>
                <w:rFonts w:hint="eastAsia" w:ascii="宋体" w:hAnsi="宋体"/>
                <w:szCs w:val="21"/>
                <w:highlight w:val="none"/>
              </w:rPr>
              <w:t>符合性评审标准</w:t>
            </w:r>
          </w:p>
        </w:tc>
        <w:tc>
          <w:tcPr>
            <w:tcW w:w="7796" w:type="dxa"/>
            <w:gridSpan w:val="2"/>
            <w:vAlign w:val="center"/>
          </w:tcPr>
          <w:p w14:paraId="13946430">
            <w:pPr>
              <w:spacing w:before="100" w:beforeAutospacing="1" w:after="100" w:afterAutospacing="1"/>
              <w:jc w:val="left"/>
              <w:rPr>
                <w:rFonts w:ascii="宋体" w:hAnsi="宋体"/>
                <w:b/>
                <w:szCs w:val="21"/>
                <w:highlight w:val="none"/>
              </w:rPr>
            </w:pPr>
            <w:r>
              <w:rPr>
                <w:rFonts w:ascii="宋体" w:hAnsi="宋体"/>
                <w:b/>
                <w:szCs w:val="21"/>
                <w:highlight w:val="none"/>
              </w:rPr>
              <w:t>投标人存在下列情况之一的，投标无效</w:t>
            </w:r>
            <w:r>
              <w:rPr>
                <w:rFonts w:hint="eastAsia" w:ascii="宋体" w:hAnsi="宋体"/>
                <w:b/>
                <w:szCs w:val="21"/>
                <w:highlight w:val="none"/>
              </w:rPr>
              <w:t>：</w:t>
            </w:r>
          </w:p>
        </w:tc>
      </w:tr>
      <w:tr w14:paraId="72C1F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14:paraId="1AD82FD2">
            <w:pPr>
              <w:spacing w:before="100" w:beforeAutospacing="1" w:after="100" w:afterAutospacing="1"/>
              <w:jc w:val="center"/>
              <w:rPr>
                <w:rFonts w:ascii="宋体" w:hAnsi="宋体"/>
                <w:szCs w:val="21"/>
                <w:highlight w:val="none"/>
              </w:rPr>
            </w:pPr>
          </w:p>
        </w:tc>
        <w:tc>
          <w:tcPr>
            <w:tcW w:w="1276" w:type="dxa"/>
            <w:vMerge w:val="continue"/>
            <w:vAlign w:val="center"/>
          </w:tcPr>
          <w:p w14:paraId="47A9AFF6">
            <w:pPr>
              <w:spacing w:before="100" w:beforeAutospacing="1" w:after="100" w:afterAutospacing="1"/>
              <w:jc w:val="center"/>
              <w:rPr>
                <w:rFonts w:ascii="宋体" w:hAnsi="宋体"/>
                <w:szCs w:val="21"/>
                <w:highlight w:val="none"/>
              </w:rPr>
            </w:pPr>
          </w:p>
        </w:tc>
        <w:tc>
          <w:tcPr>
            <w:tcW w:w="1853" w:type="dxa"/>
            <w:vAlign w:val="center"/>
          </w:tcPr>
          <w:p w14:paraId="53220CFB">
            <w:pPr>
              <w:spacing w:before="100" w:beforeAutospacing="1" w:after="100" w:afterAutospacing="1"/>
              <w:jc w:val="center"/>
              <w:rPr>
                <w:rFonts w:ascii="宋体" w:hAnsi="宋体"/>
                <w:szCs w:val="21"/>
                <w:highlight w:val="none"/>
              </w:rPr>
            </w:pPr>
            <w:r>
              <w:rPr>
                <w:rFonts w:hint="eastAsia" w:ascii="宋体" w:hAnsi="宋体"/>
                <w:szCs w:val="21"/>
                <w:highlight w:val="none"/>
              </w:rPr>
              <w:t>投标保证金</w:t>
            </w:r>
          </w:p>
        </w:tc>
        <w:tc>
          <w:tcPr>
            <w:tcW w:w="5943" w:type="dxa"/>
            <w:vAlign w:val="center"/>
          </w:tcPr>
          <w:p w14:paraId="142AE9D0">
            <w:pPr>
              <w:spacing w:before="100" w:beforeAutospacing="1" w:after="100" w:afterAutospacing="1"/>
              <w:jc w:val="left"/>
              <w:rPr>
                <w:rFonts w:ascii="宋体" w:hAnsi="宋体"/>
                <w:szCs w:val="21"/>
                <w:highlight w:val="none"/>
              </w:rPr>
            </w:pPr>
            <w:r>
              <w:rPr>
                <w:rFonts w:ascii="宋体" w:hAnsi="宋体"/>
                <w:szCs w:val="21"/>
                <w:highlight w:val="none"/>
              </w:rPr>
              <w:t>未按照招标文件的规定提交投标保证金的</w:t>
            </w:r>
            <w:r>
              <w:rPr>
                <w:rFonts w:hint="eastAsia" w:ascii="宋体" w:hAnsi="宋体"/>
                <w:szCs w:val="21"/>
                <w:highlight w:val="none"/>
              </w:rPr>
              <w:t>；</w:t>
            </w:r>
          </w:p>
        </w:tc>
      </w:tr>
      <w:tr w14:paraId="40D74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14:paraId="24832694">
            <w:pPr>
              <w:spacing w:before="100" w:beforeAutospacing="1" w:after="100" w:afterAutospacing="1"/>
              <w:rPr>
                <w:rFonts w:ascii="宋体" w:hAnsi="宋体"/>
                <w:szCs w:val="21"/>
                <w:highlight w:val="none"/>
              </w:rPr>
            </w:pPr>
          </w:p>
        </w:tc>
        <w:tc>
          <w:tcPr>
            <w:tcW w:w="1276" w:type="dxa"/>
            <w:vMerge w:val="continue"/>
            <w:vAlign w:val="center"/>
          </w:tcPr>
          <w:p w14:paraId="7C2C5F2A">
            <w:pPr>
              <w:spacing w:before="100" w:beforeAutospacing="1" w:after="100" w:afterAutospacing="1"/>
              <w:rPr>
                <w:rFonts w:ascii="宋体" w:hAnsi="宋体"/>
                <w:szCs w:val="21"/>
                <w:highlight w:val="none"/>
              </w:rPr>
            </w:pPr>
          </w:p>
        </w:tc>
        <w:tc>
          <w:tcPr>
            <w:tcW w:w="1853" w:type="dxa"/>
            <w:vAlign w:val="center"/>
          </w:tcPr>
          <w:p w14:paraId="4DDFB9FE">
            <w:pPr>
              <w:spacing w:before="100" w:beforeAutospacing="1" w:after="100" w:afterAutospacing="1"/>
              <w:jc w:val="center"/>
              <w:rPr>
                <w:rFonts w:ascii="宋体" w:hAnsi="宋体"/>
                <w:szCs w:val="21"/>
                <w:highlight w:val="none"/>
              </w:rPr>
            </w:pPr>
            <w:r>
              <w:rPr>
                <w:rFonts w:hint="eastAsia" w:ascii="宋体" w:hAnsi="宋体"/>
                <w:szCs w:val="21"/>
                <w:highlight w:val="none"/>
              </w:rPr>
              <w:t>投标文件</w:t>
            </w:r>
            <w:r>
              <w:rPr>
                <w:rFonts w:ascii="宋体" w:hAnsi="宋体"/>
                <w:szCs w:val="21"/>
                <w:highlight w:val="none"/>
              </w:rPr>
              <w:t>的编制</w:t>
            </w:r>
          </w:p>
        </w:tc>
        <w:tc>
          <w:tcPr>
            <w:tcW w:w="5943" w:type="dxa"/>
            <w:vAlign w:val="center"/>
          </w:tcPr>
          <w:p w14:paraId="0EFB31C0">
            <w:pPr>
              <w:spacing w:before="100" w:beforeAutospacing="1" w:after="100" w:afterAutospacing="1"/>
              <w:jc w:val="left"/>
              <w:rPr>
                <w:rFonts w:ascii="宋体" w:hAnsi="宋体"/>
                <w:szCs w:val="21"/>
                <w:highlight w:val="none"/>
              </w:rPr>
            </w:pPr>
            <w:r>
              <w:rPr>
                <w:rFonts w:hint="eastAsia" w:ascii="宋体" w:hAnsi="宋体"/>
                <w:szCs w:val="21"/>
                <w:highlight w:val="none"/>
              </w:rPr>
              <w:t>投标文件未按招标文件要求提供资料、签署、盖章的</w:t>
            </w:r>
            <w:r>
              <w:rPr>
                <w:rFonts w:ascii="宋体" w:hAnsi="宋体"/>
                <w:szCs w:val="21"/>
                <w:highlight w:val="none"/>
              </w:rPr>
              <w:t>；</w:t>
            </w:r>
          </w:p>
        </w:tc>
      </w:tr>
      <w:tr w14:paraId="09108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14:paraId="6DE3320A">
            <w:pPr>
              <w:spacing w:before="100" w:beforeAutospacing="1" w:after="100" w:afterAutospacing="1"/>
              <w:rPr>
                <w:rFonts w:ascii="宋体" w:hAnsi="宋体"/>
                <w:szCs w:val="21"/>
                <w:highlight w:val="none"/>
              </w:rPr>
            </w:pPr>
          </w:p>
        </w:tc>
        <w:tc>
          <w:tcPr>
            <w:tcW w:w="1276" w:type="dxa"/>
            <w:vMerge w:val="continue"/>
            <w:vAlign w:val="center"/>
          </w:tcPr>
          <w:p w14:paraId="61F4969C">
            <w:pPr>
              <w:spacing w:before="100" w:beforeAutospacing="1" w:after="100" w:afterAutospacing="1"/>
              <w:rPr>
                <w:rFonts w:ascii="宋体" w:hAnsi="宋体"/>
                <w:szCs w:val="21"/>
                <w:highlight w:val="none"/>
              </w:rPr>
            </w:pPr>
          </w:p>
        </w:tc>
        <w:tc>
          <w:tcPr>
            <w:tcW w:w="1853" w:type="dxa"/>
            <w:vAlign w:val="center"/>
          </w:tcPr>
          <w:p w14:paraId="09FABE17">
            <w:pPr>
              <w:spacing w:before="100" w:beforeAutospacing="1" w:after="100" w:afterAutospacing="1"/>
              <w:jc w:val="center"/>
              <w:rPr>
                <w:rFonts w:ascii="宋体" w:hAnsi="宋体"/>
                <w:szCs w:val="21"/>
                <w:highlight w:val="none"/>
              </w:rPr>
            </w:pPr>
            <w:r>
              <w:rPr>
                <w:rFonts w:hint="eastAsia" w:ascii="宋体" w:hAnsi="宋体"/>
                <w:szCs w:val="21"/>
                <w:highlight w:val="none"/>
              </w:rPr>
              <w:t>投标报价</w:t>
            </w:r>
          </w:p>
        </w:tc>
        <w:tc>
          <w:tcPr>
            <w:tcW w:w="5943" w:type="dxa"/>
            <w:vAlign w:val="center"/>
          </w:tcPr>
          <w:p w14:paraId="30952ECB">
            <w:pPr>
              <w:spacing w:before="100" w:beforeAutospacing="1" w:after="100" w:afterAutospacing="1"/>
              <w:jc w:val="left"/>
              <w:rPr>
                <w:rFonts w:ascii="宋体" w:hAnsi="宋体"/>
                <w:szCs w:val="21"/>
                <w:highlight w:val="none"/>
              </w:rPr>
            </w:pPr>
            <w:r>
              <w:rPr>
                <w:rFonts w:ascii="宋体" w:hAnsi="宋体"/>
                <w:szCs w:val="21"/>
                <w:highlight w:val="none"/>
              </w:rPr>
              <w:t>投标报价超过招标文件中规定的最高限价的；</w:t>
            </w:r>
          </w:p>
        </w:tc>
      </w:tr>
      <w:tr w14:paraId="3F51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14:paraId="63B8F406">
            <w:pPr>
              <w:spacing w:before="100" w:beforeAutospacing="1" w:after="100" w:afterAutospacing="1"/>
              <w:rPr>
                <w:rFonts w:ascii="宋体" w:hAnsi="宋体"/>
                <w:szCs w:val="21"/>
                <w:highlight w:val="none"/>
              </w:rPr>
            </w:pPr>
          </w:p>
        </w:tc>
        <w:tc>
          <w:tcPr>
            <w:tcW w:w="1276" w:type="dxa"/>
            <w:vMerge w:val="continue"/>
            <w:vAlign w:val="center"/>
          </w:tcPr>
          <w:p w14:paraId="52C8459E">
            <w:pPr>
              <w:spacing w:before="100" w:beforeAutospacing="1" w:after="100" w:afterAutospacing="1"/>
              <w:rPr>
                <w:rFonts w:ascii="宋体" w:hAnsi="宋体"/>
                <w:szCs w:val="21"/>
                <w:highlight w:val="none"/>
              </w:rPr>
            </w:pPr>
          </w:p>
        </w:tc>
        <w:tc>
          <w:tcPr>
            <w:tcW w:w="1853" w:type="dxa"/>
            <w:vAlign w:val="center"/>
          </w:tcPr>
          <w:p w14:paraId="17F7F5F3">
            <w:pPr>
              <w:spacing w:before="100" w:beforeAutospacing="1" w:after="100" w:afterAutospacing="1"/>
              <w:jc w:val="center"/>
              <w:rPr>
                <w:rFonts w:ascii="宋体" w:hAnsi="宋体"/>
                <w:szCs w:val="21"/>
                <w:highlight w:val="none"/>
              </w:rPr>
            </w:pPr>
            <w:r>
              <w:rPr>
                <w:rFonts w:ascii="宋体" w:hAnsi="宋体"/>
                <w:szCs w:val="21"/>
                <w:highlight w:val="none"/>
              </w:rPr>
              <w:t>不能接受的附加条件</w:t>
            </w:r>
          </w:p>
        </w:tc>
        <w:tc>
          <w:tcPr>
            <w:tcW w:w="5943" w:type="dxa"/>
            <w:vAlign w:val="center"/>
          </w:tcPr>
          <w:p w14:paraId="61FBFFE9">
            <w:pPr>
              <w:spacing w:before="100" w:beforeAutospacing="1" w:after="100" w:afterAutospacing="1"/>
              <w:jc w:val="left"/>
              <w:rPr>
                <w:rFonts w:ascii="宋体" w:hAnsi="宋体"/>
                <w:szCs w:val="21"/>
                <w:highlight w:val="none"/>
              </w:rPr>
            </w:pPr>
            <w:r>
              <w:rPr>
                <w:rFonts w:ascii="宋体" w:hAnsi="宋体"/>
                <w:szCs w:val="21"/>
                <w:highlight w:val="none"/>
              </w:rPr>
              <w:t>投标文件含有采购人不能接受的附加条件的;</w:t>
            </w:r>
          </w:p>
        </w:tc>
      </w:tr>
      <w:tr w14:paraId="0DA39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14:paraId="69CAD1FD">
            <w:pPr>
              <w:spacing w:before="100" w:beforeAutospacing="1" w:after="100" w:afterAutospacing="1"/>
              <w:rPr>
                <w:rFonts w:ascii="宋体" w:hAnsi="宋体"/>
                <w:szCs w:val="21"/>
                <w:highlight w:val="none"/>
              </w:rPr>
            </w:pPr>
          </w:p>
        </w:tc>
        <w:tc>
          <w:tcPr>
            <w:tcW w:w="1276" w:type="dxa"/>
            <w:vMerge w:val="continue"/>
            <w:vAlign w:val="center"/>
          </w:tcPr>
          <w:p w14:paraId="6D88EE93">
            <w:pPr>
              <w:spacing w:before="100" w:beforeAutospacing="1" w:after="100" w:afterAutospacing="1"/>
              <w:rPr>
                <w:rFonts w:ascii="宋体" w:hAnsi="宋体"/>
                <w:szCs w:val="21"/>
                <w:highlight w:val="none"/>
              </w:rPr>
            </w:pPr>
          </w:p>
        </w:tc>
        <w:tc>
          <w:tcPr>
            <w:tcW w:w="1853" w:type="dxa"/>
            <w:vAlign w:val="center"/>
          </w:tcPr>
          <w:p w14:paraId="54C74F9E">
            <w:pPr>
              <w:spacing w:before="100" w:beforeAutospacing="1" w:after="100" w:afterAutospacing="1"/>
              <w:jc w:val="center"/>
              <w:rPr>
                <w:rFonts w:ascii="宋体" w:hAnsi="宋体"/>
                <w:szCs w:val="21"/>
                <w:highlight w:val="none"/>
              </w:rPr>
            </w:pPr>
            <w:r>
              <w:rPr>
                <w:rFonts w:hint="eastAsia" w:ascii="宋体" w:hAnsi="宋体"/>
                <w:szCs w:val="21"/>
                <w:highlight w:val="none"/>
              </w:rPr>
              <w:t>其它实质性条件</w:t>
            </w:r>
          </w:p>
        </w:tc>
        <w:tc>
          <w:tcPr>
            <w:tcW w:w="5943" w:type="dxa"/>
            <w:vAlign w:val="center"/>
          </w:tcPr>
          <w:p w14:paraId="03090570">
            <w:pPr>
              <w:spacing w:before="100" w:beforeAutospacing="1" w:after="100" w:afterAutospacing="1"/>
              <w:jc w:val="left"/>
              <w:rPr>
                <w:rFonts w:ascii="宋体" w:hAnsi="宋体"/>
                <w:szCs w:val="21"/>
                <w:highlight w:val="none"/>
              </w:rPr>
            </w:pPr>
            <w:r>
              <w:rPr>
                <w:rFonts w:hint="eastAsia" w:ascii="宋体" w:hAnsi="宋体"/>
                <w:szCs w:val="21"/>
                <w:highlight w:val="none"/>
              </w:rPr>
              <w:t>未实质性响应招标文件中标注★条款内容的；</w:t>
            </w:r>
          </w:p>
        </w:tc>
      </w:tr>
      <w:tr w14:paraId="3B4E5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vAlign w:val="center"/>
          </w:tcPr>
          <w:p w14:paraId="6CBDDDE6">
            <w:pPr>
              <w:spacing w:before="100" w:beforeAutospacing="1" w:after="100" w:afterAutospacing="1"/>
              <w:rPr>
                <w:rFonts w:ascii="宋体" w:hAnsi="宋体"/>
                <w:szCs w:val="21"/>
                <w:highlight w:val="none"/>
              </w:rPr>
            </w:pPr>
          </w:p>
        </w:tc>
        <w:tc>
          <w:tcPr>
            <w:tcW w:w="1276" w:type="dxa"/>
            <w:vMerge w:val="continue"/>
            <w:vAlign w:val="center"/>
          </w:tcPr>
          <w:p w14:paraId="3E6C90C9">
            <w:pPr>
              <w:spacing w:before="100" w:beforeAutospacing="1" w:after="100" w:afterAutospacing="1"/>
              <w:rPr>
                <w:rFonts w:ascii="宋体" w:hAnsi="宋体"/>
                <w:szCs w:val="21"/>
                <w:highlight w:val="none"/>
              </w:rPr>
            </w:pPr>
          </w:p>
        </w:tc>
        <w:tc>
          <w:tcPr>
            <w:tcW w:w="1853" w:type="dxa"/>
            <w:vAlign w:val="center"/>
          </w:tcPr>
          <w:p w14:paraId="626B7475">
            <w:pPr>
              <w:spacing w:before="100" w:beforeAutospacing="1" w:after="100" w:afterAutospacing="1"/>
              <w:jc w:val="center"/>
              <w:rPr>
                <w:rFonts w:ascii="宋体" w:hAnsi="宋体"/>
                <w:szCs w:val="21"/>
                <w:highlight w:val="none"/>
              </w:rPr>
            </w:pPr>
            <w:r>
              <w:rPr>
                <w:rFonts w:ascii="宋体" w:hAnsi="宋体"/>
                <w:szCs w:val="21"/>
                <w:highlight w:val="none"/>
              </w:rPr>
              <w:t>其他无效情形</w:t>
            </w:r>
          </w:p>
        </w:tc>
        <w:tc>
          <w:tcPr>
            <w:tcW w:w="5943" w:type="dxa"/>
            <w:vAlign w:val="center"/>
          </w:tcPr>
          <w:p w14:paraId="44F4133E">
            <w:pPr>
              <w:spacing w:before="100" w:beforeAutospacing="1" w:after="100" w:afterAutospacing="1"/>
              <w:jc w:val="left"/>
              <w:rPr>
                <w:rFonts w:ascii="宋体" w:hAnsi="宋体"/>
                <w:szCs w:val="21"/>
                <w:highlight w:val="none"/>
              </w:rPr>
            </w:pPr>
            <w:r>
              <w:rPr>
                <w:rFonts w:ascii="宋体" w:hAnsi="宋体"/>
                <w:szCs w:val="21"/>
                <w:highlight w:val="none"/>
              </w:rPr>
              <w:t>法律、法规和招标文件规定的其他无效情形</w:t>
            </w:r>
            <w:r>
              <w:rPr>
                <w:rFonts w:hint="eastAsia" w:ascii="宋体" w:hAnsi="宋体"/>
                <w:szCs w:val="21"/>
                <w:highlight w:val="none"/>
              </w:rPr>
              <w:t>。</w:t>
            </w:r>
          </w:p>
        </w:tc>
      </w:tr>
      <w:tr w14:paraId="59650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5" w:hRule="atLeast"/>
          <w:jc w:val="center"/>
        </w:trPr>
        <w:tc>
          <w:tcPr>
            <w:tcW w:w="973" w:type="dxa"/>
            <w:vMerge w:val="restart"/>
            <w:vAlign w:val="center"/>
          </w:tcPr>
          <w:p w14:paraId="54B787FC">
            <w:pPr>
              <w:jc w:val="center"/>
              <w:rPr>
                <w:rFonts w:ascii="宋体" w:hAnsi="宋体"/>
                <w:szCs w:val="21"/>
                <w:highlight w:val="none"/>
              </w:rPr>
            </w:pPr>
            <w:r>
              <w:rPr>
                <w:rFonts w:hint="eastAsia" w:ascii="宋体" w:hAnsi="宋体"/>
                <w:szCs w:val="21"/>
                <w:highlight w:val="none"/>
              </w:rPr>
              <w:t>3.2</w:t>
            </w:r>
          </w:p>
        </w:tc>
        <w:tc>
          <w:tcPr>
            <w:tcW w:w="1276" w:type="dxa"/>
            <w:vMerge w:val="restart"/>
            <w:vAlign w:val="center"/>
          </w:tcPr>
          <w:p w14:paraId="4D6E9A04">
            <w:pPr>
              <w:jc w:val="center"/>
              <w:rPr>
                <w:rFonts w:hint="eastAsia" w:ascii="宋体" w:hAnsi="宋体"/>
                <w:szCs w:val="21"/>
                <w:highlight w:val="none"/>
              </w:rPr>
            </w:pPr>
            <w:r>
              <w:rPr>
                <w:rFonts w:hint="eastAsia" w:ascii="宋体" w:hAnsi="宋体"/>
                <w:szCs w:val="21"/>
                <w:highlight w:val="none"/>
              </w:rPr>
              <w:t>详细评审</w:t>
            </w:r>
          </w:p>
          <w:p w14:paraId="0D014ED1">
            <w:pPr>
              <w:jc w:val="center"/>
              <w:rPr>
                <w:rFonts w:ascii="宋体" w:hAnsi="宋体"/>
                <w:szCs w:val="21"/>
                <w:highlight w:val="none"/>
              </w:rPr>
            </w:pPr>
            <w:r>
              <w:rPr>
                <w:rFonts w:hint="eastAsia" w:ascii="宋体" w:hAnsi="宋体"/>
                <w:szCs w:val="21"/>
                <w:highlight w:val="none"/>
              </w:rPr>
              <w:t>标准</w:t>
            </w:r>
          </w:p>
        </w:tc>
        <w:tc>
          <w:tcPr>
            <w:tcW w:w="1853" w:type="dxa"/>
            <w:vAlign w:val="center"/>
          </w:tcPr>
          <w:p w14:paraId="7A07E0B3">
            <w:pPr>
              <w:jc w:val="center"/>
              <w:rPr>
                <w:rFonts w:ascii="宋体" w:hAnsi="宋体"/>
                <w:szCs w:val="21"/>
                <w:highlight w:val="none"/>
              </w:rPr>
            </w:pPr>
            <w:r>
              <w:rPr>
                <w:rFonts w:hint="eastAsia" w:ascii="宋体" w:hAnsi="宋体"/>
                <w:szCs w:val="21"/>
                <w:highlight w:val="none"/>
              </w:rPr>
              <w:t>1、评标总得分计算公式</w:t>
            </w:r>
          </w:p>
        </w:tc>
        <w:tc>
          <w:tcPr>
            <w:tcW w:w="5943" w:type="dxa"/>
            <w:vAlign w:val="center"/>
          </w:tcPr>
          <w:p w14:paraId="0A40919D">
            <w:pPr>
              <w:rPr>
                <w:rFonts w:ascii="宋体" w:hAnsi="宋体"/>
                <w:szCs w:val="21"/>
                <w:highlight w:val="none"/>
              </w:rPr>
            </w:pPr>
            <w:r>
              <w:rPr>
                <w:rFonts w:ascii="宋体" w:hAnsi="宋体"/>
                <w:szCs w:val="21"/>
                <w:highlight w:val="none"/>
              </w:rPr>
              <w:t>投标人的评标总得分＝F1＋F2＋F3</w:t>
            </w:r>
          </w:p>
          <w:p w14:paraId="7118200E">
            <w:pPr>
              <w:rPr>
                <w:rFonts w:ascii="宋体" w:hAnsi="宋体"/>
                <w:szCs w:val="21"/>
                <w:highlight w:val="none"/>
              </w:rPr>
            </w:pPr>
            <w:r>
              <w:rPr>
                <w:rFonts w:ascii="宋体" w:hAnsi="宋体"/>
                <w:szCs w:val="21"/>
                <w:highlight w:val="none"/>
              </w:rPr>
              <w:t>其中：</w:t>
            </w:r>
          </w:p>
          <w:p w14:paraId="4B613A3F">
            <w:pPr>
              <w:rPr>
                <w:rFonts w:ascii="宋体" w:hAnsi="宋体"/>
                <w:szCs w:val="21"/>
                <w:highlight w:val="none"/>
              </w:rPr>
            </w:pPr>
            <w:r>
              <w:rPr>
                <w:rFonts w:ascii="宋体" w:hAnsi="宋体"/>
                <w:szCs w:val="21"/>
                <w:highlight w:val="none"/>
              </w:rPr>
              <w:t>①F1、F2、F3分别为投标报价、技术部分、</w:t>
            </w:r>
            <w:r>
              <w:rPr>
                <w:rFonts w:hint="eastAsia" w:ascii="宋体" w:hAnsi="宋体"/>
                <w:szCs w:val="21"/>
                <w:highlight w:val="none"/>
              </w:rPr>
              <w:t>商务</w:t>
            </w:r>
            <w:r>
              <w:rPr>
                <w:rFonts w:ascii="宋体" w:hAnsi="宋体"/>
                <w:szCs w:val="21"/>
                <w:highlight w:val="none"/>
              </w:rPr>
              <w:t>部分3项评分因素的汇总得分；</w:t>
            </w:r>
          </w:p>
        </w:tc>
      </w:tr>
      <w:tr w14:paraId="08CB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973" w:type="dxa"/>
            <w:vMerge w:val="continue"/>
            <w:vAlign w:val="center"/>
          </w:tcPr>
          <w:p w14:paraId="09FD2AE1">
            <w:pPr>
              <w:rPr>
                <w:rFonts w:ascii="宋体" w:hAnsi="宋体"/>
                <w:szCs w:val="21"/>
                <w:highlight w:val="none"/>
              </w:rPr>
            </w:pPr>
          </w:p>
        </w:tc>
        <w:tc>
          <w:tcPr>
            <w:tcW w:w="1276" w:type="dxa"/>
            <w:vMerge w:val="continue"/>
            <w:vAlign w:val="center"/>
          </w:tcPr>
          <w:p w14:paraId="393C8F4D">
            <w:pPr>
              <w:rPr>
                <w:rFonts w:ascii="宋体" w:hAnsi="宋体"/>
                <w:szCs w:val="21"/>
                <w:highlight w:val="none"/>
              </w:rPr>
            </w:pPr>
          </w:p>
        </w:tc>
        <w:tc>
          <w:tcPr>
            <w:tcW w:w="1853" w:type="dxa"/>
            <w:vAlign w:val="center"/>
          </w:tcPr>
          <w:p w14:paraId="78DE26FF">
            <w:pPr>
              <w:jc w:val="center"/>
              <w:rPr>
                <w:rFonts w:ascii="宋体" w:hAnsi="宋体"/>
                <w:szCs w:val="21"/>
                <w:highlight w:val="none"/>
              </w:rPr>
            </w:pPr>
            <w:r>
              <w:rPr>
                <w:rFonts w:hint="eastAsia" w:ascii="宋体" w:hAnsi="宋体"/>
                <w:szCs w:val="21"/>
                <w:highlight w:val="none"/>
              </w:rPr>
              <w:t>2、评分因素分值及权重</w:t>
            </w:r>
          </w:p>
        </w:tc>
        <w:tc>
          <w:tcPr>
            <w:tcW w:w="5943" w:type="dxa"/>
            <w:vAlign w:val="center"/>
          </w:tcPr>
          <w:p w14:paraId="45481C36">
            <w:pPr>
              <w:ind w:left="1258" w:hanging="1258"/>
              <w:rPr>
                <w:rFonts w:ascii="宋体" w:hAnsi="宋体"/>
                <w:szCs w:val="21"/>
                <w:highlight w:val="none"/>
              </w:rPr>
            </w:pPr>
            <w:r>
              <w:rPr>
                <w:rFonts w:ascii="宋体" w:hAnsi="宋体"/>
                <w:szCs w:val="21"/>
                <w:highlight w:val="none"/>
              </w:rPr>
              <w:t>投标报价F1：满分</w:t>
            </w:r>
            <w:r>
              <w:rPr>
                <w:rFonts w:hint="eastAsia" w:ascii="宋体" w:hAnsi="宋体"/>
                <w:szCs w:val="21"/>
                <w:highlight w:val="none"/>
              </w:rPr>
              <w:t>30</w:t>
            </w:r>
            <w:r>
              <w:rPr>
                <w:rFonts w:ascii="宋体" w:hAnsi="宋体"/>
                <w:szCs w:val="21"/>
                <w:highlight w:val="none"/>
              </w:rPr>
              <w:t>分。</w:t>
            </w:r>
          </w:p>
          <w:p w14:paraId="403EFEC5">
            <w:pPr>
              <w:rPr>
                <w:rFonts w:ascii="宋体" w:hAnsi="宋体"/>
                <w:szCs w:val="21"/>
                <w:highlight w:val="none"/>
              </w:rPr>
            </w:pPr>
            <w:r>
              <w:rPr>
                <w:rFonts w:ascii="宋体" w:hAnsi="宋体"/>
                <w:szCs w:val="21"/>
                <w:highlight w:val="none"/>
              </w:rPr>
              <w:t>技术部分F2：满分5</w:t>
            </w:r>
            <w:r>
              <w:rPr>
                <w:rFonts w:hint="eastAsia" w:ascii="宋体" w:hAnsi="宋体"/>
                <w:szCs w:val="21"/>
                <w:highlight w:val="none"/>
              </w:rPr>
              <w:t>0</w:t>
            </w:r>
            <w:r>
              <w:rPr>
                <w:rFonts w:ascii="宋体" w:hAnsi="宋体"/>
                <w:szCs w:val="21"/>
                <w:highlight w:val="none"/>
              </w:rPr>
              <w:t>分。</w:t>
            </w:r>
          </w:p>
          <w:p w14:paraId="4F168BE1">
            <w:pPr>
              <w:rPr>
                <w:rFonts w:ascii="宋体" w:hAnsi="宋体"/>
                <w:szCs w:val="21"/>
                <w:highlight w:val="none"/>
              </w:rPr>
            </w:pPr>
            <w:r>
              <w:rPr>
                <w:rFonts w:hint="eastAsia" w:ascii="宋体" w:hAnsi="宋体"/>
                <w:szCs w:val="21"/>
                <w:highlight w:val="none"/>
              </w:rPr>
              <w:t>商务部分</w:t>
            </w:r>
            <w:r>
              <w:rPr>
                <w:rFonts w:ascii="宋体" w:hAnsi="宋体"/>
                <w:szCs w:val="21"/>
                <w:highlight w:val="none"/>
              </w:rPr>
              <w:t>F3：满分2</w:t>
            </w:r>
            <w:r>
              <w:rPr>
                <w:rFonts w:hint="eastAsia" w:ascii="宋体" w:hAnsi="宋体"/>
                <w:szCs w:val="21"/>
                <w:highlight w:val="none"/>
              </w:rPr>
              <w:t>0</w:t>
            </w:r>
            <w:r>
              <w:rPr>
                <w:rFonts w:ascii="宋体" w:hAnsi="宋体"/>
                <w:szCs w:val="21"/>
                <w:highlight w:val="none"/>
              </w:rPr>
              <w:t>分。</w:t>
            </w:r>
          </w:p>
        </w:tc>
      </w:tr>
      <w:tr w14:paraId="42A10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44D2BB0D">
            <w:pPr>
              <w:rPr>
                <w:rFonts w:ascii="宋体" w:hAnsi="宋体"/>
                <w:szCs w:val="21"/>
                <w:highlight w:val="none"/>
              </w:rPr>
            </w:pPr>
          </w:p>
        </w:tc>
        <w:tc>
          <w:tcPr>
            <w:tcW w:w="1276" w:type="dxa"/>
            <w:vMerge w:val="continue"/>
            <w:vAlign w:val="center"/>
          </w:tcPr>
          <w:p w14:paraId="21599704">
            <w:pPr>
              <w:rPr>
                <w:rFonts w:ascii="宋体" w:hAnsi="宋体"/>
                <w:szCs w:val="21"/>
                <w:highlight w:val="none"/>
              </w:rPr>
            </w:pPr>
          </w:p>
        </w:tc>
        <w:tc>
          <w:tcPr>
            <w:tcW w:w="1853" w:type="dxa"/>
            <w:tcBorders>
              <w:bottom w:val="single" w:color="auto" w:sz="4" w:space="0"/>
            </w:tcBorders>
            <w:vAlign w:val="center"/>
          </w:tcPr>
          <w:p w14:paraId="567160EA">
            <w:pPr>
              <w:jc w:val="center"/>
              <w:rPr>
                <w:rFonts w:ascii="宋体" w:hAnsi="宋体"/>
                <w:szCs w:val="21"/>
                <w:highlight w:val="none"/>
              </w:rPr>
            </w:pPr>
            <w:r>
              <w:rPr>
                <w:rFonts w:hint="eastAsia" w:ascii="宋体" w:hAnsi="宋体"/>
                <w:szCs w:val="21"/>
                <w:highlight w:val="none"/>
              </w:rPr>
              <w:t>3、投标报价</w:t>
            </w:r>
          </w:p>
          <w:p w14:paraId="4D20AEB1">
            <w:pPr>
              <w:jc w:val="center"/>
              <w:rPr>
                <w:rFonts w:ascii="宋体" w:hAnsi="宋体"/>
                <w:szCs w:val="21"/>
                <w:highlight w:val="none"/>
              </w:rPr>
            </w:pPr>
            <w:r>
              <w:rPr>
                <w:rFonts w:hint="eastAsia" w:ascii="宋体" w:hAnsi="宋体"/>
                <w:szCs w:val="21"/>
                <w:highlight w:val="none"/>
              </w:rPr>
              <w:t>评审F1</w:t>
            </w:r>
          </w:p>
          <w:p w14:paraId="57C81B5C">
            <w:pPr>
              <w:jc w:val="center"/>
              <w:rPr>
                <w:rFonts w:ascii="宋体" w:hAnsi="宋体"/>
                <w:szCs w:val="21"/>
                <w:highlight w:val="none"/>
              </w:rPr>
            </w:pPr>
            <w:r>
              <w:rPr>
                <w:rFonts w:hint="eastAsia" w:ascii="宋体" w:hAnsi="宋体"/>
                <w:szCs w:val="21"/>
                <w:highlight w:val="none"/>
              </w:rPr>
              <w:t>（满分</w:t>
            </w:r>
            <w:r>
              <w:rPr>
                <w:rFonts w:ascii="宋体" w:hAnsi="宋体"/>
                <w:szCs w:val="21"/>
                <w:highlight w:val="none"/>
              </w:rPr>
              <w:t>3</w:t>
            </w:r>
            <w:r>
              <w:rPr>
                <w:rFonts w:hint="eastAsia" w:ascii="宋体" w:hAnsi="宋体"/>
                <w:szCs w:val="21"/>
                <w:highlight w:val="none"/>
              </w:rPr>
              <w:t>0分）</w:t>
            </w:r>
          </w:p>
        </w:tc>
        <w:tc>
          <w:tcPr>
            <w:tcW w:w="5943" w:type="dxa"/>
            <w:tcBorders>
              <w:bottom w:val="single" w:color="auto" w:sz="4" w:space="0"/>
            </w:tcBorders>
            <w:vAlign w:val="center"/>
          </w:tcPr>
          <w:p w14:paraId="7FBB3273">
            <w:pPr>
              <w:keepNext w:val="0"/>
              <w:keepLines w:val="0"/>
              <w:pageBreakBefore w:val="0"/>
              <w:widowControl w:val="0"/>
              <w:kinsoku/>
              <w:wordWrap/>
              <w:overflowPunct/>
              <w:topLinePunct w:val="0"/>
              <w:autoSpaceDE/>
              <w:autoSpaceDN/>
              <w:bidi w:val="0"/>
              <w:adjustRightInd w:val="0"/>
              <w:spacing w:line="240" w:lineRule="auto"/>
              <w:textAlignment w:val="auto"/>
              <w:rPr>
                <w:rFonts w:ascii="宋体" w:hAnsi="宋体"/>
                <w:szCs w:val="21"/>
                <w:highlight w:val="none"/>
              </w:rPr>
            </w:pPr>
            <w:r>
              <w:rPr>
                <w:rFonts w:hint="eastAsia" w:ascii="宋体" w:hAnsi="宋体"/>
                <w:szCs w:val="21"/>
                <w:highlight w:val="none"/>
              </w:rPr>
              <w:t>投标报价计算公式=评标</w:t>
            </w:r>
            <w:r>
              <w:rPr>
                <w:rFonts w:ascii="宋体" w:hAnsi="宋体"/>
                <w:szCs w:val="21"/>
                <w:highlight w:val="none"/>
              </w:rPr>
              <w:t>基准价</w:t>
            </w:r>
            <w:r>
              <w:rPr>
                <w:rFonts w:hint="eastAsia" w:ascii="宋体" w:hAnsi="宋体"/>
                <w:szCs w:val="21"/>
                <w:highlight w:val="none"/>
              </w:rPr>
              <w:t>/该</w:t>
            </w:r>
            <w:r>
              <w:rPr>
                <w:rFonts w:ascii="宋体" w:hAnsi="宋体"/>
                <w:szCs w:val="21"/>
                <w:highlight w:val="none"/>
              </w:rPr>
              <w:t>投标人报价</w:t>
            </w:r>
            <w:r>
              <w:rPr>
                <w:rFonts w:hint="eastAsia" w:ascii="宋体" w:hAnsi="宋体"/>
                <w:szCs w:val="21"/>
                <w:highlight w:val="none"/>
              </w:rPr>
              <w:t>×</w:t>
            </w:r>
            <w:r>
              <w:rPr>
                <w:rFonts w:ascii="宋体" w:hAnsi="宋体"/>
                <w:szCs w:val="21"/>
                <w:highlight w:val="none"/>
              </w:rPr>
              <w:t>30</w:t>
            </w:r>
          </w:p>
          <w:p w14:paraId="5DD272FE">
            <w:pPr>
              <w:keepNext w:val="0"/>
              <w:keepLines w:val="0"/>
              <w:pageBreakBefore w:val="0"/>
              <w:widowControl w:val="0"/>
              <w:kinsoku/>
              <w:wordWrap/>
              <w:overflowPunct/>
              <w:topLinePunct w:val="0"/>
              <w:autoSpaceDE/>
              <w:autoSpaceDN/>
              <w:bidi w:val="0"/>
              <w:adjustRightInd w:val="0"/>
              <w:spacing w:line="240" w:lineRule="auto"/>
              <w:textAlignment w:val="auto"/>
              <w:rPr>
                <w:rFonts w:ascii="宋体" w:hAnsi="宋体"/>
                <w:szCs w:val="21"/>
                <w:highlight w:val="none"/>
              </w:rPr>
            </w:pPr>
            <w:r>
              <w:rPr>
                <w:rFonts w:hint="eastAsia" w:ascii="宋体" w:hAnsi="宋体"/>
                <w:szCs w:val="21"/>
                <w:highlight w:val="none"/>
              </w:rPr>
              <w:t>即：</w:t>
            </w:r>
            <w:r>
              <w:rPr>
                <w:rFonts w:ascii="宋体" w:hAnsi="宋体"/>
                <w:szCs w:val="21"/>
                <w:highlight w:val="none"/>
              </w:rPr>
              <w:t>F</w:t>
            </w:r>
            <w:r>
              <w:rPr>
                <w:rFonts w:hint="eastAsia" w:ascii="宋体" w:hAnsi="宋体"/>
                <w:szCs w:val="21"/>
                <w:highlight w:val="none"/>
              </w:rPr>
              <w:t>1</w:t>
            </w:r>
            <w:r>
              <w:rPr>
                <w:rFonts w:ascii="宋体" w:hAnsi="宋体"/>
                <w:szCs w:val="21"/>
                <w:highlight w:val="none"/>
              </w:rPr>
              <w:t>=[C/（B1，B2，…</w:t>
            </w:r>
            <w:r>
              <w:rPr>
                <w:rFonts w:hint="eastAsia" w:ascii="宋体" w:hAnsi="宋体"/>
                <w:szCs w:val="21"/>
                <w:highlight w:val="none"/>
              </w:rPr>
              <w:t>，</w:t>
            </w:r>
            <w:r>
              <w:rPr>
                <w:rFonts w:ascii="宋体" w:hAnsi="宋体"/>
                <w:szCs w:val="21"/>
                <w:highlight w:val="none"/>
              </w:rPr>
              <w:t>Bn）]×30</w:t>
            </w:r>
          </w:p>
          <w:p w14:paraId="52F4AD75">
            <w:pPr>
              <w:keepNext w:val="0"/>
              <w:keepLines w:val="0"/>
              <w:pageBreakBefore w:val="0"/>
              <w:widowControl w:val="0"/>
              <w:kinsoku/>
              <w:wordWrap/>
              <w:overflowPunct/>
              <w:topLinePunct w:val="0"/>
              <w:autoSpaceDE/>
              <w:autoSpaceDN/>
              <w:bidi w:val="0"/>
              <w:snapToGrid w:val="0"/>
              <w:spacing w:line="240" w:lineRule="auto"/>
              <w:jc w:val="left"/>
              <w:textAlignment w:val="auto"/>
              <w:rPr>
                <w:rFonts w:ascii="宋体" w:hAnsi="宋体"/>
                <w:szCs w:val="21"/>
                <w:highlight w:val="none"/>
              </w:rPr>
            </w:pPr>
            <w:r>
              <w:rPr>
                <w:rFonts w:hint="eastAsia" w:ascii="宋体" w:hAnsi="宋体"/>
                <w:szCs w:val="21"/>
                <w:highlight w:val="none"/>
              </w:rPr>
              <w:t>注：</w:t>
            </w:r>
            <w:r>
              <w:rPr>
                <w:rFonts w:ascii="宋体" w:hAnsi="宋体"/>
                <w:szCs w:val="21"/>
                <w:highlight w:val="none"/>
              </w:rPr>
              <w:t>C为评标基准价，即经</w:t>
            </w:r>
            <w:r>
              <w:rPr>
                <w:rFonts w:hint="eastAsia" w:ascii="宋体" w:hAnsi="宋体"/>
                <w:szCs w:val="21"/>
                <w:highlight w:val="none"/>
              </w:rPr>
              <w:t>初步</w:t>
            </w:r>
            <w:r>
              <w:rPr>
                <w:rFonts w:ascii="宋体" w:hAnsi="宋体"/>
                <w:szCs w:val="21"/>
                <w:highlight w:val="none"/>
              </w:rPr>
              <w:t>审查合格</w:t>
            </w:r>
            <w:r>
              <w:rPr>
                <w:rFonts w:hint="eastAsia" w:ascii="宋体" w:hAnsi="宋体"/>
                <w:szCs w:val="21"/>
                <w:highlight w:val="none"/>
              </w:rPr>
              <w:t>且投标价格最低</w:t>
            </w:r>
            <w:r>
              <w:rPr>
                <w:rFonts w:ascii="宋体" w:hAnsi="宋体"/>
                <w:szCs w:val="21"/>
                <w:highlight w:val="none"/>
              </w:rPr>
              <w:t>的</w:t>
            </w:r>
            <w:r>
              <w:rPr>
                <w:rFonts w:hint="eastAsia" w:ascii="宋体" w:hAnsi="宋体"/>
                <w:szCs w:val="21"/>
                <w:highlight w:val="none"/>
              </w:rPr>
              <w:t>有效</w:t>
            </w:r>
            <w:r>
              <w:rPr>
                <w:rFonts w:ascii="宋体" w:hAnsi="宋体"/>
                <w:szCs w:val="21"/>
                <w:highlight w:val="none"/>
              </w:rPr>
              <w:t>投标报价；</w:t>
            </w:r>
          </w:p>
          <w:p w14:paraId="1126E700">
            <w:pPr>
              <w:keepNext w:val="0"/>
              <w:keepLines w:val="0"/>
              <w:pageBreakBefore w:val="0"/>
              <w:widowControl w:val="0"/>
              <w:kinsoku/>
              <w:wordWrap/>
              <w:overflowPunct/>
              <w:topLinePunct w:val="0"/>
              <w:autoSpaceDE/>
              <w:autoSpaceDN/>
              <w:bidi w:val="0"/>
              <w:snapToGrid w:val="0"/>
              <w:spacing w:line="240" w:lineRule="auto"/>
              <w:jc w:val="left"/>
              <w:textAlignment w:val="auto"/>
              <w:rPr>
                <w:rFonts w:ascii="宋体" w:hAnsi="宋体"/>
                <w:szCs w:val="21"/>
                <w:highlight w:val="none"/>
              </w:rPr>
            </w:pPr>
            <w:r>
              <w:rPr>
                <w:rFonts w:ascii="宋体" w:hAnsi="宋体"/>
                <w:szCs w:val="21"/>
                <w:highlight w:val="none"/>
              </w:rPr>
              <w:t>B1，B2，…</w:t>
            </w:r>
            <w:r>
              <w:rPr>
                <w:rFonts w:hint="eastAsia" w:ascii="宋体" w:hAnsi="宋体"/>
                <w:szCs w:val="21"/>
                <w:highlight w:val="none"/>
              </w:rPr>
              <w:t>，</w:t>
            </w:r>
            <w:r>
              <w:rPr>
                <w:rFonts w:ascii="宋体" w:hAnsi="宋体"/>
                <w:szCs w:val="21"/>
                <w:highlight w:val="none"/>
              </w:rPr>
              <w:t>Bn为第n个经</w:t>
            </w:r>
            <w:r>
              <w:rPr>
                <w:rFonts w:hint="eastAsia" w:ascii="宋体" w:hAnsi="宋体"/>
                <w:szCs w:val="21"/>
                <w:highlight w:val="none"/>
              </w:rPr>
              <w:t>初步</w:t>
            </w:r>
            <w:r>
              <w:rPr>
                <w:rFonts w:ascii="宋体" w:hAnsi="宋体"/>
                <w:szCs w:val="21"/>
                <w:highlight w:val="none"/>
              </w:rPr>
              <w:t>审查合格的有效投标报价。</w:t>
            </w:r>
          </w:p>
          <w:p w14:paraId="2871BCA2">
            <w:pPr>
              <w:keepNext w:val="0"/>
              <w:keepLines w:val="0"/>
              <w:pageBreakBefore w:val="0"/>
              <w:widowControl w:val="0"/>
              <w:kinsoku/>
              <w:wordWrap/>
              <w:overflowPunct/>
              <w:topLinePunct w:val="0"/>
              <w:autoSpaceDE/>
              <w:autoSpaceDN/>
              <w:bidi w:val="0"/>
              <w:adjustRightInd w:val="0"/>
              <w:spacing w:line="240" w:lineRule="auto"/>
              <w:textAlignment w:val="auto"/>
              <w:rPr>
                <w:rFonts w:ascii="宋体" w:hAnsi="宋体"/>
                <w:szCs w:val="21"/>
                <w:highlight w:val="none"/>
              </w:rPr>
            </w:pPr>
            <w:r>
              <w:rPr>
                <w:rFonts w:hint="eastAsia" w:ascii="宋体" w:hAnsi="宋体"/>
                <w:szCs w:val="21"/>
                <w:highlight w:val="none"/>
              </w:rPr>
              <w:t>政府采购政策：</w:t>
            </w:r>
          </w:p>
          <w:p w14:paraId="11F24FD8">
            <w:pPr>
              <w:keepNext w:val="0"/>
              <w:keepLines w:val="0"/>
              <w:pageBreakBefore w:val="0"/>
              <w:widowControl w:val="0"/>
              <w:kinsoku/>
              <w:wordWrap/>
              <w:overflowPunct/>
              <w:topLinePunct w:val="0"/>
              <w:autoSpaceDE/>
              <w:autoSpaceDN/>
              <w:bidi w:val="0"/>
              <w:adjustRightInd w:val="0"/>
              <w:spacing w:line="240" w:lineRule="auto"/>
              <w:textAlignment w:val="auto"/>
              <w:rPr>
                <w:rFonts w:ascii="宋体" w:hAnsi="宋体"/>
                <w:b/>
                <w:szCs w:val="21"/>
                <w:highlight w:val="none"/>
              </w:rPr>
            </w:pPr>
            <w:r>
              <w:rPr>
                <w:rFonts w:hint="eastAsia" w:ascii="宋体" w:hAnsi="宋体"/>
                <w:b/>
                <w:szCs w:val="21"/>
                <w:highlight w:val="none"/>
              </w:rPr>
              <w:t>1.制造商为小、微企业应考虑的优先条件和价格折扣：</w:t>
            </w:r>
          </w:p>
          <w:p w14:paraId="0AA240FD">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所投货物全部由小、微企业制造，即所投货物全部由小、微企业生产且使用该小、微企业商号或者注册商标；并且所投所有货物均由小、微企业生产时，所报价格给予10%的扣除，用扣除后的报价参与评审（须按招标文件要求提供《中小企业声明函》，否则不予认可）。</w:t>
            </w:r>
          </w:p>
          <w:p w14:paraId="279A4770">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供应商提供的货物既有小、微企业制造货物，也有大型、中型企业制造货物的，不享受规定的中小企业扶持政策。</w:t>
            </w:r>
          </w:p>
          <w:p w14:paraId="57CEF4AF">
            <w:pPr>
              <w:snapToGrid w:val="0"/>
              <w:spacing w:line="360" w:lineRule="exact"/>
              <w:jc w:val="left"/>
              <w:rPr>
                <w:rFonts w:hint="eastAsia" w:ascii="宋体" w:hAnsi="宋体" w:eastAsia="宋体" w:cs="Times New Roman"/>
                <w:b/>
                <w:bCs/>
                <w:szCs w:val="21"/>
                <w:highlight w:val="none"/>
              </w:rPr>
            </w:pPr>
            <w:r>
              <w:rPr>
                <w:rFonts w:hint="eastAsia" w:ascii="宋体" w:hAnsi="宋体" w:eastAsia="宋体" w:cs="Times New Roman"/>
                <w:b/>
                <w:bCs/>
                <w:szCs w:val="21"/>
                <w:highlight w:val="none"/>
              </w:rPr>
              <w:t>2.供应商为监狱企业视同小型或微型企业：</w:t>
            </w:r>
          </w:p>
          <w:p w14:paraId="50D08987">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对监狱企业提供货物部分的最终价格给予10%的扣除，用扣除后的最终价格参与评审（供应商为监狱企业参加政府采购活动时，应当提供由省级以上监狱管理局、戒毒管理局(含新疆生产建设兵团)出具的属于监狱企业的证明文件，否则不予认可）。</w:t>
            </w:r>
          </w:p>
          <w:p w14:paraId="590B9AF1">
            <w:pPr>
              <w:snapToGrid w:val="0"/>
              <w:spacing w:line="360" w:lineRule="exact"/>
              <w:jc w:val="left"/>
              <w:rPr>
                <w:rFonts w:hint="eastAsia" w:ascii="宋体" w:hAnsi="宋体" w:eastAsia="宋体" w:cs="Times New Roman"/>
                <w:b/>
                <w:bCs/>
                <w:szCs w:val="21"/>
                <w:highlight w:val="none"/>
              </w:rPr>
            </w:pPr>
            <w:r>
              <w:rPr>
                <w:rFonts w:hint="eastAsia" w:ascii="宋体" w:hAnsi="宋体" w:eastAsia="宋体" w:cs="Times New Roman"/>
                <w:b/>
                <w:bCs/>
                <w:szCs w:val="21"/>
                <w:highlight w:val="none"/>
              </w:rPr>
              <w:t>3.供应商为残疾人福利性单位视同小型或微型企业：</w:t>
            </w:r>
          </w:p>
          <w:p w14:paraId="796EF29C">
            <w:pPr>
              <w:snapToGrid w:val="0"/>
              <w:spacing w:line="360" w:lineRule="exact"/>
              <w:jc w:val="left"/>
              <w:rPr>
                <w:rFonts w:ascii="宋体" w:hAnsi="宋体"/>
                <w:szCs w:val="21"/>
                <w:highlight w:val="none"/>
              </w:rPr>
            </w:pPr>
            <w:r>
              <w:rPr>
                <w:rFonts w:hint="eastAsia" w:ascii="宋体" w:hAnsi="宋体" w:eastAsia="宋体" w:cs="Times New Roman"/>
                <w:szCs w:val="21"/>
                <w:highlight w:val="none"/>
              </w:rPr>
              <w:t>对残疾人福利性单位提供货物部分的最终价格给予10%的扣除，用扣除后的最终价格参与评审（提供《残疾人福利性单位声明函》或相关证明材料，否则不予认可）。</w:t>
            </w:r>
          </w:p>
        </w:tc>
      </w:tr>
      <w:tr w14:paraId="1CD04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restart"/>
            <w:vAlign w:val="center"/>
          </w:tcPr>
          <w:p w14:paraId="72732C75">
            <w:pPr>
              <w:jc w:val="center"/>
              <w:rPr>
                <w:rFonts w:ascii="宋体" w:hAnsi="宋体"/>
                <w:szCs w:val="21"/>
                <w:highlight w:val="none"/>
              </w:rPr>
            </w:pPr>
            <w:r>
              <w:rPr>
                <w:rFonts w:hint="eastAsia" w:ascii="宋体" w:hAnsi="宋体"/>
                <w:szCs w:val="21"/>
                <w:highlight w:val="none"/>
              </w:rPr>
              <w:t>3.3</w:t>
            </w:r>
          </w:p>
        </w:tc>
        <w:tc>
          <w:tcPr>
            <w:tcW w:w="1276" w:type="dxa"/>
            <w:vMerge w:val="restart"/>
            <w:vAlign w:val="center"/>
          </w:tcPr>
          <w:p w14:paraId="16AB1396">
            <w:pPr>
              <w:jc w:val="center"/>
              <w:rPr>
                <w:rFonts w:hint="eastAsia" w:ascii="宋体" w:hAnsi="宋体"/>
                <w:szCs w:val="21"/>
                <w:highlight w:val="none"/>
              </w:rPr>
            </w:pPr>
            <w:r>
              <w:rPr>
                <w:rFonts w:hint="eastAsia" w:ascii="宋体" w:hAnsi="宋体"/>
                <w:szCs w:val="21"/>
                <w:highlight w:val="none"/>
              </w:rPr>
              <w:t>详细评审</w:t>
            </w:r>
          </w:p>
          <w:p w14:paraId="3BA29CA1">
            <w:pPr>
              <w:jc w:val="center"/>
              <w:rPr>
                <w:rFonts w:ascii="宋体" w:hAnsi="宋体"/>
                <w:szCs w:val="21"/>
                <w:highlight w:val="none"/>
              </w:rPr>
            </w:pPr>
            <w:r>
              <w:rPr>
                <w:rFonts w:hint="eastAsia" w:ascii="宋体" w:hAnsi="宋体"/>
                <w:szCs w:val="21"/>
                <w:highlight w:val="none"/>
              </w:rPr>
              <w:t>标准</w:t>
            </w:r>
          </w:p>
        </w:tc>
        <w:tc>
          <w:tcPr>
            <w:tcW w:w="1853" w:type="dxa"/>
            <w:vAlign w:val="center"/>
          </w:tcPr>
          <w:p w14:paraId="2BACA14E">
            <w:pPr>
              <w:jc w:val="center"/>
              <w:rPr>
                <w:rFonts w:ascii="宋体" w:hAnsi="宋体"/>
                <w:szCs w:val="21"/>
                <w:highlight w:val="none"/>
              </w:rPr>
            </w:pPr>
            <w:r>
              <w:rPr>
                <w:rFonts w:hint="eastAsia" w:ascii="宋体" w:hAnsi="宋体"/>
                <w:szCs w:val="21"/>
                <w:highlight w:val="none"/>
              </w:rPr>
              <w:t>4、技术部分评审F2（满分</w:t>
            </w:r>
            <w:r>
              <w:rPr>
                <w:rFonts w:ascii="宋体" w:hAnsi="宋体"/>
                <w:szCs w:val="21"/>
                <w:highlight w:val="none"/>
              </w:rPr>
              <w:t>50</w:t>
            </w:r>
            <w:r>
              <w:rPr>
                <w:rFonts w:hint="eastAsia" w:ascii="宋体" w:hAnsi="宋体"/>
                <w:szCs w:val="21"/>
                <w:highlight w:val="none"/>
              </w:rPr>
              <w:t>分）</w:t>
            </w:r>
          </w:p>
        </w:tc>
        <w:tc>
          <w:tcPr>
            <w:tcW w:w="5943" w:type="dxa"/>
            <w:vAlign w:val="center"/>
          </w:tcPr>
          <w:p w14:paraId="69A8BD1B">
            <w:pPr>
              <w:snapToGrid w:val="0"/>
              <w:spacing w:line="360" w:lineRule="exact"/>
              <w:jc w:val="left"/>
              <w:rPr>
                <w:rFonts w:hint="eastAsia" w:ascii="宋体" w:hAnsi="宋体" w:eastAsia="宋体" w:cs="Times New Roman"/>
                <w:b/>
                <w:bCs/>
                <w:szCs w:val="21"/>
                <w:highlight w:val="none"/>
              </w:rPr>
            </w:pPr>
            <w:r>
              <w:rPr>
                <w:rFonts w:hint="eastAsia" w:ascii="宋体" w:hAnsi="宋体" w:eastAsia="宋体" w:cs="Times New Roman"/>
                <w:b/>
                <w:bCs/>
                <w:szCs w:val="21"/>
                <w:highlight w:val="none"/>
              </w:rPr>
              <w:t>1）技术指标响应评分</w:t>
            </w:r>
          </w:p>
          <w:p w14:paraId="52EB88B1">
            <w:pPr>
              <w:snapToGrid w:val="0"/>
              <w:spacing w:line="360" w:lineRule="exact"/>
              <w:jc w:val="left"/>
              <w:rPr>
                <w:rFonts w:hint="eastAsia" w:ascii="宋体" w:hAnsi="宋体" w:eastAsia="宋体" w:cs="Times New Roman"/>
                <w:b/>
                <w:bCs/>
                <w:szCs w:val="21"/>
                <w:highlight w:val="none"/>
              </w:rPr>
            </w:pPr>
            <w:r>
              <w:rPr>
                <w:rFonts w:hint="eastAsia" w:ascii="宋体" w:hAnsi="宋体" w:eastAsia="宋体" w:cs="Times New Roman"/>
                <w:b/>
                <w:bCs/>
                <w:szCs w:val="21"/>
                <w:highlight w:val="none"/>
              </w:rPr>
              <w:t>1标段：技术指标响应评分（满分48分）</w:t>
            </w:r>
          </w:p>
          <w:p w14:paraId="7D12E9A0">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根据投标文件对招标文件技术指标的响应程度进行评分：</w:t>
            </w:r>
          </w:p>
          <w:p w14:paraId="448B5A3A">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第五章“项目需求及技术要求”的</w:t>
            </w:r>
            <w:r>
              <w:rPr>
                <w:rFonts w:hint="eastAsia" w:ascii="宋体" w:hAnsi="宋体" w:cs="Times New Roman"/>
                <w:szCs w:val="21"/>
                <w:highlight w:val="none"/>
                <w:lang w:val="en-US" w:eastAsia="zh-CN"/>
              </w:rPr>
              <w:t>1</w:t>
            </w:r>
            <w:r>
              <w:rPr>
                <w:rFonts w:hint="eastAsia" w:ascii="宋体" w:hAnsi="宋体" w:eastAsia="宋体" w:cs="Times New Roman"/>
                <w:szCs w:val="21"/>
                <w:highlight w:val="none"/>
              </w:rPr>
              <w:t>标段技术要求中，共</w:t>
            </w:r>
            <w:r>
              <w:rPr>
                <w:rFonts w:hint="eastAsia" w:ascii="宋体" w:hAnsi="宋体" w:cs="Times New Roman"/>
                <w:szCs w:val="21"/>
                <w:highlight w:val="none"/>
                <w:lang w:val="en-US" w:eastAsia="zh-CN"/>
              </w:rPr>
              <w:t>2</w:t>
            </w:r>
            <w:r>
              <w:rPr>
                <w:rFonts w:hint="eastAsia" w:ascii="宋体" w:hAnsi="宋体" w:eastAsia="宋体" w:cs="Times New Roman"/>
                <w:szCs w:val="21"/>
                <w:highlight w:val="none"/>
              </w:rPr>
              <w:t>个产品，</w:t>
            </w:r>
            <w:r>
              <w:rPr>
                <w:rFonts w:hint="eastAsia" w:ascii="宋体" w:hAnsi="宋体" w:cs="Times New Roman"/>
                <w:szCs w:val="21"/>
                <w:highlight w:val="none"/>
                <w:lang w:val="en-US" w:eastAsia="zh-CN"/>
              </w:rPr>
              <w:t>共48分，</w:t>
            </w:r>
            <w:r>
              <w:rPr>
                <w:rFonts w:hint="eastAsia" w:ascii="宋体" w:hAnsi="宋体" w:eastAsia="宋体" w:cs="Times New Roman"/>
                <w:szCs w:val="21"/>
                <w:highlight w:val="none"/>
              </w:rPr>
              <w:t>每个产品技术参数完全满足招标文件要求得</w:t>
            </w:r>
            <w:r>
              <w:rPr>
                <w:rFonts w:hint="eastAsia" w:ascii="宋体" w:hAnsi="宋体" w:cs="Times New Roman"/>
                <w:szCs w:val="21"/>
                <w:highlight w:val="none"/>
                <w:lang w:val="en-US" w:eastAsia="zh-CN"/>
              </w:rPr>
              <w:t>24</w:t>
            </w:r>
            <w:r>
              <w:rPr>
                <w:rFonts w:hint="eastAsia" w:ascii="宋体" w:hAnsi="宋体" w:eastAsia="宋体" w:cs="Times New Roman"/>
                <w:szCs w:val="21"/>
                <w:highlight w:val="none"/>
              </w:rPr>
              <w:t>分，否则不得分。</w:t>
            </w:r>
          </w:p>
          <w:p w14:paraId="5F6BCB1B">
            <w:pPr>
              <w:snapToGrid w:val="0"/>
              <w:spacing w:line="360" w:lineRule="exact"/>
              <w:jc w:val="left"/>
              <w:rPr>
                <w:rFonts w:hint="eastAsia" w:ascii="宋体" w:hAnsi="宋体" w:eastAsia="宋体" w:cs="Times New Roman"/>
                <w:szCs w:val="21"/>
                <w:highlight w:val="none"/>
              </w:rPr>
            </w:pPr>
          </w:p>
          <w:p w14:paraId="42163174">
            <w:pPr>
              <w:snapToGrid w:val="0"/>
              <w:spacing w:line="360" w:lineRule="exact"/>
              <w:jc w:val="left"/>
              <w:rPr>
                <w:rFonts w:hint="eastAsia" w:ascii="宋体" w:hAnsi="宋体" w:eastAsia="宋体" w:cs="Times New Roman"/>
                <w:b/>
                <w:bCs/>
                <w:szCs w:val="21"/>
                <w:highlight w:val="none"/>
              </w:rPr>
            </w:pPr>
            <w:r>
              <w:rPr>
                <w:rFonts w:hint="eastAsia" w:ascii="宋体" w:hAnsi="宋体" w:eastAsia="宋体" w:cs="Times New Roman"/>
                <w:b/>
                <w:bCs/>
                <w:szCs w:val="21"/>
                <w:highlight w:val="none"/>
              </w:rPr>
              <w:t>2标段：技术指标响应评分（满分48分）</w:t>
            </w:r>
          </w:p>
          <w:p w14:paraId="397D3CAF">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根据投标文件对招标文件技术指标的响应程度进行评分：</w:t>
            </w:r>
          </w:p>
          <w:p w14:paraId="0E4FF084">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①</w:t>
            </w:r>
            <w:r>
              <w:rPr>
                <w:rFonts w:hint="eastAsia" w:ascii="宋体" w:hAnsi="宋体" w:eastAsia="宋体" w:cs="Times New Roman"/>
                <w:szCs w:val="21"/>
                <w:highlight w:val="none"/>
              </w:rPr>
              <w:t>第五章“项目需求及技术要求”的2标段技术要求中，标注“▲”号的为重要技术参数，共</w:t>
            </w:r>
            <w:r>
              <w:rPr>
                <w:rFonts w:hint="eastAsia" w:ascii="宋体" w:hAnsi="宋体" w:cs="Times New Roman"/>
                <w:szCs w:val="21"/>
                <w:highlight w:val="none"/>
                <w:u w:val="single"/>
                <w:lang w:val="en-US" w:eastAsia="zh-CN"/>
              </w:rPr>
              <w:t>23</w:t>
            </w:r>
            <w:r>
              <w:rPr>
                <w:rFonts w:hint="eastAsia" w:ascii="宋体" w:hAnsi="宋体" w:eastAsia="宋体" w:cs="Times New Roman"/>
                <w:szCs w:val="21"/>
                <w:highlight w:val="none"/>
              </w:rPr>
              <w:t>条，共</w:t>
            </w:r>
            <w:r>
              <w:rPr>
                <w:rFonts w:hint="eastAsia" w:ascii="宋体" w:hAnsi="宋体" w:cs="Times New Roman"/>
                <w:szCs w:val="21"/>
                <w:highlight w:val="none"/>
                <w:lang w:val="en-US" w:eastAsia="zh-CN"/>
              </w:rPr>
              <w:t>34.50</w:t>
            </w:r>
            <w:r>
              <w:rPr>
                <w:rFonts w:hint="eastAsia" w:ascii="宋体" w:hAnsi="宋体" w:eastAsia="宋体" w:cs="Times New Roman"/>
                <w:szCs w:val="21"/>
                <w:highlight w:val="none"/>
              </w:rPr>
              <w:t>分，存在1条“▲”号技术参数不满足招标文件要求扣</w:t>
            </w:r>
            <w:r>
              <w:rPr>
                <w:rFonts w:hint="eastAsia" w:ascii="宋体" w:hAnsi="宋体" w:cs="Times New Roman"/>
                <w:szCs w:val="21"/>
                <w:highlight w:val="none"/>
                <w:lang w:val="en-US" w:eastAsia="zh-CN"/>
              </w:rPr>
              <w:t>1.50</w:t>
            </w:r>
            <w:r>
              <w:rPr>
                <w:rFonts w:hint="eastAsia" w:ascii="宋体" w:hAnsi="宋体" w:eastAsia="宋体" w:cs="Times New Roman"/>
                <w:szCs w:val="21"/>
                <w:highlight w:val="none"/>
              </w:rPr>
              <w:t>分；</w:t>
            </w:r>
          </w:p>
          <w:p w14:paraId="0011D8E0">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②</w:t>
            </w:r>
            <w:r>
              <w:rPr>
                <w:rFonts w:hint="eastAsia" w:ascii="宋体" w:hAnsi="宋体" w:eastAsia="宋体" w:cs="Times New Roman"/>
                <w:szCs w:val="21"/>
                <w:highlight w:val="none"/>
              </w:rPr>
              <w:t>第五章“项目需求及技术要求”的2标段技术要求中，共</w:t>
            </w:r>
            <w:r>
              <w:rPr>
                <w:rFonts w:hint="eastAsia" w:ascii="宋体" w:hAnsi="宋体" w:eastAsia="宋体" w:cs="Times New Roman"/>
                <w:szCs w:val="21"/>
                <w:highlight w:val="none"/>
                <w:lang w:val="en-US" w:eastAsia="zh-CN"/>
              </w:rPr>
              <w:t>9</w:t>
            </w:r>
            <w:r>
              <w:rPr>
                <w:rFonts w:hint="eastAsia" w:ascii="宋体" w:hAnsi="宋体" w:eastAsia="宋体" w:cs="Times New Roman"/>
                <w:szCs w:val="21"/>
                <w:highlight w:val="none"/>
              </w:rPr>
              <w:t>个产品，</w:t>
            </w:r>
            <w:r>
              <w:rPr>
                <w:rFonts w:hint="eastAsia" w:ascii="宋体" w:hAnsi="宋体" w:cs="Times New Roman"/>
                <w:szCs w:val="21"/>
                <w:highlight w:val="none"/>
                <w:lang w:val="en-US" w:eastAsia="zh-CN"/>
              </w:rPr>
              <w:t>共13.50分，</w:t>
            </w:r>
            <w:r>
              <w:rPr>
                <w:rFonts w:hint="eastAsia" w:ascii="宋体" w:hAnsi="宋体" w:eastAsia="宋体" w:cs="Times New Roman"/>
                <w:szCs w:val="21"/>
                <w:highlight w:val="none"/>
              </w:rPr>
              <w:t>每个产品非“▲”技术参数完全满足招标文件要求得</w:t>
            </w:r>
            <w:r>
              <w:rPr>
                <w:rFonts w:hint="eastAsia" w:ascii="宋体" w:hAnsi="宋体" w:cs="Times New Roman"/>
                <w:szCs w:val="21"/>
                <w:highlight w:val="none"/>
                <w:lang w:val="en-US" w:eastAsia="zh-CN"/>
              </w:rPr>
              <w:t>1.50</w:t>
            </w:r>
            <w:r>
              <w:rPr>
                <w:rFonts w:hint="eastAsia" w:ascii="宋体" w:hAnsi="宋体" w:eastAsia="宋体" w:cs="Times New Roman"/>
                <w:szCs w:val="21"/>
                <w:highlight w:val="none"/>
              </w:rPr>
              <w:t>分，否则不得分。</w:t>
            </w:r>
          </w:p>
          <w:p w14:paraId="1D14E94B">
            <w:pPr>
              <w:pStyle w:val="2"/>
              <w:rPr>
                <w:rFonts w:hint="eastAsia"/>
                <w:highlight w:val="none"/>
              </w:rPr>
            </w:pPr>
          </w:p>
          <w:p w14:paraId="3DA641C3">
            <w:pPr>
              <w:snapToGrid w:val="0"/>
              <w:spacing w:line="360" w:lineRule="exact"/>
              <w:jc w:val="left"/>
              <w:rPr>
                <w:rFonts w:hint="eastAsia" w:ascii="宋体" w:hAnsi="宋体" w:eastAsia="宋体" w:cs="Times New Roman"/>
                <w:b/>
                <w:bCs/>
                <w:szCs w:val="21"/>
                <w:highlight w:val="none"/>
              </w:rPr>
            </w:pPr>
            <w:r>
              <w:rPr>
                <w:rFonts w:hint="eastAsia" w:ascii="宋体" w:hAnsi="宋体" w:eastAsia="宋体" w:cs="Times New Roman"/>
                <w:b/>
                <w:bCs/>
                <w:szCs w:val="21"/>
                <w:highlight w:val="none"/>
              </w:rPr>
              <w:t>3标段：技术指标响应评分（满分48分）</w:t>
            </w:r>
          </w:p>
          <w:p w14:paraId="0834211C">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根据投标文件对招标文件技术指标的响应程度进行评分：</w:t>
            </w:r>
          </w:p>
          <w:p w14:paraId="1A739B98">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①</w:t>
            </w:r>
            <w:r>
              <w:rPr>
                <w:rFonts w:hint="eastAsia" w:ascii="宋体" w:hAnsi="宋体" w:eastAsia="宋体" w:cs="Times New Roman"/>
                <w:szCs w:val="21"/>
                <w:highlight w:val="none"/>
              </w:rPr>
              <w:t>第五章“项目需求及技术要求”的</w:t>
            </w:r>
            <w:r>
              <w:rPr>
                <w:rFonts w:hint="eastAsia" w:ascii="宋体" w:hAnsi="宋体" w:cs="Times New Roman"/>
                <w:szCs w:val="21"/>
                <w:highlight w:val="none"/>
                <w:lang w:val="en-US" w:eastAsia="zh-CN"/>
              </w:rPr>
              <w:t>3</w:t>
            </w:r>
            <w:r>
              <w:rPr>
                <w:rFonts w:hint="eastAsia" w:ascii="宋体" w:hAnsi="宋体" w:eastAsia="宋体" w:cs="Times New Roman"/>
                <w:szCs w:val="21"/>
                <w:highlight w:val="none"/>
              </w:rPr>
              <w:t>标段技术要求中，标注“▲”号的为重要技术参数，共</w:t>
            </w:r>
            <w:r>
              <w:rPr>
                <w:rFonts w:hint="eastAsia" w:ascii="宋体" w:hAnsi="宋体" w:cs="Times New Roman"/>
                <w:szCs w:val="21"/>
                <w:highlight w:val="none"/>
                <w:u w:val="single"/>
                <w:lang w:val="en-US" w:eastAsia="zh-CN"/>
              </w:rPr>
              <w:t>22</w:t>
            </w:r>
            <w:r>
              <w:rPr>
                <w:rFonts w:hint="eastAsia" w:ascii="宋体" w:hAnsi="宋体" w:eastAsia="宋体" w:cs="Times New Roman"/>
                <w:szCs w:val="21"/>
                <w:highlight w:val="none"/>
              </w:rPr>
              <w:t>条，共</w:t>
            </w:r>
            <w:r>
              <w:rPr>
                <w:rFonts w:hint="eastAsia" w:ascii="宋体" w:hAnsi="宋体" w:cs="Times New Roman"/>
                <w:szCs w:val="21"/>
                <w:highlight w:val="none"/>
                <w:lang w:val="en-US" w:eastAsia="zh-CN"/>
              </w:rPr>
              <w:t>33</w:t>
            </w:r>
            <w:r>
              <w:rPr>
                <w:rFonts w:hint="eastAsia" w:ascii="宋体" w:hAnsi="宋体" w:eastAsia="宋体" w:cs="Times New Roman"/>
                <w:szCs w:val="21"/>
                <w:highlight w:val="none"/>
              </w:rPr>
              <w:t>分，存在1条“▲”号技术参数不满足招标文件要求扣</w:t>
            </w:r>
            <w:r>
              <w:rPr>
                <w:rFonts w:hint="eastAsia" w:ascii="宋体" w:hAnsi="宋体" w:cs="Times New Roman"/>
                <w:szCs w:val="21"/>
                <w:highlight w:val="none"/>
                <w:lang w:val="en-US" w:eastAsia="zh-CN"/>
              </w:rPr>
              <w:t>1.50</w:t>
            </w:r>
            <w:r>
              <w:rPr>
                <w:rFonts w:hint="eastAsia" w:ascii="宋体" w:hAnsi="宋体" w:eastAsia="宋体" w:cs="Times New Roman"/>
                <w:szCs w:val="21"/>
                <w:highlight w:val="none"/>
              </w:rPr>
              <w:t>分；</w:t>
            </w:r>
          </w:p>
          <w:p w14:paraId="72485EFE">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②</w:t>
            </w:r>
            <w:r>
              <w:rPr>
                <w:rFonts w:hint="eastAsia" w:ascii="宋体" w:hAnsi="宋体" w:eastAsia="宋体" w:cs="Times New Roman"/>
                <w:szCs w:val="21"/>
                <w:highlight w:val="none"/>
              </w:rPr>
              <w:t>第五章“项目需求及技术要求”的</w:t>
            </w:r>
            <w:r>
              <w:rPr>
                <w:rFonts w:hint="eastAsia" w:ascii="宋体" w:hAnsi="宋体" w:cs="Times New Roman"/>
                <w:szCs w:val="21"/>
                <w:highlight w:val="none"/>
                <w:lang w:val="en-US" w:eastAsia="zh-CN"/>
              </w:rPr>
              <w:t>3</w:t>
            </w:r>
            <w:r>
              <w:rPr>
                <w:rFonts w:hint="eastAsia" w:ascii="宋体" w:hAnsi="宋体" w:eastAsia="宋体" w:cs="Times New Roman"/>
                <w:szCs w:val="21"/>
                <w:highlight w:val="none"/>
              </w:rPr>
              <w:t>标段技术要求中，共</w:t>
            </w:r>
            <w:r>
              <w:rPr>
                <w:rFonts w:hint="eastAsia" w:ascii="宋体" w:hAnsi="宋体" w:cs="Times New Roman"/>
                <w:szCs w:val="21"/>
                <w:highlight w:val="none"/>
                <w:lang w:val="en-US" w:eastAsia="zh-CN"/>
              </w:rPr>
              <w:t>6</w:t>
            </w:r>
            <w:r>
              <w:rPr>
                <w:rFonts w:hint="eastAsia" w:ascii="宋体" w:hAnsi="宋体" w:eastAsia="宋体" w:cs="Times New Roman"/>
                <w:szCs w:val="21"/>
                <w:highlight w:val="none"/>
              </w:rPr>
              <w:t>个产品，</w:t>
            </w:r>
            <w:r>
              <w:rPr>
                <w:rFonts w:hint="eastAsia" w:ascii="宋体" w:hAnsi="宋体" w:cs="Times New Roman"/>
                <w:szCs w:val="21"/>
                <w:highlight w:val="none"/>
                <w:lang w:val="en-US" w:eastAsia="zh-CN"/>
              </w:rPr>
              <w:t>共15分，</w:t>
            </w:r>
            <w:r>
              <w:rPr>
                <w:rFonts w:hint="eastAsia" w:ascii="宋体" w:hAnsi="宋体" w:eastAsia="宋体" w:cs="Times New Roman"/>
                <w:szCs w:val="21"/>
                <w:highlight w:val="none"/>
              </w:rPr>
              <w:t>每个产品非“▲”技术参数完全满足招标文件要求得</w:t>
            </w:r>
            <w:r>
              <w:rPr>
                <w:rFonts w:hint="eastAsia" w:ascii="宋体" w:hAnsi="宋体" w:cs="Times New Roman"/>
                <w:szCs w:val="21"/>
                <w:highlight w:val="none"/>
                <w:lang w:val="en-US" w:eastAsia="zh-CN"/>
              </w:rPr>
              <w:t>2.50</w:t>
            </w:r>
            <w:r>
              <w:rPr>
                <w:rFonts w:hint="eastAsia" w:ascii="宋体" w:hAnsi="宋体" w:eastAsia="宋体" w:cs="Times New Roman"/>
                <w:szCs w:val="21"/>
                <w:highlight w:val="none"/>
              </w:rPr>
              <w:t>分，否则不得分。</w:t>
            </w:r>
          </w:p>
          <w:p w14:paraId="217E3C8E">
            <w:pPr>
              <w:pStyle w:val="2"/>
              <w:rPr>
                <w:rFonts w:hint="eastAsia"/>
                <w:highlight w:val="none"/>
              </w:rPr>
            </w:pPr>
          </w:p>
          <w:p w14:paraId="6FBFCA94">
            <w:pPr>
              <w:snapToGrid w:val="0"/>
              <w:spacing w:line="360" w:lineRule="exact"/>
              <w:jc w:val="left"/>
              <w:rPr>
                <w:rFonts w:hint="eastAsia" w:ascii="宋体" w:hAnsi="宋体" w:eastAsia="宋体" w:cs="Times New Roman"/>
                <w:b/>
                <w:bCs/>
                <w:szCs w:val="21"/>
                <w:highlight w:val="none"/>
              </w:rPr>
            </w:pPr>
            <w:r>
              <w:rPr>
                <w:rFonts w:hint="eastAsia" w:ascii="宋体" w:hAnsi="宋体" w:eastAsia="宋体" w:cs="Times New Roman"/>
                <w:b/>
                <w:bCs/>
                <w:szCs w:val="21"/>
                <w:highlight w:val="none"/>
              </w:rPr>
              <w:t>4标段：技术指标响应评分（满分48分）</w:t>
            </w:r>
          </w:p>
          <w:p w14:paraId="6B332485">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根据投标文件对招标文件技术指标的响应程度进行评分：</w:t>
            </w:r>
          </w:p>
          <w:p w14:paraId="179B1195">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①</w:t>
            </w:r>
            <w:r>
              <w:rPr>
                <w:rFonts w:hint="eastAsia" w:ascii="宋体" w:hAnsi="宋体" w:eastAsia="宋体" w:cs="Times New Roman"/>
                <w:szCs w:val="21"/>
                <w:highlight w:val="none"/>
              </w:rPr>
              <w:t>第五章“项目需求及技术要求”的</w:t>
            </w:r>
            <w:r>
              <w:rPr>
                <w:rFonts w:hint="eastAsia" w:ascii="宋体" w:hAnsi="宋体" w:cs="Times New Roman"/>
                <w:szCs w:val="21"/>
                <w:highlight w:val="none"/>
                <w:lang w:val="en-US" w:eastAsia="zh-CN"/>
              </w:rPr>
              <w:t>4</w:t>
            </w:r>
            <w:r>
              <w:rPr>
                <w:rFonts w:hint="eastAsia" w:ascii="宋体" w:hAnsi="宋体" w:eastAsia="宋体" w:cs="Times New Roman"/>
                <w:szCs w:val="21"/>
                <w:highlight w:val="none"/>
              </w:rPr>
              <w:t>标段技术要求中，标注“▲”号的为重要技术参数，共</w:t>
            </w:r>
            <w:r>
              <w:rPr>
                <w:rFonts w:hint="eastAsia" w:ascii="宋体" w:hAnsi="宋体" w:cs="Times New Roman"/>
                <w:szCs w:val="21"/>
                <w:highlight w:val="none"/>
                <w:u w:val="single"/>
                <w:lang w:val="en-US" w:eastAsia="zh-CN"/>
              </w:rPr>
              <w:t>14</w:t>
            </w:r>
            <w:r>
              <w:rPr>
                <w:rFonts w:hint="eastAsia" w:ascii="宋体" w:hAnsi="宋体" w:eastAsia="宋体" w:cs="Times New Roman"/>
                <w:szCs w:val="21"/>
                <w:highlight w:val="none"/>
              </w:rPr>
              <w:t>条，共</w:t>
            </w:r>
            <w:r>
              <w:rPr>
                <w:rFonts w:hint="eastAsia" w:ascii="宋体" w:hAnsi="宋体" w:cs="Times New Roman"/>
                <w:szCs w:val="21"/>
                <w:highlight w:val="none"/>
                <w:lang w:val="en-US" w:eastAsia="zh-CN"/>
              </w:rPr>
              <w:t>28</w:t>
            </w:r>
            <w:r>
              <w:rPr>
                <w:rFonts w:hint="eastAsia" w:ascii="宋体" w:hAnsi="宋体" w:eastAsia="宋体" w:cs="Times New Roman"/>
                <w:szCs w:val="21"/>
                <w:highlight w:val="none"/>
              </w:rPr>
              <w:t>分，存在1条“▲”号技术参数不满足招标文件要求扣</w:t>
            </w:r>
            <w:r>
              <w:rPr>
                <w:rFonts w:hint="eastAsia" w:ascii="宋体" w:hAnsi="宋体" w:cs="Times New Roman"/>
                <w:szCs w:val="21"/>
                <w:highlight w:val="none"/>
                <w:lang w:val="en-US" w:eastAsia="zh-CN"/>
              </w:rPr>
              <w:t>2</w:t>
            </w:r>
            <w:r>
              <w:rPr>
                <w:rFonts w:hint="eastAsia" w:ascii="宋体" w:hAnsi="宋体" w:eastAsia="宋体" w:cs="Times New Roman"/>
                <w:szCs w:val="21"/>
                <w:highlight w:val="none"/>
              </w:rPr>
              <w:t>分；</w:t>
            </w:r>
          </w:p>
          <w:p w14:paraId="1630DAEB">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②</w:t>
            </w:r>
            <w:r>
              <w:rPr>
                <w:rFonts w:hint="eastAsia" w:ascii="宋体" w:hAnsi="宋体" w:eastAsia="宋体" w:cs="Times New Roman"/>
                <w:szCs w:val="21"/>
                <w:highlight w:val="none"/>
              </w:rPr>
              <w:t>第五章“项目需求及技术要求”的</w:t>
            </w:r>
            <w:r>
              <w:rPr>
                <w:rFonts w:hint="eastAsia" w:ascii="宋体" w:hAnsi="宋体" w:cs="Times New Roman"/>
                <w:szCs w:val="21"/>
                <w:highlight w:val="none"/>
                <w:lang w:val="en-US" w:eastAsia="zh-CN"/>
              </w:rPr>
              <w:t>4</w:t>
            </w:r>
            <w:r>
              <w:rPr>
                <w:rFonts w:hint="eastAsia" w:ascii="宋体" w:hAnsi="宋体" w:eastAsia="宋体" w:cs="Times New Roman"/>
                <w:szCs w:val="21"/>
                <w:highlight w:val="none"/>
              </w:rPr>
              <w:t>标段技术要求中，共</w:t>
            </w:r>
            <w:r>
              <w:rPr>
                <w:rFonts w:hint="eastAsia" w:ascii="宋体" w:hAnsi="宋体" w:cs="Times New Roman"/>
                <w:szCs w:val="21"/>
                <w:highlight w:val="none"/>
                <w:lang w:val="en-US" w:eastAsia="zh-CN"/>
              </w:rPr>
              <w:t>2</w:t>
            </w:r>
            <w:r>
              <w:rPr>
                <w:rFonts w:hint="eastAsia" w:ascii="宋体" w:hAnsi="宋体" w:eastAsia="宋体" w:cs="Times New Roman"/>
                <w:szCs w:val="21"/>
                <w:highlight w:val="none"/>
              </w:rPr>
              <w:t>个产品，</w:t>
            </w:r>
            <w:r>
              <w:rPr>
                <w:rFonts w:hint="eastAsia" w:ascii="宋体" w:hAnsi="宋体" w:cs="Times New Roman"/>
                <w:szCs w:val="21"/>
                <w:highlight w:val="none"/>
                <w:lang w:val="en-US" w:eastAsia="zh-CN"/>
              </w:rPr>
              <w:t>共20分，</w:t>
            </w:r>
            <w:r>
              <w:rPr>
                <w:rFonts w:hint="eastAsia" w:ascii="宋体" w:hAnsi="宋体" w:eastAsia="宋体" w:cs="Times New Roman"/>
                <w:szCs w:val="21"/>
                <w:highlight w:val="none"/>
              </w:rPr>
              <w:t>每个产品非“▲”技术参数完全满足招标文件要求得</w:t>
            </w:r>
            <w:r>
              <w:rPr>
                <w:rFonts w:hint="eastAsia" w:ascii="宋体" w:hAnsi="宋体" w:cs="Times New Roman"/>
                <w:szCs w:val="21"/>
                <w:highlight w:val="none"/>
                <w:lang w:val="en-US" w:eastAsia="zh-CN"/>
              </w:rPr>
              <w:t>10</w:t>
            </w:r>
            <w:r>
              <w:rPr>
                <w:rFonts w:hint="eastAsia" w:ascii="宋体" w:hAnsi="宋体" w:eastAsia="宋体" w:cs="Times New Roman"/>
                <w:szCs w:val="21"/>
                <w:highlight w:val="none"/>
              </w:rPr>
              <w:t>分，否则不得分。</w:t>
            </w:r>
          </w:p>
          <w:p w14:paraId="211BB2C2">
            <w:pPr>
              <w:pStyle w:val="2"/>
              <w:ind w:left="0" w:leftChars="0" w:firstLine="0" w:firstLineChars="0"/>
              <w:rPr>
                <w:rFonts w:hint="eastAsia"/>
                <w:highlight w:val="none"/>
              </w:rPr>
            </w:pPr>
          </w:p>
          <w:p w14:paraId="74066B98">
            <w:pPr>
              <w:snapToGrid w:val="0"/>
              <w:spacing w:line="360" w:lineRule="exact"/>
              <w:jc w:val="left"/>
              <w:rPr>
                <w:rFonts w:hint="eastAsia" w:ascii="宋体" w:hAnsi="宋体" w:eastAsia="宋体" w:cs="Times New Roman"/>
                <w:b/>
                <w:bCs/>
                <w:szCs w:val="21"/>
                <w:highlight w:val="none"/>
              </w:rPr>
            </w:pPr>
            <w:r>
              <w:rPr>
                <w:rFonts w:hint="eastAsia" w:ascii="宋体" w:hAnsi="宋体" w:eastAsia="宋体" w:cs="Times New Roman"/>
                <w:b/>
                <w:bCs/>
                <w:szCs w:val="21"/>
                <w:highlight w:val="none"/>
                <w:lang w:val="en-US" w:eastAsia="zh-CN"/>
              </w:rPr>
              <w:t>2）</w:t>
            </w:r>
            <w:r>
              <w:rPr>
                <w:rFonts w:hint="eastAsia" w:ascii="宋体" w:hAnsi="宋体" w:eastAsia="宋体" w:cs="Times New Roman"/>
                <w:b/>
                <w:bCs/>
                <w:szCs w:val="21"/>
                <w:highlight w:val="none"/>
              </w:rPr>
              <w:t>节能产品（满分1分）</w:t>
            </w:r>
          </w:p>
          <w:p w14:paraId="3AFC4AB0">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投标产品（除政府强制采购节能产品外）为节能产品并提供在有效期内的认证证书得1分，不提供的不得分。</w:t>
            </w:r>
          </w:p>
          <w:p w14:paraId="0B69BF16">
            <w:pPr>
              <w:snapToGrid w:val="0"/>
              <w:spacing w:line="360" w:lineRule="exact"/>
              <w:jc w:val="left"/>
              <w:rPr>
                <w:rFonts w:hint="eastAsia" w:ascii="宋体" w:hAnsi="宋体" w:eastAsia="宋体" w:cs="Times New Roman"/>
                <w:b/>
                <w:bCs/>
                <w:szCs w:val="21"/>
                <w:highlight w:val="none"/>
              </w:rPr>
            </w:pPr>
            <w:r>
              <w:rPr>
                <w:rFonts w:hint="eastAsia" w:ascii="宋体" w:hAnsi="宋体" w:eastAsia="宋体" w:cs="Times New Roman"/>
                <w:b/>
                <w:bCs/>
                <w:szCs w:val="21"/>
                <w:highlight w:val="none"/>
                <w:lang w:val="en-US" w:eastAsia="zh-CN"/>
              </w:rPr>
              <w:t>3）</w:t>
            </w:r>
            <w:r>
              <w:rPr>
                <w:rFonts w:hint="eastAsia" w:ascii="宋体" w:hAnsi="宋体" w:eastAsia="宋体" w:cs="Times New Roman"/>
                <w:b/>
                <w:bCs/>
                <w:szCs w:val="21"/>
                <w:highlight w:val="none"/>
              </w:rPr>
              <w:t>环境标志产品（满分1分）</w:t>
            </w:r>
          </w:p>
          <w:p w14:paraId="7F7E59C5">
            <w:pPr>
              <w:snapToGrid w:val="0"/>
              <w:spacing w:line="360" w:lineRule="exact"/>
              <w:jc w:val="left"/>
              <w:rPr>
                <w:highlight w:val="none"/>
              </w:rPr>
            </w:pPr>
            <w:r>
              <w:rPr>
                <w:rFonts w:hint="eastAsia" w:ascii="宋体" w:hAnsi="宋体" w:eastAsia="宋体" w:cs="Times New Roman"/>
                <w:szCs w:val="21"/>
                <w:highlight w:val="none"/>
              </w:rPr>
              <w:t>投标产品为环境标志产品并提供在有效期内的认证证书得1分，不提供的不得分</w:t>
            </w:r>
            <w:r>
              <w:rPr>
                <w:rFonts w:hint="eastAsia" w:ascii="宋体" w:hAnsi="宋体"/>
                <w:bCs/>
                <w:color w:val="auto"/>
                <w:spacing w:val="6"/>
                <w:sz w:val="24"/>
                <w:szCs w:val="24"/>
                <w:highlight w:val="none"/>
              </w:rPr>
              <w:t>。</w:t>
            </w:r>
          </w:p>
        </w:tc>
      </w:tr>
      <w:tr w14:paraId="2384D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14:paraId="5E4B39AB">
            <w:pPr>
              <w:rPr>
                <w:rFonts w:ascii="宋体" w:hAnsi="宋体"/>
                <w:szCs w:val="21"/>
                <w:highlight w:val="none"/>
              </w:rPr>
            </w:pPr>
          </w:p>
        </w:tc>
        <w:tc>
          <w:tcPr>
            <w:tcW w:w="1276" w:type="dxa"/>
            <w:vMerge w:val="continue"/>
            <w:vAlign w:val="center"/>
          </w:tcPr>
          <w:p w14:paraId="2CB083B0">
            <w:pPr>
              <w:rPr>
                <w:rFonts w:ascii="宋体" w:hAnsi="宋体"/>
                <w:szCs w:val="21"/>
                <w:highlight w:val="none"/>
              </w:rPr>
            </w:pPr>
          </w:p>
        </w:tc>
        <w:tc>
          <w:tcPr>
            <w:tcW w:w="1853" w:type="dxa"/>
            <w:vAlign w:val="center"/>
          </w:tcPr>
          <w:p w14:paraId="2BFF9FD3">
            <w:pPr>
              <w:jc w:val="center"/>
              <w:rPr>
                <w:rFonts w:ascii="宋体" w:hAnsi="宋体" w:cs="宋体"/>
                <w:szCs w:val="21"/>
                <w:highlight w:val="none"/>
              </w:rPr>
            </w:pPr>
            <w:r>
              <w:rPr>
                <w:rFonts w:ascii="宋体" w:hAnsi="宋体" w:cs="宋体"/>
                <w:szCs w:val="21"/>
                <w:highlight w:val="none"/>
              </w:rPr>
              <w:t>5</w:t>
            </w:r>
            <w:r>
              <w:rPr>
                <w:rFonts w:hint="eastAsia" w:ascii="宋体" w:hAnsi="宋体" w:cs="宋体"/>
                <w:szCs w:val="21"/>
                <w:highlight w:val="none"/>
              </w:rPr>
              <w:t>、商务</w:t>
            </w:r>
            <w:r>
              <w:rPr>
                <w:rFonts w:hint="eastAsia" w:ascii="宋体" w:hAnsi="宋体"/>
                <w:szCs w:val="21"/>
                <w:highlight w:val="none"/>
              </w:rPr>
              <w:t>部分评审F</w:t>
            </w:r>
            <w:r>
              <w:rPr>
                <w:rFonts w:ascii="宋体" w:hAnsi="宋体"/>
                <w:szCs w:val="21"/>
                <w:highlight w:val="none"/>
              </w:rPr>
              <w:t>3</w:t>
            </w:r>
            <w:r>
              <w:rPr>
                <w:rFonts w:hint="eastAsia" w:ascii="宋体" w:hAnsi="宋体"/>
                <w:szCs w:val="21"/>
                <w:highlight w:val="none"/>
              </w:rPr>
              <w:t>（满</w:t>
            </w:r>
            <w:r>
              <w:rPr>
                <w:rFonts w:ascii="宋体" w:hAnsi="宋体"/>
                <w:szCs w:val="21"/>
                <w:highlight w:val="none"/>
              </w:rPr>
              <w:t>20</w:t>
            </w:r>
            <w:r>
              <w:rPr>
                <w:rFonts w:hint="eastAsia" w:ascii="宋体" w:hAnsi="宋体"/>
                <w:szCs w:val="21"/>
                <w:highlight w:val="none"/>
              </w:rPr>
              <w:t>分）</w:t>
            </w:r>
          </w:p>
        </w:tc>
        <w:tc>
          <w:tcPr>
            <w:tcW w:w="5943" w:type="dxa"/>
            <w:vAlign w:val="center"/>
          </w:tcPr>
          <w:p w14:paraId="6EDA64B2">
            <w:pPr>
              <w:snapToGrid w:val="0"/>
              <w:spacing w:line="360" w:lineRule="exact"/>
              <w:jc w:val="left"/>
              <w:rPr>
                <w:rFonts w:hint="eastAsia" w:ascii="宋体" w:hAnsi="宋体" w:eastAsia="宋体" w:cs="Times New Roman"/>
                <w:b/>
                <w:bCs w:val="0"/>
                <w:szCs w:val="21"/>
                <w:highlight w:val="none"/>
              </w:rPr>
            </w:pPr>
            <w:r>
              <w:rPr>
                <w:rFonts w:hint="eastAsia" w:ascii="宋体" w:hAnsi="宋体"/>
                <w:b/>
                <w:bCs w:val="0"/>
                <w:szCs w:val="21"/>
                <w:highlight w:val="none"/>
              </w:rPr>
              <w:t>1</w:t>
            </w:r>
            <w:r>
              <w:rPr>
                <w:rFonts w:hint="eastAsia" w:ascii="宋体" w:hAnsi="宋体" w:eastAsia="宋体" w:cs="Times New Roman"/>
                <w:b/>
                <w:bCs w:val="0"/>
                <w:szCs w:val="21"/>
                <w:highlight w:val="none"/>
              </w:rPr>
              <w:t>）投标产品业绩评分（满分4分）</w:t>
            </w:r>
          </w:p>
          <w:p w14:paraId="2A8BC063">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投</w:t>
            </w:r>
            <w:r>
              <w:rPr>
                <w:rFonts w:hint="eastAsia" w:ascii="宋体" w:hAnsi="宋体" w:eastAsia="宋体" w:cs="Times New Roman"/>
                <w:szCs w:val="21"/>
                <w:highlight w:val="none"/>
              </w:rPr>
              <w:t>标人近三年（20</w:t>
            </w:r>
            <w:r>
              <w:rPr>
                <w:rFonts w:hint="eastAsia" w:ascii="宋体" w:hAnsi="宋体" w:eastAsia="宋体" w:cs="Times New Roman"/>
                <w:szCs w:val="21"/>
                <w:highlight w:val="none"/>
                <w:lang w:val="en-US" w:eastAsia="zh-CN"/>
              </w:rPr>
              <w:t>23</w:t>
            </w:r>
            <w:r>
              <w:rPr>
                <w:rFonts w:hint="eastAsia" w:ascii="宋体" w:hAnsi="宋体" w:eastAsia="宋体" w:cs="Times New Roman"/>
                <w:szCs w:val="21"/>
                <w:highlight w:val="none"/>
              </w:rPr>
              <w:t>年1月1日至今）类似</w:t>
            </w:r>
            <w:r>
              <w:rPr>
                <w:rFonts w:hint="eastAsia" w:ascii="宋体" w:hAnsi="宋体" w:eastAsia="宋体" w:cs="Times New Roman"/>
                <w:szCs w:val="21"/>
                <w:highlight w:val="none"/>
              </w:rPr>
              <w:t>所投产品：每提供1项供货业绩得1分，分数加满为止；未提供类似项目有效业绩的不得分。</w:t>
            </w:r>
          </w:p>
          <w:p w14:paraId="6640963F">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投标文件中须提供所投产品的销售业绩列表及相对应的业绩证明材料，业绩证明材料可为销售合同或中标通知书或用户使用证明等。无证明材料或证明材料不明确的，不予认可。</w:t>
            </w:r>
          </w:p>
          <w:p w14:paraId="67D7D407">
            <w:pPr>
              <w:snapToGrid w:val="0"/>
              <w:spacing w:line="360" w:lineRule="exact"/>
              <w:jc w:val="left"/>
              <w:rPr>
                <w:rFonts w:hint="eastAsia" w:ascii="宋体" w:hAnsi="宋体" w:eastAsia="宋体" w:cs="Times New Roman"/>
                <w:b/>
                <w:bCs/>
                <w:szCs w:val="21"/>
                <w:highlight w:val="none"/>
              </w:rPr>
            </w:pPr>
            <w:r>
              <w:rPr>
                <w:rFonts w:hint="eastAsia" w:ascii="宋体" w:hAnsi="宋体" w:eastAsia="宋体" w:cs="Times New Roman"/>
                <w:b/>
                <w:bCs/>
                <w:szCs w:val="21"/>
                <w:highlight w:val="none"/>
              </w:rPr>
              <w:t>2）定期巡访为设备作保养方案（</w:t>
            </w:r>
            <w:r>
              <w:rPr>
                <w:rFonts w:hint="eastAsia" w:ascii="宋体" w:hAnsi="宋体" w:eastAsia="宋体" w:cs="Times New Roman"/>
                <w:b/>
                <w:bCs/>
                <w:szCs w:val="21"/>
                <w:highlight w:val="none"/>
                <w:lang w:val="en-US" w:eastAsia="zh-CN"/>
              </w:rPr>
              <w:t>满分</w:t>
            </w:r>
            <w:r>
              <w:rPr>
                <w:rFonts w:hint="eastAsia" w:ascii="宋体" w:hAnsi="宋体" w:eastAsia="宋体" w:cs="Times New Roman"/>
                <w:b/>
                <w:bCs/>
                <w:szCs w:val="21"/>
                <w:highlight w:val="none"/>
              </w:rPr>
              <w:t>6分）</w:t>
            </w:r>
          </w:p>
          <w:p w14:paraId="064FF416">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①</w:t>
            </w:r>
            <w:r>
              <w:rPr>
                <w:rFonts w:hint="eastAsia" w:ascii="宋体" w:hAnsi="宋体" w:eastAsia="宋体" w:cs="Times New Roman"/>
                <w:szCs w:val="21"/>
                <w:highlight w:val="none"/>
              </w:rPr>
              <w:t>提供了详细定期巡访服务承诺及明确了寻访时间及次数；</w:t>
            </w:r>
          </w:p>
          <w:p w14:paraId="3DD9A563">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②</w:t>
            </w:r>
            <w:r>
              <w:rPr>
                <w:rFonts w:hint="eastAsia" w:ascii="宋体" w:hAnsi="宋体" w:eastAsia="宋体" w:cs="Times New Roman"/>
                <w:szCs w:val="21"/>
                <w:highlight w:val="none"/>
              </w:rPr>
              <w:t>提供的定期巡访及保养方案切实可行，具有对应保障措施及处罚措施；</w:t>
            </w:r>
          </w:p>
          <w:p w14:paraId="6C614A19">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以上2项内容均有详尽描述、合理全面的得满分6分；在此基础上，每有一个缺项扣3分，每有一处描述缺陷或不符合项目需求的扣1.5分。</w:t>
            </w:r>
          </w:p>
          <w:p w14:paraId="4E84A04A">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b/>
                <w:bCs/>
                <w:szCs w:val="21"/>
                <w:highlight w:val="none"/>
              </w:rPr>
              <w:t>注：</w:t>
            </w:r>
            <w:r>
              <w:rPr>
                <w:rFonts w:hint="eastAsia" w:ascii="宋体" w:hAnsi="宋体" w:eastAsia="宋体" w:cs="Times New Roman"/>
                <w:szCs w:val="21"/>
                <w:highlight w:val="none"/>
              </w:rPr>
              <w:t>描述缺陷或不符合项目需求是指相关制度、方案及措施内容生搬硬造，阐述存在逻辑错误，前后矛盾；涉及内容无重点，未能体现出本项目的特点或与实际需求不完全相符；语言错误或存在歧义，政策、规范标准与本项目要求不一致；对相关内容的关键要求没有详细说明，内容有缺漏；内容过于简略或与本项目无关联等任意一项类似情形。</w:t>
            </w:r>
          </w:p>
          <w:p w14:paraId="258B25CC">
            <w:pPr>
              <w:snapToGrid w:val="0"/>
              <w:spacing w:line="360" w:lineRule="exact"/>
              <w:jc w:val="left"/>
              <w:rPr>
                <w:rFonts w:hint="eastAsia" w:ascii="宋体" w:hAnsi="宋体" w:eastAsia="宋体" w:cs="Times New Roman"/>
                <w:b/>
                <w:bCs/>
                <w:szCs w:val="21"/>
                <w:highlight w:val="none"/>
              </w:rPr>
            </w:pPr>
            <w:r>
              <w:rPr>
                <w:rFonts w:hint="eastAsia" w:ascii="宋体" w:hAnsi="宋体" w:eastAsia="宋体" w:cs="Times New Roman"/>
                <w:b/>
                <w:bCs/>
                <w:szCs w:val="21"/>
                <w:highlight w:val="none"/>
              </w:rPr>
              <w:t>3）售后服务能力及方案评分（满分5分）</w:t>
            </w:r>
          </w:p>
          <w:p w14:paraId="5C6F5F54">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①</w:t>
            </w:r>
            <w:r>
              <w:rPr>
                <w:rFonts w:hint="eastAsia" w:ascii="宋体" w:hAnsi="宋体" w:eastAsia="宋体" w:cs="Times New Roman"/>
                <w:szCs w:val="21"/>
                <w:highlight w:val="none"/>
              </w:rPr>
              <w:t>提供了详细明确的售后服务承诺；</w:t>
            </w:r>
          </w:p>
          <w:p w14:paraId="79CE7AE2">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②</w:t>
            </w:r>
            <w:r>
              <w:rPr>
                <w:rFonts w:hint="eastAsia" w:ascii="宋体" w:hAnsi="宋体" w:eastAsia="宋体" w:cs="Times New Roman"/>
                <w:szCs w:val="21"/>
                <w:highlight w:val="none"/>
              </w:rPr>
              <w:t>编制的售后服务计划充分考虑实际使用需求针对性合理；</w:t>
            </w:r>
          </w:p>
          <w:p w14:paraId="61F5F187">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③</w:t>
            </w:r>
            <w:r>
              <w:rPr>
                <w:rFonts w:hint="eastAsia" w:ascii="宋体" w:hAnsi="宋体" w:eastAsia="宋体" w:cs="Times New Roman"/>
                <w:szCs w:val="21"/>
                <w:highlight w:val="none"/>
              </w:rPr>
              <w:t>提供了完善可行的售后服务保证措施；</w:t>
            </w:r>
          </w:p>
          <w:p w14:paraId="2D0A1A0D">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④</w:t>
            </w:r>
            <w:r>
              <w:rPr>
                <w:rFonts w:hint="eastAsia" w:ascii="宋体" w:hAnsi="宋体" w:eastAsia="宋体" w:cs="Times New Roman"/>
                <w:szCs w:val="21"/>
                <w:highlight w:val="none"/>
              </w:rPr>
              <w:t>提供的技术服务团队专业结构合理；</w:t>
            </w:r>
          </w:p>
          <w:p w14:paraId="21CD1199">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⑤</w:t>
            </w:r>
            <w:r>
              <w:rPr>
                <w:rFonts w:hint="eastAsia" w:ascii="宋体" w:hAnsi="宋体" w:eastAsia="宋体" w:cs="Times New Roman"/>
                <w:szCs w:val="21"/>
                <w:highlight w:val="none"/>
              </w:rPr>
              <w:t>提供的服务响应及时及有惩罚措施。</w:t>
            </w:r>
          </w:p>
          <w:p w14:paraId="5958C09A">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以上5项内容均有详尽描述、合理全面的得满分5分；在此基础上，每有一个缺项扣1分，每有一处描述缺陷或不符合项目需求的扣0.5分。</w:t>
            </w:r>
          </w:p>
          <w:p w14:paraId="7FDB48A4">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b/>
                <w:bCs/>
                <w:szCs w:val="21"/>
                <w:highlight w:val="none"/>
              </w:rPr>
              <w:t>注：</w:t>
            </w:r>
            <w:r>
              <w:rPr>
                <w:rFonts w:hint="eastAsia" w:ascii="宋体" w:hAnsi="宋体" w:eastAsia="宋体" w:cs="Times New Roman"/>
                <w:szCs w:val="21"/>
                <w:highlight w:val="none"/>
              </w:rPr>
              <w:t>描述缺陷或不符合项目需求是指相关制度、方案及措施内容生搬硬造，阐述存在逻辑错误，前后矛盾；涉及内容无重点，未能体现出本项目的特点或与实际需求不完全相符；语言错误或存在歧义，政策、规范标准与本项目要求不一致；对相关内容的关键要求没有详细说明，内容有缺漏；内容过于简略或与本项目无关联等任意一项类似情形。</w:t>
            </w:r>
          </w:p>
          <w:p w14:paraId="1E577C08">
            <w:pPr>
              <w:snapToGrid w:val="0"/>
              <w:spacing w:line="360" w:lineRule="exact"/>
              <w:jc w:val="left"/>
              <w:rPr>
                <w:rFonts w:hint="eastAsia" w:ascii="宋体" w:hAnsi="宋体" w:eastAsia="宋体" w:cs="Times New Roman"/>
                <w:b/>
                <w:bCs/>
                <w:szCs w:val="21"/>
                <w:highlight w:val="none"/>
              </w:rPr>
            </w:pPr>
            <w:r>
              <w:rPr>
                <w:rFonts w:hint="eastAsia" w:ascii="宋体" w:hAnsi="宋体" w:eastAsia="宋体" w:cs="Times New Roman"/>
                <w:b/>
                <w:bCs/>
                <w:szCs w:val="21"/>
                <w:highlight w:val="none"/>
              </w:rPr>
              <w:t>4）培训方案（满分5分）</w:t>
            </w:r>
          </w:p>
          <w:p w14:paraId="3D241F4C">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设备安装完成后，由厂家人员负责使用和维护培训，培训内容包括设备的专业操作和维护、清洗、消毒、保养的基本知识，使用过程需注意的事项等，保证医院相关人员熟悉掌握。</w:t>
            </w:r>
          </w:p>
          <w:p w14:paraId="05C7CE77">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①</w:t>
            </w:r>
            <w:r>
              <w:rPr>
                <w:rFonts w:hint="eastAsia" w:ascii="宋体" w:hAnsi="宋体" w:eastAsia="宋体" w:cs="Times New Roman"/>
                <w:szCs w:val="21"/>
                <w:highlight w:val="none"/>
              </w:rPr>
              <w:t>投标文件中有详细具体的培训方案；</w:t>
            </w:r>
          </w:p>
          <w:p w14:paraId="34D24B6D">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②</w:t>
            </w:r>
            <w:r>
              <w:rPr>
                <w:rFonts w:hint="eastAsia" w:ascii="宋体" w:hAnsi="宋体" w:eastAsia="宋体" w:cs="Times New Roman"/>
                <w:szCs w:val="21"/>
                <w:highlight w:val="none"/>
              </w:rPr>
              <w:t>培训目标明确；</w:t>
            </w:r>
          </w:p>
          <w:p w14:paraId="5601AFAE">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③</w:t>
            </w:r>
            <w:r>
              <w:rPr>
                <w:rFonts w:hint="eastAsia" w:ascii="宋体" w:hAnsi="宋体" w:eastAsia="宋体" w:cs="Times New Roman"/>
                <w:szCs w:val="21"/>
                <w:highlight w:val="none"/>
              </w:rPr>
              <w:t>培训计划详细具体明确；</w:t>
            </w:r>
          </w:p>
          <w:p w14:paraId="291BA309">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④</w:t>
            </w:r>
            <w:r>
              <w:rPr>
                <w:rFonts w:hint="eastAsia" w:ascii="宋体" w:hAnsi="宋体" w:eastAsia="宋体" w:cs="Times New Roman"/>
                <w:szCs w:val="21"/>
                <w:highlight w:val="none"/>
              </w:rPr>
              <w:t>培训方式实用多样；</w:t>
            </w:r>
          </w:p>
          <w:p w14:paraId="4207BAF9">
            <w:pPr>
              <w:snapToGrid w:val="0"/>
              <w:spacing w:line="360" w:lineRule="exact"/>
              <w:jc w:val="left"/>
              <w:rPr>
                <w:rFonts w:hint="eastAsia" w:ascii="宋体" w:hAnsi="宋体" w:eastAsia="宋体" w:cs="Times New Roman"/>
                <w:szCs w:val="21"/>
                <w:highlight w:val="none"/>
              </w:rPr>
            </w:pPr>
            <w:r>
              <w:rPr>
                <w:rFonts w:hint="default" w:ascii="Calibri" w:hAnsi="Calibri" w:eastAsia="宋体" w:cs="Calibri"/>
                <w:szCs w:val="21"/>
                <w:highlight w:val="none"/>
              </w:rPr>
              <w:t>⑤</w:t>
            </w:r>
            <w:r>
              <w:rPr>
                <w:rFonts w:hint="eastAsia" w:ascii="宋体" w:hAnsi="宋体" w:eastAsia="宋体" w:cs="Times New Roman"/>
                <w:szCs w:val="21"/>
                <w:highlight w:val="none"/>
              </w:rPr>
              <w:t>培训课程安排科学合理。</w:t>
            </w:r>
          </w:p>
          <w:p w14:paraId="666ADE16">
            <w:pPr>
              <w:snapToGrid w:val="0"/>
              <w:spacing w:line="360" w:lineRule="exact"/>
              <w:jc w:val="left"/>
              <w:rPr>
                <w:rFonts w:hint="eastAsia" w:ascii="宋体" w:hAnsi="宋体" w:eastAsia="宋体" w:cs="Times New Roman"/>
                <w:szCs w:val="21"/>
                <w:highlight w:val="none"/>
              </w:rPr>
            </w:pPr>
            <w:r>
              <w:rPr>
                <w:rFonts w:hint="eastAsia" w:ascii="宋体" w:hAnsi="宋体" w:eastAsia="宋体" w:cs="Times New Roman"/>
                <w:szCs w:val="21"/>
                <w:highlight w:val="none"/>
              </w:rPr>
              <w:t>以上5项内容均有详尽描述、合理全面的得满分5分；在此基础上，每有一个缺项扣1分，每有一处描述缺陷或不符合项目需求的扣0.5分。</w:t>
            </w:r>
          </w:p>
          <w:p w14:paraId="0410371C">
            <w:pPr>
              <w:snapToGrid w:val="0"/>
              <w:spacing w:line="360" w:lineRule="exact"/>
              <w:jc w:val="left"/>
              <w:rPr>
                <w:highlight w:val="none"/>
              </w:rPr>
            </w:pPr>
            <w:r>
              <w:rPr>
                <w:rFonts w:hint="eastAsia" w:ascii="宋体" w:hAnsi="宋体" w:eastAsia="宋体" w:cs="Times New Roman"/>
                <w:b/>
                <w:bCs/>
                <w:szCs w:val="21"/>
                <w:highlight w:val="none"/>
              </w:rPr>
              <w:t>注：</w:t>
            </w:r>
            <w:r>
              <w:rPr>
                <w:rFonts w:hint="eastAsia" w:ascii="宋体" w:hAnsi="宋体" w:eastAsia="宋体" w:cs="Times New Roman"/>
                <w:szCs w:val="21"/>
                <w:highlight w:val="none"/>
              </w:rPr>
              <w:t>描述缺陷或不符合项目需求是指相关制度、方案及措施内容生搬硬造，阐述存在逻辑错误，前后矛盾；涉及内容无重点，未能体现出本项目的特点或与实际需求不完全相符；语言错误或存在歧义，政策、规范标准与本项目要求不一致；对相关内容的关键要求没有详细说明，内容有缺漏；内容过于简略或与本项目无关联等任意一项类似情形。</w:t>
            </w:r>
          </w:p>
        </w:tc>
      </w:tr>
    </w:tbl>
    <w:p w14:paraId="4A774F46">
      <w:pPr>
        <w:rPr>
          <w:highlight w:val="none"/>
        </w:rPr>
      </w:pPr>
    </w:p>
    <w:p w14:paraId="48DD3A85">
      <w:pPr>
        <w:pStyle w:val="2"/>
        <w:rPr>
          <w:highlight w:val="none"/>
        </w:rPr>
      </w:pPr>
    </w:p>
    <w:p w14:paraId="75E94D1B">
      <w:pPr>
        <w:pStyle w:val="16"/>
        <w:tabs>
          <w:tab w:val="left" w:pos="2472"/>
        </w:tabs>
        <w:snapToGrid w:val="0"/>
        <w:spacing w:line="360" w:lineRule="auto"/>
        <w:rPr>
          <w:rFonts w:hAnsi="宋体"/>
          <w:b/>
          <w:bCs/>
          <w:sz w:val="24"/>
          <w:highlight w:val="none"/>
        </w:rPr>
      </w:pPr>
      <w:r>
        <w:rPr>
          <w:rFonts w:hint="eastAsia" w:hAnsi="宋体"/>
          <w:b/>
          <w:bCs/>
          <w:sz w:val="24"/>
          <w:highlight w:val="none"/>
        </w:rPr>
        <w:t>1.评标方法：</w:t>
      </w:r>
    </w:p>
    <w:p w14:paraId="024859AE">
      <w:pPr>
        <w:pStyle w:val="18"/>
        <w:tabs>
          <w:tab w:val="left" w:pos="540"/>
        </w:tabs>
        <w:adjustRightInd w:val="0"/>
        <w:snapToGrid w:val="0"/>
        <w:spacing w:after="0" w:line="360" w:lineRule="auto"/>
        <w:ind w:left="0" w:leftChars="0"/>
        <w:rPr>
          <w:rFonts w:ascii="宋体" w:hAnsi="宋体"/>
          <w:b/>
          <w:bCs/>
          <w:szCs w:val="21"/>
          <w:highlight w:val="none"/>
        </w:rPr>
      </w:pPr>
      <w:r>
        <w:rPr>
          <w:rFonts w:hint="eastAsia" w:ascii="宋体" w:hAnsi="宋体"/>
          <w:b/>
          <w:bCs/>
          <w:szCs w:val="21"/>
          <w:highlight w:val="none"/>
        </w:rPr>
        <w:t>1.1本次评标采用综合评分法。</w:t>
      </w:r>
      <w:r>
        <w:rPr>
          <w:rFonts w:hint="eastAsia" w:ascii="宋体" w:hAnsi="宋体"/>
          <w:bCs/>
          <w:szCs w:val="21"/>
          <w:highlight w:val="none"/>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得分相同的，按投标报价由低到高顺序推荐;评标总得分及投标报价相等时，评标委员会将依次按技术部分得分高优先、商务部分得分高优先的顺序推荐；所有得分均相等的，按质保期长优先、交货时间短优先、故障到达时间短优先的顺序推荐中标候选人。</w:t>
      </w:r>
    </w:p>
    <w:p w14:paraId="060F57CD">
      <w:pPr>
        <w:pStyle w:val="18"/>
        <w:tabs>
          <w:tab w:val="left" w:pos="540"/>
        </w:tabs>
        <w:adjustRightInd w:val="0"/>
        <w:snapToGrid w:val="0"/>
        <w:spacing w:after="0" w:line="360" w:lineRule="auto"/>
        <w:ind w:left="0" w:leftChars="0"/>
        <w:rPr>
          <w:rFonts w:ascii="宋体" w:hAnsi="宋体"/>
          <w:b/>
          <w:szCs w:val="21"/>
          <w:highlight w:val="none"/>
        </w:rPr>
      </w:pPr>
      <w:r>
        <w:rPr>
          <w:rFonts w:hint="eastAsia" w:ascii="宋体" w:hAnsi="宋体"/>
          <w:b/>
          <w:szCs w:val="21"/>
          <w:highlight w:val="none"/>
        </w:rPr>
        <w:t>2.政府采购政策：</w:t>
      </w:r>
    </w:p>
    <w:p w14:paraId="20BEE198">
      <w:pPr>
        <w:snapToGrid w:val="0"/>
        <w:spacing w:line="360" w:lineRule="auto"/>
        <w:rPr>
          <w:rFonts w:ascii="宋体" w:hAnsi="宋体"/>
          <w:b/>
          <w:szCs w:val="21"/>
          <w:highlight w:val="none"/>
        </w:rPr>
      </w:pPr>
      <w:r>
        <w:rPr>
          <w:rFonts w:ascii="宋体" w:hAnsi="宋体"/>
          <w:b/>
          <w:szCs w:val="21"/>
          <w:highlight w:val="none"/>
        </w:rPr>
        <w:t>2.1</w:t>
      </w:r>
      <w:r>
        <w:rPr>
          <w:rFonts w:hint="eastAsia" w:ascii="宋体" w:hAnsi="宋体"/>
          <w:b/>
          <w:szCs w:val="21"/>
          <w:highlight w:val="none"/>
        </w:rPr>
        <w:t>中小企业扶持政策</w:t>
      </w:r>
    </w:p>
    <w:p w14:paraId="6CFBA135">
      <w:pPr>
        <w:pStyle w:val="16"/>
        <w:tabs>
          <w:tab w:val="left" w:pos="2472"/>
        </w:tabs>
        <w:snapToGrid w:val="0"/>
        <w:spacing w:line="360" w:lineRule="auto"/>
        <w:rPr>
          <w:rFonts w:hAnsi="宋体"/>
          <w:szCs w:val="21"/>
          <w:highlight w:val="none"/>
        </w:rPr>
      </w:pPr>
      <w:r>
        <w:rPr>
          <w:rFonts w:hAnsi="宋体"/>
          <w:szCs w:val="21"/>
          <w:highlight w:val="none"/>
        </w:rPr>
        <w:t>2</w:t>
      </w:r>
      <w:r>
        <w:rPr>
          <w:rFonts w:hint="eastAsia" w:hAnsi="宋体"/>
          <w:szCs w:val="21"/>
          <w:highlight w:val="none"/>
        </w:rPr>
        <w:t>.</w:t>
      </w:r>
      <w:r>
        <w:rPr>
          <w:rFonts w:hAnsi="宋体"/>
          <w:szCs w:val="21"/>
          <w:highlight w:val="none"/>
        </w:rPr>
        <w:t>1</w:t>
      </w:r>
      <w:r>
        <w:rPr>
          <w:rFonts w:hint="eastAsia" w:hAnsi="宋体"/>
          <w:szCs w:val="21"/>
          <w:highlight w:val="none"/>
        </w:rPr>
        <w:t>.1根据《</w:t>
      </w:r>
      <w:r>
        <w:rPr>
          <w:rFonts w:hAnsi="宋体"/>
          <w:szCs w:val="21"/>
          <w:highlight w:val="none"/>
        </w:rPr>
        <w:t>关于印发</w:t>
      </w:r>
      <w:r>
        <w:rPr>
          <w:rFonts w:hint="eastAsia" w:hAnsi="宋体"/>
          <w:szCs w:val="21"/>
          <w:highlight w:val="none"/>
        </w:rPr>
        <w:t>&lt;政府采购促进中小企业发展管理办法&gt;</w:t>
      </w:r>
      <w:r>
        <w:rPr>
          <w:rFonts w:hAnsi="宋体"/>
          <w:szCs w:val="21"/>
          <w:highlight w:val="none"/>
        </w:rPr>
        <w:t>的通知</w:t>
      </w:r>
      <w:r>
        <w:rPr>
          <w:rFonts w:hint="eastAsia" w:hAnsi="宋体"/>
          <w:szCs w:val="21"/>
          <w:highlight w:val="none"/>
        </w:rPr>
        <w:t>》（财库【2020】46号）的规定，供应商提供的货物、工程或者服务符合下列情形的，享受评标方法中小企业扶持政策：</w:t>
      </w:r>
    </w:p>
    <w:p w14:paraId="76F55B10">
      <w:pPr>
        <w:pStyle w:val="16"/>
        <w:tabs>
          <w:tab w:val="left" w:pos="2472"/>
        </w:tabs>
        <w:snapToGrid w:val="0"/>
        <w:spacing w:line="360" w:lineRule="auto"/>
        <w:rPr>
          <w:rFonts w:hAnsi="宋体"/>
          <w:szCs w:val="21"/>
          <w:highlight w:val="none"/>
        </w:rPr>
      </w:pPr>
      <w:r>
        <w:rPr>
          <w:rFonts w:hint="eastAsia" w:hAnsi="宋体"/>
          <w:szCs w:val="21"/>
          <w:highlight w:val="none"/>
        </w:rPr>
        <w:t>（一）在货物采购项目中，货物由中小企业制造，即货物由中小企业生产且使用该中小企业商号或者注册商标；</w:t>
      </w:r>
    </w:p>
    <w:p w14:paraId="509B614B">
      <w:pPr>
        <w:pStyle w:val="16"/>
        <w:tabs>
          <w:tab w:val="left" w:pos="2472"/>
        </w:tabs>
        <w:snapToGrid w:val="0"/>
        <w:spacing w:line="360" w:lineRule="auto"/>
        <w:rPr>
          <w:rFonts w:hAnsi="宋体"/>
          <w:szCs w:val="21"/>
          <w:highlight w:val="none"/>
        </w:rPr>
      </w:pPr>
      <w:r>
        <w:rPr>
          <w:rFonts w:hint="eastAsia" w:hAnsi="宋体"/>
          <w:szCs w:val="21"/>
          <w:highlight w:val="none"/>
        </w:rPr>
        <w:t>（二）在工程采购项目中，工程由中小企业承建，即工程施工单位为中小企业；</w:t>
      </w:r>
    </w:p>
    <w:p w14:paraId="491A42BB">
      <w:pPr>
        <w:pStyle w:val="16"/>
        <w:tabs>
          <w:tab w:val="left" w:pos="2472"/>
        </w:tabs>
        <w:snapToGrid w:val="0"/>
        <w:spacing w:line="360" w:lineRule="auto"/>
        <w:rPr>
          <w:rFonts w:hAnsi="宋体"/>
          <w:szCs w:val="21"/>
          <w:highlight w:val="none"/>
        </w:rPr>
      </w:pPr>
      <w:r>
        <w:rPr>
          <w:rFonts w:hint="eastAsia" w:hAnsi="宋体"/>
          <w:szCs w:val="21"/>
          <w:highlight w:val="none"/>
        </w:rPr>
        <w:t>（三）在服务采购项目中，服务由中小企业承接，即提供服务的人员为中小企业依照《中华人民共和国劳动合同法》订立劳动合同的从业人员。</w:t>
      </w:r>
    </w:p>
    <w:p w14:paraId="65AAB231">
      <w:pPr>
        <w:pStyle w:val="16"/>
        <w:tabs>
          <w:tab w:val="left" w:pos="2472"/>
        </w:tabs>
        <w:snapToGrid w:val="0"/>
        <w:spacing w:line="360" w:lineRule="auto"/>
        <w:rPr>
          <w:rFonts w:hAnsi="宋体"/>
          <w:szCs w:val="21"/>
          <w:highlight w:val="none"/>
        </w:rPr>
      </w:pPr>
      <w:r>
        <w:rPr>
          <w:rFonts w:hint="eastAsia" w:hAnsi="宋体"/>
          <w:szCs w:val="21"/>
          <w:highlight w:val="none"/>
        </w:rPr>
        <w:t>在货物采购项目中，供应商提供的货物既有中小企业制造货物，也有大型企业制造货物的，不享受评标方法规定的中小企业扶持政策。</w:t>
      </w:r>
    </w:p>
    <w:p w14:paraId="7EE49512">
      <w:pPr>
        <w:pStyle w:val="16"/>
        <w:tabs>
          <w:tab w:val="left" w:pos="2472"/>
        </w:tabs>
        <w:snapToGrid w:val="0"/>
        <w:spacing w:line="360" w:lineRule="auto"/>
        <w:rPr>
          <w:rFonts w:hAnsi="宋体"/>
          <w:szCs w:val="21"/>
          <w:highlight w:val="none"/>
        </w:rPr>
      </w:pPr>
      <w:r>
        <w:rPr>
          <w:rFonts w:hint="eastAsia" w:hAnsi="宋体"/>
          <w:szCs w:val="21"/>
          <w:highlight w:val="none"/>
        </w:rPr>
        <w:t>以联合体形式参加政府采购活动，联合体各方均为中小企业的，联合体视同中小企业。其中，联合体各方均为小微企业的，联合体视同小微企业。</w:t>
      </w:r>
    </w:p>
    <w:p w14:paraId="5B6ACDF4">
      <w:pPr>
        <w:pStyle w:val="16"/>
        <w:tabs>
          <w:tab w:val="left" w:pos="2472"/>
        </w:tabs>
        <w:snapToGrid w:val="0"/>
        <w:spacing w:line="360" w:lineRule="auto"/>
        <w:rPr>
          <w:rFonts w:hAnsi="宋体"/>
          <w:szCs w:val="21"/>
          <w:highlight w:val="none"/>
        </w:rPr>
      </w:pPr>
      <w:r>
        <w:rPr>
          <w:rFonts w:hAnsi="宋体"/>
          <w:szCs w:val="21"/>
          <w:highlight w:val="none"/>
        </w:rPr>
        <w:t>2</w:t>
      </w:r>
      <w:r>
        <w:rPr>
          <w:rFonts w:hint="eastAsia" w:hAnsi="宋体"/>
          <w:szCs w:val="21"/>
          <w:highlight w:val="none"/>
        </w:rPr>
        <w:t>.</w:t>
      </w:r>
      <w:r>
        <w:rPr>
          <w:rFonts w:hAnsi="宋体"/>
          <w:szCs w:val="21"/>
          <w:highlight w:val="none"/>
        </w:rPr>
        <w:t>1</w:t>
      </w:r>
      <w:r>
        <w:rPr>
          <w:rFonts w:hint="eastAsia" w:hAnsi="宋体"/>
          <w:szCs w:val="21"/>
          <w:highlight w:val="none"/>
        </w:rPr>
        <w:t>.</w:t>
      </w:r>
      <w:r>
        <w:rPr>
          <w:rFonts w:hAnsi="宋体"/>
          <w:szCs w:val="21"/>
          <w:highlight w:val="none"/>
        </w:rPr>
        <w:t>2</w:t>
      </w:r>
      <w:r>
        <w:rPr>
          <w:rFonts w:hint="eastAsia" w:hAnsi="宋体"/>
          <w:szCs w:val="21"/>
          <w:highlight w:val="none"/>
        </w:rPr>
        <w:t>评标方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3ED3E4DB">
      <w:pPr>
        <w:pStyle w:val="16"/>
        <w:tabs>
          <w:tab w:val="left" w:pos="2472"/>
        </w:tabs>
        <w:snapToGrid w:val="0"/>
        <w:spacing w:line="360" w:lineRule="auto"/>
        <w:rPr>
          <w:rFonts w:hAnsi="宋体"/>
          <w:szCs w:val="21"/>
          <w:highlight w:val="none"/>
        </w:rPr>
      </w:pPr>
      <w:r>
        <w:rPr>
          <w:rFonts w:hint="eastAsia" w:hAnsi="宋体"/>
          <w:szCs w:val="21"/>
          <w:highlight w:val="none"/>
        </w:rPr>
        <w:t>符合中小企业划分标准的个体工商户，在政府采购活动中视同中小企业。</w:t>
      </w:r>
    </w:p>
    <w:p w14:paraId="1D00206C">
      <w:pPr>
        <w:pStyle w:val="16"/>
        <w:tabs>
          <w:tab w:val="left" w:pos="2472"/>
        </w:tabs>
        <w:snapToGrid w:val="0"/>
        <w:spacing w:line="360" w:lineRule="auto"/>
        <w:rPr>
          <w:rFonts w:hAnsi="宋体"/>
          <w:szCs w:val="21"/>
          <w:highlight w:val="none"/>
        </w:rPr>
      </w:pPr>
      <w:r>
        <w:rPr>
          <w:rFonts w:hAnsi="宋体"/>
          <w:szCs w:val="21"/>
          <w:highlight w:val="none"/>
        </w:rPr>
        <w:t>2</w:t>
      </w:r>
      <w:r>
        <w:rPr>
          <w:rFonts w:hint="eastAsia" w:hAnsi="宋体"/>
          <w:szCs w:val="21"/>
          <w:highlight w:val="none"/>
        </w:rPr>
        <w:t>.</w:t>
      </w:r>
      <w:r>
        <w:rPr>
          <w:rFonts w:hAnsi="宋体"/>
          <w:szCs w:val="21"/>
          <w:highlight w:val="none"/>
        </w:rPr>
        <w:t>1</w:t>
      </w:r>
      <w:r>
        <w:rPr>
          <w:rFonts w:hint="eastAsia" w:hAnsi="宋体"/>
          <w:szCs w:val="21"/>
          <w:highlight w:val="none"/>
        </w:rPr>
        <w:t>.3中小企业参加政府采购活动，应当出具《中小企业声明函》（详见《投标文件格式》），否则不得享受相关中小企业扶持政策。</w:t>
      </w:r>
    </w:p>
    <w:p w14:paraId="4C30BBD0">
      <w:pPr>
        <w:pStyle w:val="16"/>
        <w:tabs>
          <w:tab w:val="left" w:pos="2472"/>
        </w:tabs>
        <w:snapToGrid w:val="0"/>
        <w:spacing w:line="360" w:lineRule="auto"/>
        <w:rPr>
          <w:rFonts w:hAnsi="宋体"/>
          <w:b/>
          <w:szCs w:val="21"/>
          <w:highlight w:val="none"/>
        </w:rPr>
      </w:pPr>
      <w:r>
        <w:rPr>
          <w:rFonts w:hAnsi="宋体"/>
          <w:b/>
          <w:szCs w:val="21"/>
          <w:highlight w:val="none"/>
        </w:rPr>
        <w:t>2</w:t>
      </w:r>
      <w:r>
        <w:rPr>
          <w:rFonts w:hint="eastAsia" w:hAnsi="宋体"/>
          <w:b/>
          <w:szCs w:val="21"/>
          <w:highlight w:val="none"/>
        </w:rPr>
        <w:t>.</w:t>
      </w:r>
      <w:r>
        <w:rPr>
          <w:rFonts w:hAnsi="宋体"/>
          <w:b/>
          <w:szCs w:val="21"/>
          <w:highlight w:val="none"/>
        </w:rPr>
        <w:t>2</w:t>
      </w:r>
      <w:r>
        <w:rPr>
          <w:rFonts w:hint="eastAsia" w:hAnsi="宋体"/>
          <w:b/>
          <w:szCs w:val="21"/>
          <w:highlight w:val="none"/>
        </w:rPr>
        <w:t>监狱企业</w:t>
      </w:r>
    </w:p>
    <w:p w14:paraId="2CAF0A30">
      <w:pPr>
        <w:pStyle w:val="16"/>
        <w:tabs>
          <w:tab w:val="left" w:pos="2472"/>
        </w:tabs>
        <w:snapToGrid w:val="0"/>
        <w:spacing w:line="360" w:lineRule="auto"/>
        <w:rPr>
          <w:rFonts w:hAnsi="宋体"/>
          <w:szCs w:val="21"/>
          <w:highlight w:val="none"/>
        </w:rPr>
      </w:pPr>
      <w:r>
        <w:rPr>
          <w:rFonts w:hAnsi="宋体"/>
          <w:szCs w:val="21"/>
          <w:highlight w:val="none"/>
        </w:rPr>
        <w:t>2</w:t>
      </w:r>
      <w:r>
        <w:rPr>
          <w:rFonts w:hint="eastAsia" w:hAnsi="宋体"/>
          <w:szCs w:val="21"/>
          <w:highlight w:val="none"/>
        </w:rPr>
        <w:t>.</w:t>
      </w:r>
      <w:r>
        <w:rPr>
          <w:rFonts w:hAnsi="宋体"/>
          <w:szCs w:val="21"/>
          <w:highlight w:val="none"/>
        </w:rPr>
        <w:t>2</w:t>
      </w:r>
      <w:r>
        <w:rPr>
          <w:rFonts w:hint="eastAsia" w:hAnsi="宋体"/>
          <w:szCs w:val="21"/>
          <w:highlight w:val="none"/>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5CBF1FD">
      <w:pPr>
        <w:pStyle w:val="16"/>
        <w:tabs>
          <w:tab w:val="left" w:pos="2472"/>
        </w:tabs>
        <w:snapToGrid w:val="0"/>
        <w:spacing w:line="360" w:lineRule="auto"/>
        <w:rPr>
          <w:rFonts w:hAnsi="宋体"/>
          <w:b/>
          <w:szCs w:val="21"/>
          <w:highlight w:val="none"/>
        </w:rPr>
      </w:pPr>
      <w:r>
        <w:rPr>
          <w:rFonts w:hint="eastAsia" w:hAnsi="宋体"/>
          <w:b/>
          <w:szCs w:val="21"/>
          <w:highlight w:val="none"/>
        </w:rPr>
        <w:t>2.3残疾人福利性单位</w:t>
      </w:r>
    </w:p>
    <w:p w14:paraId="0CFD9091">
      <w:pPr>
        <w:pStyle w:val="16"/>
        <w:tabs>
          <w:tab w:val="left" w:pos="2472"/>
        </w:tabs>
        <w:snapToGrid w:val="0"/>
        <w:spacing w:line="360" w:lineRule="auto"/>
        <w:rPr>
          <w:rFonts w:hAnsi="宋体"/>
          <w:szCs w:val="21"/>
          <w:highlight w:val="none"/>
        </w:rPr>
      </w:pPr>
      <w:r>
        <w:rPr>
          <w:rFonts w:hint="eastAsia" w:hAnsi="宋体"/>
          <w:szCs w:val="21"/>
          <w:highlight w:val="none"/>
        </w:rPr>
        <w:t>2.3</w:t>
      </w:r>
      <w:r>
        <w:rPr>
          <w:rFonts w:hAnsi="宋体"/>
          <w:szCs w:val="21"/>
          <w:highlight w:val="none"/>
        </w:rPr>
        <w:t>.1根据</w:t>
      </w:r>
      <w:r>
        <w:rPr>
          <w:rFonts w:hint="eastAsia" w:hAnsi="宋体"/>
          <w:szCs w:val="21"/>
          <w:highlight w:val="none"/>
        </w:rPr>
        <w:t>《财政部 民政部 中国残疾人联合会关于促进残疾人就业政府采购政策的通知》，享受政府采购支持政策的残疾人福利性单位应当同时满足以下条件：</w:t>
      </w:r>
    </w:p>
    <w:p w14:paraId="40F1ED6C">
      <w:pPr>
        <w:pStyle w:val="16"/>
        <w:tabs>
          <w:tab w:val="left" w:pos="2472"/>
        </w:tabs>
        <w:snapToGrid w:val="0"/>
        <w:spacing w:line="360" w:lineRule="auto"/>
        <w:ind w:firstLine="420" w:firstLineChars="200"/>
        <w:rPr>
          <w:rFonts w:hAnsi="宋体"/>
          <w:szCs w:val="21"/>
          <w:highlight w:val="none"/>
        </w:rPr>
      </w:pPr>
      <w:r>
        <w:rPr>
          <w:rFonts w:hint="eastAsia" w:hAnsi="宋体"/>
          <w:szCs w:val="21"/>
          <w:highlight w:val="none"/>
        </w:rPr>
        <w:t>（1）安置的残疾人占本单位在职职工人数的比例不低于25%（含25%），并且安置的残疾人人数不少于10人（含10人）；</w:t>
      </w:r>
    </w:p>
    <w:p w14:paraId="04412D64">
      <w:pPr>
        <w:pStyle w:val="16"/>
        <w:tabs>
          <w:tab w:val="left" w:pos="2472"/>
        </w:tabs>
        <w:snapToGrid w:val="0"/>
        <w:spacing w:line="360" w:lineRule="auto"/>
        <w:rPr>
          <w:rFonts w:hAnsi="宋体"/>
          <w:szCs w:val="21"/>
          <w:highlight w:val="none"/>
        </w:rPr>
      </w:pPr>
      <w:r>
        <w:rPr>
          <w:rFonts w:hint="eastAsia" w:hAnsi="宋体"/>
          <w:szCs w:val="21"/>
          <w:highlight w:val="none"/>
        </w:rPr>
        <w:t>　　（2）依法与安置的每位残疾人签订了一年以上（含一年）的劳动合同或服务协议；</w:t>
      </w:r>
    </w:p>
    <w:p w14:paraId="671A17DA">
      <w:pPr>
        <w:pStyle w:val="16"/>
        <w:tabs>
          <w:tab w:val="left" w:pos="2472"/>
        </w:tabs>
        <w:snapToGrid w:val="0"/>
        <w:spacing w:line="360" w:lineRule="auto"/>
        <w:rPr>
          <w:rFonts w:hAnsi="宋体"/>
          <w:szCs w:val="21"/>
          <w:highlight w:val="none"/>
        </w:rPr>
      </w:pPr>
      <w:r>
        <w:rPr>
          <w:rFonts w:hint="eastAsia" w:hAnsi="宋体"/>
          <w:szCs w:val="21"/>
          <w:highlight w:val="none"/>
        </w:rPr>
        <w:t>　　（3）为安置的每位残疾人按月足额缴纳了基本养老保险、基本医疗保险、失业保险、工伤保险和生育保险等社会保险费；</w:t>
      </w:r>
    </w:p>
    <w:p w14:paraId="4FFCE4B6">
      <w:pPr>
        <w:pStyle w:val="16"/>
        <w:tabs>
          <w:tab w:val="left" w:pos="2472"/>
        </w:tabs>
        <w:snapToGrid w:val="0"/>
        <w:spacing w:line="360" w:lineRule="auto"/>
        <w:rPr>
          <w:rFonts w:hAnsi="宋体"/>
          <w:szCs w:val="21"/>
          <w:highlight w:val="none"/>
        </w:rPr>
      </w:pPr>
      <w:r>
        <w:rPr>
          <w:rFonts w:hint="eastAsia" w:hAnsi="宋体"/>
          <w:szCs w:val="21"/>
          <w:highlight w:val="none"/>
        </w:rPr>
        <w:t>　　（4）通过银行等金融机构向安置的每位残疾人，按月支付了不低于单位所在区县适用的经省级人民政府批准的月最低工资标准的工资；</w:t>
      </w:r>
    </w:p>
    <w:p w14:paraId="51BA3679">
      <w:pPr>
        <w:pStyle w:val="16"/>
        <w:tabs>
          <w:tab w:val="left" w:pos="2472"/>
        </w:tabs>
        <w:snapToGrid w:val="0"/>
        <w:spacing w:line="360" w:lineRule="auto"/>
        <w:rPr>
          <w:rFonts w:hAnsi="宋体"/>
          <w:szCs w:val="21"/>
          <w:highlight w:val="none"/>
        </w:rPr>
      </w:pPr>
      <w:r>
        <w:rPr>
          <w:rFonts w:hint="eastAsia" w:hAnsi="宋体"/>
          <w:szCs w:val="21"/>
          <w:highlight w:val="none"/>
        </w:rPr>
        <w:t>　　（5）提供本单位制造的货物、承担的工程或者服务（以下简称产品），或者提供其他残疾人福利性单位制造的货物（不包括使用非残疾人福利性单位注册商标的货物）。</w:t>
      </w:r>
    </w:p>
    <w:p w14:paraId="725445F2">
      <w:pPr>
        <w:pStyle w:val="16"/>
        <w:tabs>
          <w:tab w:val="left" w:pos="2472"/>
        </w:tabs>
        <w:snapToGrid w:val="0"/>
        <w:spacing w:line="360" w:lineRule="auto"/>
        <w:ind w:firstLine="420"/>
        <w:rPr>
          <w:rFonts w:hAnsi="宋体"/>
          <w:szCs w:val="21"/>
          <w:highlight w:val="none"/>
        </w:rPr>
      </w:pPr>
      <w:r>
        <w:rPr>
          <w:rFonts w:hint="eastAsia" w:hAnsi="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163B7BE">
      <w:pPr>
        <w:pStyle w:val="16"/>
        <w:tabs>
          <w:tab w:val="left" w:pos="2472"/>
        </w:tabs>
        <w:snapToGrid w:val="0"/>
        <w:spacing w:line="360" w:lineRule="auto"/>
        <w:rPr>
          <w:rFonts w:hAnsi="宋体"/>
          <w:szCs w:val="21"/>
          <w:highlight w:val="none"/>
        </w:rPr>
      </w:pPr>
      <w:r>
        <w:rPr>
          <w:rFonts w:hint="eastAsia" w:hAnsi="宋体"/>
          <w:szCs w:val="21"/>
          <w:highlight w:val="none"/>
        </w:rPr>
        <w:t>2.3.2符合条件的残疾人福利性单位在参加政府采购活动时，应当提供《残疾人福利性单位声明函》，并对声明的真实性负责。</w:t>
      </w:r>
    </w:p>
    <w:p w14:paraId="64B6D33C">
      <w:pPr>
        <w:pStyle w:val="16"/>
        <w:tabs>
          <w:tab w:val="left" w:pos="2472"/>
        </w:tabs>
        <w:snapToGrid w:val="0"/>
        <w:spacing w:line="360" w:lineRule="auto"/>
        <w:rPr>
          <w:rFonts w:hAnsi="宋体"/>
          <w:b/>
          <w:szCs w:val="21"/>
          <w:highlight w:val="none"/>
        </w:rPr>
      </w:pPr>
      <w:r>
        <w:rPr>
          <w:rFonts w:hint="eastAsia" w:hAnsi="宋体"/>
          <w:b/>
          <w:szCs w:val="21"/>
          <w:highlight w:val="none"/>
        </w:rPr>
        <w:t>2.</w:t>
      </w:r>
      <w:r>
        <w:rPr>
          <w:rFonts w:hAnsi="宋体"/>
          <w:b/>
          <w:szCs w:val="21"/>
          <w:highlight w:val="none"/>
        </w:rPr>
        <w:t>4</w:t>
      </w:r>
      <w:r>
        <w:rPr>
          <w:rFonts w:hint="eastAsia" w:hAnsi="宋体"/>
          <w:b/>
          <w:szCs w:val="21"/>
          <w:highlight w:val="none"/>
        </w:rPr>
        <w:t>节能、环境标志产品</w:t>
      </w:r>
    </w:p>
    <w:p w14:paraId="1527DE9B">
      <w:pPr>
        <w:pStyle w:val="16"/>
        <w:tabs>
          <w:tab w:val="left" w:pos="2472"/>
        </w:tabs>
        <w:snapToGrid w:val="0"/>
        <w:spacing w:line="360" w:lineRule="auto"/>
        <w:rPr>
          <w:rFonts w:hAnsi="宋体"/>
          <w:szCs w:val="21"/>
          <w:highlight w:val="none"/>
        </w:rPr>
      </w:pPr>
      <w:r>
        <w:rPr>
          <w:rFonts w:hint="eastAsia" w:hAnsi="宋体"/>
          <w:szCs w:val="21"/>
          <w:highlight w:val="none"/>
        </w:rPr>
        <w:t>2.4.1节能产品是指列入财政部和国家发改委公布的《节能产品政府采购品目清单》中的货物。政府强制采购节能产品是指《节能产品政府采购品目清单》中以“★”标注类别的产品。</w:t>
      </w:r>
    </w:p>
    <w:p w14:paraId="5A8BF69C">
      <w:pPr>
        <w:pStyle w:val="16"/>
        <w:tabs>
          <w:tab w:val="left" w:pos="2472"/>
        </w:tabs>
        <w:snapToGrid w:val="0"/>
        <w:spacing w:line="360" w:lineRule="auto"/>
        <w:rPr>
          <w:rFonts w:hAnsi="宋体"/>
          <w:szCs w:val="21"/>
          <w:highlight w:val="none"/>
        </w:rPr>
      </w:pPr>
      <w:r>
        <w:rPr>
          <w:rFonts w:hint="eastAsia" w:hAnsi="宋体"/>
          <w:szCs w:val="21"/>
          <w:highlight w:val="none"/>
        </w:rPr>
        <w:t>2.4.2环境标志产品是指列入财政部、生态环境部公布的《环境标志产品政府采购品目清单》中的货物。</w:t>
      </w:r>
    </w:p>
    <w:p w14:paraId="1813B21F">
      <w:pPr>
        <w:pStyle w:val="16"/>
        <w:tabs>
          <w:tab w:val="left" w:pos="2472"/>
        </w:tabs>
        <w:snapToGrid w:val="0"/>
        <w:spacing w:line="360" w:lineRule="auto"/>
        <w:rPr>
          <w:rFonts w:hAnsi="宋体"/>
          <w:szCs w:val="21"/>
          <w:highlight w:val="none"/>
        </w:rPr>
      </w:pPr>
      <w:r>
        <w:rPr>
          <w:rFonts w:hint="eastAsia" w:hAnsi="宋体"/>
          <w:szCs w:val="21"/>
          <w:highlight w:val="none"/>
        </w:rPr>
        <w:t>★2.4.3本项目采购清单中若有政府强制采购节能产品，只接受强制节能产品投标，投标人必须在投标文件中提供国家确定的认证机构出具的、处于有效期之内的节能产品认证证书。投标人必须选报，否则按不实质性响应招标文件要求处理。</w:t>
      </w:r>
    </w:p>
    <w:p w14:paraId="5C9A30A7">
      <w:pPr>
        <w:pStyle w:val="16"/>
        <w:tabs>
          <w:tab w:val="left" w:pos="2472"/>
        </w:tabs>
        <w:snapToGrid w:val="0"/>
        <w:spacing w:line="360" w:lineRule="auto"/>
        <w:rPr>
          <w:rFonts w:hAnsi="宋体"/>
          <w:szCs w:val="21"/>
          <w:highlight w:val="none"/>
        </w:rPr>
      </w:pPr>
      <w:r>
        <w:rPr>
          <w:rFonts w:hint="eastAsia" w:hAnsi="宋体"/>
          <w:szCs w:val="21"/>
          <w:highlight w:val="none"/>
        </w:rPr>
        <w:t>2.4.4投标人应在投标文件中提供所投标产品国家确定的认证机构出具的、处于有效期之内的节能产品、环境标志产品认证证书，否则不予认可。</w:t>
      </w:r>
    </w:p>
    <w:p w14:paraId="6E762A81">
      <w:pPr>
        <w:pStyle w:val="16"/>
        <w:tabs>
          <w:tab w:val="left" w:pos="2472"/>
        </w:tabs>
        <w:snapToGrid w:val="0"/>
        <w:spacing w:line="360" w:lineRule="auto"/>
        <w:rPr>
          <w:rFonts w:hint="eastAsia" w:hAnsi="宋体"/>
          <w:szCs w:val="21"/>
          <w:highlight w:val="none"/>
        </w:rPr>
      </w:pPr>
      <w:r>
        <w:rPr>
          <w:rFonts w:hint="eastAsia" w:hAnsi="宋体"/>
          <w:szCs w:val="21"/>
          <w:highlight w:val="none"/>
        </w:rPr>
        <w:t xml:space="preserve">2.4.5《节能产品政府采购品目清单》及《环境标志产品政府采购品目清单》可通过中国政府采购网（http://www.ccgp.gov.cn/ ）查阅、下载。 </w:t>
      </w:r>
    </w:p>
    <w:p w14:paraId="5F6EF5E6">
      <w:pPr>
        <w:pStyle w:val="5"/>
        <w:spacing w:before="0" w:after="0" w:line="360" w:lineRule="auto"/>
        <w:rPr>
          <w:rFonts w:ascii="宋体" w:hAnsi="宋体" w:eastAsia="宋体" w:cs="Times New Roman"/>
          <w:b/>
          <w:bCs/>
          <w:sz w:val="21"/>
          <w:szCs w:val="21"/>
          <w:highlight w:val="none"/>
        </w:rPr>
      </w:pPr>
      <w:bookmarkStart w:id="234" w:name="_Toc27681"/>
      <w:bookmarkStart w:id="235" w:name="_Toc27795"/>
      <w:r>
        <w:rPr>
          <w:rFonts w:hint="eastAsia" w:ascii="宋体" w:hAnsi="宋体" w:eastAsia="宋体" w:cs="Times New Roman"/>
          <w:b/>
          <w:bCs/>
          <w:sz w:val="21"/>
          <w:szCs w:val="21"/>
          <w:highlight w:val="none"/>
          <w:lang w:val="en-US" w:eastAsia="zh-CN"/>
        </w:rPr>
        <w:t>2.5</w:t>
      </w:r>
      <w:r>
        <w:rPr>
          <w:rFonts w:hint="eastAsia" w:ascii="宋体" w:hAnsi="宋体" w:eastAsia="宋体" w:cs="Times New Roman"/>
          <w:b/>
          <w:bCs/>
          <w:sz w:val="21"/>
          <w:szCs w:val="21"/>
          <w:highlight w:val="none"/>
        </w:rPr>
        <w:t>对本国产品的支持政策</w:t>
      </w:r>
      <w:bookmarkEnd w:id="234"/>
      <w:bookmarkEnd w:id="235"/>
    </w:p>
    <w:p w14:paraId="49462CE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依据《</w:t>
      </w:r>
      <w:r>
        <w:rPr>
          <w:rFonts w:hint="eastAsia" w:ascii="宋体" w:hAnsi="宋体" w:eastAsia="宋体" w:cs="宋体"/>
          <w:sz w:val="21"/>
          <w:szCs w:val="21"/>
          <w:highlight w:val="none"/>
        </w:rPr>
        <w:t>国务院办公厅关于在政府采购中实施本国产品标准及相关政策的通知</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（国办发〔2025〕34号）</w:t>
      </w:r>
      <w:r>
        <w:rPr>
          <w:rFonts w:hint="eastAsia" w:ascii="宋体" w:hAnsi="宋体" w:eastAsia="宋体" w:cs="宋体"/>
          <w:sz w:val="21"/>
          <w:szCs w:val="21"/>
          <w:highlight w:val="none"/>
          <w:lang w:val="en-US" w:eastAsia="zh-CN"/>
        </w:rPr>
        <w:t>及</w:t>
      </w:r>
      <w:r>
        <w:rPr>
          <w:rFonts w:hint="eastAsia" w:ascii="宋体" w:hAnsi="宋体" w:eastAsia="宋体" w:cs="宋体"/>
          <w:sz w:val="21"/>
          <w:szCs w:val="21"/>
          <w:highlight w:val="none"/>
        </w:rPr>
        <w:t>《财政部关于贯彻落实&lt;国务院办公厅关于在政府采购中实施本国产品标准及相关政策的通知&gt;的意见》(财库〔2025〕30号)相关规定，本项目政府采购活动中对本国产品实施以下支持政策：</w:t>
      </w:r>
    </w:p>
    <w:p w14:paraId="39FB8B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highlight w:val="none"/>
        </w:rPr>
      </w:pPr>
      <w:r>
        <w:rPr>
          <w:rFonts w:hint="eastAsia" w:ascii="宋体" w:hAnsi="宋体" w:cs="宋体"/>
          <w:b/>
          <w:bCs/>
          <w:kern w:val="2"/>
          <w:sz w:val="21"/>
          <w:szCs w:val="21"/>
          <w:highlight w:val="none"/>
          <w:lang w:val="en-US" w:eastAsia="zh-CN" w:bidi="ar-SA"/>
        </w:rPr>
        <w:t>2.5.1</w:t>
      </w:r>
      <w:r>
        <w:rPr>
          <w:rFonts w:hint="eastAsia" w:ascii="宋体" w:hAnsi="宋体" w:eastAsia="宋体" w:cs="宋体"/>
          <w:b/>
          <w:bCs/>
          <w:sz w:val="21"/>
          <w:szCs w:val="21"/>
          <w:highlight w:val="none"/>
        </w:rPr>
        <w:t>本国产品标准</w:t>
      </w:r>
    </w:p>
    <w:p w14:paraId="28188B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本国产品应当符合以下条件： </w:t>
      </w:r>
    </w:p>
    <w:p w14:paraId="3EFD9C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在中国境内生产</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58E5A6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r>
        <w:rPr>
          <w:rFonts w:hint="eastAsia" w:ascii="宋体" w:hAnsi="宋体" w:eastAsia="宋体" w:cs="宋体"/>
          <w:sz w:val="21"/>
          <w:szCs w:val="21"/>
          <w:highlight w:val="none"/>
        </w:rPr>
        <w:t>为确保产品在运输或者储存期间保持某种状态而进行的操作；</w:t>
      </w:r>
    </w:p>
    <w:p w14:paraId="10F983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2.</w:t>
      </w:r>
      <w:r>
        <w:rPr>
          <w:rFonts w:hint="eastAsia" w:ascii="宋体" w:hAnsi="宋体" w:eastAsia="宋体" w:cs="宋体"/>
          <w:sz w:val="21"/>
          <w:szCs w:val="21"/>
          <w:highlight w:val="none"/>
        </w:rPr>
        <w:t xml:space="preserve">为产品运输或者销售进行的包装或者展示； </w:t>
      </w:r>
    </w:p>
    <w:p w14:paraId="442E22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r>
        <w:rPr>
          <w:rFonts w:hint="eastAsia" w:ascii="宋体" w:hAnsi="宋体" w:eastAsia="宋体" w:cs="宋体"/>
          <w:sz w:val="21"/>
          <w:szCs w:val="21"/>
          <w:highlight w:val="none"/>
        </w:rPr>
        <w:t xml:space="preserve">在产品或者其包装上粘贴或者印刷品牌、标志、标识以及其他用于区别的标记； </w:t>
      </w:r>
    </w:p>
    <w:p w14:paraId="5CCF52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4.</w:t>
      </w:r>
      <w:r>
        <w:rPr>
          <w:rFonts w:hint="eastAsia" w:ascii="宋体" w:hAnsi="宋体" w:eastAsia="宋体" w:cs="宋体"/>
          <w:sz w:val="21"/>
          <w:szCs w:val="21"/>
          <w:highlight w:val="none"/>
        </w:rPr>
        <w:t xml:space="preserve">简单的上漆、磨光和分装； </w:t>
      </w:r>
    </w:p>
    <w:p w14:paraId="5D573A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5.</w:t>
      </w:r>
      <w:r>
        <w:rPr>
          <w:rFonts w:hint="eastAsia" w:ascii="宋体" w:hAnsi="宋体" w:eastAsia="宋体" w:cs="宋体"/>
          <w:sz w:val="21"/>
          <w:szCs w:val="21"/>
          <w:highlight w:val="none"/>
        </w:rPr>
        <w:t>其他不属于属性改变的情形。</w:t>
      </w:r>
    </w:p>
    <w:p w14:paraId="6DB166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特别提醒：</w:t>
      </w:r>
      <w:r>
        <w:rPr>
          <w:rFonts w:hint="eastAsia" w:ascii="宋体" w:hAnsi="宋体" w:eastAsia="宋体" w:cs="宋体"/>
          <w:sz w:val="21"/>
          <w:szCs w:val="21"/>
          <w:highlight w:val="none"/>
          <w:lang w:val="en-US" w:eastAsia="zh-CN"/>
        </w:rPr>
        <w:t>准确界定产品在中国境内生产。《通知》明确，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45B73F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sz w:val="21"/>
          <w:szCs w:val="21"/>
          <w:highlight w:val="none"/>
          <w:lang w:eastAsia="zh-CN"/>
        </w:rPr>
      </w:pPr>
      <w:r>
        <w:rPr>
          <w:rFonts w:hint="eastAsia" w:ascii="宋体" w:hAnsi="宋体" w:cs="宋体"/>
          <w:b/>
          <w:bCs/>
          <w:sz w:val="21"/>
          <w:szCs w:val="21"/>
          <w:highlight w:val="none"/>
          <w:lang w:val="en-US" w:eastAsia="zh-CN"/>
        </w:rPr>
        <w:t>2.5.2</w:t>
      </w:r>
      <w:r>
        <w:rPr>
          <w:rFonts w:hint="eastAsia" w:ascii="宋体" w:hAnsi="宋体" w:eastAsia="宋体" w:cs="宋体"/>
          <w:b/>
          <w:bCs/>
          <w:sz w:val="21"/>
          <w:szCs w:val="21"/>
          <w:highlight w:val="none"/>
        </w:rPr>
        <w:t>本国产品标准的适用范围</w:t>
      </w:r>
      <w:r>
        <w:rPr>
          <w:rFonts w:hint="eastAsia" w:ascii="宋体" w:hAnsi="宋体" w:eastAsia="宋体" w:cs="宋体"/>
          <w:b/>
          <w:bCs/>
          <w:sz w:val="21"/>
          <w:szCs w:val="21"/>
          <w:highlight w:val="none"/>
          <w:lang w:eastAsia="zh-CN"/>
        </w:rPr>
        <w:t>。</w:t>
      </w:r>
    </w:p>
    <w:p w14:paraId="0C3595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BA008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sz w:val="21"/>
          <w:szCs w:val="21"/>
          <w:highlight w:val="none"/>
        </w:rPr>
      </w:pPr>
      <w:r>
        <w:rPr>
          <w:rFonts w:hint="eastAsia" w:ascii="宋体" w:hAnsi="宋体" w:cs="宋体"/>
          <w:b/>
          <w:bCs/>
          <w:kern w:val="2"/>
          <w:sz w:val="21"/>
          <w:szCs w:val="21"/>
          <w:highlight w:val="none"/>
          <w:lang w:val="en-US" w:eastAsia="zh-CN" w:bidi="ar-SA"/>
        </w:rPr>
        <w:t>2.5.</w:t>
      </w:r>
      <w:r>
        <w:rPr>
          <w:rFonts w:hint="eastAsia" w:ascii="宋体" w:hAnsi="宋体" w:eastAsia="宋体" w:cs="宋体"/>
          <w:b/>
          <w:bCs/>
          <w:kern w:val="2"/>
          <w:sz w:val="21"/>
          <w:szCs w:val="21"/>
          <w:highlight w:val="none"/>
          <w:lang w:val="en-US" w:eastAsia="zh-CN" w:bidi="ar-SA"/>
        </w:rPr>
        <w:t>3</w:t>
      </w:r>
      <w:r>
        <w:rPr>
          <w:rFonts w:hint="eastAsia" w:ascii="宋体" w:hAnsi="宋体" w:eastAsia="宋体" w:cs="宋体"/>
          <w:b/>
          <w:bCs/>
          <w:sz w:val="21"/>
          <w:szCs w:val="21"/>
          <w:highlight w:val="none"/>
        </w:rPr>
        <w:t>对本国产品的支持政策</w:t>
      </w:r>
      <w:r>
        <w:rPr>
          <w:rFonts w:hint="eastAsia" w:ascii="宋体" w:hAnsi="宋体" w:eastAsia="宋体" w:cs="宋体"/>
          <w:b/>
          <w:bCs/>
          <w:sz w:val="21"/>
          <w:szCs w:val="21"/>
          <w:highlight w:val="none"/>
          <w:lang w:eastAsia="zh-CN"/>
        </w:rPr>
        <w:t>。</w:t>
      </w:r>
    </w:p>
    <w:p w14:paraId="151D90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政府采购活动中既有本国产品又有非本国产品参与竞争的，对本国产品给予价格评审优惠，对本国产品的报价给予20%的价格扣除，用扣除后的价格参与评审。</w:t>
      </w:r>
    </w:p>
    <w:p w14:paraId="19472A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当采购项目或者采购包中含有多种产品，</w:t>
      </w:r>
      <w:r>
        <w:rPr>
          <w:rFonts w:hint="eastAsia" w:ascii="宋体" w:hAnsi="宋体" w:eastAsia="宋体" w:cs="宋体"/>
          <w:b w:val="0"/>
          <w:bCs w:val="0"/>
          <w:color w:val="auto"/>
          <w:sz w:val="21"/>
          <w:szCs w:val="21"/>
          <w:highlight w:val="none"/>
        </w:rPr>
        <w:t>供应商</w:t>
      </w:r>
      <w:r>
        <w:rPr>
          <w:rFonts w:hint="eastAsia" w:ascii="宋体" w:hAnsi="宋体" w:eastAsia="宋体" w:cs="宋体"/>
          <w:b w:val="0"/>
          <w:bCs w:val="0"/>
          <w:color w:val="auto"/>
          <w:sz w:val="21"/>
          <w:szCs w:val="21"/>
          <w:highlight w:val="none"/>
          <w:lang w:val="en-US" w:eastAsia="zh-CN"/>
        </w:rPr>
        <w:t>应</w:t>
      </w:r>
      <w:r>
        <w:rPr>
          <w:rFonts w:hint="eastAsia" w:ascii="宋体" w:hAnsi="宋体" w:eastAsia="宋体" w:cs="宋体"/>
          <w:b w:val="0"/>
          <w:bCs w:val="0"/>
          <w:color w:val="auto"/>
          <w:sz w:val="21"/>
          <w:szCs w:val="21"/>
          <w:highlight w:val="none"/>
        </w:rPr>
        <w:t>在其投标文件中，对其提供的本国产品占其提供的全部产品成本之和比例是否达到80%做出承诺。(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92DEB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sz w:val="21"/>
          <w:szCs w:val="21"/>
          <w:highlight w:val="none"/>
        </w:rPr>
      </w:pPr>
      <w:r>
        <w:rPr>
          <w:rFonts w:hint="eastAsia" w:ascii="宋体" w:hAnsi="宋体" w:cs="宋体"/>
          <w:b/>
          <w:bCs/>
          <w:kern w:val="2"/>
          <w:sz w:val="21"/>
          <w:szCs w:val="21"/>
          <w:highlight w:val="none"/>
          <w:lang w:val="en-US" w:eastAsia="zh-CN" w:bidi="ar-SA"/>
        </w:rPr>
        <w:t>2.5</w:t>
      </w:r>
      <w:r>
        <w:rPr>
          <w:rFonts w:hint="eastAsia" w:ascii="宋体" w:hAnsi="宋体" w:eastAsia="宋体" w:cs="宋体"/>
          <w:b/>
          <w:bCs/>
          <w:kern w:val="2"/>
          <w:sz w:val="21"/>
          <w:szCs w:val="21"/>
          <w:highlight w:val="none"/>
          <w:lang w:val="en-US" w:eastAsia="zh-CN" w:bidi="ar-SA"/>
        </w:rPr>
        <w:t>.4</w:t>
      </w:r>
      <w:r>
        <w:rPr>
          <w:rFonts w:hint="eastAsia" w:ascii="宋体" w:hAnsi="宋体" w:eastAsia="宋体" w:cs="宋体"/>
          <w:b/>
          <w:bCs/>
          <w:sz w:val="21"/>
          <w:szCs w:val="21"/>
          <w:highlight w:val="none"/>
        </w:rPr>
        <w:t>有关证明文件。</w:t>
      </w:r>
    </w:p>
    <w:p w14:paraId="561C1C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微软雅黑" w:hAnsi="微软雅黑" w:eastAsia="微软雅黑" w:cs="微软雅黑"/>
          <w:sz w:val="21"/>
          <w:szCs w:val="21"/>
          <w:highlight w:val="none"/>
          <w:lang w:val="en-US" w:eastAsia="zh-CN"/>
        </w:rPr>
        <w:t>①</w:t>
      </w:r>
      <w:r>
        <w:rPr>
          <w:rFonts w:hint="eastAsia" w:ascii="宋体" w:hAnsi="宋体" w:eastAsia="宋体" w:cs="宋体"/>
          <w:sz w:val="21"/>
          <w:szCs w:val="21"/>
          <w:highlight w:val="none"/>
          <w:lang w:val="en-US" w:eastAsia="zh-CN"/>
        </w:rPr>
        <w:t>供应商应对其提供的产品出具《关于符合本国产品标准的声明函》或财政部会同有关部门规定的有关证明文件。出具符合要求的《声明函》或有关证明文件的，该产品视为本国产品。</w:t>
      </w:r>
    </w:p>
    <w:p w14:paraId="5B5AA0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微软雅黑" w:hAnsi="微软雅黑" w:eastAsia="微软雅黑" w:cs="微软雅黑"/>
          <w:sz w:val="21"/>
          <w:szCs w:val="21"/>
          <w:highlight w:val="none"/>
          <w:lang w:val="en-US" w:eastAsia="zh-CN"/>
        </w:rPr>
        <w:t>②</w:t>
      </w:r>
      <w:r>
        <w:rPr>
          <w:rFonts w:hint="eastAsia" w:ascii="宋体" w:hAnsi="宋体" w:eastAsia="宋体" w:cs="宋体"/>
          <w:sz w:val="21"/>
          <w:szCs w:val="21"/>
          <w:highlight w:val="none"/>
          <w:lang w:val="en-US" w:eastAsia="zh-CN"/>
        </w:rPr>
        <w:t>对供应商所出具的《关于符合本国产品标准的声明函》（以下简称《声明函》）的完整性、准确性进行审查的要求，评审中发现《声明函》内容含义不明确、同类事项与投标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73BB70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微软雅黑" w:hAnsi="微软雅黑" w:eastAsia="微软雅黑" w:cs="微软雅黑"/>
          <w:sz w:val="21"/>
          <w:szCs w:val="21"/>
          <w:highlight w:val="none"/>
          <w:lang w:val="en-US" w:eastAsia="zh-CN"/>
        </w:rPr>
        <w:t>③</w:t>
      </w:r>
      <w:r>
        <w:rPr>
          <w:rFonts w:hint="eastAsia" w:ascii="宋体" w:hAnsi="宋体" w:eastAsia="宋体" w:cs="宋体"/>
          <w:sz w:val="21"/>
          <w:szCs w:val="21"/>
          <w:highlight w:val="none"/>
        </w:rPr>
        <w:t>供应商提供虚假《声明函》谋取中标、成交的，依照《中华人民共和国政府采购法》等法律法规规定追究相应责任。</w:t>
      </w:r>
    </w:p>
    <w:p w14:paraId="30ACF68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微软雅黑" w:hAnsi="微软雅黑" w:eastAsia="微软雅黑" w:cs="微软雅黑"/>
          <w:sz w:val="21"/>
          <w:szCs w:val="21"/>
          <w:highlight w:val="none"/>
          <w:lang w:val="en-US" w:eastAsia="zh-CN"/>
        </w:rPr>
        <w:t>④</w:t>
      </w:r>
      <w:r>
        <w:rPr>
          <w:rFonts w:hint="eastAsia" w:ascii="宋体" w:hAnsi="宋体" w:eastAsia="宋体" w:cs="宋体"/>
          <w:sz w:val="21"/>
          <w:szCs w:val="21"/>
          <w:highlight w:val="none"/>
        </w:rPr>
        <w:t>采购人、采购代理机构应当随中标、成交结果同时公告中标、成交供应商提供的《声明函》或有关证明文件。</w:t>
      </w:r>
    </w:p>
    <w:p w14:paraId="0ADBBE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highlight w:val="none"/>
          <w:lang w:val="en-US" w:eastAsia="zh-CN"/>
        </w:rPr>
      </w:pPr>
      <w:r>
        <w:rPr>
          <w:rFonts w:hint="eastAsia" w:ascii="宋体" w:hAnsi="宋体" w:cs="宋体"/>
          <w:b/>
          <w:bCs/>
          <w:kern w:val="2"/>
          <w:sz w:val="21"/>
          <w:szCs w:val="21"/>
          <w:highlight w:val="none"/>
          <w:lang w:val="en-US" w:eastAsia="zh-CN" w:bidi="ar-SA"/>
        </w:rPr>
        <w:t>2.5.5</w:t>
      </w:r>
      <w:r>
        <w:rPr>
          <w:rFonts w:hint="eastAsia" w:ascii="宋体" w:hAnsi="宋体" w:eastAsia="宋体" w:cs="宋体"/>
          <w:b/>
          <w:bCs/>
          <w:sz w:val="21"/>
          <w:szCs w:val="21"/>
          <w:highlight w:val="none"/>
          <w:lang w:val="en-US" w:eastAsia="zh-CN"/>
        </w:rPr>
        <w:t>特别说明</w:t>
      </w:r>
    </w:p>
    <w:p w14:paraId="43FC3C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支持本国产品政策与支持中小企业政策</w:t>
      </w:r>
    </w:p>
    <w:p w14:paraId="51B4C6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本国产品政策实施后，政府采购活动中既有本国产品又有非本国产品参与竞争的，依法对本国产品给予价格评审优惠，对本国产品的报价给予20%的价格扣除，用扣除后的价格参与评审。</w:t>
      </w:r>
      <w:r>
        <w:rPr>
          <w:rFonts w:hint="default" w:ascii="宋体" w:hAnsi="宋体" w:eastAsia="宋体" w:cs="宋体"/>
          <w:b/>
          <w:bCs/>
          <w:sz w:val="21"/>
          <w:szCs w:val="21"/>
          <w:highlight w:val="none"/>
          <w:lang w:val="en-US" w:eastAsia="zh-CN"/>
        </w:rPr>
        <w:t>同时，若提供本国产品的供应商也符合政府采购支持中小企业政策，也按规定给与价格评审优惠。</w:t>
      </w:r>
    </w:p>
    <w:p w14:paraId="40D897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需要说明的是，相关价格评审扣除优惠，都应该在供应商报价基础上计算。例如:某一供应商的产品报价100元，其提供的产品符合本国产品标准，同时按照采购文件规定也享受对小微企业的10%的价格扣除优惠。则对其报价按规定进行两次扣除，用扣除后的价格参与评审。其参与评审的价格为100－1</w:t>
      </w:r>
      <w:r>
        <w:rPr>
          <w:rFonts w:hint="default" w:ascii="宋体" w:hAnsi="宋体" w:eastAsia="宋体" w:cs="宋体"/>
          <w:color w:val="auto"/>
          <w:sz w:val="21"/>
          <w:szCs w:val="21"/>
          <w:highlight w:val="none"/>
          <w:lang w:val="en-US" w:eastAsia="zh-CN"/>
        </w:rPr>
        <w:t>00×20%</w:t>
      </w:r>
      <w:r>
        <w:rPr>
          <w:rFonts w:hint="default" w:ascii="宋体" w:hAnsi="宋体" w:eastAsia="宋体" w:cs="宋体"/>
          <w:sz w:val="21"/>
          <w:szCs w:val="21"/>
          <w:highlight w:val="none"/>
          <w:lang w:val="en-US" w:eastAsia="zh-CN"/>
        </w:rPr>
        <w:t>－</w:t>
      </w:r>
      <w:r>
        <w:rPr>
          <w:rFonts w:hint="default" w:ascii="宋体" w:hAnsi="宋体" w:eastAsia="宋体" w:cs="宋体"/>
          <w:color w:val="auto"/>
          <w:sz w:val="21"/>
          <w:szCs w:val="21"/>
          <w:highlight w:val="none"/>
          <w:lang w:val="en-US" w:eastAsia="zh-CN"/>
        </w:rPr>
        <w:t>100×10%=70元</w:t>
      </w:r>
    </w:p>
    <w:p w14:paraId="4AE09F12">
      <w:pPr>
        <w:spacing w:line="360" w:lineRule="auto"/>
        <w:ind w:firstLine="420" w:firstLineChars="200"/>
        <w:jc w:val="left"/>
        <w:rPr>
          <w:rFonts w:hint="eastAsia" w:hAnsi="宋体"/>
          <w:sz w:val="21"/>
          <w:szCs w:val="21"/>
          <w:highlight w:val="none"/>
        </w:rPr>
      </w:pPr>
      <w:r>
        <w:rPr>
          <w:rFonts w:hint="default" w:ascii="宋体" w:hAnsi="宋体" w:eastAsia="宋体" w:cs="宋体"/>
          <w:sz w:val="21"/>
          <w:szCs w:val="21"/>
          <w:highlight w:val="none"/>
          <w:lang w:val="en-US" w:eastAsia="zh-CN"/>
        </w:rPr>
        <w:t>上述支持政策不改变最终中标、成交价格，政府采购合同仍按照中标、成交供应商的</w:t>
      </w:r>
      <w:r>
        <w:rPr>
          <w:rFonts w:hint="default" w:ascii="宋体" w:hAnsi="宋体" w:eastAsia="宋体" w:cs="宋体"/>
          <w:sz w:val="24"/>
          <w:szCs w:val="24"/>
          <w:highlight w:val="none"/>
          <w:lang w:val="en-US" w:eastAsia="zh-CN"/>
        </w:rPr>
        <w:t>报价签订</w:t>
      </w:r>
      <w:r>
        <w:rPr>
          <w:rFonts w:hint="eastAsia" w:ascii="宋体" w:hAnsi="宋体" w:eastAsia="宋体" w:cs="宋体"/>
          <w:sz w:val="24"/>
          <w:szCs w:val="24"/>
          <w:highlight w:val="none"/>
          <w:lang w:val="en-US" w:eastAsia="zh-CN"/>
        </w:rPr>
        <w:t>。</w:t>
      </w:r>
    </w:p>
    <w:p w14:paraId="22B36BF2">
      <w:pPr>
        <w:pStyle w:val="16"/>
        <w:tabs>
          <w:tab w:val="left" w:pos="2472"/>
        </w:tabs>
        <w:snapToGrid w:val="0"/>
        <w:spacing w:line="360" w:lineRule="auto"/>
        <w:rPr>
          <w:rFonts w:hAnsi="宋体"/>
          <w:b/>
          <w:bCs/>
          <w:szCs w:val="21"/>
          <w:highlight w:val="none"/>
        </w:rPr>
      </w:pPr>
      <w:r>
        <w:rPr>
          <w:rFonts w:hint="eastAsia" w:hAnsi="宋体"/>
          <w:b/>
          <w:bCs/>
          <w:szCs w:val="21"/>
          <w:highlight w:val="none"/>
        </w:rPr>
        <w:t>3. 评标程序及标准</w:t>
      </w:r>
    </w:p>
    <w:p w14:paraId="434323ED">
      <w:pPr>
        <w:pStyle w:val="16"/>
        <w:tabs>
          <w:tab w:val="left" w:pos="2472"/>
        </w:tabs>
        <w:snapToGrid w:val="0"/>
        <w:spacing w:line="360" w:lineRule="auto"/>
        <w:rPr>
          <w:rFonts w:hAnsi="宋体"/>
          <w:b/>
          <w:szCs w:val="21"/>
          <w:highlight w:val="none"/>
        </w:rPr>
      </w:pPr>
      <w:r>
        <w:rPr>
          <w:rFonts w:hint="eastAsia" w:hAnsi="宋体"/>
          <w:b/>
          <w:szCs w:val="21"/>
          <w:highlight w:val="none"/>
        </w:rPr>
        <w:t>3.1符合性评审</w:t>
      </w:r>
    </w:p>
    <w:p w14:paraId="3F9D014D">
      <w:pPr>
        <w:pStyle w:val="16"/>
        <w:tabs>
          <w:tab w:val="left" w:pos="2472"/>
        </w:tabs>
        <w:snapToGrid w:val="0"/>
        <w:spacing w:line="360" w:lineRule="auto"/>
        <w:rPr>
          <w:rFonts w:hAnsi="宋体"/>
          <w:szCs w:val="21"/>
          <w:highlight w:val="none"/>
        </w:rPr>
      </w:pPr>
      <w:r>
        <w:rPr>
          <w:rFonts w:hint="eastAsia" w:hAnsi="宋体"/>
          <w:szCs w:val="21"/>
          <w:highlight w:val="none"/>
        </w:rPr>
        <w:t>3.1.1依据招标文件的规定，评标委员会对符合资格的投标人的投标文件从有效性、完整性和对招标文件的实质性响应程度等方面进行审查，见评标方法前附表。通过符合性评审的投标人不足3家的，本项目应予废标。</w:t>
      </w:r>
    </w:p>
    <w:p w14:paraId="51C3BDA6">
      <w:pPr>
        <w:pStyle w:val="16"/>
        <w:tabs>
          <w:tab w:val="left" w:pos="2472"/>
        </w:tabs>
        <w:snapToGrid w:val="0"/>
        <w:spacing w:line="360" w:lineRule="auto"/>
        <w:rPr>
          <w:rFonts w:hAnsi="宋体"/>
          <w:szCs w:val="21"/>
          <w:highlight w:val="none"/>
        </w:rPr>
      </w:pPr>
      <w:r>
        <w:rPr>
          <w:rFonts w:hint="eastAsia" w:hAnsi="宋体"/>
          <w:szCs w:val="21"/>
          <w:highlight w:val="none"/>
        </w:rPr>
        <w:t xml:space="preserve">★3.1.2提供相同品牌产品且通过资格审查、符合性审查的不同投标人参加同一招标项目包投标的，按一家投标人计算。 </w:t>
      </w:r>
    </w:p>
    <w:p w14:paraId="53DDFB7F">
      <w:pPr>
        <w:pStyle w:val="16"/>
        <w:tabs>
          <w:tab w:val="left" w:pos="2472"/>
        </w:tabs>
        <w:snapToGrid w:val="0"/>
        <w:spacing w:line="360" w:lineRule="auto"/>
        <w:rPr>
          <w:rFonts w:hAnsi="宋体"/>
          <w:szCs w:val="21"/>
          <w:highlight w:val="none"/>
        </w:rPr>
      </w:pPr>
      <w:r>
        <w:rPr>
          <w:rFonts w:hint="eastAsia" w:hAnsi="宋体"/>
          <w:szCs w:val="21"/>
          <w:highlight w:val="none"/>
        </w:rPr>
        <w:t>★3.1.3若单个项目包为非单一产品采购项目，对于招标文件第五章规定核心产品，多家投标人提供的核心产品品牌有一项品牌相同的，按3.1.2款规定处理。</w:t>
      </w:r>
    </w:p>
    <w:p w14:paraId="7D4801A1">
      <w:pPr>
        <w:pStyle w:val="16"/>
        <w:tabs>
          <w:tab w:val="left" w:pos="2472"/>
        </w:tabs>
        <w:snapToGrid w:val="0"/>
        <w:spacing w:line="360" w:lineRule="auto"/>
        <w:rPr>
          <w:rFonts w:hAnsi="宋体"/>
          <w:szCs w:val="21"/>
          <w:highlight w:val="none"/>
        </w:rPr>
      </w:pPr>
      <w:r>
        <w:rPr>
          <w:rFonts w:hint="eastAsia" w:hAnsi="宋体"/>
          <w:szCs w:val="21"/>
          <w:highlight w:val="none"/>
        </w:rPr>
        <w:t>★3.1.4按上述条款执行后，投标人不足3家的，本项目应予废标。</w:t>
      </w:r>
    </w:p>
    <w:p w14:paraId="6911B396">
      <w:pPr>
        <w:snapToGrid w:val="0"/>
        <w:spacing w:line="360" w:lineRule="auto"/>
        <w:jc w:val="left"/>
        <w:rPr>
          <w:rFonts w:ascii="宋体" w:hAnsi="宋体"/>
          <w:b/>
          <w:szCs w:val="21"/>
          <w:highlight w:val="none"/>
        </w:rPr>
      </w:pPr>
      <w:r>
        <w:rPr>
          <w:rFonts w:hint="eastAsia" w:ascii="宋体" w:hAnsi="宋体"/>
          <w:b/>
          <w:szCs w:val="21"/>
          <w:highlight w:val="none"/>
        </w:rPr>
        <w:t>3.2详细评审</w:t>
      </w:r>
    </w:p>
    <w:p w14:paraId="6E922C53">
      <w:pPr>
        <w:pStyle w:val="16"/>
        <w:tabs>
          <w:tab w:val="left" w:pos="2472"/>
        </w:tabs>
        <w:snapToGrid w:val="0"/>
        <w:spacing w:line="360" w:lineRule="auto"/>
        <w:rPr>
          <w:rFonts w:hAnsi="宋体"/>
          <w:szCs w:val="21"/>
          <w:highlight w:val="none"/>
        </w:rPr>
      </w:pPr>
      <w:bookmarkStart w:id="236" w:name="_Toc321836408"/>
      <w:r>
        <w:rPr>
          <w:rFonts w:hint="eastAsia" w:hAnsi="宋体"/>
          <w:szCs w:val="21"/>
          <w:highlight w:val="none"/>
        </w:rPr>
        <w:t>3</w:t>
      </w:r>
      <w:r>
        <w:rPr>
          <w:rFonts w:hAnsi="宋体"/>
          <w:szCs w:val="21"/>
          <w:highlight w:val="none"/>
        </w:rPr>
        <w:t>.</w:t>
      </w:r>
      <w:r>
        <w:rPr>
          <w:rFonts w:hint="eastAsia" w:hAnsi="宋体"/>
          <w:szCs w:val="21"/>
          <w:highlight w:val="none"/>
        </w:rPr>
        <w:t>2</w:t>
      </w:r>
      <w:r>
        <w:rPr>
          <w:rFonts w:hAnsi="宋体"/>
          <w:szCs w:val="21"/>
          <w:highlight w:val="none"/>
        </w:rPr>
        <w:t>.1</w:t>
      </w:r>
      <w:bookmarkEnd w:id="236"/>
      <w:r>
        <w:rPr>
          <w:rFonts w:ascii="inherit" w:hAnsi="inherit" w:cs="宋体"/>
          <w:kern w:val="0"/>
          <w:szCs w:val="21"/>
          <w:highlight w:val="none"/>
        </w:rPr>
        <w:t>评标委员会按照招标文件中规定的评标方法和标准，对符合性审查合格的投标文件进行商务和技术评估，综合比较与评价</w:t>
      </w:r>
      <w:r>
        <w:rPr>
          <w:rFonts w:hAnsi="宋体"/>
          <w:szCs w:val="21"/>
          <w:highlight w:val="none"/>
        </w:rPr>
        <w:t>, 见评标方法前附表。</w:t>
      </w:r>
    </w:p>
    <w:p w14:paraId="2D412602">
      <w:pPr>
        <w:pStyle w:val="16"/>
        <w:tabs>
          <w:tab w:val="left" w:pos="2472"/>
        </w:tabs>
        <w:snapToGrid w:val="0"/>
        <w:spacing w:line="360" w:lineRule="auto"/>
        <w:rPr>
          <w:rFonts w:hAnsi="宋体"/>
          <w:szCs w:val="21"/>
          <w:highlight w:val="none"/>
        </w:rPr>
      </w:pPr>
      <w:r>
        <w:rPr>
          <w:rFonts w:hint="eastAsia" w:hAnsi="宋体"/>
          <w:szCs w:val="21"/>
          <w:highlight w:val="none"/>
        </w:rPr>
        <w:t>3.2</w:t>
      </w:r>
      <w:r>
        <w:rPr>
          <w:rFonts w:hAnsi="宋体"/>
          <w:szCs w:val="21"/>
          <w:highlight w:val="none"/>
        </w:rPr>
        <w:t>.2</w:t>
      </w:r>
      <w:r>
        <w:rPr>
          <w:rFonts w:hint="eastAsia" w:hAnsi="宋体"/>
          <w:szCs w:val="21"/>
          <w:highlight w:val="none"/>
        </w:rPr>
        <w:t>评标委员会各成员要依法独立评审，并对评审意见承担个人责任。对投标人的客观评分项的评分应当一致，对其他需要借助专业知识评判的主观评分项，应当严格按照评分细则公正评分。</w:t>
      </w:r>
    </w:p>
    <w:p w14:paraId="10B349D2">
      <w:pPr>
        <w:pStyle w:val="16"/>
        <w:tabs>
          <w:tab w:val="left" w:pos="2472"/>
        </w:tabs>
        <w:snapToGrid w:val="0"/>
        <w:spacing w:line="360" w:lineRule="auto"/>
        <w:rPr>
          <w:rFonts w:hAnsi="宋体"/>
          <w:szCs w:val="21"/>
          <w:highlight w:val="none"/>
        </w:rPr>
      </w:pPr>
      <w:r>
        <w:rPr>
          <w:rFonts w:hint="eastAsia" w:hAnsi="宋体"/>
          <w:szCs w:val="21"/>
          <w:highlight w:val="none"/>
        </w:rPr>
        <w:t>3.2</w:t>
      </w:r>
      <w:r>
        <w:rPr>
          <w:rFonts w:hAnsi="宋体"/>
          <w:szCs w:val="21"/>
          <w:highlight w:val="none"/>
        </w:rPr>
        <w:t>.3</w:t>
      </w:r>
      <w:r>
        <w:rPr>
          <w:rFonts w:hint="eastAsia" w:hAnsi="宋体"/>
          <w:szCs w:val="21"/>
          <w:highlight w:val="none"/>
        </w:rPr>
        <w:t>评标委员会成员对需要共同认定的事项存在争议的，按照少数服从多数的原则做出结论。持不同意见的评标委员会成员应当在评标报告上签署不同意见并说明理由，否则视为同意。</w:t>
      </w:r>
    </w:p>
    <w:p w14:paraId="28078AE1">
      <w:pPr>
        <w:pStyle w:val="16"/>
        <w:tabs>
          <w:tab w:val="left" w:pos="2472"/>
        </w:tabs>
        <w:snapToGrid w:val="0"/>
        <w:spacing w:line="360" w:lineRule="auto"/>
        <w:rPr>
          <w:rFonts w:hAnsi="宋体"/>
          <w:szCs w:val="21"/>
          <w:highlight w:val="none"/>
        </w:rPr>
      </w:pPr>
      <w:r>
        <w:rPr>
          <w:rFonts w:hint="eastAsia" w:hAnsi="宋体"/>
          <w:szCs w:val="21"/>
          <w:highlight w:val="none"/>
        </w:rPr>
        <w:t>3.2.4</w:t>
      </w:r>
      <w:r>
        <w:rPr>
          <w:rFonts w:ascii="inherit" w:hAnsi="inherit" w:cs="宋体"/>
          <w:kern w:val="0"/>
          <w:szCs w:val="21"/>
          <w:highlight w:val="none"/>
        </w:rPr>
        <w:t>投标文件报价出现前后不一致的，按照下列规定修正</w:t>
      </w:r>
      <w:r>
        <w:rPr>
          <w:rFonts w:hAnsi="宋体"/>
          <w:szCs w:val="21"/>
          <w:highlight w:val="none"/>
        </w:rPr>
        <w:t>：</w:t>
      </w:r>
    </w:p>
    <w:p w14:paraId="0AA6ED75">
      <w:pPr>
        <w:pStyle w:val="16"/>
        <w:tabs>
          <w:tab w:val="left" w:pos="2472"/>
        </w:tabs>
        <w:snapToGrid w:val="0"/>
        <w:spacing w:line="360" w:lineRule="auto"/>
        <w:ind w:firstLine="420" w:firstLineChars="200"/>
        <w:rPr>
          <w:rFonts w:hAnsi="宋体"/>
          <w:szCs w:val="21"/>
          <w:highlight w:val="none"/>
        </w:rPr>
      </w:pPr>
      <w:r>
        <w:rPr>
          <w:rFonts w:hint="eastAsia" w:hAnsi="宋体"/>
          <w:szCs w:val="21"/>
          <w:highlight w:val="none"/>
        </w:rPr>
        <w:t>（一）投标文件中开标一览表（报价表）内容与投标文件中相应内容不一致的，以开标一览表（报价表）为准；</w:t>
      </w:r>
    </w:p>
    <w:p w14:paraId="6CDBB6F5">
      <w:pPr>
        <w:pStyle w:val="16"/>
        <w:tabs>
          <w:tab w:val="left" w:pos="2472"/>
        </w:tabs>
        <w:snapToGrid w:val="0"/>
        <w:spacing w:line="360" w:lineRule="auto"/>
        <w:ind w:firstLine="420" w:firstLineChars="200"/>
        <w:rPr>
          <w:rFonts w:hAnsi="宋体"/>
          <w:szCs w:val="21"/>
          <w:highlight w:val="none"/>
        </w:rPr>
      </w:pPr>
      <w:r>
        <w:rPr>
          <w:rFonts w:hint="eastAsia" w:hAnsi="宋体"/>
          <w:szCs w:val="21"/>
          <w:highlight w:val="none"/>
        </w:rPr>
        <w:t>（二）大写金额和小写金额不一致的，以大写金额为准；</w:t>
      </w:r>
    </w:p>
    <w:p w14:paraId="4975F835">
      <w:pPr>
        <w:pStyle w:val="16"/>
        <w:tabs>
          <w:tab w:val="left" w:pos="2472"/>
        </w:tabs>
        <w:snapToGrid w:val="0"/>
        <w:spacing w:line="360" w:lineRule="auto"/>
        <w:ind w:firstLine="420" w:firstLineChars="200"/>
        <w:rPr>
          <w:rFonts w:hAnsi="宋体"/>
          <w:szCs w:val="21"/>
          <w:highlight w:val="none"/>
        </w:rPr>
      </w:pPr>
      <w:r>
        <w:rPr>
          <w:rFonts w:hint="eastAsia" w:hAnsi="宋体"/>
          <w:szCs w:val="21"/>
          <w:highlight w:val="none"/>
        </w:rPr>
        <w:t>（三）单价金额小数点或者百分比有明显错位的，以开标一览表的总价为准，并修改单价；</w:t>
      </w:r>
    </w:p>
    <w:p w14:paraId="78135DDD">
      <w:pPr>
        <w:pStyle w:val="16"/>
        <w:tabs>
          <w:tab w:val="left" w:pos="2472"/>
        </w:tabs>
        <w:snapToGrid w:val="0"/>
        <w:spacing w:line="360" w:lineRule="auto"/>
        <w:ind w:firstLine="420" w:firstLineChars="200"/>
        <w:rPr>
          <w:rFonts w:hAnsi="宋体"/>
          <w:szCs w:val="21"/>
          <w:highlight w:val="none"/>
        </w:rPr>
      </w:pPr>
      <w:r>
        <w:rPr>
          <w:rFonts w:hint="eastAsia" w:hAnsi="宋体"/>
          <w:szCs w:val="21"/>
          <w:highlight w:val="none"/>
        </w:rPr>
        <w:t>（四）总价金额与按单价汇总金额不一致的，以单价金额计算结果为准。</w:t>
      </w:r>
    </w:p>
    <w:p w14:paraId="11276FE8">
      <w:pPr>
        <w:pStyle w:val="16"/>
        <w:tabs>
          <w:tab w:val="left" w:pos="2472"/>
        </w:tabs>
        <w:snapToGrid w:val="0"/>
        <w:spacing w:line="360" w:lineRule="auto"/>
        <w:ind w:firstLine="420" w:firstLineChars="200"/>
        <w:rPr>
          <w:rFonts w:hAnsi="宋体"/>
          <w:szCs w:val="21"/>
          <w:highlight w:val="none"/>
        </w:rPr>
      </w:pPr>
      <w:r>
        <w:rPr>
          <w:rFonts w:hint="eastAsia" w:hAnsi="宋体"/>
          <w:szCs w:val="21"/>
          <w:highlight w:val="none"/>
        </w:rPr>
        <w:t>★同时出现两种以上不一致的，按照前款规定的顺序修正。修正后的报价按照本章3.2款的规定经投标人确认后产生约束力，投标人不确认的，其投标无效。</w:t>
      </w:r>
    </w:p>
    <w:p w14:paraId="5FDB3BD5">
      <w:pPr>
        <w:snapToGrid w:val="0"/>
        <w:spacing w:line="360" w:lineRule="auto"/>
        <w:jc w:val="left"/>
        <w:rPr>
          <w:rFonts w:ascii="宋体" w:hAnsi="宋体"/>
          <w:szCs w:val="21"/>
          <w:highlight w:val="none"/>
        </w:rPr>
      </w:pPr>
      <w:r>
        <w:rPr>
          <w:rFonts w:hint="eastAsia" w:ascii="宋体" w:hAnsi="宋体"/>
          <w:szCs w:val="21"/>
          <w:highlight w:val="none"/>
        </w:rPr>
        <w:t>3.2.5</w:t>
      </w:r>
      <w:r>
        <w:rPr>
          <w:rFonts w:ascii="宋体" w:hAnsi="宋体"/>
          <w:szCs w:val="21"/>
          <w:highlight w:val="none"/>
        </w:rPr>
        <w:t>价格部分</w:t>
      </w:r>
      <w:r>
        <w:rPr>
          <w:rFonts w:hint="eastAsia" w:ascii="宋体" w:hAnsi="宋体"/>
          <w:szCs w:val="21"/>
          <w:highlight w:val="none"/>
        </w:rPr>
        <w:t>（F1）</w:t>
      </w:r>
      <w:r>
        <w:rPr>
          <w:rFonts w:ascii="宋体" w:hAnsi="宋体"/>
          <w:szCs w:val="21"/>
          <w:highlight w:val="none"/>
        </w:rPr>
        <w:t>按评标方法前附表规定的</w:t>
      </w:r>
      <w:r>
        <w:rPr>
          <w:rFonts w:hint="eastAsia" w:ascii="宋体" w:hAnsi="宋体"/>
          <w:szCs w:val="21"/>
          <w:highlight w:val="none"/>
        </w:rPr>
        <w:t>投标报价计算公式，计算出各投标人价格部分得分。技术部分（F2）和商务部分（F3）得分由评标委员会成员独立评分，投标</w:t>
      </w:r>
      <w:r>
        <w:rPr>
          <w:rFonts w:hint="eastAsia" w:ascii="宋体" w:hAnsi="宋体"/>
          <w:bCs/>
          <w:szCs w:val="21"/>
          <w:highlight w:val="none"/>
        </w:rPr>
        <w:t>人各项评分因素得分为该项因素各评委评分的算术平均值。所有计算结果均保留小数点后两位</w:t>
      </w:r>
      <w:r>
        <w:rPr>
          <w:rFonts w:ascii="宋体" w:hAnsi="宋体"/>
          <w:szCs w:val="21"/>
          <w:highlight w:val="none"/>
        </w:rPr>
        <w:t>，小数点后第三位“四舍五入”。</w:t>
      </w:r>
    </w:p>
    <w:p w14:paraId="7BB5AAEC">
      <w:pPr>
        <w:snapToGrid w:val="0"/>
        <w:spacing w:line="360" w:lineRule="auto"/>
        <w:jc w:val="left"/>
        <w:rPr>
          <w:rFonts w:ascii="宋体" w:hAnsi="宋体"/>
          <w:szCs w:val="21"/>
          <w:highlight w:val="none"/>
        </w:rPr>
      </w:pPr>
      <w:r>
        <w:rPr>
          <w:rFonts w:hint="eastAsia" w:hAnsi="宋体"/>
          <w:szCs w:val="21"/>
          <w:highlight w:val="none"/>
        </w:rPr>
        <w:t>★</w:t>
      </w:r>
      <w:r>
        <w:rPr>
          <w:rFonts w:hint="eastAsia" w:ascii="宋体" w:hAnsi="宋体"/>
          <w:szCs w:val="21"/>
          <w:highlight w:val="none"/>
        </w:rPr>
        <w:t>3.2.6</w:t>
      </w:r>
      <w:r>
        <w:rPr>
          <w:rFonts w:ascii="inherit" w:hAnsi="inherit" w:cs="宋体"/>
          <w:kern w:val="0"/>
          <w:szCs w:val="21"/>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4E9D946">
      <w:pPr>
        <w:pStyle w:val="16"/>
        <w:tabs>
          <w:tab w:val="left" w:pos="2472"/>
        </w:tabs>
        <w:snapToGrid w:val="0"/>
        <w:spacing w:line="360" w:lineRule="auto"/>
        <w:rPr>
          <w:rFonts w:hAnsi="宋体"/>
          <w:szCs w:val="21"/>
          <w:highlight w:val="none"/>
        </w:rPr>
      </w:pPr>
      <w:bookmarkStart w:id="237" w:name="_Toc321836412"/>
      <w:r>
        <w:rPr>
          <w:rFonts w:hint="eastAsia" w:hAnsi="宋体"/>
          <w:b/>
          <w:bCs/>
          <w:szCs w:val="21"/>
          <w:highlight w:val="none"/>
        </w:rPr>
        <w:t>4</w:t>
      </w:r>
      <w:r>
        <w:rPr>
          <w:rFonts w:hAnsi="宋体"/>
          <w:b/>
          <w:bCs/>
          <w:szCs w:val="21"/>
          <w:highlight w:val="none"/>
        </w:rPr>
        <w:t>. 投标文件的澄清</w:t>
      </w:r>
      <w:bookmarkEnd w:id="237"/>
      <w:r>
        <w:rPr>
          <w:rFonts w:hAnsi="宋体"/>
          <w:b/>
          <w:bCs/>
          <w:szCs w:val="21"/>
          <w:highlight w:val="none"/>
        </w:rPr>
        <w:t xml:space="preserve"> </w:t>
      </w:r>
    </w:p>
    <w:p w14:paraId="21166403">
      <w:pPr>
        <w:snapToGrid w:val="0"/>
        <w:spacing w:line="360" w:lineRule="auto"/>
        <w:jc w:val="left"/>
        <w:rPr>
          <w:rFonts w:ascii="宋体" w:hAnsi="宋体"/>
          <w:szCs w:val="21"/>
          <w:highlight w:val="none"/>
        </w:rPr>
      </w:pPr>
      <w:r>
        <w:rPr>
          <w:rFonts w:hint="eastAsia" w:ascii="宋体" w:hAnsi="宋体"/>
          <w:szCs w:val="21"/>
          <w:highlight w:val="none"/>
        </w:rPr>
        <w:t>4</w:t>
      </w:r>
      <w:r>
        <w:rPr>
          <w:rFonts w:ascii="宋体" w:hAnsi="宋体"/>
          <w:szCs w:val="21"/>
          <w:highlight w:val="none"/>
        </w:rPr>
        <w:t>.1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399D2483">
      <w:pPr>
        <w:snapToGrid w:val="0"/>
        <w:spacing w:line="360" w:lineRule="auto"/>
        <w:jc w:val="left"/>
        <w:rPr>
          <w:rFonts w:ascii="宋体" w:hAnsi="宋体"/>
          <w:szCs w:val="21"/>
          <w:highlight w:val="none"/>
        </w:rPr>
      </w:pPr>
      <w:r>
        <w:rPr>
          <w:rFonts w:hint="eastAsia" w:ascii="宋体" w:hAnsi="宋体"/>
          <w:szCs w:val="21"/>
          <w:highlight w:val="none"/>
        </w:rPr>
        <w:t>4</w:t>
      </w:r>
      <w:r>
        <w:rPr>
          <w:rFonts w:ascii="宋体" w:hAnsi="宋体"/>
          <w:szCs w:val="21"/>
          <w:highlight w:val="none"/>
        </w:rPr>
        <w:t>.2 投标人的澄清、说明应当采用书面形式，由法定代表人或其授权的代表签字，</w:t>
      </w:r>
      <w:r>
        <w:rPr>
          <w:rFonts w:hint="eastAsia" w:ascii="宋体" w:hAnsi="宋体"/>
          <w:szCs w:val="21"/>
          <w:highlight w:val="none"/>
        </w:rPr>
        <w:t>澄清事项不得超出投标文件的范围</w:t>
      </w:r>
      <w:r>
        <w:rPr>
          <w:rFonts w:ascii="宋体" w:hAnsi="宋体"/>
          <w:szCs w:val="21"/>
          <w:highlight w:val="none"/>
        </w:rPr>
        <w:t>并不得改变投标文件的实质性内容（算术性错误修正的除外）。投标人的书面澄清、说明属于投标文件的组成部分。</w:t>
      </w:r>
    </w:p>
    <w:p w14:paraId="0FEA86D0">
      <w:pPr>
        <w:snapToGrid w:val="0"/>
        <w:spacing w:line="360" w:lineRule="auto"/>
        <w:jc w:val="left"/>
        <w:rPr>
          <w:rFonts w:ascii="宋体" w:hAnsi="宋体"/>
          <w:szCs w:val="21"/>
          <w:highlight w:val="none"/>
        </w:rPr>
      </w:pPr>
      <w:r>
        <w:rPr>
          <w:rFonts w:hint="eastAsia" w:ascii="宋体" w:hAnsi="宋体"/>
          <w:szCs w:val="21"/>
          <w:highlight w:val="none"/>
        </w:rPr>
        <w:t>4</w:t>
      </w:r>
      <w:r>
        <w:rPr>
          <w:rFonts w:ascii="宋体" w:hAnsi="宋体"/>
          <w:szCs w:val="21"/>
          <w:highlight w:val="none"/>
        </w:rPr>
        <w:t>.3 评标委员会对投标人提交的澄清、说明有疑问的，可以要求投标人进一步澄清、说明。</w:t>
      </w:r>
    </w:p>
    <w:p w14:paraId="017A102F">
      <w:pPr>
        <w:pStyle w:val="16"/>
        <w:tabs>
          <w:tab w:val="left" w:pos="2472"/>
        </w:tabs>
        <w:snapToGrid w:val="0"/>
        <w:spacing w:line="360" w:lineRule="auto"/>
        <w:rPr>
          <w:rFonts w:hAnsi="宋体"/>
          <w:szCs w:val="21"/>
          <w:highlight w:val="none"/>
        </w:rPr>
      </w:pPr>
      <w:bookmarkStart w:id="238" w:name="_Toc321836413"/>
      <w:r>
        <w:rPr>
          <w:rFonts w:hint="eastAsia" w:hAnsi="宋体"/>
          <w:b/>
          <w:bCs/>
          <w:szCs w:val="21"/>
          <w:highlight w:val="none"/>
        </w:rPr>
        <w:t>5</w:t>
      </w:r>
      <w:r>
        <w:rPr>
          <w:rFonts w:hAnsi="宋体"/>
          <w:b/>
          <w:bCs/>
          <w:szCs w:val="21"/>
          <w:highlight w:val="none"/>
        </w:rPr>
        <w:t>.评标结果</w:t>
      </w:r>
      <w:bookmarkEnd w:id="238"/>
    </w:p>
    <w:p w14:paraId="31533E62">
      <w:pPr>
        <w:snapToGrid w:val="0"/>
        <w:spacing w:line="360" w:lineRule="auto"/>
        <w:jc w:val="left"/>
        <w:rPr>
          <w:rFonts w:ascii="宋体" w:hAnsi="宋体"/>
          <w:szCs w:val="21"/>
          <w:highlight w:val="none"/>
        </w:rPr>
      </w:pPr>
      <w:r>
        <w:rPr>
          <w:rFonts w:hint="eastAsia" w:ascii="宋体" w:hAnsi="宋体"/>
          <w:szCs w:val="21"/>
          <w:highlight w:val="none"/>
        </w:rPr>
        <w:t>5</w:t>
      </w:r>
      <w:r>
        <w:rPr>
          <w:rFonts w:ascii="宋体" w:hAnsi="宋体"/>
          <w:szCs w:val="21"/>
          <w:highlight w:val="none"/>
        </w:rPr>
        <w:t>.1</w:t>
      </w:r>
      <w:r>
        <w:rPr>
          <w:rFonts w:hint="eastAsia" w:ascii="宋体" w:hAnsi="宋体"/>
          <w:szCs w:val="21"/>
          <w:highlight w:val="none"/>
        </w:rPr>
        <w:t>评标委员会按最终得分由高到低顺序推荐3名中标候选人，并提出书面评标报告</w:t>
      </w:r>
      <w:r>
        <w:rPr>
          <w:rFonts w:ascii="宋体" w:hAnsi="宋体"/>
          <w:szCs w:val="21"/>
          <w:highlight w:val="none"/>
        </w:rPr>
        <w:t>。</w:t>
      </w:r>
    </w:p>
    <w:p w14:paraId="46F2ABB3">
      <w:pPr>
        <w:snapToGrid w:val="0"/>
        <w:spacing w:line="360" w:lineRule="auto"/>
        <w:jc w:val="left"/>
        <w:rPr>
          <w:rFonts w:ascii="宋体" w:hAnsi="宋体"/>
          <w:szCs w:val="21"/>
          <w:highlight w:val="none"/>
        </w:rPr>
      </w:pPr>
      <w:r>
        <w:rPr>
          <w:rFonts w:hint="eastAsia" w:ascii="宋体" w:hAnsi="宋体"/>
          <w:szCs w:val="21"/>
          <w:highlight w:val="none"/>
        </w:rPr>
        <w:t>5</w:t>
      </w:r>
      <w:r>
        <w:rPr>
          <w:rFonts w:ascii="宋体" w:hAnsi="宋体"/>
          <w:szCs w:val="21"/>
          <w:highlight w:val="none"/>
        </w:rPr>
        <w:t>.2 采购人根据评标委员会提出的书面评标报告和推荐的中标候选人名单，确定中标人。</w:t>
      </w:r>
    </w:p>
    <w:p w14:paraId="764E109E">
      <w:pPr>
        <w:snapToGrid w:val="0"/>
        <w:spacing w:line="360" w:lineRule="auto"/>
        <w:jc w:val="left"/>
        <w:rPr>
          <w:rFonts w:ascii="宋体" w:hAnsi="宋体"/>
          <w:szCs w:val="21"/>
          <w:highlight w:val="none"/>
        </w:rPr>
      </w:pPr>
      <w:r>
        <w:rPr>
          <w:rFonts w:hint="eastAsia" w:ascii="宋体" w:hAnsi="宋体"/>
          <w:szCs w:val="21"/>
          <w:highlight w:val="none"/>
        </w:rPr>
        <w:t>5.3提供相同品牌产品的不同投标人，评审后得分最高的同品牌投标人获得中标人推荐资格；评审得分相同的，评标委员会将依次按价格部分得分高优先、技术部分得分高优先、商务部分得分高优先的顺序确定；所有得分均相等的，主要技术指标高优先、质保期长优先、交货时间短优先、故障到达时间短优先的顺序确定一个投标人获得中标人推荐资格，其他同品牌投标人不作为中标候选人。</w:t>
      </w:r>
    </w:p>
    <w:p w14:paraId="27130A5F">
      <w:pPr>
        <w:snapToGrid w:val="0"/>
        <w:spacing w:line="360" w:lineRule="auto"/>
        <w:jc w:val="left"/>
        <w:rPr>
          <w:rFonts w:ascii="宋体" w:hAnsi="宋体"/>
          <w:szCs w:val="21"/>
          <w:highlight w:val="none"/>
        </w:rPr>
      </w:pPr>
      <w:r>
        <w:rPr>
          <w:rFonts w:hint="eastAsia" w:ascii="宋体" w:hAnsi="宋体"/>
          <w:szCs w:val="21"/>
          <w:highlight w:val="none"/>
        </w:rPr>
        <w:t>5.4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sectPr>
      <w:footerReference r:id="rId10" w:type="default"/>
      <w:pgSz w:w="11906" w:h="16838"/>
      <w:pgMar w:top="1134" w:right="1276" w:bottom="1134" w:left="1276" w:header="720" w:footer="720" w:gutter="0"/>
      <w:pgBorders>
        <w:top w:val="none" w:sz="0" w:space="0"/>
        <w:left w:val="none" w:sz="0" w:space="0"/>
        <w:bottom w:val="none" w:sz="0" w:space="0"/>
        <w:right w:val="none" w:sz="0" w:space="0"/>
      </w:pgBorders>
      <w:pgNumType w:fmt="decimal"/>
      <w:cols w:space="720" w:num="1"/>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roman"/>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entury Gothic">
    <w:panose1 w:val="020B0502020202020204"/>
    <w:charset w:val="00"/>
    <w:family w:val="swiss"/>
    <w:pitch w:val="default"/>
    <w:sig w:usb0="00000287" w:usb1="00000000" w:usb2="00000000" w:usb3="00000000" w:csb0="2000009F" w:csb1="DFD70000"/>
  </w:font>
  <w:font w:name="MetaPlusNormal-Caps">
    <w:altName w:val="宋体"/>
    <w:panose1 w:val="00000000000000000000"/>
    <w:charset w:val="86"/>
    <w:family w:val="swiss"/>
    <w:pitch w:val="default"/>
    <w:sig w:usb0="00000000" w:usb1="00000000" w:usb2="00000010" w:usb3="00000000" w:csb0="00040000" w:csb1="00000000"/>
  </w:font>
  <w:font w:name="Helvetica">
    <w:altName w:val="Arial"/>
    <w:panose1 w:val="00000000000000000000"/>
    <w:charset w:val="00"/>
    <w:family w:val="swiss"/>
    <w:pitch w:val="default"/>
    <w:sig w:usb0="00000000" w:usb1="00000000" w:usb2="00000000" w:usb3="00000000" w:csb0="00000000" w:csb1="00000000"/>
  </w:font>
  <w:font w:name="汉仪大黑简K艵.">
    <w:altName w:val="黑体"/>
    <w:panose1 w:val="00000000000000000000"/>
    <w:charset w:val="86"/>
    <w:family w:val="swiss"/>
    <w:pitch w:val="default"/>
    <w:sig w:usb0="00000000" w:usb1="00000000" w:usb2="00000010" w:usb3="00000000" w:csb0="00040000" w:csb1="00000000"/>
  </w:font>
  <w:font w:name="Akzidenz Grotesk BQ">
    <w:altName w:val="微软雅黑"/>
    <w:panose1 w:val="00000000000000000000"/>
    <w:charset w:val="00"/>
    <w:family w:val="swiss"/>
    <w:pitch w:val="default"/>
    <w:sig w:usb0="00000000" w:usb1="00000000" w:usb2="00000010" w:usb3="00000000" w:csb0="00040001" w:csb1="00000000"/>
  </w:font>
  <w:font w:name="RotisSansSerif">
    <w:altName w:val="Segoe Print"/>
    <w:panose1 w:val="00000000000000000000"/>
    <w:charset w:val="00"/>
    <w:family w:val="swiss"/>
    <w:pitch w:val="default"/>
    <w:sig w:usb0="00000000" w:usb1="00000000" w:usb2="00000000" w:usb3="00000000" w:csb0="00000093"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03" w:usb1="288F0000" w:usb2="00000006" w:usb3="00000000" w:csb0="00040001" w:csb1="00000000"/>
  </w:font>
  <w:font w:name="MicrosoftYaHei">
    <w:altName w:val="宋体"/>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inherit">
    <w:altName w:val="微软雅黑"/>
    <w:panose1 w:val="00000000000000000000"/>
    <w:charset w:val="00"/>
    <w:family w:val="roman"/>
    <w:pitch w:val="default"/>
    <w:sig w:usb0="00000000" w:usb1="00000000" w:usb2="00000000" w:usb3="00000000" w:csb0="00040001" w:csb1="00000000"/>
  </w:font>
  <w:font w:name="汉仪书宋二S">
    <w:altName w:val="宋体"/>
    <w:panose1 w:val="00000000000000000000"/>
    <w:charset w:val="86"/>
    <w:family w:val="auto"/>
    <w:pitch w:val="default"/>
    <w:sig w:usb0="00000000" w:usb1="00000000" w:usb2="00000016" w:usb3="00000000" w:csb0="00040000" w:csb1="00000000"/>
  </w:font>
  <w:font w:name="Malgun Gothic Semilight">
    <w:panose1 w:val="020B0502040204020203"/>
    <w:charset w:val="86"/>
    <w:family w:val="swiss"/>
    <w:pitch w:val="default"/>
    <w:sig w:usb0="900002AF" w:usb1="01D77CFB" w:usb2="00000012" w:usb3="00000000" w:csb0="203E01BD" w:csb1="D7FF0000"/>
  </w:font>
  <w:font w:name="Segoe UI Emoji">
    <w:panose1 w:val="020B0502040204020203"/>
    <w:charset w:val="00"/>
    <w:family w:val="auto"/>
    <w:pitch w:val="default"/>
    <w:sig w:usb0="00000001"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74B73">
    <w:pPr>
      <w:pStyle w:val="20"/>
      <w:ind w:right="360"/>
      <w:jc w:val="both"/>
    </w:pPr>
  </w:p>
  <w:p w14:paraId="4816A0EA">
    <w:pPr>
      <w:pStyle w:val="20"/>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140E6">
    <w:pPr>
      <w:pStyle w:val="20"/>
      <w:framePr w:wrap="around" w:vAnchor="text" w:hAnchor="margin" w:xAlign="center" w:y="1"/>
      <w:rPr>
        <w:rStyle w:val="35"/>
      </w:rPr>
    </w:pPr>
    <w:r>
      <w:fldChar w:fldCharType="begin"/>
    </w:r>
    <w:r>
      <w:rPr>
        <w:rStyle w:val="35"/>
      </w:rPr>
      <w:instrText xml:space="preserve">PAGE  </w:instrText>
    </w:r>
    <w:r>
      <w:fldChar w:fldCharType="separate"/>
    </w:r>
    <w:r>
      <w:rPr>
        <w:rStyle w:val="35"/>
      </w:rPr>
      <w:t>88</w:t>
    </w:r>
    <w:r>
      <w:fldChar w:fldCharType="end"/>
    </w:r>
  </w:p>
  <w:p w14:paraId="7956A9AF">
    <w:pPr>
      <w:pStyle w:val="20"/>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wps:spPr>
                    <wps:txbx>
                      <w:txbxContent>
                        <w:p w14:paraId="72044F77">
                          <w:pPr>
                            <w:pStyle w:val="20"/>
                            <w:rPr>
                              <w:rStyle w:val="35"/>
                              <w:sz w:val="21"/>
                            </w:rPr>
                          </w:pPr>
                          <w:r>
                            <w:rPr>
                              <w:sz w:val="21"/>
                            </w:rPr>
                            <w:fldChar w:fldCharType="begin"/>
                          </w:r>
                          <w:r>
                            <w:rPr>
                              <w:rStyle w:val="35"/>
                              <w:sz w:val="21"/>
                            </w:rPr>
                            <w:instrText xml:space="preserve">Page</w:instrText>
                          </w:r>
                          <w:r>
                            <w:rPr>
                              <w:sz w:val="21"/>
                            </w:rPr>
                            <w:fldChar w:fldCharType="separate"/>
                          </w:r>
                          <w:r>
                            <w:rPr>
                              <w:rStyle w:val="35"/>
                              <w:sz w:val="21"/>
                            </w:rPr>
                            <w:t>88</w:t>
                          </w:r>
                          <w:r>
                            <w:rPr>
                              <w:sz w:val="21"/>
                            </w:rPr>
                            <w:fldChar w:fldCharType="end"/>
                          </w:r>
                        </w:p>
                      </w:txbxContent>
                    </wps:txbx>
                    <wps:bodyPr wrap="square" lIns="0" tIns="0" rIns="0" bIns="0" upright="1"/>
                  </wps:wsp>
                </a:graphicData>
              </a:graphic>
            </wp:anchor>
          </w:drawing>
        </mc:Choice>
        <mc:Fallback>
          <w:pict>
            <v:shape id="_x0000_s1026"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G0n7CvTAAAAAwEAAA8AAAAAAAAAAQAgAAAAIgAAAGRycy9kb3ducmV2LnhtbFBL&#10;AQIUABQAAAAIAIdO4kD66EbowgEAAH4DAAAOAAAAAAAAAAEAIAAAACIBAABkcnMvZTJvRG9jLnht&#10;bFBLBQYAAAAABgAGAFkBAABWBQAAAAA=&#10;">
              <v:fill on="f" focussize="0,0"/>
              <v:stroke on="f"/>
              <v:imagedata o:title=""/>
              <o:lock v:ext="edit" aspectratio="f"/>
              <v:textbox inset="0mm,0mm,0mm,0mm">
                <w:txbxContent>
                  <w:p w14:paraId="72044F77">
                    <w:pPr>
                      <w:pStyle w:val="20"/>
                      <w:rPr>
                        <w:rStyle w:val="35"/>
                        <w:sz w:val="21"/>
                      </w:rPr>
                    </w:pPr>
                    <w:r>
                      <w:rPr>
                        <w:sz w:val="21"/>
                      </w:rPr>
                      <w:fldChar w:fldCharType="begin"/>
                    </w:r>
                    <w:r>
                      <w:rPr>
                        <w:rStyle w:val="35"/>
                        <w:sz w:val="21"/>
                      </w:rPr>
                      <w:instrText xml:space="preserve">Page</w:instrText>
                    </w:r>
                    <w:r>
                      <w:rPr>
                        <w:sz w:val="21"/>
                      </w:rPr>
                      <w:fldChar w:fldCharType="separate"/>
                    </w:r>
                    <w:r>
                      <w:rPr>
                        <w:rStyle w:val="35"/>
                        <w:sz w:val="21"/>
                      </w:rPr>
                      <w:t>88</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896C5">
    <w:pPr>
      <w:pStyle w:val="20"/>
      <w:jc w:val="right"/>
    </w:pPr>
  </w:p>
  <w:p w14:paraId="583F77AF">
    <w:pPr>
      <w:pStyle w:val="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31325">
    <w:pPr>
      <w:pStyle w:val="20"/>
      <w:ind w:right="360"/>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74771C">
                          <w:pPr>
                            <w:pStyle w:val="20"/>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E74771C">
                    <w:pPr>
                      <w:pStyle w:val="20"/>
                    </w:pPr>
                    <w:r>
                      <w:fldChar w:fldCharType="begin"/>
                    </w:r>
                    <w:r>
                      <w:instrText xml:space="preserve"> PAGE  \* MERGEFORMAT </w:instrText>
                    </w:r>
                    <w:r>
                      <w:fldChar w:fldCharType="separate"/>
                    </w:r>
                    <w:r>
                      <w:t>4</w:t>
                    </w:r>
                    <w:r>
                      <w:fldChar w:fldCharType="end"/>
                    </w:r>
                  </w:p>
                </w:txbxContent>
              </v:textbox>
            </v:shape>
          </w:pict>
        </mc:Fallback>
      </mc:AlternateContent>
    </w:r>
  </w:p>
  <w:p w14:paraId="4E541F89">
    <w:pPr>
      <w:pStyle w:val="20"/>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34758">
    <w:pPr>
      <w:pStyle w:val="20"/>
      <w:jc w:val="righ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DBFB0C">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3DBFB0C">
                    <w:pPr>
                      <w:pStyle w:val="20"/>
                    </w:pPr>
                    <w:r>
                      <w:fldChar w:fldCharType="begin"/>
                    </w:r>
                    <w:r>
                      <w:instrText xml:space="preserve"> PAGE  \* MERGEFORMAT </w:instrText>
                    </w:r>
                    <w:r>
                      <w:fldChar w:fldCharType="separate"/>
                    </w:r>
                    <w:r>
                      <w:t>1</w:t>
                    </w:r>
                    <w:r>
                      <w:fldChar w:fldCharType="end"/>
                    </w:r>
                  </w:p>
                </w:txbxContent>
              </v:textbox>
            </v:shape>
          </w:pict>
        </mc:Fallback>
      </mc:AlternateContent>
    </w:r>
  </w:p>
  <w:p w14:paraId="2D4EBC68">
    <w:pPr>
      <w:pStyle w:val="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E7B27">
    <w:pPr>
      <w:pStyle w:val="20"/>
      <w:ind w:right="360"/>
      <w:jc w:val="both"/>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617EAA">
                          <w:pPr>
                            <w:pStyle w:val="20"/>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9617EAA">
                    <w:pPr>
                      <w:pStyle w:val="20"/>
                    </w:pPr>
                    <w:r>
                      <w:fldChar w:fldCharType="begin"/>
                    </w:r>
                    <w:r>
                      <w:instrText xml:space="preserve"> PAGE  \* MERGEFORMAT </w:instrText>
                    </w:r>
                    <w:r>
                      <w:fldChar w:fldCharType="separate"/>
                    </w:r>
                    <w:r>
                      <w:t>98</w:t>
                    </w:r>
                    <w:r>
                      <w:fldChar w:fldCharType="end"/>
                    </w:r>
                  </w:p>
                </w:txbxContent>
              </v:textbox>
            </v:shape>
          </w:pict>
        </mc:Fallback>
      </mc:AlternateContent>
    </w:r>
  </w:p>
  <w:p w14:paraId="32BFF98A">
    <w:pPr>
      <w:pStyle w:val="20"/>
      <w:ind w:right="360"/>
      <w:jc w:val="both"/>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CB678">
    <w:pPr>
      <w:pStyle w:val="21"/>
      <w:jc w:val="left"/>
    </w:pPr>
    <w:r>
      <w:rPr>
        <w:rFonts w:hint="eastAsia" w:ascii="宋体" w:hAnsi="宋体"/>
        <w:sz w:val="44"/>
        <w:szCs w:val="44"/>
        <w:highlight w:val="none"/>
      </w:rPr>
      <w:drawing>
        <wp:inline distT="0" distB="0" distL="114300" distR="114300">
          <wp:extent cx="136525" cy="145415"/>
          <wp:effectExtent l="0" t="0" r="15875" b="6985"/>
          <wp:docPr id="3" name="图片 1"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透明logo"/>
                  <pic:cNvPicPr>
                    <a:picLocks noChangeAspect="1"/>
                  </pic:cNvPicPr>
                </pic:nvPicPr>
                <pic:blipFill>
                  <a:blip r:embed="rId1"/>
                  <a:stretch>
                    <a:fillRect/>
                  </a:stretch>
                </pic:blipFill>
                <pic:spPr>
                  <a:xfrm>
                    <a:off x="0" y="0"/>
                    <a:ext cx="136525" cy="145415"/>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b/>
        <w:bCs/>
        <w:sz w:val="21"/>
        <w:szCs w:val="21"/>
        <w:lang w:val="en-US" w:eastAsia="zh-CN"/>
      </w:rPr>
      <w:t xml:space="preserve">                                                 </w:t>
    </w:r>
    <w:r>
      <w:rPr>
        <w:rFonts w:hint="eastAsia"/>
        <w:b/>
        <w:bCs/>
        <w:sz w:val="21"/>
      </w:rPr>
      <w:t>招标文件</w:t>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BE354">
    <w:pPr>
      <w:pStyle w:val="21"/>
      <w:jc w:val="both"/>
      <w:rPr>
        <w:b/>
        <w:bCs/>
      </w:rPr>
    </w:pPr>
    <w:r>
      <w:rPr>
        <w:rFonts w:hint="eastAsia" w:ascii="宋体" w:hAnsi="宋体"/>
        <w:sz w:val="44"/>
        <w:szCs w:val="44"/>
        <w:highlight w:val="none"/>
      </w:rPr>
      <w:drawing>
        <wp:inline distT="0" distB="0" distL="114300" distR="114300">
          <wp:extent cx="136525" cy="145415"/>
          <wp:effectExtent l="0" t="0" r="15875" b="6985"/>
          <wp:docPr id="4" name="图片 1"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透明logo"/>
                  <pic:cNvPicPr>
                    <a:picLocks noChangeAspect="1"/>
                  </pic:cNvPicPr>
                </pic:nvPicPr>
                <pic:blipFill>
                  <a:blip r:embed="rId1"/>
                  <a:stretch>
                    <a:fillRect/>
                  </a:stretch>
                </pic:blipFill>
                <pic:spPr>
                  <a:xfrm>
                    <a:off x="0" y="0"/>
                    <a:ext cx="136525" cy="145415"/>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b/>
        <w:bCs/>
        <w:sz w:val="21"/>
        <w:szCs w:val="21"/>
        <w:lang w:val="en-US" w:eastAsia="zh-CN"/>
      </w:rPr>
      <w:t xml:space="preserve"> </w:t>
    </w:r>
    <w:r>
      <w:rPr>
        <w:rFonts w:hint="eastAsia" w:ascii="宋体"/>
        <w:lang w:val="en-GB"/>
      </w:rPr>
      <w:t xml:space="preserve">                             </w:t>
    </w:r>
    <w:r>
      <w:rPr>
        <w:rFonts w:hint="eastAsia" w:ascii="宋体"/>
      </w:rPr>
      <w:t xml:space="preserve">             </w:t>
    </w:r>
    <w:r>
      <w:rPr>
        <w:rFonts w:hint="eastAsia"/>
      </w:rPr>
      <w:t xml:space="preserve">              </w:t>
    </w:r>
    <w:r>
      <w:rPr>
        <w:rFonts w:hint="eastAsia"/>
        <w:b/>
        <w:bCs/>
        <w:sz w:val="21"/>
        <w:szCs w:val="21"/>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FFFFFFFB"/>
    <w:multiLevelType w:val="multilevel"/>
    <w:tmpl w:val="FFFFFFFB"/>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9"/>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7">
    <w:nsid w:val="1482CC60"/>
    <w:multiLevelType w:val="singleLevel"/>
    <w:tmpl w:val="1482CC60"/>
    <w:lvl w:ilvl="0" w:tentative="0">
      <w:start w:val="1"/>
      <w:numFmt w:val="decimal"/>
      <w:suff w:val="nothing"/>
      <w:lvlText w:val="（%1）"/>
      <w:lvlJc w:val="left"/>
    </w:lvl>
  </w:abstractNum>
  <w:abstractNum w:abstractNumId="8">
    <w:nsid w:val="18A11C85"/>
    <w:multiLevelType w:val="multilevel"/>
    <w:tmpl w:val="18A11C85"/>
    <w:lvl w:ilvl="0" w:tentative="0">
      <w:start w:val="1"/>
      <w:numFmt w:val="decimal"/>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1D84D971"/>
    <w:multiLevelType w:val="singleLevel"/>
    <w:tmpl w:val="1D84D971"/>
    <w:lvl w:ilvl="0" w:tentative="0">
      <w:start w:val="3"/>
      <w:numFmt w:val="decimal"/>
      <w:suff w:val="nothing"/>
      <w:lvlText w:val="%1）"/>
      <w:lvlJc w:val="left"/>
    </w:lvl>
  </w:abstractNum>
  <w:abstractNum w:abstractNumId="10">
    <w:nsid w:val="4AA63680"/>
    <w:multiLevelType w:val="singleLevel"/>
    <w:tmpl w:val="4AA63680"/>
    <w:lvl w:ilvl="0" w:tentative="0">
      <w:start w:val="1"/>
      <w:numFmt w:val="chineseCounting"/>
      <w:suff w:val="nothing"/>
      <w:lvlText w:val="%1、"/>
      <w:lvlJc w:val="left"/>
      <w:rPr>
        <w:rFonts w:hint="eastAsia"/>
      </w:rPr>
    </w:lvl>
  </w:abstractNum>
  <w:abstractNum w:abstractNumId="11">
    <w:nsid w:val="4BA2390B"/>
    <w:multiLevelType w:val="multilevel"/>
    <w:tmpl w:val="4BA2390B"/>
    <w:lvl w:ilvl="0" w:tentative="0">
      <w:start w:val="1"/>
      <w:numFmt w:val="japaneseCounting"/>
      <w:lvlText w:val="第%1章"/>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66E3E80"/>
    <w:multiLevelType w:val="singleLevel"/>
    <w:tmpl w:val="566E3E80"/>
    <w:lvl w:ilvl="0" w:tentative="0">
      <w:start w:val="1"/>
      <w:numFmt w:val="decimal"/>
      <w:pStyle w:val="132"/>
      <w:suff w:val="nothing"/>
      <w:lvlText w:val="%1、"/>
      <w:lvlJc w:val="left"/>
    </w:lvl>
  </w:abstractNum>
  <w:abstractNum w:abstractNumId="13">
    <w:nsid w:val="60D486D9"/>
    <w:multiLevelType w:val="singleLevel"/>
    <w:tmpl w:val="60D486D9"/>
    <w:lvl w:ilvl="0" w:tentative="0">
      <w:start w:val="1"/>
      <w:numFmt w:val="decimal"/>
      <w:lvlText w:val="(%1)"/>
      <w:lvlJc w:val="left"/>
      <w:pPr>
        <w:tabs>
          <w:tab w:val="left" w:pos="312"/>
        </w:tabs>
      </w:pPr>
      <w:rPr>
        <w:rFonts w:hint="default" w:ascii="宋体" w:hAnsi="宋体" w:eastAsia="宋体" w:cs="宋体"/>
      </w:rPr>
    </w:lvl>
  </w:abstractNum>
  <w:abstractNum w:abstractNumId="14">
    <w:nsid w:val="63852405"/>
    <w:multiLevelType w:val="multilevel"/>
    <w:tmpl w:val="63852405"/>
    <w:lvl w:ilvl="0" w:tentative="0">
      <w:start w:val="1"/>
      <w:numFmt w:val="decimal"/>
      <w:lvlText w:val="%1."/>
      <w:lvlJc w:val="left"/>
      <w:pPr>
        <w:tabs>
          <w:tab w:val="left" w:pos="779"/>
        </w:tabs>
        <w:ind w:left="779" w:hanging="420"/>
      </w:pPr>
    </w:lvl>
    <w:lvl w:ilvl="1" w:tentative="0">
      <w:start w:val="1"/>
      <w:numFmt w:val="lowerLetter"/>
      <w:pStyle w:val="133"/>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15">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7A0F6431"/>
    <w:multiLevelType w:val="singleLevel"/>
    <w:tmpl w:val="7A0F6431"/>
    <w:lvl w:ilvl="0" w:tentative="0">
      <w:start w:val="1"/>
      <w:numFmt w:val="decimal"/>
      <w:suff w:val="space"/>
      <w:lvlText w:val="%1."/>
      <w:lvlJc w:val="left"/>
    </w:lvl>
  </w:abstractNum>
  <w:num w:numId="1">
    <w:abstractNumId w:val="6"/>
  </w:num>
  <w:num w:numId="2">
    <w:abstractNumId w:val="12"/>
  </w:num>
  <w:num w:numId="3">
    <w:abstractNumId w:val="14"/>
  </w:num>
  <w:num w:numId="4">
    <w:abstractNumId w:val="11"/>
  </w:num>
  <w:num w:numId="5">
    <w:abstractNumId w:val="16"/>
  </w:num>
  <w:num w:numId="6">
    <w:abstractNumId w:val="1"/>
  </w:num>
  <w:num w:numId="7">
    <w:abstractNumId w:val="5"/>
  </w:num>
  <w:num w:numId="8">
    <w:abstractNumId w:val="3"/>
  </w:num>
  <w:num w:numId="9">
    <w:abstractNumId w:val="2"/>
  </w:num>
  <w:num w:numId="10">
    <w:abstractNumId w:val="0"/>
  </w:num>
  <w:num w:numId="11">
    <w:abstractNumId w:val="4"/>
  </w:num>
  <w:num w:numId="12">
    <w:abstractNumId w:val="15"/>
  </w:num>
  <w:num w:numId="13">
    <w:abstractNumId w:val="9"/>
  </w:num>
  <w:num w:numId="14">
    <w:abstractNumId w:val="8"/>
  </w:num>
  <w:num w:numId="15">
    <w:abstractNumId w:val="10"/>
  </w:num>
  <w:num w:numId="16">
    <w:abstractNumId w:val="7"/>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yMWU4YmQ3OGIyODkwZTJhMWVlNTJkMGEzYzdjM2MifQ=="/>
    <w:docVar w:name="KSO_WPS_MARK_KEY" w:val="33ec0c80-33db-41c2-895c-19843bcaddbf"/>
  </w:docVars>
  <w:rsids>
    <w:rsidRoot w:val="002647EC"/>
    <w:rsid w:val="00000CA6"/>
    <w:rsid w:val="00001B50"/>
    <w:rsid w:val="00001C1C"/>
    <w:rsid w:val="00001C4B"/>
    <w:rsid w:val="00001F08"/>
    <w:rsid w:val="0000237F"/>
    <w:rsid w:val="00004095"/>
    <w:rsid w:val="0000427F"/>
    <w:rsid w:val="000048B4"/>
    <w:rsid w:val="00004999"/>
    <w:rsid w:val="000049C2"/>
    <w:rsid w:val="00004B15"/>
    <w:rsid w:val="000061F3"/>
    <w:rsid w:val="00006526"/>
    <w:rsid w:val="000109D9"/>
    <w:rsid w:val="00011084"/>
    <w:rsid w:val="00011E5C"/>
    <w:rsid w:val="00011E67"/>
    <w:rsid w:val="00012406"/>
    <w:rsid w:val="000127DF"/>
    <w:rsid w:val="00012B03"/>
    <w:rsid w:val="00012B1D"/>
    <w:rsid w:val="0001376C"/>
    <w:rsid w:val="0001416D"/>
    <w:rsid w:val="00014AE9"/>
    <w:rsid w:val="00014C89"/>
    <w:rsid w:val="00014CD9"/>
    <w:rsid w:val="00015236"/>
    <w:rsid w:val="000157C2"/>
    <w:rsid w:val="00016929"/>
    <w:rsid w:val="00017160"/>
    <w:rsid w:val="00017174"/>
    <w:rsid w:val="000176C4"/>
    <w:rsid w:val="00017C9C"/>
    <w:rsid w:val="00017DC3"/>
    <w:rsid w:val="00020431"/>
    <w:rsid w:val="000207C3"/>
    <w:rsid w:val="00020A0E"/>
    <w:rsid w:val="00020DB7"/>
    <w:rsid w:val="0002200A"/>
    <w:rsid w:val="000234A0"/>
    <w:rsid w:val="000237A5"/>
    <w:rsid w:val="00023860"/>
    <w:rsid w:val="00023FBC"/>
    <w:rsid w:val="00024FD7"/>
    <w:rsid w:val="000256B5"/>
    <w:rsid w:val="00025AC4"/>
    <w:rsid w:val="00025BA8"/>
    <w:rsid w:val="00025C37"/>
    <w:rsid w:val="0002629E"/>
    <w:rsid w:val="00026569"/>
    <w:rsid w:val="000274E3"/>
    <w:rsid w:val="0002752F"/>
    <w:rsid w:val="0002753A"/>
    <w:rsid w:val="0002758B"/>
    <w:rsid w:val="000276C4"/>
    <w:rsid w:val="00027D06"/>
    <w:rsid w:val="00027E1F"/>
    <w:rsid w:val="00030A04"/>
    <w:rsid w:val="00030EC1"/>
    <w:rsid w:val="0003130D"/>
    <w:rsid w:val="000314D2"/>
    <w:rsid w:val="0003210F"/>
    <w:rsid w:val="00032803"/>
    <w:rsid w:val="00032A9F"/>
    <w:rsid w:val="00032D5C"/>
    <w:rsid w:val="00035CCA"/>
    <w:rsid w:val="000366DC"/>
    <w:rsid w:val="000369F6"/>
    <w:rsid w:val="00036A00"/>
    <w:rsid w:val="000376EF"/>
    <w:rsid w:val="00041461"/>
    <w:rsid w:val="00041AE5"/>
    <w:rsid w:val="00043330"/>
    <w:rsid w:val="000433EE"/>
    <w:rsid w:val="0004398D"/>
    <w:rsid w:val="000448C0"/>
    <w:rsid w:val="000448E1"/>
    <w:rsid w:val="00045A07"/>
    <w:rsid w:val="00045B84"/>
    <w:rsid w:val="00045F15"/>
    <w:rsid w:val="00046568"/>
    <w:rsid w:val="000465E2"/>
    <w:rsid w:val="00046F0A"/>
    <w:rsid w:val="00047070"/>
    <w:rsid w:val="00047150"/>
    <w:rsid w:val="0004770F"/>
    <w:rsid w:val="000477EF"/>
    <w:rsid w:val="00047C59"/>
    <w:rsid w:val="00050498"/>
    <w:rsid w:val="00050AA6"/>
    <w:rsid w:val="000515E0"/>
    <w:rsid w:val="0005187F"/>
    <w:rsid w:val="00052761"/>
    <w:rsid w:val="00052821"/>
    <w:rsid w:val="00052DD4"/>
    <w:rsid w:val="000536C5"/>
    <w:rsid w:val="00053D47"/>
    <w:rsid w:val="0005482E"/>
    <w:rsid w:val="000548B1"/>
    <w:rsid w:val="000556A6"/>
    <w:rsid w:val="0005699F"/>
    <w:rsid w:val="00056E31"/>
    <w:rsid w:val="00056F2B"/>
    <w:rsid w:val="00057008"/>
    <w:rsid w:val="00057F0C"/>
    <w:rsid w:val="00060482"/>
    <w:rsid w:val="00060EF9"/>
    <w:rsid w:val="0006120B"/>
    <w:rsid w:val="00061845"/>
    <w:rsid w:val="00062E1F"/>
    <w:rsid w:val="00063CA6"/>
    <w:rsid w:val="000641EB"/>
    <w:rsid w:val="00064A94"/>
    <w:rsid w:val="00064E95"/>
    <w:rsid w:val="0006552A"/>
    <w:rsid w:val="000657A1"/>
    <w:rsid w:val="000660D1"/>
    <w:rsid w:val="00066418"/>
    <w:rsid w:val="00066439"/>
    <w:rsid w:val="00066530"/>
    <w:rsid w:val="00066602"/>
    <w:rsid w:val="000668EE"/>
    <w:rsid w:val="00066B26"/>
    <w:rsid w:val="000673EB"/>
    <w:rsid w:val="00067422"/>
    <w:rsid w:val="00067E7A"/>
    <w:rsid w:val="00070148"/>
    <w:rsid w:val="00070976"/>
    <w:rsid w:val="00070DA0"/>
    <w:rsid w:val="0007141C"/>
    <w:rsid w:val="00071651"/>
    <w:rsid w:val="000719A2"/>
    <w:rsid w:val="00071B84"/>
    <w:rsid w:val="00071FE9"/>
    <w:rsid w:val="00072C1F"/>
    <w:rsid w:val="00072D3F"/>
    <w:rsid w:val="00072F7F"/>
    <w:rsid w:val="000733C3"/>
    <w:rsid w:val="00073B26"/>
    <w:rsid w:val="000742DC"/>
    <w:rsid w:val="000744EB"/>
    <w:rsid w:val="00074796"/>
    <w:rsid w:val="00074C6C"/>
    <w:rsid w:val="00075DF9"/>
    <w:rsid w:val="00076EDB"/>
    <w:rsid w:val="00077128"/>
    <w:rsid w:val="00077480"/>
    <w:rsid w:val="00077A15"/>
    <w:rsid w:val="0008016B"/>
    <w:rsid w:val="00080AAB"/>
    <w:rsid w:val="000816CB"/>
    <w:rsid w:val="00081944"/>
    <w:rsid w:val="0008239B"/>
    <w:rsid w:val="000823C3"/>
    <w:rsid w:val="00082732"/>
    <w:rsid w:val="00082948"/>
    <w:rsid w:val="00082BB4"/>
    <w:rsid w:val="000830A4"/>
    <w:rsid w:val="0008332D"/>
    <w:rsid w:val="0008363D"/>
    <w:rsid w:val="000851FE"/>
    <w:rsid w:val="0008557E"/>
    <w:rsid w:val="00085696"/>
    <w:rsid w:val="000857B0"/>
    <w:rsid w:val="00086855"/>
    <w:rsid w:val="00086AD3"/>
    <w:rsid w:val="00086E3F"/>
    <w:rsid w:val="00086FFD"/>
    <w:rsid w:val="00087195"/>
    <w:rsid w:val="00087655"/>
    <w:rsid w:val="00090781"/>
    <w:rsid w:val="0009098F"/>
    <w:rsid w:val="000919B4"/>
    <w:rsid w:val="00091F63"/>
    <w:rsid w:val="00093237"/>
    <w:rsid w:val="00093327"/>
    <w:rsid w:val="00093576"/>
    <w:rsid w:val="0009363A"/>
    <w:rsid w:val="00093EC3"/>
    <w:rsid w:val="00093EE5"/>
    <w:rsid w:val="00094796"/>
    <w:rsid w:val="00094820"/>
    <w:rsid w:val="000950FB"/>
    <w:rsid w:val="000953B3"/>
    <w:rsid w:val="00096620"/>
    <w:rsid w:val="0009675C"/>
    <w:rsid w:val="0009757D"/>
    <w:rsid w:val="000A00E6"/>
    <w:rsid w:val="000A0D8F"/>
    <w:rsid w:val="000A1AD7"/>
    <w:rsid w:val="000A1F81"/>
    <w:rsid w:val="000A2644"/>
    <w:rsid w:val="000A26DB"/>
    <w:rsid w:val="000A2745"/>
    <w:rsid w:val="000A2B8E"/>
    <w:rsid w:val="000A2B92"/>
    <w:rsid w:val="000A3D46"/>
    <w:rsid w:val="000A421E"/>
    <w:rsid w:val="000A48FE"/>
    <w:rsid w:val="000A4ADA"/>
    <w:rsid w:val="000A51EE"/>
    <w:rsid w:val="000A544B"/>
    <w:rsid w:val="000A5651"/>
    <w:rsid w:val="000A5833"/>
    <w:rsid w:val="000A5DB5"/>
    <w:rsid w:val="000A5F55"/>
    <w:rsid w:val="000A6DE1"/>
    <w:rsid w:val="000A6E6A"/>
    <w:rsid w:val="000A7466"/>
    <w:rsid w:val="000A7532"/>
    <w:rsid w:val="000A77FB"/>
    <w:rsid w:val="000A7CFC"/>
    <w:rsid w:val="000B0B38"/>
    <w:rsid w:val="000B16E6"/>
    <w:rsid w:val="000B1AE8"/>
    <w:rsid w:val="000B1F44"/>
    <w:rsid w:val="000B1FBC"/>
    <w:rsid w:val="000B2B03"/>
    <w:rsid w:val="000B30F3"/>
    <w:rsid w:val="000B3278"/>
    <w:rsid w:val="000B3ED6"/>
    <w:rsid w:val="000B423E"/>
    <w:rsid w:val="000B4BAC"/>
    <w:rsid w:val="000B4EFD"/>
    <w:rsid w:val="000B4F17"/>
    <w:rsid w:val="000B65E5"/>
    <w:rsid w:val="000B6B5F"/>
    <w:rsid w:val="000B7B23"/>
    <w:rsid w:val="000B7B94"/>
    <w:rsid w:val="000B7BB8"/>
    <w:rsid w:val="000C0334"/>
    <w:rsid w:val="000C0A0D"/>
    <w:rsid w:val="000C2740"/>
    <w:rsid w:val="000C2E0A"/>
    <w:rsid w:val="000C2F95"/>
    <w:rsid w:val="000C305F"/>
    <w:rsid w:val="000C356E"/>
    <w:rsid w:val="000C39C4"/>
    <w:rsid w:val="000C3B0A"/>
    <w:rsid w:val="000C3F42"/>
    <w:rsid w:val="000C4274"/>
    <w:rsid w:val="000C4CC3"/>
    <w:rsid w:val="000C4E83"/>
    <w:rsid w:val="000C68E0"/>
    <w:rsid w:val="000C7047"/>
    <w:rsid w:val="000D1644"/>
    <w:rsid w:val="000D2015"/>
    <w:rsid w:val="000D2C10"/>
    <w:rsid w:val="000D2D6B"/>
    <w:rsid w:val="000D3C42"/>
    <w:rsid w:val="000D43BA"/>
    <w:rsid w:val="000D47FC"/>
    <w:rsid w:val="000D4BAB"/>
    <w:rsid w:val="000D4EC3"/>
    <w:rsid w:val="000D53D3"/>
    <w:rsid w:val="000D5CBF"/>
    <w:rsid w:val="000D5EE1"/>
    <w:rsid w:val="000D6320"/>
    <w:rsid w:val="000D72BD"/>
    <w:rsid w:val="000D7A20"/>
    <w:rsid w:val="000D7D5F"/>
    <w:rsid w:val="000E01B0"/>
    <w:rsid w:val="000E075E"/>
    <w:rsid w:val="000E0A2A"/>
    <w:rsid w:val="000E1D4A"/>
    <w:rsid w:val="000E215B"/>
    <w:rsid w:val="000E2A69"/>
    <w:rsid w:val="000E2C04"/>
    <w:rsid w:val="000E3161"/>
    <w:rsid w:val="000E33BC"/>
    <w:rsid w:val="000E3B85"/>
    <w:rsid w:val="000E437E"/>
    <w:rsid w:val="000E4838"/>
    <w:rsid w:val="000E517B"/>
    <w:rsid w:val="000E5B6E"/>
    <w:rsid w:val="000E70CA"/>
    <w:rsid w:val="000E744C"/>
    <w:rsid w:val="000F1BCB"/>
    <w:rsid w:val="000F2072"/>
    <w:rsid w:val="000F23A6"/>
    <w:rsid w:val="000F3184"/>
    <w:rsid w:val="000F35CB"/>
    <w:rsid w:val="000F36A7"/>
    <w:rsid w:val="000F3BB7"/>
    <w:rsid w:val="000F3D69"/>
    <w:rsid w:val="000F3FEA"/>
    <w:rsid w:val="000F42CA"/>
    <w:rsid w:val="000F5083"/>
    <w:rsid w:val="000F5DC6"/>
    <w:rsid w:val="000F6178"/>
    <w:rsid w:val="000F6E5C"/>
    <w:rsid w:val="000F7DFC"/>
    <w:rsid w:val="0010091A"/>
    <w:rsid w:val="00100D6C"/>
    <w:rsid w:val="00100D79"/>
    <w:rsid w:val="00100E33"/>
    <w:rsid w:val="00101518"/>
    <w:rsid w:val="001016A2"/>
    <w:rsid w:val="0010192C"/>
    <w:rsid w:val="0010225C"/>
    <w:rsid w:val="00102489"/>
    <w:rsid w:val="001024FF"/>
    <w:rsid w:val="0010291C"/>
    <w:rsid w:val="00102B12"/>
    <w:rsid w:val="00102DDE"/>
    <w:rsid w:val="00102FE7"/>
    <w:rsid w:val="001031EA"/>
    <w:rsid w:val="001033BC"/>
    <w:rsid w:val="00103485"/>
    <w:rsid w:val="001035B7"/>
    <w:rsid w:val="00103618"/>
    <w:rsid w:val="00103E7A"/>
    <w:rsid w:val="00104697"/>
    <w:rsid w:val="0010569D"/>
    <w:rsid w:val="0010589A"/>
    <w:rsid w:val="001060D8"/>
    <w:rsid w:val="00106141"/>
    <w:rsid w:val="0010618A"/>
    <w:rsid w:val="00106258"/>
    <w:rsid w:val="0010697C"/>
    <w:rsid w:val="00106B01"/>
    <w:rsid w:val="00106BCB"/>
    <w:rsid w:val="00106FBA"/>
    <w:rsid w:val="00107C7C"/>
    <w:rsid w:val="00107F33"/>
    <w:rsid w:val="001103DB"/>
    <w:rsid w:val="00110494"/>
    <w:rsid w:val="0011133A"/>
    <w:rsid w:val="0011197E"/>
    <w:rsid w:val="00111C17"/>
    <w:rsid w:val="00111E09"/>
    <w:rsid w:val="001124B7"/>
    <w:rsid w:val="00113295"/>
    <w:rsid w:val="00113A32"/>
    <w:rsid w:val="00113EF4"/>
    <w:rsid w:val="0011463B"/>
    <w:rsid w:val="001148D4"/>
    <w:rsid w:val="00114C5D"/>
    <w:rsid w:val="001153A2"/>
    <w:rsid w:val="00116467"/>
    <w:rsid w:val="00116825"/>
    <w:rsid w:val="00117925"/>
    <w:rsid w:val="00117A59"/>
    <w:rsid w:val="00120001"/>
    <w:rsid w:val="00120209"/>
    <w:rsid w:val="0012070E"/>
    <w:rsid w:val="00120FD4"/>
    <w:rsid w:val="001217E2"/>
    <w:rsid w:val="00121A67"/>
    <w:rsid w:val="00121EF3"/>
    <w:rsid w:val="00122AED"/>
    <w:rsid w:val="00122D06"/>
    <w:rsid w:val="00122D6D"/>
    <w:rsid w:val="001233F0"/>
    <w:rsid w:val="00123895"/>
    <w:rsid w:val="00124815"/>
    <w:rsid w:val="00124C5A"/>
    <w:rsid w:val="001267F6"/>
    <w:rsid w:val="00126C2D"/>
    <w:rsid w:val="00126CF4"/>
    <w:rsid w:val="00126F05"/>
    <w:rsid w:val="0013055D"/>
    <w:rsid w:val="00130CAC"/>
    <w:rsid w:val="00130CAF"/>
    <w:rsid w:val="00133005"/>
    <w:rsid w:val="00133DDC"/>
    <w:rsid w:val="00134693"/>
    <w:rsid w:val="00134C45"/>
    <w:rsid w:val="001358F1"/>
    <w:rsid w:val="001363A5"/>
    <w:rsid w:val="001364B3"/>
    <w:rsid w:val="00136D89"/>
    <w:rsid w:val="001401A2"/>
    <w:rsid w:val="00140624"/>
    <w:rsid w:val="001420A7"/>
    <w:rsid w:val="001422BE"/>
    <w:rsid w:val="001424B6"/>
    <w:rsid w:val="001425DB"/>
    <w:rsid w:val="001425FB"/>
    <w:rsid w:val="00142D3D"/>
    <w:rsid w:val="00142F50"/>
    <w:rsid w:val="001438E4"/>
    <w:rsid w:val="00143B58"/>
    <w:rsid w:val="00143D9E"/>
    <w:rsid w:val="00143F62"/>
    <w:rsid w:val="00143F67"/>
    <w:rsid w:val="00144004"/>
    <w:rsid w:val="00144CBE"/>
    <w:rsid w:val="001455AD"/>
    <w:rsid w:val="00145612"/>
    <w:rsid w:val="00146174"/>
    <w:rsid w:val="001467D4"/>
    <w:rsid w:val="00146FD3"/>
    <w:rsid w:val="00147702"/>
    <w:rsid w:val="00147987"/>
    <w:rsid w:val="00147E24"/>
    <w:rsid w:val="001505AF"/>
    <w:rsid w:val="0015145E"/>
    <w:rsid w:val="00151C18"/>
    <w:rsid w:val="001522B8"/>
    <w:rsid w:val="001522DE"/>
    <w:rsid w:val="00152310"/>
    <w:rsid w:val="001529FB"/>
    <w:rsid w:val="00153C7E"/>
    <w:rsid w:val="00153D25"/>
    <w:rsid w:val="0015416A"/>
    <w:rsid w:val="00154A59"/>
    <w:rsid w:val="00154D1B"/>
    <w:rsid w:val="0015531F"/>
    <w:rsid w:val="00155605"/>
    <w:rsid w:val="001562E1"/>
    <w:rsid w:val="0015704D"/>
    <w:rsid w:val="00157BBB"/>
    <w:rsid w:val="00160054"/>
    <w:rsid w:val="001600AF"/>
    <w:rsid w:val="001600B6"/>
    <w:rsid w:val="00160393"/>
    <w:rsid w:val="00160B3C"/>
    <w:rsid w:val="00161121"/>
    <w:rsid w:val="00162403"/>
    <w:rsid w:val="00162DF3"/>
    <w:rsid w:val="001630E2"/>
    <w:rsid w:val="00163195"/>
    <w:rsid w:val="001646F4"/>
    <w:rsid w:val="0016488C"/>
    <w:rsid w:val="00164B80"/>
    <w:rsid w:val="00164D69"/>
    <w:rsid w:val="00164D7D"/>
    <w:rsid w:val="00165F94"/>
    <w:rsid w:val="00166EE5"/>
    <w:rsid w:val="00167E7D"/>
    <w:rsid w:val="0017031D"/>
    <w:rsid w:val="00170CD4"/>
    <w:rsid w:val="00170F2C"/>
    <w:rsid w:val="0017191F"/>
    <w:rsid w:val="00171938"/>
    <w:rsid w:val="00171A8B"/>
    <w:rsid w:val="00171F7E"/>
    <w:rsid w:val="001720AC"/>
    <w:rsid w:val="001724D3"/>
    <w:rsid w:val="00172E29"/>
    <w:rsid w:val="0017335D"/>
    <w:rsid w:val="001739CF"/>
    <w:rsid w:val="001739D1"/>
    <w:rsid w:val="00174385"/>
    <w:rsid w:val="0017504F"/>
    <w:rsid w:val="001752C0"/>
    <w:rsid w:val="00175C85"/>
    <w:rsid w:val="00175D05"/>
    <w:rsid w:val="001764E1"/>
    <w:rsid w:val="001767B8"/>
    <w:rsid w:val="00176CD4"/>
    <w:rsid w:val="00176E89"/>
    <w:rsid w:val="00176EDA"/>
    <w:rsid w:val="00177E06"/>
    <w:rsid w:val="00180190"/>
    <w:rsid w:val="00180B5D"/>
    <w:rsid w:val="00182000"/>
    <w:rsid w:val="00182DE7"/>
    <w:rsid w:val="00183520"/>
    <w:rsid w:val="001842A0"/>
    <w:rsid w:val="001845B8"/>
    <w:rsid w:val="001846DF"/>
    <w:rsid w:val="00185368"/>
    <w:rsid w:val="00185B33"/>
    <w:rsid w:val="00185E76"/>
    <w:rsid w:val="00186590"/>
    <w:rsid w:val="001900F1"/>
    <w:rsid w:val="00190255"/>
    <w:rsid w:val="00190D4D"/>
    <w:rsid w:val="00191895"/>
    <w:rsid w:val="00192197"/>
    <w:rsid w:val="001926C1"/>
    <w:rsid w:val="00192AB6"/>
    <w:rsid w:val="001937B9"/>
    <w:rsid w:val="0019428E"/>
    <w:rsid w:val="00195067"/>
    <w:rsid w:val="00195CD5"/>
    <w:rsid w:val="00195FEB"/>
    <w:rsid w:val="0019630B"/>
    <w:rsid w:val="00196448"/>
    <w:rsid w:val="001965D4"/>
    <w:rsid w:val="00196FC5"/>
    <w:rsid w:val="00197093"/>
    <w:rsid w:val="001A0230"/>
    <w:rsid w:val="001A269D"/>
    <w:rsid w:val="001A28E8"/>
    <w:rsid w:val="001A2EFD"/>
    <w:rsid w:val="001A3311"/>
    <w:rsid w:val="001A3703"/>
    <w:rsid w:val="001A40EF"/>
    <w:rsid w:val="001A428D"/>
    <w:rsid w:val="001A436C"/>
    <w:rsid w:val="001A4946"/>
    <w:rsid w:val="001A4AE7"/>
    <w:rsid w:val="001A5085"/>
    <w:rsid w:val="001A572C"/>
    <w:rsid w:val="001A677D"/>
    <w:rsid w:val="001A68F6"/>
    <w:rsid w:val="001A68F9"/>
    <w:rsid w:val="001A6C44"/>
    <w:rsid w:val="001A78A3"/>
    <w:rsid w:val="001A7CC8"/>
    <w:rsid w:val="001A7FF4"/>
    <w:rsid w:val="001B011F"/>
    <w:rsid w:val="001B0CCE"/>
    <w:rsid w:val="001B125E"/>
    <w:rsid w:val="001B1707"/>
    <w:rsid w:val="001B1AB7"/>
    <w:rsid w:val="001B23EE"/>
    <w:rsid w:val="001B2D48"/>
    <w:rsid w:val="001B2EBB"/>
    <w:rsid w:val="001B35F9"/>
    <w:rsid w:val="001B396E"/>
    <w:rsid w:val="001B45DB"/>
    <w:rsid w:val="001B489A"/>
    <w:rsid w:val="001B4903"/>
    <w:rsid w:val="001B4996"/>
    <w:rsid w:val="001B5F47"/>
    <w:rsid w:val="001B66C4"/>
    <w:rsid w:val="001B67DB"/>
    <w:rsid w:val="001B6BBE"/>
    <w:rsid w:val="001B6E69"/>
    <w:rsid w:val="001B6E7B"/>
    <w:rsid w:val="001B6F30"/>
    <w:rsid w:val="001B7114"/>
    <w:rsid w:val="001B75E2"/>
    <w:rsid w:val="001B7701"/>
    <w:rsid w:val="001B7BBE"/>
    <w:rsid w:val="001C03FC"/>
    <w:rsid w:val="001C070D"/>
    <w:rsid w:val="001C0D8F"/>
    <w:rsid w:val="001C1699"/>
    <w:rsid w:val="001C1855"/>
    <w:rsid w:val="001C1ECE"/>
    <w:rsid w:val="001C1FE4"/>
    <w:rsid w:val="001C20BF"/>
    <w:rsid w:val="001C20D2"/>
    <w:rsid w:val="001C2692"/>
    <w:rsid w:val="001C2EFB"/>
    <w:rsid w:val="001C308A"/>
    <w:rsid w:val="001C3465"/>
    <w:rsid w:val="001C3F46"/>
    <w:rsid w:val="001C42F9"/>
    <w:rsid w:val="001C43D6"/>
    <w:rsid w:val="001C454B"/>
    <w:rsid w:val="001C4B6B"/>
    <w:rsid w:val="001C4D08"/>
    <w:rsid w:val="001C538F"/>
    <w:rsid w:val="001C5879"/>
    <w:rsid w:val="001C5E48"/>
    <w:rsid w:val="001C6094"/>
    <w:rsid w:val="001C67B3"/>
    <w:rsid w:val="001C6969"/>
    <w:rsid w:val="001C6C59"/>
    <w:rsid w:val="001D03C2"/>
    <w:rsid w:val="001D04D4"/>
    <w:rsid w:val="001D0F0B"/>
    <w:rsid w:val="001D17E0"/>
    <w:rsid w:val="001D1EBF"/>
    <w:rsid w:val="001D243E"/>
    <w:rsid w:val="001D27AE"/>
    <w:rsid w:val="001D2E5A"/>
    <w:rsid w:val="001D4206"/>
    <w:rsid w:val="001D498F"/>
    <w:rsid w:val="001D49F4"/>
    <w:rsid w:val="001D4EFA"/>
    <w:rsid w:val="001D51B9"/>
    <w:rsid w:val="001D5C56"/>
    <w:rsid w:val="001D6321"/>
    <w:rsid w:val="001D6C5C"/>
    <w:rsid w:val="001D6C68"/>
    <w:rsid w:val="001E0194"/>
    <w:rsid w:val="001E08AC"/>
    <w:rsid w:val="001E0D68"/>
    <w:rsid w:val="001E131A"/>
    <w:rsid w:val="001E1624"/>
    <w:rsid w:val="001E1699"/>
    <w:rsid w:val="001E1853"/>
    <w:rsid w:val="001E1B1A"/>
    <w:rsid w:val="001E2754"/>
    <w:rsid w:val="001E2804"/>
    <w:rsid w:val="001E3979"/>
    <w:rsid w:val="001E3FA9"/>
    <w:rsid w:val="001E4081"/>
    <w:rsid w:val="001E41B6"/>
    <w:rsid w:val="001E45B7"/>
    <w:rsid w:val="001E5088"/>
    <w:rsid w:val="001E5600"/>
    <w:rsid w:val="001E752A"/>
    <w:rsid w:val="001E7BAA"/>
    <w:rsid w:val="001E7DA1"/>
    <w:rsid w:val="001F0091"/>
    <w:rsid w:val="001F0D2C"/>
    <w:rsid w:val="001F2B87"/>
    <w:rsid w:val="001F2E9C"/>
    <w:rsid w:val="001F35B6"/>
    <w:rsid w:val="001F3787"/>
    <w:rsid w:val="001F3DEC"/>
    <w:rsid w:val="001F4C11"/>
    <w:rsid w:val="001F51F1"/>
    <w:rsid w:val="001F595B"/>
    <w:rsid w:val="001F5BD2"/>
    <w:rsid w:val="001F7A37"/>
    <w:rsid w:val="001F7D09"/>
    <w:rsid w:val="00200453"/>
    <w:rsid w:val="002011A8"/>
    <w:rsid w:val="0020152B"/>
    <w:rsid w:val="00201817"/>
    <w:rsid w:val="00201D07"/>
    <w:rsid w:val="002020DE"/>
    <w:rsid w:val="00202534"/>
    <w:rsid w:val="00203111"/>
    <w:rsid w:val="002043FD"/>
    <w:rsid w:val="002044EE"/>
    <w:rsid w:val="00204932"/>
    <w:rsid w:val="00205E97"/>
    <w:rsid w:val="00205F56"/>
    <w:rsid w:val="0020636E"/>
    <w:rsid w:val="0020679B"/>
    <w:rsid w:val="00206BF1"/>
    <w:rsid w:val="00206F4A"/>
    <w:rsid w:val="0020702C"/>
    <w:rsid w:val="00207295"/>
    <w:rsid w:val="00207665"/>
    <w:rsid w:val="002078CE"/>
    <w:rsid w:val="002108EC"/>
    <w:rsid w:val="0021167D"/>
    <w:rsid w:val="002117AF"/>
    <w:rsid w:val="0021266E"/>
    <w:rsid w:val="00212EDD"/>
    <w:rsid w:val="0021359C"/>
    <w:rsid w:val="0021367A"/>
    <w:rsid w:val="00213DEA"/>
    <w:rsid w:val="00215143"/>
    <w:rsid w:val="00215284"/>
    <w:rsid w:val="00215918"/>
    <w:rsid w:val="002159F3"/>
    <w:rsid w:val="002169E5"/>
    <w:rsid w:val="002176E3"/>
    <w:rsid w:val="00217ED2"/>
    <w:rsid w:val="00220A8F"/>
    <w:rsid w:val="00221022"/>
    <w:rsid w:val="0022186B"/>
    <w:rsid w:val="002221F8"/>
    <w:rsid w:val="00222200"/>
    <w:rsid w:val="00222B3B"/>
    <w:rsid w:val="0022368A"/>
    <w:rsid w:val="00223733"/>
    <w:rsid w:val="00223835"/>
    <w:rsid w:val="00223A2B"/>
    <w:rsid w:val="00223D72"/>
    <w:rsid w:val="00223EA4"/>
    <w:rsid w:val="00225D7C"/>
    <w:rsid w:val="00225FC4"/>
    <w:rsid w:val="002263B5"/>
    <w:rsid w:val="00226E27"/>
    <w:rsid w:val="00226F92"/>
    <w:rsid w:val="0022703B"/>
    <w:rsid w:val="00227C08"/>
    <w:rsid w:val="002308E2"/>
    <w:rsid w:val="00230B9D"/>
    <w:rsid w:val="0023112D"/>
    <w:rsid w:val="00231251"/>
    <w:rsid w:val="002318D1"/>
    <w:rsid w:val="00232D5C"/>
    <w:rsid w:val="00233629"/>
    <w:rsid w:val="00233788"/>
    <w:rsid w:val="002349D1"/>
    <w:rsid w:val="002354BE"/>
    <w:rsid w:val="00235640"/>
    <w:rsid w:val="00236392"/>
    <w:rsid w:val="0023639D"/>
    <w:rsid w:val="00236D14"/>
    <w:rsid w:val="0024035E"/>
    <w:rsid w:val="00241A3C"/>
    <w:rsid w:val="002421C3"/>
    <w:rsid w:val="00243972"/>
    <w:rsid w:val="002439FC"/>
    <w:rsid w:val="00243C37"/>
    <w:rsid w:val="00244688"/>
    <w:rsid w:val="002453F3"/>
    <w:rsid w:val="0024640F"/>
    <w:rsid w:val="002466D5"/>
    <w:rsid w:val="00246A1F"/>
    <w:rsid w:val="00246C81"/>
    <w:rsid w:val="00247AF9"/>
    <w:rsid w:val="00247F44"/>
    <w:rsid w:val="0025103F"/>
    <w:rsid w:val="00252049"/>
    <w:rsid w:val="00252184"/>
    <w:rsid w:val="002526F5"/>
    <w:rsid w:val="00252DCA"/>
    <w:rsid w:val="00252E23"/>
    <w:rsid w:val="00252E69"/>
    <w:rsid w:val="00254807"/>
    <w:rsid w:val="002549D8"/>
    <w:rsid w:val="00254B17"/>
    <w:rsid w:val="00254B9C"/>
    <w:rsid w:val="00254F0A"/>
    <w:rsid w:val="00255B7B"/>
    <w:rsid w:val="00256055"/>
    <w:rsid w:val="00256194"/>
    <w:rsid w:val="0025641C"/>
    <w:rsid w:val="0025696F"/>
    <w:rsid w:val="002573DC"/>
    <w:rsid w:val="0025797B"/>
    <w:rsid w:val="00257AE0"/>
    <w:rsid w:val="002606CB"/>
    <w:rsid w:val="00261EC0"/>
    <w:rsid w:val="00261F2F"/>
    <w:rsid w:val="00262435"/>
    <w:rsid w:val="0026292E"/>
    <w:rsid w:val="00263078"/>
    <w:rsid w:val="002639EC"/>
    <w:rsid w:val="00264531"/>
    <w:rsid w:val="002647EC"/>
    <w:rsid w:val="0026489D"/>
    <w:rsid w:val="00264E21"/>
    <w:rsid w:val="00266958"/>
    <w:rsid w:val="00267827"/>
    <w:rsid w:val="002703CB"/>
    <w:rsid w:val="002704B9"/>
    <w:rsid w:val="0027144A"/>
    <w:rsid w:val="002716E8"/>
    <w:rsid w:val="0027208C"/>
    <w:rsid w:val="00272272"/>
    <w:rsid w:val="002738B7"/>
    <w:rsid w:val="00273ABD"/>
    <w:rsid w:val="00273C90"/>
    <w:rsid w:val="002746FA"/>
    <w:rsid w:val="00275DEF"/>
    <w:rsid w:val="00275F90"/>
    <w:rsid w:val="00276630"/>
    <w:rsid w:val="0027696C"/>
    <w:rsid w:val="00277147"/>
    <w:rsid w:val="00277949"/>
    <w:rsid w:val="00277A62"/>
    <w:rsid w:val="00280F67"/>
    <w:rsid w:val="002817AF"/>
    <w:rsid w:val="00281957"/>
    <w:rsid w:val="00281C4F"/>
    <w:rsid w:val="00282407"/>
    <w:rsid w:val="00282574"/>
    <w:rsid w:val="00282CB1"/>
    <w:rsid w:val="00282E92"/>
    <w:rsid w:val="00283782"/>
    <w:rsid w:val="002839C0"/>
    <w:rsid w:val="00283AC7"/>
    <w:rsid w:val="00283BE6"/>
    <w:rsid w:val="002840F9"/>
    <w:rsid w:val="00285373"/>
    <w:rsid w:val="00285619"/>
    <w:rsid w:val="002860B3"/>
    <w:rsid w:val="00286472"/>
    <w:rsid w:val="00286599"/>
    <w:rsid w:val="002871B5"/>
    <w:rsid w:val="002878A4"/>
    <w:rsid w:val="00287AFC"/>
    <w:rsid w:val="0029008C"/>
    <w:rsid w:val="0029051E"/>
    <w:rsid w:val="002906DD"/>
    <w:rsid w:val="0029099B"/>
    <w:rsid w:val="00290E10"/>
    <w:rsid w:val="00291E40"/>
    <w:rsid w:val="0029365F"/>
    <w:rsid w:val="00293A98"/>
    <w:rsid w:val="00295627"/>
    <w:rsid w:val="002957C6"/>
    <w:rsid w:val="0029684D"/>
    <w:rsid w:val="00296FC9"/>
    <w:rsid w:val="002A0023"/>
    <w:rsid w:val="002A07D0"/>
    <w:rsid w:val="002A0B25"/>
    <w:rsid w:val="002A0E88"/>
    <w:rsid w:val="002A11ED"/>
    <w:rsid w:val="002A2150"/>
    <w:rsid w:val="002A2242"/>
    <w:rsid w:val="002A27D6"/>
    <w:rsid w:val="002A2A38"/>
    <w:rsid w:val="002A31DC"/>
    <w:rsid w:val="002A3BBE"/>
    <w:rsid w:val="002A3C21"/>
    <w:rsid w:val="002A4274"/>
    <w:rsid w:val="002A48E7"/>
    <w:rsid w:val="002A4FE3"/>
    <w:rsid w:val="002A651D"/>
    <w:rsid w:val="002A653C"/>
    <w:rsid w:val="002A69BF"/>
    <w:rsid w:val="002A6D5A"/>
    <w:rsid w:val="002A7799"/>
    <w:rsid w:val="002B0DBD"/>
    <w:rsid w:val="002B10ED"/>
    <w:rsid w:val="002B1267"/>
    <w:rsid w:val="002B1491"/>
    <w:rsid w:val="002B249C"/>
    <w:rsid w:val="002B2502"/>
    <w:rsid w:val="002B2634"/>
    <w:rsid w:val="002B2689"/>
    <w:rsid w:val="002B28F5"/>
    <w:rsid w:val="002B294F"/>
    <w:rsid w:val="002B2F8A"/>
    <w:rsid w:val="002B3036"/>
    <w:rsid w:val="002B315D"/>
    <w:rsid w:val="002B3D91"/>
    <w:rsid w:val="002B42C5"/>
    <w:rsid w:val="002B460F"/>
    <w:rsid w:val="002B465F"/>
    <w:rsid w:val="002B54C4"/>
    <w:rsid w:val="002B703F"/>
    <w:rsid w:val="002B7062"/>
    <w:rsid w:val="002B7180"/>
    <w:rsid w:val="002B7ED1"/>
    <w:rsid w:val="002C02EA"/>
    <w:rsid w:val="002C07B7"/>
    <w:rsid w:val="002C07EA"/>
    <w:rsid w:val="002C0A8D"/>
    <w:rsid w:val="002C0BD2"/>
    <w:rsid w:val="002C14D2"/>
    <w:rsid w:val="002C2265"/>
    <w:rsid w:val="002C26EC"/>
    <w:rsid w:val="002C3580"/>
    <w:rsid w:val="002C5F17"/>
    <w:rsid w:val="002C64FE"/>
    <w:rsid w:val="002D037E"/>
    <w:rsid w:val="002D0DA0"/>
    <w:rsid w:val="002D1606"/>
    <w:rsid w:val="002D16C5"/>
    <w:rsid w:val="002D20D4"/>
    <w:rsid w:val="002D33F8"/>
    <w:rsid w:val="002D46A5"/>
    <w:rsid w:val="002D475B"/>
    <w:rsid w:val="002D4AAE"/>
    <w:rsid w:val="002D4FEF"/>
    <w:rsid w:val="002D5199"/>
    <w:rsid w:val="002D54B0"/>
    <w:rsid w:val="002D5AC0"/>
    <w:rsid w:val="002D6A05"/>
    <w:rsid w:val="002D6C6F"/>
    <w:rsid w:val="002D6DC0"/>
    <w:rsid w:val="002D6DFE"/>
    <w:rsid w:val="002D705B"/>
    <w:rsid w:val="002D72D3"/>
    <w:rsid w:val="002D7B65"/>
    <w:rsid w:val="002E071F"/>
    <w:rsid w:val="002E0DE7"/>
    <w:rsid w:val="002E10E6"/>
    <w:rsid w:val="002E1811"/>
    <w:rsid w:val="002E3C9D"/>
    <w:rsid w:val="002E3E61"/>
    <w:rsid w:val="002E4763"/>
    <w:rsid w:val="002E4F64"/>
    <w:rsid w:val="002E55EA"/>
    <w:rsid w:val="002E5B80"/>
    <w:rsid w:val="002E617A"/>
    <w:rsid w:val="002E79EA"/>
    <w:rsid w:val="002E7CAD"/>
    <w:rsid w:val="002E7D13"/>
    <w:rsid w:val="002F005C"/>
    <w:rsid w:val="002F0FBC"/>
    <w:rsid w:val="002F182C"/>
    <w:rsid w:val="002F2E4F"/>
    <w:rsid w:val="002F2F42"/>
    <w:rsid w:val="002F4C49"/>
    <w:rsid w:val="002F5766"/>
    <w:rsid w:val="002F5B92"/>
    <w:rsid w:val="002F724E"/>
    <w:rsid w:val="003007CC"/>
    <w:rsid w:val="003007E3"/>
    <w:rsid w:val="003022B2"/>
    <w:rsid w:val="00302371"/>
    <w:rsid w:val="0030246D"/>
    <w:rsid w:val="003028B2"/>
    <w:rsid w:val="00302ABE"/>
    <w:rsid w:val="0030380C"/>
    <w:rsid w:val="00303A69"/>
    <w:rsid w:val="00304272"/>
    <w:rsid w:val="00304591"/>
    <w:rsid w:val="003058EC"/>
    <w:rsid w:val="00305F69"/>
    <w:rsid w:val="003061D2"/>
    <w:rsid w:val="00306621"/>
    <w:rsid w:val="00306821"/>
    <w:rsid w:val="00306C2B"/>
    <w:rsid w:val="003074BF"/>
    <w:rsid w:val="00307B16"/>
    <w:rsid w:val="003102D0"/>
    <w:rsid w:val="003108F8"/>
    <w:rsid w:val="00310932"/>
    <w:rsid w:val="0031097A"/>
    <w:rsid w:val="0031107E"/>
    <w:rsid w:val="00311BFE"/>
    <w:rsid w:val="00312874"/>
    <w:rsid w:val="00313A83"/>
    <w:rsid w:val="003150CE"/>
    <w:rsid w:val="003150FF"/>
    <w:rsid w:val="00315C84"/>
    <w:rsid w:val="00315FCC"/>
    <w:rsid w:val="003163AB"/>
    <w:rsid w:val="003164D9"/>
    <w:rsid w:val="00317155"/>
    <w:rsid w:val="00317666"/>
    <w:rsid w:val="00317DBE"/>
    <w:rsid w:val="0032119E"/>
    <w:rsid w:val="00322A83"/>
    <w:rsid w:val="00322D14"/>
    <w:rsid w:val="003240EB"/>
    <w:rsid w:val="00324384"/>
    <w:rsid w:val="0032453D"/>
    <w:rsid w:val="003252B6"/>
    <w:rsid w:val="00325C1C"/>
    <w:rsid w:val="00325C6F"/>
    <w:rsid w:val="00326800"/>
    <w:rsid w:val="00326E28"/>
    <w:rsid w:val="00327419"/>
    <w:rsid w:val="00327539"/>
    <w:rsid w:val="0032782C"/>
    <w:rsid w:val="003278A8"/>
    <w:rsid w:val="00327A86"/>
    <w:rsid w:val="00327C18"/>
    <w:rsid w:val="0033079D"/>
    <w:rsid w:val="00330CD4"/>
    <w:rsid w:val="003310B9"/>
    <w:rsid w:val="00331451"/>
    <w:rsid w:val="00331640"/>
    <w:rsid w:val="00331DA5"/>
    <w:rsid w:val="00332422"/>
    <w:rsid w:val="003326A9"/>
    <w:rsid w:val="00332904"/>
    <w:rsid w:val="00332A16"/>
    <w:rsid w:val="00333107"/>
    <w:rsid w:val="003331C4"/>
    <w:rsid w:val="003337E7"/>
    <w:rsid w:val="0033395A"/>
    <w:rsid w:val="00334C19"/>
    <w:rsid w:val="003350F7"/>
    <w:rsid w:val="003354AE"/>
    <w:rsid w:val="00335745"/>
    <w:rsid w:val="003357D4"/>
    <w:rsid w:val="00335AA5"/>
    <w:rsid w:val="0033639D"/>
    <w:rsid w:val="00336458"/>
    <w:rsid w:val="00337265"/>
    <w:rsid w:val="00337A60"/>
    <w:rsid w:val="0034097F"/>
    <w:rsid w:val="0034099B"/>
    <w:rsid w:val="00340A60"/>
    <w:rsid w:val="00340D4E"/>
    <w:rsid w:val="003414CB"/>
    <w:rsid w:val="0034164D"/>
    <w:rsid w:val="00341724"/>
    <w:rsid w:val="00342F12"/>
    <w:rsid w:val="00343032"/>
    <w:rsid w:val="00343200"/>
    <w:rsid w:val="00343A3F"/>
    <w:rsid w:val="00343AE4"/>
    <w:rsid w:val="00343CB7"/>
    <w:rsid w:val="00343FA7"/>
    <w:rsid w:val="00344119"/>
    <w:rsid w:val="0034412C"/>
    <w:rsid w:val="003452B6"/>
    <w:rsid w:val="00345532"/>
    <w:rsid w:val="00346DCC"/>
    <w:rsid w:val="00347212"/>
    <w:rsid w:val="0034742B"/>
    <w:rsid w:val="003479CF"/>
    <w:rsid w:val="00347AFB"/>
    <w:rsid w:val="00347DF9"/>
    <w:rsid w:val="00347FB6"/>
    <w:rsid w:val="003510E8"/>
    <w:rsid w:val="00352C48"/>
    <w:rsid w:val="00352E06"/>
    <w:rsid w:val="00355F08"/>
    <w:rsid w:val="00356993"/>
    <w:rsid w:val="003572AC"/>
    <w:rsid w:val="003577A4"/>
    <w:rsid w:val="00357942"/>
    <w:rsid w:val="003579D8"/>
    <w:rsid w:val="00357CD3"/>
    <w:rsid w:val="0036084F"/>
    <w:rsid w:val="003613C6"/>
    <w:rsid w:val="00361BB4"/>
    <w:rsid w:val="003629EF"/>
    <w:rsid w:val="00362AC7"/>
    <w:rsid w:val="00362FA3"/>
    <w:rsid w:val="0036404D"/>
    <w:rsid w:val="003642A2"/>
    <w:rsid w:val="00364A07"/>
    <w:rsid w:val="00364CBF"/>
    <w:rsid w:val="00365093"/>
    <w:rsid w:val="0036543A"/>
    <w:rsid w:val="00365702"/>
    <w:rsid w:val="00365D91"/>
    <w:rsid w:val="00365E25"/>
    <w:rsid w:val="00366A9C"/>
    <w:rsid w:val="00366B48"/>
    <w:rsid w:val="00366CFD"/>
    <w:rsid w:val="00366E48"/>
    <w:rsid w:val="003677E3"/>
    <w:rsid w:val="00370139"/>
    <w:rsid w:val="00370AC9"/>
    <w:rsid w:val="00371BF2"/>
    <w:rsid w:val="00371E81"/>
    <w:rsid w:val="00373B70"/>
    <w:rsid w:val="003742C0"/>
    <w:rsid w:val="00374521"/>
    <w:rsid w:val="003746E6"/>
    <w:rsid w:val="003747DA"/>
    <w:rsid w:val="00374B15"/>
    <w:rsid w:val="00375383"/>
    <w:rsid w:val="003755B3"/>
    <w:rsid w:val="00375D88"/>
    <w:rsid w:val="003769DF"/>
    <w:rsid w:val="00377ED2"/>
    <w:rsid w:val="00380FCD"/>
    <w:rsid w:val="00381025"/>
    <w:rsid w:val="003810CC"/>
    <w:rsid w:val="00381289"/>
    <w:rsid w:val="00381BBB"/>
    <w:rsid w:val="00382154"/>
    <w:rsid w:val="003821EB"/>
    <w:rsid w:val="00382732"/>
    <w:rsid w:val="00382E39"/>
    <w:rsid w:val="00383780"/>
    <w:rsid w:val="00383986"/>
    <w:rsid w:val="00383988"/>
    <w:rsid w:val="00383E21"/>
    <w:rsid w:val="00383F20"/>
    <w:rsid w:val="00384BB4"/>
    <w:rsid w:val="00384C72"/>
    <w:rsid w:val="00385151"/>
    <w:rsid w:val="00385907"/>
    <w:rsid w:val="00385CC8"/>
    <w:rsid w:val="00385D14"/>
    <w:rsid w:val="003860FA"/>
    <w:rsid w:val="00386CD7"/>
    <w:rsid w:val="003874F8"/>
    <w:rsid w:val="00387558"/>
    <w:rsid w:val="00387AAD"/>
    <w:rsid w:val="00387FA6"/>
    <w:rsid w:val="0039025C"/>
    <w:rsid w:val="0039074A"/>
    <w:rsid w:val="0039187A"/>
    <w:rsid w:val="00392020"/>
    <w:rsid w:val="00393AA3"/>
    <w:rsid w:val="00393ADE"/>
    <w:rsid w:val="00393F54"/>
    <w:rsid w:val="0039484C"/>
    <w:rsid w:val="0039577B"/>
    <w:rsid w:val="00395849"/>
    <w:rsid w:val="0039610B"/>
    <w:rsid w:val="0039778A"/>
    <w:rsid w:val="00397A8D"/>
    <w:rsid w:val="003A067A"/>
    <w:rsid w:val="003A0DF4"/>
    <w:rsid w:val="003A10A4"/>
    <w:rsid w:val="003A133F"/>
    <w:rsid w:val="003A1CA8"/>
    <w:rsid w:val="003A2CE0"/>
    <w:rsid w:val="003A3356"/>
    <w:rsid w:val="003A4196"/>
    <w:rsid w:val="003A41B9"/>
    <w:rsid w:val="003A47C3"/>
    <w:rsid w:val="003A4D2D"/>
    <w:rsid w:val="003A5B66"/>
    <w:rsid w:val="003A5D84"/>
    <w:rsid w:val="003A62CD"/>
    <w:rsid w:val="003A65BD"/>
    <w:rsid w:val="003A6980"/>
    <w:rsid w:val="003A6BB8"/>
    <w:rsid w:val="003A6D97"/>
    <w:rsid w:val="003A776A"/>
    <w:rsid w:val="003A7D1A"/>
    <w:rsid w:val="003B0279"/>
    <w:rsid w:val="003B027C"/>
    <w:rsid w:val="003B08EB"/>
    <w:rsid w:val="003B0F15"/>
    <w:rsid w:val="003B1302"/>
    <w:rsid w:val="003B1B40"/>
    <w:rsid w:val="003B3063"/>
    <w:rsid w:val="003B3477"/>
    <w:rsid w:val="003B3F20"/>
    <w:rsid w:val="003B4254"/>
    <w:rsid w:val="003B451B"/>
    <w:rsid w:val="003B472E"/>
    <w:rsid w:val="003B47AF"/>
    <w:rsid w:val="003B516F"/>
    <w:rsid w:val="003B5D92"/>
    <w:rsid w:val="003B6FA5"/>
    <w:rsid w:val="003C019A"/>
    <w:rsid w:val="003C0292"/>
    <w:rsid w:val="003C0645"/>
    <w:rsid w:val="003C1452"/>
    <w:rsid w:val="003C1717"/>
    <w:rsid w:val="003C1B47"/>
    <w:rsid w:val="003C1D8B"/>
    <w:rsid w:val="003C1F8F"/>
    <w:rsid w:val="003C26C5"/>
    <w:rsid w:val="003C2F6F"/>
    <w:rsid w:val="003C3561"/>
    <w:rsid w:val="003C43D3"/>
    <w:rsid w:val="003C4587"/>
    <w:rsid w:val="003C4893"/>
    <w:rsid w:val="003C5271"/>
    <w:rsid w:val="003C53E3"/>
    <w:rsid w:val="003C5C6F"/>
    <w:rsid w:val="003C5D77"/>
    <w:rsid w:val="003C628E"/>
    <w:rsid w:val="003C68E1"/>
    <w:rsid w:val="003C734F"/>
    <w:rsid w:val="003C7470"/>
    <w:rsid w:val="003C757E"/>
    <w:rsid w:val="003C78C9"/>
    <w:rsid w:val="003D004C"/>
    <w:rsid w:val="003D0824"/>
    <w:rsid w:val="003D08DB"/>
    <w:rsid w:val="003D0A07"/>
    <w:rsid w:val="003D0A2F"/>
    <w:rsid w:val="003D0E6E"/>
    <w:rsid w:val="003D137F"/>
    <w:rsid w:val="003D1E20"/>
    <w:rsid w:val="003D2BA5"/>
    <w:rsid w:val="003D3044"/>
    <w:rsid w:val="003D357F"/>
    <w:rsid w:val="003D3D4F"/>
    <w:rsid w:val="003D4224"/>
    <w:rsid w:val="003D4400"/>
    <w:rsid w:val="003D5823"/>
    <w:rsid w:val="003D6662"/>
    <w:rsid w:val="003D6A02"/>
    <w:rsid w:val="003E02A4"/>
    <w:rsid w:val="003E061B"/>
    <w:rsid w:val="003E0879"/>
    <w:rsid w:val="003E08C6"/>
    <w:rsid w:val="003E0D32"/>
    <w:rsid w:val="003E0EC5"/>
    <w:rsid w:val="003E0FC0"/>
    <w:rsid w:val="003E1D2D"/>
    <w:rsid w:val="003E2518"/>
    <w:rsid w:val="003E2576"/>
    <w:rsid w:val="003E2608"/>
    <w:rsid w:val="003E4719"/>
    <w:rsid w:val="003E4A87"/>
    <w:rsid w:val="003E5087"/>
    <w:rsid w:val="003E5383"/>
    <w:rsid w:val="003E614C"/>
    <w:rsid w:val="003E7999"/>
    <w:rsid w:val="003E7C85"/>
    <w:rsid w:val="003E7D93"/>
    <w:rsid w:val="003F0312"/>
    <w:rsid w:val="003F03EC"/>
    <w:rsid w:val="003F0877"/>
    <w:rsid w:val="003F11AD"/>
    <w:rsid w:val="003F25F6"/>
    <w:rsid w:val="003F2A04"/>
    <w:rsid w:val="003F33CC"/>
    <w:rsid w:val="003F38FD"/>
    <w:rsid w:val="003F47FE"/>
    <w:rsid w:val="003F4ACE"/>
    <w:rsid w:val="003F4B0E"/>
    <w:rsid w:val="003F5306"/>
    <w:rsid w:val="003F5BA5"/>
    <w:rsid w:val="003F634A"/>
    <w:rsid w:val="003F6475"/>
    <w:rsid w:val="003F7688"/>
    <w:rsid w:val="003F7748"/>
    <w:rsid w:val="004002F4"/>
    <w:rsid w:val="00400AF9"/>
    <w:rsid w:val="00403004"/>
    <w:rsid w:val="00403982"/>
    <w:rsid w:val="0040456A"/>
    <w:rsid w:val="00404E87"/>
    <w:rsid w:val="0040551E"/>
    <w:rsid w:val="00406E81"/>
    <w:rsid w:val="004079C8"/>
    <w:rsid w:val="00407EB3"/>
    <w:rsid w:val="00410C9A"/>
    <w:rsid w:val="004117E9"/>
    <w:rsid w:val="00411832"/>
    <w:rsid w:val="00411A8D"/>
    <w:rsid w:val="00411CE3"/>
    <w:rsid w:val="004120D5"/>
    <w:rsid w:val="004122C4"/>
    <w:rsid w:val="00412C78"/>
    <w:rsid w:val="00412E2A"/>
    <w:rsid w:val="00413394"/>
    <w:rsid w:val="0041591B"/>
    <w:rsid w:val="00416C39"/>
    <w:rsid w:val="0041758F"/>
    <w:rsid w:val="00417639"/>
    <w:rsid w:val="00417DDB"/>
    <w:rsid w:val="00417E45"/>
    <w:rsid w:val="00420092"/>
    <w:rsid w:val="00420A20"/>
    <w:rsid w:val="00421303"/>
    <w:rsid w:val="00421811"/>
    <w:rsid w:val="00421847"/>
    <w:rsid w:val="00422032"/>
    <w:rsid w:val="0042360A"/>
    <w:rsid w:val="004236F3"/>
    <w:rsid w:val="00423B1F"/>
    <w:rsid w:val="00424758"/>
    <w:rsid w:val="00424DDE"/>
    <w:rsid w:val="00424F0F"/>
    <w:rsid w:val="004251B8"/>
    <w:rsid w:val="00425623"/>
    <w:rsid w:val="004259A2"/>
    <w:rsid w:val="00425D02"/>
    <w:rsid w:val="00425DEC"/>
    <w:rsid w:val="00425ECC"/>
    <w:rsid w:val="00425F97"/>
    <w:rsid w:val="004263C2"/>
    <w:rsid w:val="004264AD"/>
    <w:rsid w:val="004266AD"/>
    <w:rsid w:val="0042729C"/>
    <w:rsid w:val="00430145"/>
    <w:rsid w:val="00430971"/>
    <w:rsid w:val="00430E46"/>
    <w:rsid w:val="004314AB"/>
    <w:rsid w:val="00431568"/>
    <w:rsid w:val="004327D4"/>
    <w:rsid w:val="00433481"/>
    <w:rsid w:val="0043462A"/>
    <w:rsid w:val="004351A3"/>
    <w:rsid w:val="004360F6"/>
    <w:rsid w:val="0043674C"/>
    <w:rsid w:val="00436CD8"/>
    <w:rsid w:val="00437045"/>
    <w:rsid w:val="004371F7"/>
    <w:rsid w:val="0044019A"/>
    <w:rsid w:val="00440776"/>
    <w:rsid w:val="0044089F"/>
    <w:rsid w:val="0044201C"/>
    <w:rsid w:val="00443A11"/>
    <w:rsid w:val="004440F2"/>
    <w:rsid w:val="004449F0"/>
    <w:rsid w:val="0044516C"/>
    <w:rsid w:val="00446125"/>
    <w:rsid w:val="00446A21"/>
    <w:rsid w:val="00447B93"/>
    <w:rsid w:val="00450B74"/>
    <w:rsid w:val="004522B1"/>
    <w:rsid w:val="00452EC2"/>
    <w:rsid w:val="00452F5F"/>
    <w:rsid w:val="00452F9C"/>
    <w:rsid w:val="00453051"/>
    <w:rsid w:val="00453AF3"/>
    <w:rsid w:val="00453E86"/>
    <w:rsid w:val="00454F41"/>
    <w:rsid w:val="00455008"/>
    <w:rsid w:val="00455056"/>
    <w:rsid w:val="0045536E"/>
    <w:rsid w:val="004556F0"/>
    <w:rsid w:val="00455E28"/>
    <w:rsid w:val="004565CF"/>
    <w:rsid w:val="00456C4F"/>
    <w:rsid w:val="00456DC2"/>
    <w:rsid w:val="004577F5"/>
    <w:rsid w:val="00461A2B"/>
    <w:rsid w:val="00461B12"/>
    <w:rsid w:val="00461BCF"/>
    <w:rsid w:val="00461DBB"/>
    <w:rsid w:val="00461EDA"/>
    <w:rsid w:val="00462187"/>
    <w:rsid w:val="0046236D"/>
    <w:rsid w:val="00462A86"/>
    <w:rsid w:val="00462E90"/>
    <w:rsid w:val="004631DB"/>
    <w:rsid w:val="00463844"/>
    <w:rsid w:val="004649C1"/>
    <w:rsid w:val="00464D11"/>
    <w:rsid w:val="00464EDE"/>
    <w:rsid w:val="00465068"/>
    <w:rsid w:val="00465E01"/>
    <w:rsid w:val="004663B3"/>
    <w:rsid w:val="00466C61"/>
    <w:rsid w:val="004672A1"/>
    <w:rsid w:val="0046734B"/>
    <w:rsid w:val="00467547"/>
    <w:rsid w:val="0046764D"/>
    <w:rsid w:val="00467E4E"/>
    <w:rsid w:val="004705E8"/>
    <w:rsid w:val="00470784"/>
    <w:rsid w:val="00470F98"/>
    <w:rsid w:val="00471341"/>
    <w:rsid w:val="0047178C"/>
    <w:rsid w:val="004734EE"/>
    <w:rsid w:val="00473DB5"/>
    <w:rsid w:val="004741A5"/>
    <w:rsid w:val="004741F1"/>
    <w:rsid w:val="004746D9"/>
    <w:rsid w:val="00474C6C"/>
    <w:rsid w:val="0047510F"/>
    <w:rsid w:val="0047512C"/>
    <w:rsid w:val="00475E06"/>
    <w:rsid w:val="004763EB"/>
    <w:rsid w:val="004765DC"/>
    <w:rsid w:val="00476E02"/>
    <w:rsid w:val="00476E3D"/>
    <w:rsid w:val="00477422"/>
    <w:rsid w:val="004774C5"/>
    <w:rsid w:val="00477648"/>
    <w:rsid w:val="00477BD4"/>
    <w:rsid w:val="00477CAE"/>
    <w:rsid w:val="00480A33"/>
    <w:rsid w:val="004817F2"/>
    <w:rsid w:val="00481869"/>
    <w:rsid w:val="00481BC7"/>
    <w:rsid w:val="004825AB"/>
    <w:rsid w:val="00482606"/>
    <w:rsid w:val="0048364D"/>
    <w:rsid w:val="004838A1"/>
    <w:rsid w:val="00483BE8"/>
    <w:rsid w:val="0048408C"/>
    <w:rsid w:val="004842D6"/>
    <w:rsid w:val="0048491D"/>
    <w:rsid w:val="00484BE7"/>
    <w:rsid w:val="004854E5"/>
    <w:rsid w:val="004855C9"/>
    <w:rsid w:val="00485D32"/>
    <w:rsid w:val="004863BC"/>
    <w:rsid w:val="00486979"/>
    <w:rsid w:val="004876A3"/>
    <w:rsid w:val="0049176E"/>
    <w:rsid w:val="00491CA8"/>
    <w:rsid w:val="00491F74"/>
    <w:rsid w:val="0049206D"/>
    <w:rsid w:val="0049397E"/>
    <w:rsid w:val="00494683"/>
    <w:rsid w:val="004948EE"/>
    <w:rsid w:val="00494D5B"/>
    <w:rsid w:val="004951A9"/>
    <w:rsid w:val="00495898"/>
    <w:rsid w:val="0049598C"/>
    <w:rsid w:val="00496EA2"/>
    <w:rsid w:val="0049770D"/>
    <w:rsid w:val="004A02CF"/>
    <w:rsid w:val="004A04F1"/>
    <w:rsid w:val="004A05D0"/>
    <w:rsid w:val="004A1BD6"/>
    <w:rsid w:val="004A1D50"/>
    <w:rsid w:val="004A2061"/>
    <w:rsid w:val="004A22F4"/>
    <w:rsid w:val="004A2967"/>
    <w:rsid w:val="004A324B"/>
    <w:rsid w:val="004A33B6"/>
    <w:rsid w:val="004A344D"/>
    <w:rsid w:val="004A3A2B"/>
    <w:rsid w:val="004A3D39"/>
    <w:rsid w:val="004A3F23"/>
    <w:rsid w:val="004A63E4"/>
    <w:rsid w:val="004A6C97"/>
    <w:rsid w:val="004A6CA1"/>
    <w:rsid w:val="004A7040"/>
    <w:rsid w:val="004A7509"/>
    <w:rsid w:val="004A761D"/>
    <w:rsid w:val="004A784D"/>
    <w:rsid w:val="004A7965"/>
    <w:rsid w:val="004A7AC3"/>
    <w:rsid w:val="004B04B7"/>
    <w:rsid w:val="004B05FB"/>
    <w:rsid w:val="004B07BB"/>
    <w:rsid w:val="004B2154"/>
    <w:rsid w:val="004B3962"/>
    <w:rsid w:val="004B3C34"/>
    <w:rsid w:val="004B3C56"/>
    <w:rsid w:val="004B43F2"/>
    <w:rsid w:val="004B449A"/>
    <w:rsid w:val="004B4515"/>
    <w:rsid w:val="004B4681"/>
    <w:rsid w:val="004B4941"/>
    <w:rsid w:val="004B5A59"/>
    <w:rsid w:val="004B5B82"/>
    <w:rsid w:val="004B5BF1"/>
    <w:rsid w:val="004B5D42"/>
    <w:rsid w:val="004B5FE7"/>
    <w:rsid w:val="004B6BE9"/>
    <w:rsid w:val="004B6D8D"/>
    <w:rsid w:val="004B704B"/>
    <w:rsid w:val="004B71EA"/>
    <w:rsid w:val="004B72F9"/>
    <w:rsid w:val="004B730D"/>
    <w:rsid w:val="004B7BE8"/>
    <w:rsid w:val="004B7C02"/>
    <w:rsid w:val="004C1248"/>
    <w:rsid w:val="004C1EC5"/>
    <w:rsid w:val="004C3643"/>
    <w:rsid w:val="004C3F3E"/>
    <w:rsid w:val="004C481B"/>
    <w:rsid w:val="004C4926"/>
    <w:rsid w:val="004C4DB9"/>
    <w:rsid w:val="004C529C"/>
    <w:rsid w:val="004C5873"/>
    <w:rsid w:val="004C5986"/>
    <w:rsid w:val="004C6154"/>
    <w:rsid w:val="004C6677"/>
    <w:rsid w:val="004C6C88"/>
    <w:rsid w:val="004C6EE9"/>
    <w:rsid w:val="004C7D58"/>
    <w:rsid w:val="004D028E"/>
    <w:rsid w:val="004D1A7A"/>
    <w:rsid w:val="004D2319"/>
    <w:rsid w:val="004D231C"/>
    <w:rsid w:val="004D2ED8"/>
    <w:rsid w:val="004D44C6"/>
    <w:rsid w:val="004D5219"/>
    <w:rsid w:val="004D5A09"/>
    <w:rsid w:val="004D6013"/>
    <w:rsid w:val="004D6661"/>
    <w:rsid w:val="004D6727"/>
    <w:rsid w:val="004D675E"/>
    <w:rsid w:val="004D6D77"/>
    <w:rsid w:val="004D72D9"/>
    <w:rsid w:val="004D75A7"/>
    <w:rsid w:val="004D7F09"/>
    <w:rsid w:val="004E000B"/>
    <w:rsid w:val="004E0B85"/>
    <w:rsid w:val="004E0F70"/>
    <w:rsid w:val="004E1967"/>
    <w:rsid w:val="004E2604"/>
    <w:rsid w:val="004E3C24"/>
    <w:rsid w:val="004E3D4D"/>
    <w:rsid w:val="004E404D"/>
    <w:rsid w:val="004E4098"/>
    <w:rsid w:val="004E40C5"/>
    <w:rsid w:val="004E561D"/>
    <w:rsid w:val="004E5B7B"/>
    <w:rsid w:val="004E7101"/>
    <w:rsid w:val="004E7538"/>
    <w:rsid w:val="004E7672"/>
    <w:rsid w:val="004F0539"/>
    <w:rsid w:val="004F0632"/>
    <w:rsid w:val="004F0819"/>
    <w:rsid w:val="004F0D17"/>
    <w:rsid w:val="004F104F"/>
    <w:rsid w:val="004F12B1"/>
    <w:rsid w:val="004F1E8C"/>
    <w:rsid w:val="004F3EDD"/>
    <w:rsid w:val="004F427B"/>
    <w:rsid w:val="004F48AD"/>
    <w:rsid w:val="004F5AAE"/>
    <w:rsid w:val="004F5D93"/>
    <w:rsid w:val="004F6500"/>
    <w:rsid w:val="004F6F30"/>
    <w:rsid w:val="004F76C8"/>
    <w:rsid w:val="005003C6"/>
    <w:rsid w:val="00501A10"/>
    <w:rsid w:val="005020B7"/>
    <w:rsid w:val="00503E8E"/>
    <w:rsid w:val="0050485E"/>
    <w:rsid w:val="005053C8"/>
    <w:rsid w:val="00505417"/>
    <w:rsid w:val="00505ECF"/>
    <w:rsid w:val="005060D0"/>
    <w:rsid w:val="0050614C"/>
    <w:rsid w:val="005067E0"/>
    <w:rsid w:val="00506896"/>
    <w:rsid w:val="00506B58"/>
    <w:rsid w:val="00506C26"/>
    <w:rsid w:val="00506C7B"/>
    <w:rsid w:val="00507A20"/>
    <w:rsid w:val="00510C66"/>
    <w:rsid w:val="005115EE"/>
    <w:rsid w:val="005127E2"/>
    <w:rsid w:val="00512CCE"/>
    <w:rsid w:val="00513210"/>
    <w:rsid w:val="00513337"/>
    <w:rsid w:val="00515F0D"/>
    <w:rsid w:val="00516415"/>
    <w:rsid w:val="0051648B"/>
    <w:rsid w:val="0052022E"/>
    <w:rsid w:val="00521CF6"/>
    <w:rsid w:val="00521F0A"/>
    <w:rsid w:val="00522B2F"/>
    <w:rsid w:val="00522D75"/>
    <w:rsid w:val="005242F5"/>
    <w:rsid w:val="00524DA6"/>
    <w:rsid w:val="00524ED9"/>
    <w:rsid w:val="00525FF3"/>
    <w:rsid w:val="00527083"/>
    <w:rsid w:val="0052719B"/>
    <w:rsid w:val="005275ED"/>
    <w:rsid w:val="00527ACC"/>
    <w:rsid w:val="00527D22"/>
    <w:rsid w:val="00527DD2"/>
    <w:rsid w:val="00530091"/>
    <w:rsid w:val="00530356"/>
    <w:rsid w:val="005304F6"/>
    <w:rsid w:val="005305E1"/>
    <w:rsid w:val="005309C6"/>
    <w:rsid w:val="00530F07"/>
    <w:rsid w:val="00530F73"/>
    <w:rsid w:val="00531A00"/>
    <w:rsid w:val="00532DB6"/>
    <w:rsid w:val="005330B3"/>
    <w:rsid w:val="00533877"/>
    <w:rsid w:val="00533E82"/>
    <w:rsid w:val="0053438B"/>
    <w:rsid w:val="00534EDD"/>
    <w:rsid w:val="005352FA"/>
    <w:rsid w:val="00535C23"/>
    <w:rsid w:val="00535DA1"/>
    <w:rsid w:val="005365F8"/>
    <w:rsid w:val="00536771"/>
    <w:rsid w:val="00537CD9"/>
    <w:rsid w:val="00540B9D"/>
    <w:rsid w:val="00540F04"/>
    <w:rsid w:val="00540FF3"/>
    <w:rsid w:val="0054124C"/>
    <w:rsid w:val="00542D39"/>
    <w:rsid w:val="0054317D"/>
    <w:rsid w:val="00543A1F"/>
    <w:rsid w:val="00543DD2"/>
    <w:rsid w:val="00544C56"/>
    <w:rsid w:val="00545845"/>
    <w:rsid w:val="00546541"/>
    <w:rsid w:val="005467FC"/>
    <w:rsid w:val="005469A8"/>
    <w:rsid w:val="00546A24"/>
    <w:rsid w:val="005470ED"/>
    <w:rsid w:val="00547155"/>
    <w:rsid w:val="005479EE"/>
    <w:rsid w:val="00550ADE"/>
    <w:rsid w:val="00550B77"/>
    <w:rsid w:val="00551377"/>
    <w:rsid w:val="00551505"/>
    <w:rsid w:val="00551FBD"/>
    <w:rsid w:val="00552591"/>
    <w:rsid w:val="00552A3B"/>
    <w:rsid w:val="00553A02"/>
    <w:rsid w:val="00555409"/>
    <w:rsid w:val="005561EC"/>
    <w:rsid w:val="00556BB3"/>
    <w:rsid w:val="00557C83"/>
    <w:rsid w:val="005600A0"/>
    <w:rsid w:val="0056020D"/>
    <w:rsid w:val="0056050E"/>
    <w:rsid w:val="00560DD6"/>
    <w:rsid w:val="00560F53"/>
    <w:rsid w:val="00562148"/>
    <w:rsid w:val="0056277D"/>
    <w:rsid w:val="005631E0"/>
    <w:rsid w:val="00563654"/>
    <w:rsid w:val="00564439"/>
    <w:rsid w:val="00564723"/>
    <w:rsid w:val="005648B9"/>
    <w:rsid w:val="00564AB1"/>
    <w:rsid w:val="00564CB5"/>
    <w:rsid w:val="00564D6E"/>
    <w:rsid w:val="00565B29"/>
    <w:rsid w:val="00565EB5"/>
    <w:rsid w:val="00566484"/>
    <w:rsid w:val="005667A0"/>
    <w:rsid w:val="0056682F"/>
    <w:rsid w:val="005670EB"/>
    <w:rsid w:val="00567243"/>
    <w:rsid w:val="0056767C"/>
    <w:rsid w:val="00567BCA"/>
    <w:rsid w:val="00570A69"/>
    <w:rsid w:val="0057101B"/>
    <w:rsid w:val="0057198A"/>
    <w:rsid w:val="00571A76"/>
    <w:rsid w:val="005729AA"/>
    <w:rsid w:val="00572DC6"/>
    <w:rsid w:val="0057304B"/>
    <w:rsid w:val="00573114"/>
    <w:rsid w:val="00573127"/>
    <w:rsid w:val="00573147"/>
    <w:rsid w:val="0057423D"/>
    <w:rsid w:val="00574BC4"/>
    <w:rsid w:val="005752FD"/>
    <w:rsid w:val="005754C3"/>
    <w:rsid w:val="00575645"/>
    <w:rsid w:val="00575ABA"/>
    <w:rsid w:val="00576695"/>
    <w:rsid w:val="00577E24"/>
    <w:rsid w:val="005808F8"/>
    <w:rsid w:val="00581FA6"/>
    <w:rsid w:val="0058201D"/>
    <w:rsid w:val="005822B7"/>
    <w:rsid w:val="00582700"/>
    <w:rsid w:val="00582985"/>
    <w:rsid w:val="0058357D"/>
    <w:rsid w:val="00583690"/>
    <w:rsid w:val="0058370E"/>
    <w:rsid w:val="00583EF8"/>
    <w:rsid w:val="00584CFA"/>
    <w:rsid w:val="00584F7A"/>
    <w:rsid w:val="005850C8"/>
    <w:rsid w:val="005850ED"/>
    <w:rsid w:val="0058527E"/>
    <w:rsid w:val="0058579F"/>
    <w:rsid w:val="00585C7D"/>
    <w:rsid w:val="00586647"/>
    <w:rsid w:val="00586868"/>
    <w:rsid w:val="005868C8"/>
    <w:rsid w:val="00586EFA"/>
    <w:rsid w:val="005872B3"/>
    <w:rsid w:val="00590F28"/>
    <w:rsid w:val="005916AD"/>
    <w:rsid w:val="005918B5"/>
    <w:rsid w:val="00591FF0"/>
    <w:rsid w:val="005925BB"/>
    <w:rsid w:val="00592F28"/>
    <w:rsid w:val="00593251"/>
    <w:rsid w:val="00594334"/>
    <w:rsid w:val="005945BC"/>
    <w:rsid w:val="005947DF"/>
    <w:rsid w:val="00594DE5"/>
    <w:rsid w:val="00595725"/>
    <w:rsid w:val="00595973"/>
    <w:rsid w:val="00595A8A"/>
    <w:rsid w:val="00595C35"/>
    <w:rsid w:val="00596750"/>
    <w:rsid w:val="00597D45"/>
    <w:rsid w:val="00597DB6"/>
    <w:rsid w:val="00597E46"/>
    <w:rsid w:val="00597E8C"/>
    <w:rsid w:val="005A1756"/>
    <w:rsid w:val="005A1E02"/>
    <w:rsid w:val="005A25E2"/>
    <w:rsid w:val="005A2938"/>
    <w:rsid w:val="005A2B7F"/>
    <w:rsid w:val="005A3046"/>
    <w:rsid w:val="005A42B4"/>
    <w:rsid w:val="005A5A6D"/>
    <w:rsid w:val="005A6643"/>
    <w:rsid w:val="005A6795"/>
    <w:rsid w:val="005A6904"/>
    <w:rsid w:val="005A7318"/>
    <w:rsid w:val="005A73D2"/>
    <w:rsid w:val="005B046B"/>
    <w:rsid w:val="005B12E4"/>
    <w:rsid w:val="005B2FBC"/>
    <w:rsid w:val="005B35D5"/>
    <w:rsid w:val="005B4DF5"/>
    <w:rsid w:val="005B51FF"/>
    <w:rsid w:val="005B5E82"/>
    <w:rsid w:val="005B5EB3"/>
    <w:rsid w:val="005B610B"/>
    <w:rsid w:val="005B64A3"/>
    <w:rsid w:val="005B67AB"/>
    <w:rsid w:val="005B6B9D"/>
    <w:rsid w:val="005B71ED"/>
    <w:rsid w:val="005B7831"/>
    <w:rsid w:val="005B7C21"/>
    <w:rsid w:val="005B7EE7"/>
    <w:rsid w:val="005C045A"/>
    <w:rsid w:val="005C0636"/>
    <w:rsid w:val="005C08E7"/>
    <w:rsid w:val="005C0CD2"/>
    <w:rsid w:val="005C0F97"/>
    <w:rsid w:val="005C1979"/>
    <w:rsid w:val="005C22C9"/>
    <w:rsid w:val="005C248D"/>
    <w:rsid w:val="005C2F2C"/>
    <w:rsid w:val="005C3138"/>
    <w:rsid w:val="005C4078"/>
    <w:rsid w:val="005C4CAF"/>
    <w:rsid w:val="005C4EAF"/>
    <w:rsid w:val="005C4FD3"/>
    <w:rsid w:val="005C512B"/>
    <w:rsid w:val="005C5D4C"/>
    <w:rsid w:val="005C6321"/>
    <w:rsid w:val="005C6585"/>
    <w:rsid w:val="005C696F"/>
    <w:rsid w:val="005C7095"/>
    <w:rsid w:val="005C7DB0"/>
    <w:rsid w:val="005D00E4"/>
    <w:rsid w:val="005D0111"/>
    <w:rsid w:val="005D069E"/>
    <w:rsid w:val="005D1091"/>
    <w:rsid w:val="005D1891"/>
    <w:rsid w:val="005D253D"/>
    <w:rsid w:val="005D3292"/>
    <w:rsid w:val="005D388A"/>
    <w:rsid w:val="005D4DB5"/>
    <w:rsid w:val="005D54A7"/>
    <w:rsid w:val="005D6233"/>
    <w:rsid w:val="005D79B8"/>
    <w:rsid w:val="005E03A8"/>
    <w:rsid w:val="005E0888"/>
    <w:rsid w:val="005E1942"/>
    <w:rsid w:val="005E2306"/>
    <w:rsid w:val="005E304D"/>
    <w:rsid w:val="005E38F1"/>
    <w:rsid w:val="005E45E2"/>
    <w:rsid w:val="005E4BBD"/>
    <w:rsid w:val="005E52D6"/>
    <w:rsid w:val="005E5611"/>
    <w:rsid w:val="005E60A6"/>
    <w:rsid w:val="005E75DA"/>
    <w:rsid w:val="005E79C8"/>
    <w:rsid w:val="005F000F"/>
    <w:rsid w:val="005F0E53"/>
    <w:rsid w:val="005F10FC"/>
    <w:rsid w:val="005F21B7"/>
    <w:rsid w:val="005F2849"/>
    <w:rsid w:val="005F2B37"/>
    <w:rsid w:val="005F2F7B"/>
    <w:rsid w:val="005F33F1"/>
    <w:rsid w:val="005F3856"/>
    <w:rsid w:val="005F5244"/>
    <w:rsid w:val="005F54CE"/>
    <w:rsid w:val="005F5F38"/>
    <w:rsid w:val="005F6CC0"/>
    <w:rsid w:val="005F770E"/>
    <w:rsid w:val="005F77F5"/>
    <w:rsid w:val="005F7CDC"/>
    <w:rsid w:val="006001DB"/>
    <w:rsid w:val="00600921"/>
    <w:rsid w:val="0060139A"/>
    <w:rsid w:val="006015A7"/>
    <w:rsid w:val="006016BA"/>
    <w:rsid w:val="006018C0"/>
    <w:rsid w:val="00601B7D"/>
    <w:rsid w:val="0060373D"/>
    <w:rsid w:val="0060425D"/>
    <w:rsid w:val="00605F78"/>
    <w:rsid w:val="0060635C"/>
    <w:rsid w:val="006066D3"/>
    <w:rsid w:val="006067B4"/>
    <w:rsid w:val="00606A53"/>
    <w:rsid w:val="00606B88"/>
    <w:rsid w:val="00607072"/>
    <w:rsid w:val="0060764F"/>
    <w:rsid w:val="006078B8"/>
    <w:rsid w:val="00607BE0"/>
    <w:rsid w:val="00610117"/>
    <w:rsid w:val="006109D7"/>
    <w:rsid w:val="0061190A"/>
    <w:rsid w:val="00613176"/>
    <w:rsid w:val="006147B3"/>
    <w:rsid w:val="006159BA"/>
    <w:rsid w:val="006169BF"/>
    <w:rsid w:val="006174F5"/>
    <w:rsid w:val="0062038D"/>
    <w:rsid w:val="00620685"/>
    <w:rsid w:val="00620745"/>
    <w:rsid w:val="00620B02"/>
    <w:rsid w:val="00621879"/>
    <w:rsid w:val="006224F1"/>
    <w:rsid w:val="006228F1"/>
    <w:rsid w:val="00622A76"/>
    <w:rsid w:val="0062369F"/>
    <w:rsid w:val="00623948"/>
    <w:rsid w:val="00623BD7"/>
    <w:rsid w:val="006240A2"/>
    <w:rsid w:val="00624383"/>
    <w:rsid w:val="0062445C"/>
    <w:rsid w:val="006245BA"/>
    <w:rsid w:val="006248B6"/>
    <w:rsid w:val="00624FA9"/>
    <w:rsid w:val="00625547"/>
    <w:rsid w:val="0062589D"/>
    <w:rsid w:val="00625A65"/>
    <w:rsid w:val="00626192"/>
    <w:rsid w:val="006269D9"/>
    <w:rsid w:val="0062737D"/>
    <w:rsid w:val="0062781C"/>
    <w:rsid w:val="00627CCF"/>
    <w:rsid w:val="00630408"/>
    <w:rsid w:val="00631665"/>
    <w:rsid w:val="00631EC3"/>
    <w:rsid w:val="006337D6"/>
    <w:rsid w:val="00633E9E"/>
    <w:rsid w:val="0063406F"/>
    <w:rsid w:val="006342AE"/>
    <w:rsid w:val="00634865"/>
    <w:rsid w:val="00634ACA"/>
    <w:rsid w:val="00635343"/>
    <w:rsid w:val="006357BE"/>
    <w:rsid w:val="0063719A"/>
    <w:rsid w:val="00637D57"/>
    <w:rsid w:val="0064012C"/>
    <w:rsid w:val="0064094E"/>
    <w:rsid w:val="0064152D"/>
    <w:rsid w:val="00641F7E"/>
    <w:rsid w:val="00642177"/>
    <w:rsid w:val="00642394"/>
    <w:rsid w:val="00642A1F"/>
    <w:rsid w:val="00642BF5"/>
    <w:rsid w:val="00643237"/>
    <w:rsid w:val="00643B89"/>
    <w:rsid w:val="00644455"/>
    <w:rsid w:val="00644A51"/>
    <w:rsid w:val="00644E74"/>
    <w:rsid w:val="00644F44"/>
    <w:rsid w:val="00645094"/>
    <w:rsid w:val="00645E26"/>
    <w:rsid w:val="00647038"/>
    <w:rsid w:val="00650615"/>
    <w:rsid w:val="00650A5F"/>
    <w:rsid w:val="006515F8"/>
    <w:rsid w:val="006535A8"/>
    <w:rsid w:val="00653B71"/>
    <w:rsid w:val="00653E77"/>
    <w:rsid w:val="006549B6"/>
    <w:rsid w:val="00654BBE"/>
    <w:rsid w:val="00656352"/>
    <w:rsid w:val="006563FB"/>
    <w:rsid w:val="0065713A"/>
    <w:rsid w:val="0065744C"/>
    <w:rsid w:val="0066124A"/>
    <w:rsid w:val="0066192B"/>
    <w:rsid w:val="00662066"/>
    <w:rsid w:val="006621A2"/>
    <w:rsid w:val="00662407"/>
    <w:rsid w:val="00663136"/>
    <w:rsid w:val="0066463C"/>
    <w:rsid w:val="006647DF"/>
    <w:rsid w:val="006648F2"/>
    <w:rsid w:val="006650A2"/>
    <w:rsid w:val="006651BB"/>
    <w:rsid w:val="006657BA"/>
    <w:rsid w:val="006663C2"/>
    <w:rsid w:val="0066652C"/>
    <w:rsid w:val="00666727"/>
    <w:rsid w:val="0066677C"/>
    <w:rsid w:val="006668F2"/>
    <w:rsid w:val="00666D86"/>
    <w:rsid w:val="00666F1B"/>
    <w:rsid w:val="00667258"/>
    <w:rsid w:val="006675E2"/>
    <w:rsid w:val="006677FF"/>
    <w:rsid w:val="00667C62"/>
    <w:rsid w:val="006701B1"/>
    <w:rsid w:val="0067097E"/>
    <w:rsid w:val="00670CFF"/>
    <w:rsid w:val="0067128A"/>
    <w:rsid w:val="00671934"/>
    <w:rsid w:val="00671CA1"/>
    <w:rsid w:val="00671F31"/>
    <w:rsid w:val="00672AE9"/>
    <w:rsid w:val="006731E0"/>
    <w:rsid w:val="00673394"/>
    <w:rsid w:val="00673646"/>
    <w:rsid w:val="00673724"/>
    <w:rsid w:val="006737AC"/>
    <w:rsid w:val="00673AB1"/>
    <w:rsid w:val="006740A0"/>
    <w:rsid w:val="0067446F"/>
    <w:rsid w:val="0067455A"/>
    <w:rsid w:val="00674908"/>
    <w:rsid w:val="00674B3C"/>
    <w:rsid w:val="00674B8A"/>
    <w:rsid w:val="00675838"/>
    <w:rsid w:val="006769CA"/>
    <w:rsid w:val="00677679"/>
    <w:rsid w:val="00677F73"/>
    <w:rsid w:val="00681B47"/>
    <w:rsid w:val="006826C8"/>
    <w:rsid w:val="00684731"/>
    <w:rsid w:val="006849CA"/>
    <w:rsid w:val="0068552D"/>
    <w:rsid w:val="00686D31"/>
    <w:rsid w:val="00686F2B"/>
    <w:rsid w:val="00687804"/>
    <w:rsid w:val="00687990"/>
    <w:rsid w:val="00690426"/>
    <w:rsid w:val="006904A0"/>
    <w:rsid w:val="00690CD3"/>
    <w:rsid w:val="006929C0"/>
    <w:rsid w:val="00692ABC"/>
    <w:rsid w:val="006936E1"/>
    <w:rsid w:val="0069373A"/>
    <w:rsid w:val="00693778"/>
    <w:rsid w:val="00693998"/>
    <w:rsid w:val="00693E24"/>
    <w:rsid w:val="006953D5"/>
    <w:rsid w:val="0069579E"/>
    <w:rsid w:val="00696147"/>
    <w:rsid w:val="006977EF"/>
    <w:rsid w:val="006A072E"/>
    <w:rsid w:val="006A08FD"/>
    <w:rsid w:val="006A097D"/>
    <w:rsid w:val="006A1505"/>
    <w:rsid w:val="006A1AB0"/>
    <w:rsid w:val="006A1FE0"/>
    <w:rsid w:val="006A2811"/>
    <w:rsid w:val="006A2A7D"/>
    <w:rsid w:val="006A2B26"/>
    <w:rsid w:val="006A2F2B"/>
    <w:rsid w:val="006A33D2"/>
    <w:rsid w:val="006A493B"/>
    <w:rsid w:val="006A49E6"/>
    <w:rsid w:val="006A519F"/>
    <w:rsid w:val="006A53A0"/>
    <w:rsid w:val="006A5FCA"/>
    <w:rsid w:val="006A7A27"/>
    <w:rsid w:val="006A7B35"/>
    <w:rsid w:val="006B0205"/>
    <w:rsid w:val="006B043F"/>
    <w:rsid w:val="006B045D"/>
    <w:rsid w:val="006B0683"/>
    <w:rsid w:val="006B0738"/>
    <w:rsid w:val="006B1344"/>
    <w:rsid w:val="006B1BAD"/>
    <w:rsid w:val="006B284B"/>
    <w:rsid w:val="006B2C07"/>
    <w:rsid w:val="006B3356"/>
    <w:rsid w:val="006B370E"/>
    <w:rsid w:val="006B3821"/>
    <w:rsid w:val="006B3951"/>
    <w:rsid w:val="006B39B4"/>
    <w:rsid w:val="006B4137"/>
    <w:rsid w:val="006B4589"/>
    <w:rsid w:val="006B48A2"/>
    <w:rsid w:val="006B4BBC"/>
    <w:rsid w:val="006B4DF3"/>
    <w:rsid w:val="006B4FE1"/>
    <w:rsid w:val="006B7036"/>
    <w:rsid w:val="006C04B1"/>
    <w:rsid w:val="006C09AE"/>
    <w:rsid w:val="006C1598"/>
    <w:rsid w:val="006C1AAF"/>
    <w:rsid w:val="006C1F98"/>
    <w:rsid w:val="006C2447"/>
    <w:rsid w:val="006C2FC1"/>
    <w:rsid w:val="006C327F"/>
    <w:rsid w:val="006C3ED6"/>
    <w:rsid w:val="006C40F3"/>
    <w:rsid w:val="006C4688"/>
    <w:rsid w:val="006C4D42"/>
    <w:rsid w:val="006C4DA8"/>
    <w:rsid w:val="006C5B76"/>
    <w:rsid w:val="006C652E"/>
    <w:rsid w:val="006C6871"/>
    <w:rsid w:val="006C6F63"/>
    <w:rsid w:val="006C7F96"/>
    <w:rsid w:val="006C7FEF"/>
    <w:rsid w:val="006D0F1C"/>
    <w:rsid w:val="006D1696"/>
    <w:rsid w:val="006D1E48"/>
    <w:rsid w:val="006D2708"/>
    <w:rsid w:val="006D271F"/>
    <w:rsid w:val="006D28D3"/>
    <w:rsid w:val="006D2B2F"/>
    <w:rsid w:val="006D3351"/>
    <w:rsid w:val="006D37BA"/>
    <w:rsid w:val="006D3F64"/>
    <w:rsid w:val="006D4A7E"/>
    <w:rsid w:val="006D4F0C"/>
    <w:rsid w:val="006D50B6"/>
    <w:rsid w:val="006D53F1"/>
    <w:rsid w:val="006D5C05"/>
    <w:rsid w:val="006D5EBC"/>
    <w:rsid w:val="006D6264"/>
    <w:rsid w:val="006D6A0E"/>
    <w:rsid w:val="006E04E7"/>
    <w:rsid w:val="006E14E2"/>
    <w:rsid w:val="006E1785"/>
    <w:rsid w:val="006E2309"/>
    <w:rsid w:val="006E23CB"/>
    <w:rsid w:val="006E28E7"/>
    <w:rsid w:val="006E32F9"/>
    <w:rsid w:val="006E33A7"/>
    <w:rsid w:val="006E388A"/>
    <w:rsid w:val="006E3AD5"/>
    <w:rsid w:val="006E3E7A"/>
    <w:rsid w:val="006E40E2"/>
    <w:rsid w:val="006E4AB2"/>
    <w:rsid w:val="006E4CF0"/>
    <w:rsid w:val="006E641D"/>
    <w:rsid w:val="006E6A71"/>
    <w:rsid w:val="006E6CAC"/>
    <w:rsid w:val="006F05AF"/>
    <w:rsid w:val="006F1015"/>
    <w:rsid w:val="006F1ADF"/>
    <w:rsid w:val="006F20E7"/>
    <w:rsid w:val="006F20FD"/>
    <w:rsid w:val="006F22C5"/>
    <w:rsid w:val="006F22F9"/>
    <w:rsid w:val="006F309D"/>
    <w:rsid w:val="006F35A9"/>
    <w:rsid w:val="006F46A2"/>
    <w:rsid w:val="006F4CA2"/>
    <w:rsid w:val="006F5187"/>
    <w:rsid w:val="006F5606"/>
    <w:rsid w:val="006F5723"/>
    <w:rsid w:val="006F634C"/>
    <w:rsid w:val="006F65E5"/>
    <w:rsid w:val="006F675F"/>
    <w:rsid w:val="006F7233"/>
    <w:rsid w:val="006F76C9"/>
    <w:rsid w:val="006F783C"/>
    <w:rsid w:val="00700804"/>
    <w:rsid w:val="007015FA"/>
    <w:rsid w:val="00701DE6"/>
    <w:rsid w:val="00701E5A"/>
    <w:rsid w:val="00702B89"/>
    <w:rsid w:val="00704B35"/>
    <w:rsid w:val="00705088"/>
    <w:rsid w:val="00705732"/>
    <w:rsid w:val="007057A4"/>
    <w:rsid w:val="00705C69"/>
    <w:rsid w:val="00706F9A"/>
    <w:rsid w:val="0070773A"/>
    <w:rsid w:val="00707BBF"/>
    <w:rsid w:val="00707E76"/>
    <w:rsid w:val="00710489"/>
    <w:rsid w:val="007115ED"/>
    <w:rsid w:val="00711D4C"/>
    <w:rsid w:val="00712219"/>
    <w:rsid w:val="00712DCD"/>
    <w:rsid w:val="007130BC"/>
    <w:rsid w:val="007147F1"/>
    <w:rsid w:val="007156CD"/>
    <w:rsid w:val="00715BFA"/>
    <w:rsid w:val="00715F96"/>
    <w:rsid w:val="007168ED"/>
    <w:rsid w:val="00717292"/>
    <w:rsid w:val="00717737"/>
    <w:rsid w:val="007179F6"/>
    <w:rsid w:val="007213DF"/>
    <w:rsid w:val="00721621"/>
    <w:rsid w:val="00721933"/>
    <w:rsid w:val="007219EA"/>
    <w:rsid w:val="00721D3F"/>
    <w:rsid w:val="00721D4C"/>
    <w:rsid w:val="00722EC1"/>
    <w:rsid w:val="007243D2"/>
    <w:rsid w:val="00724957"/>
    <w:rsid w:val="00724F0E"/>
    <w:rsid w:val="007252B4"/>
    <w:rsid w:val="0072670D"/>
    <w:rsid w:val="00726AD2"/>
    <w:rsid w:val="007270ED"/>
    <w:rsid w:val="007271B0"/>
    <w:rsid w:val="0072776A"/>
    <w:rsid w:val="007320B0"/>
    <w:rsid w:val="007328F3"/>
    <w:rsid w:val="00732FDD"/>
    <w:rsid w:val="007335B5"/>
    <w:rsid w:val="007338A0"/>
    <w:rsid w:val="00733D53"/>
    <w:rsid w:val="007341C4"/>
    <w:rsid w:val="00734391"/>
    <w:rsid w:val="00734D26"/>
    <w:rsid w:val="00735BBF"/>
    <w:rsid w:val="00740044"/>
    <w:rsid w:val="00740B02"/>
    <w:rsid w:val="007416A7"/>
    <w:rsid w:val="007420FE"/>
    <w:rsid w:val="00742454"/>
    <w:rsid w:val="007424D3"/>
    <w:rsid w:val="00742F2B"/>
    <w:rsid w:val="00742F9C"/>
    <w:rsid w:val="00743120"/>
    <w:rsid w:val="00744660"/>
    <w:rsid w:val="007447A9"/>
    <w:rsid w:val="00744AC3"/>
    <w:rsid w:val="00744E70"/>
    <w:rsid w:val="00745028"/>
    <w:rsid w:val="0074524B"/>
    <w:rsid w:val="00745311"/>
    <w:rsid w:val="007457E5"/>
    <w:rsid w:val="007466E9"/>
    <w:rsid w:val="00746F24"/>
    <w:rsid w:val="007477F8"/>
    <w:rsid w:val="00747841"/>
    <w:rsid w:val="00747BAB"/>
    <w:rsid w:val="00747F77"/>
    <w:rsid w:val="0075011F"/>
    <w:rsid w:val="00750CDC"/>
    <w:rsid w:val="00750EFA"/>
    <w:rsid w:val="00752122"/>
    <w:rsid w:val="007521B4"/>
    <w:rsid w:val="00752369"/>
    <w:rsid w:val="00752400"/>
    <w:rsid w:val="0075471E"/>
    <w:rsid w:val="00754C0B"/>
    <w:rsid w:val="00754E74"/>
    <w:rsid w:val="00756645"/>
    <w:rsid w:val="00756931"/>
    <w:rsid w:val="007576C8"/>
    <w:rsid w:val="00757915"/>
    <w:rsid w:val="00757F8F"/>
    <w:rsid w:val="0076039A"/>
    <w:rsid w:val="0076086E"/>
    <w:rsid w:val="00760894"/>
    <w:rsid w:val="00760928"/>
    <w:rsid w:val="007609EA"/>
    <w:rsid w:val="00762227"/>
    <w:rsid w:val="00762369"/>
    <w:rsid w:val="007634D8"/>
    <w:rsid w:val="007645D6"/>
    <w:rsid w:val="007659CE"/>
    <w:rsid w:val="00765DA8"/>
    <w:rsid w:val="00766A48"/>
    <w:rsid w:val="00766A9C"/>
    <w:rsid w:val="00770311"/>
    <w:rsid w:val="00770D98"/>
    <w:rsid w:val="007716A4"/>
    <w:rsid w:val="00771A58"/>
    <w:rsid w:val="00771E00"/>
    <w:rsid w:val="00772FCB"/>
    <w:rsid w:val="007737CD"/>
    <w:rsid w:val="00773CE4"/>
    <w:rsid w:val="00774620"/>
    <w:rsid w:val="00775521"/>
    <w:rsid w:val="007756A1"/>
    <w:rsid w:val="00776146"/>
    <w:rsid w:val="00776563"/>
    <w:rsid w:val="00776B85"/>
    <w:rsid w:val="00776FC3"/>
    <w:rsid w:val="0077745E"/>
    <w:rsid w:val="007803D5"/>
    <w:rsid w:val="00781383"/>
    <w:rsid w:val="00781846"/>
    <w:rsid w:val="0078184E"/>
    <w:rsid w:val="007820D8"/>
    <w:rsid w:val="007821F2"/>
    <w:rsid w:val="00782817"/>
    <w:rsid w:val="00782DA4"/>
    <w:rsid w:val="00783484"/>
    <w:rsid w:val="007834FC"/>
    <w:rsid w:val="0078418B"/>
    <w:rsid w:val="00784450"/>
    <w:rsid w:val="00784D5E"/>
    <w:rsid w:val="00785D52"/>
    <w:rsid w:val="00786737"/>
    <w:rsid w:val="00786CB7"/>
    <w:rsid w:val="00787D41"/>
    <w:rsid w:val="00790701"/>
    <w:rsid w:val="00790A6D"/>
    <w:rsid w:val="00790BA9"/>
    <w:rsid w:val="00791374"/>
    <w:rsid w:val="0079158B"/>
    <w:rsid w:val="0079178B"/>
    <w:rsid w:val="007924B8"/>
    <w:rsid w:val="00792F61"/>
    <w:rsid w:val="007942A5"/>
    <w:rsid w:val="007947A5"/>
    <w:rsid w:val="00795529"/>
    <w:rsid w:val="00796300"/>
    <w:rsid w:val="007967B9"/>
    <w:rsid w:val="0079690C"/>
    <w:rsid w:val="00796CF7"/>
    <w:rsid w:val="00797021"/>
    <w:rsid w:val="00797D24"/>
    <w:rsid w:val="007A0287"/>
    <w:rsid w:val="007A1CBD"/>
    <w:rsid w:val="007A2D42"/>
    <w:rsid w:val="007A3010"/>
    <w:rsid w:val="007A4211"/>
    <w:rsid w:val="007A4484"/>
    <w:rsid w:val="007A45F1"/>
    <w:rsid w:val="007A4B81"/>
    <w:rsid w:val="007A53AF"/>
    <w:rsid w:val="007A5B28"/>
    <w:rsid w:val="007A5BC6"/>
    <w:rsid w:val="007A5EEA"/>
    <w:rsid w:val="007A6561"/>
    <w:rsid w:val="007A7809"/>
    <w:rsid w:val="007B023E"/>
    <w:rsid w:val="007B041D"/>
    <w:rsid w:val="007B0436"/>
    <w:rsid w:val="007B0988"/>
    <w:rsid w:val="007B0FCA"/>
    <w:rsid w:val="007B10B5"/>
    <w:rsid w:val="007B154A"/>
    <w:rsid w:val="007B1ADA"/>
    <w:rsid w:val="007B1E70"/>
    <w:rsid w:val="007B2000"/>
    <w:rsid w:val="007B241A"/>
    <w:rsid w:val="007B302C"/>
    <w:rsid w:val="007B312E"/>
    <w:rsid w:val="007B3C56"/>
    <w:rsid w:val="007B4265"/>
    <w:rsid w:val="007B677D"/>
    <w:rsid w:val="007B711C"/>
    <w:rsid w:val="007B7F2E"/>
    <w:rsid w:val="007C051B"/>
    <w:rsid w:val="007C0809"/>
    <w:rsid w:val="007C138B"/>
    <w:rsid w:val="007C2A18"/>
    <w:rsid w:val="007C3261"/>
    <w:rsid w:val="007C3933"/>
    <w:rsid w:val="007C3D58"/>
    <w:rsid w:val="007C4D60"/>
    <w:rsid w:val="007C4E6E"/>
    <w:rsid w:val="007C5159"/>
    <w:rsid w:val="007C6737"/>
    <w:rsid w:val="007C6772"/>
    <w:rsid w:val="007C69A7"/>
    <w:rsid w:val="007C7591"/>
    <w:rsid w:val="007C778D"/>
    <w:rsid w:val="007D0222"/>
    <w:rsid w:val="007D1921"/>
    <w:rsid w:val="007D23A8"/>
    <w:rsid w:val="007D2A9C"/>
    <w:rsid w:val="007D2BC0"/>
    <w:rsid w:val="007D35FA"/>
    <w:rsid w:val="007D4C16"/>
    <w:rsid w:val="007D774D"/>
    <w:rsid w:val="007D7865"/>
    <w:rsid w:val="007D7CF3"/>
    <w:rsid w:val="007E053B"/>
    <w:rsid w:val="007E0C99"/>
    <w:rsid w:val="007E1359"/>
    <w:rsid w:val="007E3412"/>
    <w:rsid w:val="007E38EE"/>
    <w:rsid w:val="007E3AAC"/>
    <w:rsid w:val="007E3C47"/>
    <w:rsid w:val="007E439B"/>
    <w:rsid w:val="007E4E50"/>
    <w:rsid w:val="007E552B"/>
    <w:rsid w:val="007E5E93"/>
    <w:rsid w:val="007E5EEE"/>
    <w:rsid w:val="007E687A"/>
    <w:rsid w:val="007E6A09"/>
    <w:rsid w:val="007E71D1"/>
    <w:rsid w:val="007E7512"/>
    <w:rsid w:val="007F0201"/>
    <w:rsid w:val="007F07C9"/>
    <w:rsid w:val="007F10A2"/>
    <w:rsid w:val="007F12D5"/>
    <w:rsid w:val="007F16C6"/>
    <w:rsid w:val="007F1AD0"/>
    <w:rsid w:val="007F1E14"/>
    <w:rsid w:val="007F25D7"/>
    <w:rsid w:val="007F2AF5"/>
    <w:rsid w:val="007F2C38"/>
    <w:rsid w:val="007F2E9E"/>
    <w:rsid w:val="007F3560"/>
    <w:rsid w:val="007F39D0"/>
    <w:rsid w:val="007F3CAA"/>
    <w:rsid w:val="007F53C2"/>
    <w:rsid w:val="007F5894"/>
    <w:rsid w:val="007F5F64"/>
    <w:rsid w:val="007F64AB"/>
    <w:rsid w:val="007F6754"/>
    <w:rsid w:val="007F6A78"/>
    <w:rsid w:val="007F6BDA"/>
    <w:rsid w:val="007F719F"/>
    <w:rsid w:val="007F7558"/>
    <w:rsid w:val="007F7EE3"/>
    <w:rsid w:val="0080084E"/>
    <w:rsid w:val="008008CB"/>
    <w:rsid w:val="00800D20"/>
    <w:rsid w:val="00803199"/>
    <w:rsid w:val="008040DD"/>
    <w:rsid w:val="00805330"/>
    <w:rsid w:val="00806152"/>
    <w:rsid w:val="008062B2"/>
    <w:rsid w:val="0080687F"/>
    <w:rsid w:val="008069CF"/>
    <w:rsid w:val="008079D8"/>
    <w:rsid w:val="008104A2"/>
    <w:rsid w:val="008111AD"/>
    <w:rsid w:val="00811B9E"/>
    <w:rsid w:val="00812E96"/>
    <w:rsid w:val="008147BA"/>
    <w:rsid w:val="00814DE4"/>
    <w:rsid w:val="00815452"/>
    <w:rsid w:val="0081573D"/>
    <w:rsid w:val="00815B76"/>
    <w:rsid w:val="00815E80"/>
    <w:rsid w:val="0081738B"/>
    <w:rsid w:val="00817707"/>
    <w:rsid w:val="0081794F"/>
    <w:rsid w:val="00817A23"/>
    <w:rsid w:val="00817D1B"/>
    <w:rsid w:val="00820FA1"/>
    <w:rsid w:val="008218CE"/>
    <w:rsid w:val="00821BD9"/>
    <w:rsid w:val="008223CC"/>
    <w:rsid w:val="008225B4"/>
    <w:rsid w:val="00822FD6"/>
    <w:rsid w:val="00824677"/>
    <w:rsid w:val="008247BB"/>
    <w:rsid w:val="008250F2"/>
    <w:rsid w:val="0082513F"/>
    <w:rsid w:val="00825B7C"/>
    <w:rsid w:val="00825C0D"/>
    <w:rsid w:val="00826359"/>
    <w:rsid w:val="008266A5"/>
    <w:rsid w:val="008266F3"/>
    <w:rsid w:val="008269CD"/>
    <w:rsid w:val="00826DA0"/>
    <w:rsid w:val="0082719E"/>
    <w:rsid w:val="008272A0"/>
    <w:rsid w:val="00827E38"/>
    <w:rsid w:val="008301CE"/>
    <w:rsid w:val="00830A9C"/>
    <w:rsid w:val="00831A59"/>
    <w:rsid w:val="00831AD6"/>
    <w:rsid w:val="0083210E"/>
    <w:rsid w:val="00832AED"/>
    <w:rsid w:val="00832D6F"/>
    <w:rsid w:val="00832DEE"/>
    <w:rsid w:val="00833498"/>
    <w:rsid w:val="00833654"/>
    <w:rsid w:val="00833F81"/>
    <w:rsid w:val="0083585D"/>
    <w:rsid w:val="00835EB1"/>
    <w:rsid w:val="00836984"/>
    <w:rsid w:val="00837063"/>
    <w:rsid w:val="0083728A"/>
    <w:rsid w:val="008373E7"/>
    <w:rsid w:val="00837A0D"/>
    <w:rsid w:val="0084042F"/>
    <w:rsid w:val="00840A05"/>
    <w:rsid w:val="00840FB1"/>
    <w:rsid w:val="00841794"/>
    <w:rsid w:val="00841800"/>
    <w:rsid w:val="0084194D"/>
    <w:rsid w:val="008419BF"/>
    <w:rsid w:val="0084284F"/>
    <w:rsid w:val="0084289F"/>
    <w:rsid w:val="008429C1"/>
    <w:rsid w:val="00842E70"/>
    <w:rsid w:val="00843687"/>
    <w:rsid w:val="00843A75"/>
    <w:rsid w:val="0084414E"/>
    <w:rsid w:val="00844EA2"/>
    <w:rsid w:val="008450B7"/>
    <w:rsid w:val="008454E5"/>
    <w:rsid w:val="0084636E"/>
    <w:rsid w:val="0084723C"/>
    <w:rsid w:val="00847311"/>
    <w:rsid w:val="00847CF2"/>
    <w:rsid w:val="00850923"/>
    <w:rsid w:val="00850BFB"/>
    <w:rsid w:val="00850F25"/>
    <w:rsid w:val="0085176E"/>
    <w:rsid w:val="00851A5C"/>
    <w:rsid w:val="0085353B"/>
    <w:rsid w:val="0085450D"/>
    <w:rsid w:val="008549D6"/>
    <w:rsid w:val="0085645C"/>
    <w:rsid w:val="00856575"/>
    <w:rsid w:val="00856B3F"/>
    <w:rsid w:val="00857473"/>
    <w:rsid w:val="0085756F"/>
    <w:rsid w:val="0085762A"/>
    <w:rsid w:val="00860394"/>
    <w:rsid w:val="00860426"/>
    <w:rsid w:val="00861072"/>
    <w:rsid w:val="00861A94"/>
    <w:rsid w:val="00861D53"/>
    <w:rsid w:val="008626B0"/>
    <w:rsid w:val="00862C34"/>
    <w:rsid w:val="008632CF"/>
    <w:rsid w:val="0086343A"/>
    <w:rsid w:val="00865898"/>
    <w:rsid w:val="00865D87"/>
    <w:rsid w:val="00866708"/>
    <w:rsid w:val="00866748"/>
    <w:rsid w:val="00866D4A"/>
    <w:rsid w:val="008670CA"/>
    <w:rsid w:val="008671FB"/>
    <w:rsid w:val="00867BE7"/>
    <w:rsid w:val="00867C80"/>
    <w:rsid w:val="00870237"/>
    <w:rsid w:val="00870CA9"/>
    <w:rsid w:val="008710C9"/>
    <w:rsid w:val="0087189E"/>
    <w:rsid w:val="00871B75"/>
    <w:rsid w:val="00871BBA"/>
    <w:rsid w:val="00871D6E"/>
    <w:rsid w:val="008721AE"/>
    <w:rsid w:val="0087259A"/>
    <w:rsid w:val="00874D78"/>
    <w:rsid w:val="00875902"/>
    <w:rsid w:val="00875998"/>
    <w:rsid w:val="00875C84"/>
    <w:rsid w:val="0087692C"/>
    <w:rsid w:val="00876AE4"/>
    <w:rsid w:val="0087724F"/>
    <w:rsid w:val="00877662"/>
    <w:rsid w:val="00877931"/>
    <w:rsid w:val="008808DF"/>
    <w:rsid w:val="00880D73"/>
    <w:rsid w:val="00880F55"/>
    <w:rsid w:val="008821EA"/>
    <w:rsid w:val="008823EC"/>
    <w:rsid w:val="008826EB"/>
    <w:rsid w:val="0088438A"/>
    <w:rsid w:val="00884480"/>
    <w:rsid w:val="00884915"/>
    <w:rsid w:val="008859A5"/>
    <w:rsid w:val="008860BC"/>
    <w:rsid w:val="00886B56"/>
    <w:rsid w:val="0088778B"/>
    <w:rsid w:val="00887E1B"/>
    <w:rsid w:val="008901D8"/>
    <w:rsid w:val="00890211"/>
    <w:rsid w:val="00890A77"/>
    <w:rsid w:val="00890A99"/>
    <w:rsid w:val="00890AB8"/>
    <w:rsid w:val="00890EAE"/>
    <w:rsid w:val="008911F3"/>
    <w:rsid w:val="00892678"/>
    <w:rsid w:val="008928D8"/>
    <w:rsid w:val="00892B3B"/>
    <w:rsid w:val="00892D75"/>
    <w:rsid w:val="00892EBC"/>
    <w:rsid w:val="00892F90"/>
    <w:rsid w:val="0089323D"/>
    <w:rsid w:val="00893437"/>
    <w:rsid w:val="00893C34"/>
    <w:rsid w:val="008945BB"/>
    <w:rsid w:val="00894BB3"/>
    <w:rsid w:val="00895135"/>
    <w:rsid w:val="008955ED"/>
    <w:rsid w:val="008957D6"/>
    <w:rsid w:val="00895E38"/>
    <w:rsid w:val="00895F18"/>
    <w:rsid w:val="00896AB8"/>
    <w:rsid w:val="00896D93"/>
    <w:rsid w:val="008978FE"/>
    <w:rsid w:val="00897B69"/>
    <w:rsid w:val="00897BC9"/>
    <w:rsid w:val="008A0458"/>
    <w:rsid w:val="008A0695"/>
    <w:rsid w:val="008A2372"/>
    <w:rsid w:val="008A279F"/>
    <w:rsid w:val="008A323E"/>
    <w:rsid w:val="008A3FC8"/>
    <w:rsid w:val="008A4AB4"/>
    <w:rsid w:val="008A4B14"/>
    <w:rsid w:val="008A4B46"/>
    <w:rsid w:val="008A5056"/>
    <w:rsid w:val="008A5E01"/>
    <w:rsid w:val="008A70DB"/>
    <w:rsid w:val="008B007B"/>
    <w:rsid w:val="008B00D7"/>
    <w:rsid w:val="008B0361"/>
    <w:rsid w:val="008B0395"/>
    <w:rsid w:val="008B057A"/>
    <w:rsid w:val="008B0AFA"/>
    <w:rsid w:val="008B199C"/>
    <w:rsid w:val="008B1B58"/>
    <w:rsid w:val="008B2009"/>
    <w:rsid w:val="008B34E8"/>
    <w:rsid w:val="008B3500"/>
    <w:rsid w:val="008B3B1B"/>
    <w:rsid w:val="008B43DB"/>
    <w:rsid w:val="008B467B"/>
    <w:rsid w:val="008B46DC"/>
    <w:rsid w:val="008B4774"/>
    <w:rsid w:val="008B5105"/>
    <w:rsid w:val="008B51AF"/>
    <w:rsid w:val="008B54D0"/>
    <w:rsid w:val="008B559F"/>
    <w:rsid w:val="008B5AE1"/>
    <w:rsid w:val="008B5DA2"/>
    <w:rsid w:val="008B61C6"/>
    <w:rsid w:val="008B63BC"/>
    <w:rsid w:val="008B6A30"/>
    <w:rsid w:val="008B6DD7"/>
    <w:rsid w:val="008B788C"/>
    <w:rsid w:val="008B78DF"/>
    <w:rsid w:val="008C00E1"/>
    <w:rsid w:val="008C0259"/>
    <w:rsid w:val="008C078F"/>
    <w:rsid w:val="008C25CE"/>
    <w:rsid w:val="008C25E3"/>
    <w:rsid w:val="008C3687"/>
    <w:rsid w:val="008C36DC"/>
    <w:rsid w:val="008C4564"/>
    <w:rsid w:val="008C4A5D"/>
    <w:rsid w:val="008C4D79"/>
    <w:rsid w:val="008C4DF1"/>
    <w:rsid w:val="008C4EC2"/>
    <w:rsid w:val="008C5AA8"/>
    <w:rsid w:val="008C5D80"/>
    <w:rsid w:val="008C60D9"/>
    <w:rsid w:val="008C621C"/>
    <w:rsid w:val="008C64AD"/>
    <w:rsid w:val="008C6524"/>
    <w:rsid w:val="008C7179"/>
    <w:rsid w:val="008C754F"/>
    <w:rsid w:val="008D0B98"/>
    <w:rsid w:val="008D1074"/>
    <w:rsid w:val="008D1A01"/>
    <w:rsid w:val="008D32D4"/>
    <w:rsid w:val="008D438B"/>
    <w:rsid w:val="008D4423"/>
    <w:rsid w:val="008D47D7"/>
    <w:rsid w:val="008D4F73"/>
    <w:rsid w:val="008D533A"/>
    <w:rsid w:val="008D5644"/>
    <w:rsid w:val="008D5C94"/>
    <w:rsid w:val="008D5EA0"/>
    <w:rsid w:val="008D698D"/>
    <w:rsid w:val="008D6B62"/>
    <w:rsid w:val="008D6F52"/>
    <w:rsid w:val="008D726B"/>
    <w:rsid w:val="008D7E66"/>
    <w:rsid w:val="008E0449"/>
    <w:rsid w:val="008E11B2"/>
    <w:rsid w:val="008E1A1A"/>
    <w:rsid w:val="008E1AC4"/>
    <w:rsid w:val="008E2FB3"/>
    <w:rsid w:val="008E34A8"/>
    <w:rsid w:val="008E4E92"/>
    <w:rsid w:val="008E505C"/>
    <w:rsid w:val="008E50B8"/>
    <w:rsid w:val="008E59E9"/>
    <w:rsid w:val="008E5B94"/>
    <w:rsid w:val="008E5C12"/>
    <w:rsid w:val="008E5E63"/>
    <w:rsid w:val="008E6095"/>
    <w:rsid w:val="008E6C6C"/>
    <w:rsid w:val="008E6DBF"/>
    <w:rsid w:val="008E7016"/>
    <w:rsid w:val="008E776A"/>
    <w:rsid w:val="008F13A0"/>
    <w:rsid w:val="008F20EA"/>
    <w:rsid w:val="008F2369"/>
    <w:rsid w:val="008F253C"/>
    <w:rsid w:val="008F2C76"/>
    <w:rsid w:val="008F3196"/>
    <w:rsid w:val="008F320C"/>
    <w:rsid w:val="008F388A"/>
    <w:rsid w:val="008F3B62"/>
    <w:rsid w:val="008F3C4A"/>
    <w:rsid w:val="008F4836"/>
    <w:rsid w:val="008F5A28"/>
    <w:rsid w:val="008F60AE"/>
    <w:rsid w:val="008F6E86"/>
    <w:rsid w:val="008F76DC"/>
    <w:rsid w:val="00900254"/>
    <w:rsid w:val="009004DB"/>
    <w:rsid w:val="009006CF"/>
    <w:rsid w:val="00900941"/>
    <w:rsid w:val="00900C86"/>
    <w:rsid w:val="00901791"/>
    <w:rsid w:val="00901903"/>
    <w:rsid w:val="00901991"/>
    <w:rsid w:val="00902045"/>
    <w:rsid w:val="00903398"/>
    <w:rsid w:val="0090385B"/>
    <w:rsid w:val="00903A5A"/>
    <w:rsid w:val="00903C5B"/>
    <w:rsid w:val="00903F05"/>
    <w:rsid w:val="00904CFB"/>
    <w:rsid w:val="009058DE"/>
    <w:rsid w:val="00905ECA"/>
    <w:rsid w:val="0090626E"/>
    <w:rsid w:val="0090662F"/>
    <w:rsid w:val="00906CEE"/>
    <w:rsid w:val="0090790D"/>
    <w:rsid w:val="00910236"/>
    <w:rsid w:val="00910F98"/>
    <w:rsid w:val="009111E6"/>
    <w:rsid w:val="0091187A"/>
    <w:rsid w:val="0091189A"/>
    <w:rsid w:val="00912979"/>
    <w:rsid w:val="0091315D"/>
    <w:rsid w:val="00913547"/>
    <w:rsid w:val="0091377D"/>
    <w:rsid w:val="0091420A"/>
    <w:rsid w:val="00914284"/>
    <w:rsid w:val="0091451B"/>
    <w:rsid w:val="00914522"/>
    <w:rsid w:val="00914974"/>
    <w:rsid w:val="00914CD4"/>
    <w:rsid w:val="00914ED6"/>
    <w:rsid w:val="00914EFC"/>
    <w:rsid w:val="009156D7"/>
    <w:rsid w:val="00916F93"/>
    <w:rsid w:val="0091732F"/>
    <w:rsid w:val="00917681"/>
    <w:rsid w:val="00917E71"/>
    <w:rsid w:val="00921732"/>
    <w:rsid w:val="00921AEE"/>
    <w:rsid w:val="00921B8D"/>
    <w:rsid w:val="00921C44"/>
    <w:rsid w:val="0092246A"/>
    <w:rsid w:val="009225C7"/>
    <w:rsid w:val="00922AC9"/>
    <w:rsid w:val="0092327C"/>
    <w:rsid w:val="009237CC"/>
    <w:rsid w:val="00924101"/>
    <w:rsid w:val="009241AA"/>
    <w:rsid w:val="0092465B"/>
    <w:rsid w:val="00924D9E"/>
    <w:rsid w:val="00925ADC"/>
    <w:rsid w:val="0092635B"/>
    <w:rsid w:val="009268FE"/>
    <w:rsid w:val="00926AE6"/>
    <w:rsid w:val="00927068"/>
    <w:rsid w:val="00927111"/>
    <w:rsid w:val="00927DDA"/>
    <w:rsid w:val="0093095A"/>
    <w:rsid w:val="009315D9"/>
    <w:rsid w:val="009315E5"/>
    <w:rsid w:val="0093170A"/>
    <w:rsid w:val="0093173C"/>
    <w:rsid w:val="009326CF"/>
    <w:rsid w:val="00932F43"/>
    <w:rsid w:val="009338CB"/>
    <w:rsid w:val="009348D4"/>
    <w:rsid w:val="00934904"/>
    <w:rsid w:val="0093490E"/>
    <w:rsid w:val="00934A4D"/>
    <w:rsid w:val="00936636"/>
    <w:rsid w:val="0093667F"/>
    <w:rsid w:val="00937291"/>
    <w:rsid w:val="00937BBE"/>
    <w:rsid w:val="009400D5"/>
    <w:rsid w:val="00940492"/>
    <w:rsid w:val="00940968"/>
    <w:rsid w:val="00941CD4"/>
    <w:rsid w:val="0094209E"/>
    <w:rsid w:val="009426A5"/>
    <w:rsid w:val="009427B9"/>
    <w:rsid w:val="009427E0"/>
    <w:rsid w:val="009430DF"/>
    <w:rsid w:val="00943238"/>
    <w:rsid w:val="00943799"/>
    <w:rsid w:val="009444BE"/>
    <w:rsid w:val="00944564"/>
    <w:rsid w:val="00944BF7"/>
    <w:rsid w:val="00944C77"/>
    <w:rsid w:val="00944EB9"/>
    <w:rsid w:val="00945A70"/>
    <w:rsid w:val="00946067"/>
    <w:rsid w:val="009467C6"/>
    <w:rsid w:val="00947955"/>
    <w:rsid w:val="00947A4F"/>
    <w:rsid w:val="00947C63"/>
    <w:rsid w:val="00947F2A"/>
    <w:rsid w:val="00950005"/>
    <w:rsid w:val="0095016E"/>
    <w:rsid w:val="009506C1"/>
    <w:rsid w:val="009517E1"/>
    <w:rsid w:val="009519B4"/>
    <w:rsid w:val="009522B8"/>
    <w:rsid w:val="00952ACF"/>
    <w:rsid w:val="009530FD"/>
    <w:rsid w:val="00953A94"/>
    <w:rsid w:val="00953EE8"/>
    <w:rsid w:val="00954129"/>
    <w:rsid w:val="009541D7"/>
    <w:rsid w:val="0095427C"/>
    <w:rsid w:val="0095487D"/>
    <w:rsid w:val="00954E09"/>
    <w:rsid w:val="00955411"/>
    <w:rsid w:val="00955B2C"/>
    <w:rsid w:val="00955D3F"/>
    <w:rsid w:val="00956A02"/>
    <w:rsid w:val="00956A23"/>
    <w:rsid w:val="00956E44"/>
    <w:rsid w:val="009576E7"/>
    <w:rsid w:val="00957B63"/>
    <w:rsid w:val="00957C03"/>
    <w:rsid w:val="009609C6"/>
    <w:rsid w:val="0096151C"/>
    <w:rsid w:val="0096172A"/>
    <w:rsid w:val="009624D0"/>
    <w:rsid w:val="00962556"/>
    <w:rsid w:val="009625ED"/>
    <w:rsid w:val="00962722"/>
    <w:rsid w:val="00962B73"/>
    <w:rsid w:val="00963CAE"/>
    <w:rsid w:val="00963CDF"/>
    <w:rsid w:val="00964A5B"/>
    <w:rsid w:val="009652B6"/>
    <w:rsid w:val="00965B1F"/>
    <w:rsid w:val="00965BB7"/>
    <w:rsid w:val="00965FFD"/>
    <w:rsid w:val="009668F9"/>
    <w:rsid w:val="00966954"/>
    <w:rsid w:val="0097021C"/>
    <w:rsid w:val="00970963"/>
    <w:rsid w:val="00970D68"/>
    <w:rsid w:val="00970F65"/>
    <w:rsid w:val="0097181A"/>
    <w:rsid w:val="00972A8F"/>
    <w:rsid w:val="00972EC0"/>
    <w:rsid w:val="00972F16"/>
    <w:rsid w:val="009734AD"/>
    <w:rsid w:val="009736F0"/>
    <w:rsid w:val="009741FF"/>
    <w:rsid w:val="00974652"/>
    <w:rsid w:val="00974EB8"/>
    <w:rsid w:val="0097535B"/>
    <w:rsid w:val="009758CA"/>
    <w:rsid w:val="009758FF"/>
    <w:rsid w:val="00975B71"/>
    <w:rsid w:val="00975CCE"/>
    <w:rsid w:val="00976660"/>
    <w:rsid w:val="00976C3B"/>
    <w:rsid w:val="009774EE"/>
    <w:rsid w:val="0097774A"/>
    <w:rsid w:val="00977E07"/>
    <w:rsid w:val="0098006E"/>
    <w:rsid w:val="00980213"/>
    <w:rsid w:val="00980D2A"/>
    <w:rsid w:val="00981347"/>
    <w:rsid w:val="00981B51"/>
    <w:rsid w:val="009826CF"/>
    <w:rsid w:val="009826D8"/>
    <w:rsid w:val="0098281F"/>
    <w:rsid w:val="009830AC"/>
    <w:rsid w:val="00983EC6"/>
    <w:rsid w:val="0098402F"/>
    <w:rsid w:val="00984ED8"/>
    <w:rsid w:val="00985124"/>
    <w:rsid w:val="00985B4B"/>
    <w:rsid w:val="009867CB"/>
    <w:rsid w:val="009869A2"/>
    <w:rsid w:val="00986D1B"/>
    <w:rsid w:val="0098759A"/>
    <w:rsid w:val="00990D98"/>
    <w:rsid w:val="0099146F"/>
    <w:rsid w:val="0099192E"/>
    <w:rsid w:val="00991A84"/>
    <w:rsid w:val="00991B87"/>
    <w:rsid w:val="0099232E"/>
    <w:rsid w:val="00992794"/>
    <w:rsid w:val="00993BC6"/>
    <w:rsid w:val="00993CB7"/>
    <w:rsid w:val="0099437E"/>
    <w:rsid w:val="00994CA5"/>
    <w:rsid w:val="009951CD"/>
    <w:rsid w:val="009957BF"/>
    <w:rsid w:val="0099664E"/>
    <w:rsid w:val="0099705B"/>
    <w:rsid w:val="00997C7C"/>
    <w:rsid w:val="009A02D0"/>
    <w:rsid w:val="009A0A0A"/>
    <w:rsid w:val="009A0A68"/>
    <w:rsid w:val="009A0DF9"/>
    <w:rsid w:val="009A1331"/>
    <w:rsid w:val="009A170D"/>
    <w:rsid w:val="009A3A6A"/>
    <w:rsid w:val="009A3B7C"/>
    <w:rsid w:val="009A47AC"/>
    <w:rsid w:val="009A5605"/>
    <w:rsid w:val="009A587C"/>
    <w:rsid w:val="009A5AB2"/>
    <w:rsid w:val="009A5C56"/>
    <w:rsid w:val="009A64FD"/>
    <w:rsid w:val="009A65E0"/>
    <w:rsid w:val="009A6E70"/>
    <w:rsid w:val="009A6FE9"/>
    <w:rsid w:val="009B00D0"/>
    <w:rsid w:val="009B040F"/>
    <w:rsid w:val="009B0F3D"/>
    <w:rsid w:val="009B1B92"/>
    <w:rsid w:val="009B1D55"/>
    <w:rsid w:val="009B1F00"/>
    <w:rsid w:val="009B1F64"/>
    <w:rsid w:val="009B3807"/>
    <w:rsid w:val="009B44B8"/>
    <w:rsid w:val="009B4765"/>
    <w:rsid w:val="009B5313"/>
    <w:rsid w:val="009B54D3"/>
    <w:rsid w:val="009B563D"/>
    <w:rsid w:val="009B5717"/>
    <w:rsid w:val="009B5A18"/>
    <w:rsid w:val="009B6173"/>
    <w:rsid w:val="009B6711"/>
    <w:rsid w:val="009B6CFA"/>
    <w:rsid w:val="009C00A6"/>
    <w:rsid w:val="009C0ADE"/>
    <w:rsid w:val="009C0FAB"/>
    <w:rsid w:val="009C135E"/>
    <w:rsid w:val="009C19D2"/>
    <w:rsid w:val="009C1C1B"/>
    <w:rsid w:val="009C282E"/>
    <w:rsid w:val="009C4886"/>
    <w:rsid w:val="009C5166"/>
    <w:rsid w:val="009C5391"/>
    <w:rsid w:val="009C54BD"/>
    <w:rsid w:val="009C7043"/>
    <w:rsid w:val="009D0440"/>
    <w:rsid w:val="009D195D"/>
    <w:rsid w:val="009D197A"/>
    <w:rsid w:val="009D1D75"/>
    <w:rsid w:val="009D2135"/>
    <w:rsid w:val="009D2904"/>
    <w:rsid w:val="009D2C4B"/>
    <w:rsid w:val="009D3A78"/>
    <w:rsid w:val="009D49F0"/>
    <w:rsid w:val="009D560D"/>
    <w:rsid w:val="009D58B8"/>
    <w:rsid w:val="009D5DE3"/>
    <w:rsid w:val="009D642C"/>
    <w:rsid w:val="009D66A7"/>
    <w:rsid w:val="009D6776"/>
    <w:rsid w:val="009D6E62"/>
    <w:rsid w:val="009D7A38"/>
    <w:rsid w:val="009D7A57"/>
    <w:rsid w:val="009D7BCB"/>
    <w:rsid w:val="009D7C57"/>
    <w:rsid w:val="009E0289"/>
    <w:rsid w:val="009E0ACD"/>
    <w:rsid w:val="009E1418"/>
    <w:rsid w:val="009E1887"/>
    <w:rsid w:val="009E1ABB"/>
    <w:rsid w:val="009E25CC"/>
    <w:rsid w:val="009E3F70"/>
    <w:rsid w:val="009E50D8"/>
    <w:rsid w:val="009E58BF"/>
    <w:rsid w:val="009E5A0E"/>
    <w:rsid w:val="009E63F6"/>
    <w:rsid w:val="009E6522"/>
    <w:rsid w:val="009E6719"/>
    <w:rsid w:val="009E68C3"/>
    <w:rsid w:val="009E6A94"/>
    <w:rsid w:val="009E6C26"/>
    <w:rsid w:val="009E6E1F"/>
    <w:rsid w:val="009E7BE8"/>
    <w:rsid w:val="009F0635"/>
    <w:rsid w:val="009F1C85"/>
    <w:rsid w:val="009F2009"/>
    <w:rsid w:val="009F21FA"/>
    <w:rsid w:val="009F2B65"/>
    <w:rsid w:val="009F378E"/>
    <w:rsid w:val="009F43F5"/>
    <w:rsid w:val="009F4B62"/>
    <w:rsid w:val="009F4D31"/>
    <w:rsid w:val="009F538C"/>
    <w:rsid w:val="009F5BD5"/>
    <w:rsid w:val="009F5C7F"/>
    <w:rsid w:val="009F5D78"/>
    <w:rsid w:val="009F61F7"/>
    <w:rsid w:val="009F6A52"/>
    <w:rsid w:val="009F6BC8"/>
    <w:rsid w:val="009F7350"/>
    <w:rsid w:val="009F780A"/>
    <w:rsid w:val="009F7842"/>
    <w:rsid w:val="009F78D4"/>
    <w:rsid w:val="009F78E2"/>
    <w:rsid w:val="00A00927"/>
    <w:rsid w:val="00A010F4"/>
    <w:rsid w:val="00A01D27"/>
    <w:rsid w:val="00A02A04"/>
    <w:rsid w:val="00A04904"/>
    <w:rsid w:val="00A06522"/>
    <w:rsid w:val="00A065DE"/>
    <w:rsid w:val="00A07538"/>
    <w:rsid w:val="00A10566"/>
    <w:rsid w:val="00A10C43"/>
    <w:rsid w:val="00A10E3C"/>
    <w:rsid w:val="00A116D2"/>
    <w:rsid w:val="00A124BF"/>
    <w:rsid w:val="00A12873"/>
    <w:rsid w:val="00A12947"/>
    <w:rsid w:val="00A12A9F"/>
    <w:rsid w:val="00A13808"/>
    <w:rsid w:val="00A141E5"/>
    <w:rsid w:val="00A15CEF"/>
    <w:rsid w:val="00A160C0"/>
    <w:rsid w:val="00A16115"/>
    <w:rsid w:val="00A17739"/>
    <w:rsid w:val="00A17A97"/>
    <w:rsid w:val="00A17BF7"/>
    <w:rsid w:val="00A20595"/>
    <w:rsid w:val="00A20924"/>
    <w:rsid w:val="00A20DEE"/>
    <w:rsid w:val="00A21383"/>
    <w:rsid w:val="00A213D3"/>
    <w:rsid w:val="00A21848"/>
    <w:rsid w:val="00A21BFC"/>
    <w:rsid w:val="00A21D55"/>
    <w:rsid w:val="00A21DF6"/>
    <w:rsid w:val="00A221EE"/>
    <w:rsid w:val="00A224EC"/>
    <w:rsid w:val="00A22C5D"/>
    <w:rsid w:val="00A239F1"/>
    <w:rsid w:val="00A23AC2"/>
    <w:rsid w:val="00A23D0D"/>
    <w:rsid w:val="00A24BAE"/>
    <w:rsid w:val="00A2521F"/>
    <w:rsid w:val="00A25913"/>
    <w:rsid w:val="00A25B2D"/>
    <w:rsid w:val="00A267D9"/>
    <w:rsid w:val="00A26CC8"/>
    <w:rsid w:val="00A26D04"/>
    <w:rsid w:val="00A26E24"/>
    <w:rsid w:val="00A2756B"/>
    <w:rsid w:val="00A27D04"/>
    <w:rsid w:val="00A30272"/>
    <w:rsid w:val="00A30313"/>
    <w:rsid w:val="00A3097E"/>
    <w:rsid w:val="00A30BCD"/>
    <w:rsid w:val="00A31B8F"/>
    <w:rsid w:val="00A326E6"/>
    <w:rsid w:val="00A3478D"/>
    <w:rsid w:val="00A34A2C"/>
    <w:rsid w:val="00A34FE6"/>
    <w:rsid w:val="00A350CA"/>
    <w:rsid w:val="00A35114"/>
    <w:rsid w:val="00A35136"/>
    <w:rsid w:val="00A355CB"/>
    <w:rsid w:val="00A359EF"/>
    <w:rsid w:val="00A36211"/>
    <w:rsid w:val="00A36A01"/>
    <w:rsid w:val="00A36ACC"/>
    <w:rsid w:val="00A37061"/>
    <w:rsid w:val="00A37651"/>
    <w:rsid w:val="00A3781B"/>
    <w:rsid w:val="00A37B73"/>
    <w:rsid w:val="00A40611"/>
    <w:rsid w:val="00A4065A"/>
    <w:rsid w:val="00A40769"/>
    <w:rsid w:val="00A40DB1"/>
    <w:rsid w:val="00A42513"/>
    <w:rsid w:val="00A42A6C"/>
    <w:rsid w:val="00A42C91"/>
    <w:rsid w:val="00A4328F"/>
    <w:rsid w:val="00A43FD8"/>
    <w:rsid w:val="00A44494"/>
    <w:rsid w:val="00A445A8"/>
    <w:rsid w:val="00A44812"/>
    <w:rsid w:val="00A44AA4"/>
    <w:rsid w:val="00A451E5"/>
    <w:rsid w:val="00A47C05"/>
    <w:rsid w:val="00A47DB3"/>
    <w:rsid w:val="00A47FE2"/>
    <w:rsid w:val="00A501A9"/>
    <w:rsid w:val="00A50574"/>
    <w:rsid w:val="00A5076C"/>
    <w:rsid w:val="00A516EF"/>
    <w:rsid w:val="00A51A26"/>
    <w:rsid w:val="00A52727"/>
    <w:rsid w:val="00A52C50"/>
    <w:rsid w:val="00A52D54"/>
    <w:rsid w:val="00A52D9D"/>
    <w:rsid w:val="00A52DD2"/>
    <w:rsid w:val="00A532B7"/>
    <w:rsid w:val="00A53607"/>
    <w:rsid w:val="00A542DD"/>
    <w:rsid w:val="00A54881"/>
    <w:rsid w:val="00A55AAF"/>
    <w:rsid w:val="00A57613"/>
    <w:rsid w:val="00A57693"/>
    <w:rsid w:val="00A5770B"/>
    <w:rsid w:val="00A5778E"/>
    <w:rsid w:val="00A57C75"/>
    <w:rsid w:val="00A57D21"/>
    <w:rsid w:val="00A60CF6"/>
    <w:rsid w:val="00A6125B"/>
    <w:rsid w:val="00A612D8"/>
    <w:rsid w:val="00A61925"/>
    <w:rsid w:val="00A61AD5"/>
    <w:rsid w:val="00A61B2F"/>
    <w:rsid w:val="00A620F5"/>
    <w:rsid w:val="00A640E9"/>
    <w:rsid w:val="00A64455"/>
    <w:rsid w:val="00A64608"/>
    <w:rsid w:val="00A64877"/>
    <w:rsid w:val="00A64FBA"/>
    <w:rsid w:val="00A66562"/>
    <w:rsid w:val="00A66C28"/>
    <w:rsid w:val="00A66C42"/>
    <w:rsid w:val="00A6705D"/>
    <w:rsid w:val="00A67577"/>
    <w:rsid w:val="00A67763"/>
    <w:rsid w:val="00A70BDD"/>
    <w:rsid w:val="00A716C0"/>
    <w:rsid w:val="00A71957"/>
    <w:rsid w:val="00A71A06"/>
    <w:rsid w:val="00A7203C"/>
    <w:rsid w:val="00A72DF6"/>
    <w:rsid w:val="00A72F19"/>
    <w:rsid w:val="00A74161"/>
    <w:rsid w:val="00A74CCA"/>
    <w:rsid w:val="00A74E3F"/>
    <w:rsid w:val="00A7571B"/>
    <w:rsid w:val="00A7583D"/>
    <w:rsid w:val="00A7619A"/>
    <w:rsid w:val="00A7686B"/>
    <w:rsid w:val="00A76AF2"/>
    <w:rsid w:val="00A77B2E"/>
    <w:rsid w:val="00A807BE"/>
    <w:rsid w:val="00A80F6D"/>
    <w:rsid w:val="00A81360"/>
    <w:rsid w:val="00A816FB"/>
    <w:rsid w:val="00A820A1"/>
    <w:rsid w:val="00A82D2E"/>
    <w:rsid w:val="00A834B8"/>
    <w:rsid w:val="00A841F2"/>
    <w:rsid w:val="00A84654"/>
    <w:rsid w:val="00A84D07"/>
    <w:rsid w:val="00A859EB"/>
    <w:rsid w:val="00A85B02"/>
    <w:rsid w:val="00A85B28"/>
    <w:rsid w:val="00A866DD"/>
    <w:rsid w:val="00A86F76"/>
    <w:rsid w:val="00A8700F"/>
    <w:rsid w:val="00A87060"/>
    <w:rsid w:val="00A87935"/>
    <w:rsid w:val="00A87BBE"/>
    <w:rsid w:val="00A90428"/>
    <w:rsid w:val="00A90977"/>
    <w:rsid w:val="00A910CE"/>
    <w:rsid w:val="00A910D3"/>
    <w:rsid w:val="00A919AA"/>
    <w:rsid w:val="00A926FA"/>
    <w:rsid w:val="00A9303A"/>
    <w:rsid w:val="00A93220"/>
    <w:rsid w:val="00A9346F"/>
    <w:rsid w:val="00A93ED4"/>
    <w:rsid w:val="00A94984"/>
    <w:rsid w:val="00A94C72"/>
    <w:rsid w:val="00A94D98"/>
    <w:rsid w:val="00A95F40"/>
    <w:rsid w:val="00A963A7"/>
    <w:rsid w:val="00A96419"/>
    <w:rsid w:val="00A9651C"/>
    <w:rsid w:val="00AA02F0"/>
    <w:rsid w:val="00AA0755"/>
    <w:rsid w:val="00AA1330"/>
    <w:rsid w:val="00AA156A"/>
    <w:rsid w:val="00AA1C90"/>
    <w:rsid w:val="00AA2268"/>
    <w:rsid w:val="00AA2C2F"/>
    <w:rsid w:val="00AA3236"/>
    <w:rsid w:val="00AA3271"/>
    <w:rsid w:val="00AA3373"/>
    <w:rsid w:val="00AA38F9"/>
    <w:rsid w:val="00AA413F"/>
    <w:rsid w:val="00AA42FD"/>
    <w:rsid w:val="00AA4616"/>
    <w:rsid w:val="00AA4BB0"/>
    <w:rsid w:val="00AA5BBC"/>
    <w:rsid w:val="00AA6712"/>
    <w:rsid w:val="00AA6EE7"/>
    <w:rsid w:val="00AA7257"/>
    <w:rsid w:val="00AA7BC4"/>
    <w:rsid w:val="00AB02E7"/>
    <w:rsid w:val="00AB04CF"/>
    <w:rsid w:val="00AB093F"/>
    <w:rsid w:val="00AB0E7C"/>
    <w:rsid w:val="00AB1A56"/>
    <w:rsid w:val="00AB1DAD"/>
    <w:rsid w:val="00AB2856"/>
    <w:rsid w:val="00AB328B"/>
    <w:rsid w:val="00AB36E6"/>
    <w:rsid w:val="00AB3900"/>
    <w:rsid w:val="00AB3BB0"/>
    <w:rsid w:val="00AB3E1D"/>
    <w:rsid w:val="00AB494A"/>
    <w:rsid w:val="00AB4BA2"/>
    <w:rsid w:val="00AB4FB2"/>
    <w:rsid w:val="00AB5209"/>
    <w:rsid w:val="00AB5404"/>
    <w:rsid w:val="00AB6834"/>
    <w:rsid w:val="00AB6B00"/>
    <w:rsid w:val="00AB76EA"/>
    <w:rsid w:val="00AC01AC"/>
    <w:rsid w:val="00AC07A0"/>
    <w:rsid w:val="00AC0BB6"/>
    <w:rsid w:val="00AC1302"/>
    <w:rsid w:val="00AC151F"/>
    <w:rsid w:val="00AC197D"/>
    <w:rsid w:val="00AC2CF4"/>
    <w:rsid w:val="00AC3681"/>
    <w:rsid w:val="00AC36F8"/>
    <w:rsid w:val="00AC4103"/>
    <w:rsid w:val="00AC6C9F"/>
    <w:rsid w:val="00AC6E21"/>
    <w:rsid w:val="00AC70FE"/>
    <w:rsid w:val="00AC7595"/>
    <w:rsid w:val="00AC79A8"/>
    <w:rsid w:val="00AD0106"/>
    <w:rsid w:val="00AD013A"/>
    <w:rsid w:val="00AD05D3"/>
    <w:rsid w:val="00AD0606"/>
    <w:rsid w:val="00AD0944"/>
    <w:rsid w:val="00AD1606"/>
    <w:rsid w:val="00AD1B4E"/>
    <w:rsid w:val="00AD24A2"/>
    <w:rsid w:val="00AD28D5"/>
    <w:rsid w:val="00AD2DCB"/>
    <w:rsid w:val="00AD3B89"/>
    <w:rsid w:val="00AD4546"/>
    <w:rsid w:val="00AD47D8"/>
    <w:rsid w:val="00AD55B1"/>
    <w:rsid w:val="00AD5DFB"/>
    <w:rsid w:val="00AD6637"/>
    <w:rsid w:val="00AD69DF"/>
    <w:rsid w:val="00AD7732"/>
    <w:rsid w:val="00AD77ED"/>
    <w:rsid w:val="00AD7C8F"/>
    <w:rsid w:val="00AE025A"/>
    <w:rsid w:val="00AE14E1"/>
    <w:rsid w:val="00AE2950"/>
    <w:rsid w:val="00AE2C5E"/>
    <w:rsid w:val="00AE2FE6"/>
    <w:rsid w:val="00AE3B3F"/>
    <w:rsid w:val="00AE3E74"/>
    <w:rsid w:val="00AE456E"/>
    <w:rsid w:val="00AE50E4"/>
    <w:rsid w:val="00AE5BAD"/>
    <w:rsid w:val="00AE6537"/>
    <w:rsid w:val="00AE6800"/>
    <w:rsid w:val="00AE6F23"/>
    <w:rsid w:val="00AE7485"/>
    <w:rsid w:val="00AF008A"/>
    <w:rsid w:val="00AF11D4"/>
    <w:rsid w:val="00AF1651"/>
    <w:rsid w:val="00AF1F16"/>
    <w:rsid w:val="00AF1F20"/>
    <w:rsid w:val="00AF25FC"/>
    <w:rsid w:val="00AF2C22"/>
    <w:rsid w:val="00AF309C"/>
    <w:rsid w:val="00AF3507"/>
    <w:rsid w:val="00AF388E"/>
    <w:rsid w:val="00AF3E24"/>
    <w:rsid w:val="00AF4952"/>
    <w:rsid w:val="00AF49E9"/>
    <w:rsid w:val="00AF5619"/>
    <w:rsid w:val="00AF5CA1"/>
    <w:rsid w:val="00AF6451"/>
    <w:rsid w:val="00AF6568"/>
    <w:rsid w:val="00AF69DC"/>
    <w:rsid w:val="00AF7030"/>
    <w:rsid w:val="00AF7A5A"/>
    <w:rsid w:val="00AF7BC2"/>
    <w:rsid w:val="00B01004"/>
    <w:rsid w:val="00B01912"/>
    <w:rsid w:val="00B0219B"/>
    <w:rsid w:val="00B022A1"/>
    <w:rsid w:val="00B023F3"/>
    <w:rsid w:val="00B02B22"/>
    <w:rsid w:val="00B034F2"/>
    <w:rsid w:val="00B036A2"/>
    <w:rsid w:val="00B03CF8"/>
    <w:rsid w:val="00B03E35"/>
    <w:rsid w:val="00B04ECE"/>
    <w:rsid w:val="00B04F09"/>
    <w:rsid w:val="00B0596D"/>
    <w:rsid w:val="00B062E7"/>
    <w:rsid w:val="00B075F3"/>
    <w:rsid w:val="00B077ED"/>
    <w:rsid w:val="00B07C81"/>
    <w:rsid w:val="00B07D25"/>
    <w:rsid w:val="00B07E3D"/>
    <w:rsid w:val="00B10067"/>
    <w:rsid w:val="00B10B13"/>
    <w:rsid w:val="00B112B9"/>
    <w:rsid w:val="00B11D48"/>
    <w:rsid w:val="00B11D63"/>
    <w:rsid w:val="00B12098"/>
    <w:rsid w:val="00B12201"/>
    <w:rsid w:val="00B125D4"/>
    <w:rsid w:val="00B1269C"/>
    <w:rsid w:val="00B1295A"/>
    <w:rsid w:val="00B12A14"/>
    <w:rsid w:val="00B13141"/>
    <w:rsid w:val="00B13769"/>
    <w:rsid w:val="00B1467D"/>
    <w:rsid w:val="00B14841"/>
    <w:rsid w:val="00B15261"/>
    <w:rsid w:val="00B15D01"/>
    <w:rsid w:val="00B15EC2"/>
    <w:rsid w:val="00B1640F"/>
    <w:rsid w:val="00B16465"/>
    <w:rsid w:val="00B16E1B"/>
    <w:rsid w:val="00B16F07"/>
    <w:rsid w:val="00B17388"/>
    <w:rsid w:val="00B17FEF"/>
    <w:rsid w:val="00B20255"/>
    <w:rsid w:val="00B20282"/>
    <w:rsid w:val="00B2099E"/>
    <w:rsid w:val="00B20DAF"/>
    <w:rsid w:val="00B218E6"/>
    <w:rsid w:val="00B229D0"/>
    <w:rsid w:val="00B23A2E"/>
    <w:rsid w:val="00B23FB0"/>
    <w:rsid w:val="00B241F0"/>
    <w:rsid w:val="00B24E92"/>
    <w:rsid w:val="00B252E0"/>
    <w:rsid w:val="00B25ACD"/>
    <w:rsid w:val="00B25D99"/>
    <w:rsid w:val="00B2666B"/>
    <w:rsid w:val="00B26E37"/>
    <w:rsid w:val="00B27FD1"/>
    <w:rsid w:val="00B3012C"/>
    <w:rsid w:val="00B3020A"/>
    <w:rsid w:val="00B30508"/>
    <w:rsid w:val="00B30963"/>
    <w:rsid w:val="00B30E76"/>
    <w:rsid w:val="00B31024"/>
    <w:rsid w:val="00B3144D"/>
    <w:rsid w:val="00B3155B"/>
    <w:rsid w:val="00B31A91"/>
    <w:rsid w:val="00B31ED1"/>
    <w:rsid w:val="00B3283D"/>
    <w:rsid w:val="00B3348F"/>
    <w:rsid w:val="00B336BC"/>
    <w:rsid w:val="00B3448D"/>
    <w:rsid w:val="00B35501"/>
    <w:rsid w:val="00B35EE2"/>
    <w:rsid w:val="00B365D5"/>
    <w:rsid w:val="00B36687"/>
    <w:rsid w:val="00B36D7E"/>
    <w:rsid w:val="00B37435"/>
    <w:rsid w:val="00B37841"/>
    <w:rsid w:val="00B37AEE"/>
    <w:rsid w:val="00B37E0C"/>
    <w:rsid w:val="00B40CFF"/>
    <w:rsid w:val="00B417A7"/>
    <w:rsid w:val="00B422E2"/>
    <w:rsid w:val="00B4315A"/>
    <w:rsid w:val="00B439AB"/>
    <w:rsid w:val="00B43A93"/>
    <w:rsid w:val="00B43E7D"/>
    <w:rsid w:val="00B44065"/>
    <w:rsid w:val="00B45281"/>
    <w:rsid w:val="00B464AF"/>
    <w:rsid w:val="00B46975"/>
    <w:rsid w:val="00B46BB6"/>
    <w:rsid w:val="00B46C7F"/>
    <w:rsid w:val="00B51072"/>
    <w:rsid w:val="00B51328"/>
    <w:rsid w:val="00B516FC"/>
    <w:rsid w:val="00B518BD"/>
    <w:rsid w:val="00B519DA"/>
    <w:rsid w:val="00B51DF3"/>
    <w:rsid w:val="00B5220F"/>
    <w:rsid w:val="00B5273B"/>
    <w:rsid w:val="00B53E63"/>
    <w:rsid w:val="00B549BA"/>
    <w:rsid w:val="00B54D2D"/>
    <w:rsid w:val="00B56195"/>
    <w:rsid w:val="00B5643A"/>
    <w:rsid w:val="00B56580"/>
    <w:rsid w:val="00B56DAD"/>
    <w:rsid w:val="00B573F5"/>
    <w:rsid w:val="00B57AD3"/>
    <w:rsid w:val="00B606F0"/>
    <w:rsid w:val="00B61600"/>
    <w:rsid w:val="00B62855"/>
    <w:rsid w:val="00B62B92"/>
    <w:rsid w:val="00B63FDC"/>
    <w:rsid w:val="00B64152"/>
    <w:rsid w:val="00B64D02"/>
    <w:rsid w:val="00B64F46"/>
    <w:rsid w:val="00B64F97"/>
    <w:rsid w:val="00B6584C"/>
    <w:rsid w:val="00B65916"/>
    <w:rsid w:val="00B65FAA"/>
    <w:rsid w:val="00B66516"/>
    <w:rsid w:val="00B665B3"/>
    <w:rsid w:val="00B665EB"/>
    <w:rsid w:val="00B6663E"/>
    <w:rsid w:val="00B666C3"/>
    <w:rsid w:val="00B668D5"/>
    <w:rsid w:val="00B66B81"/>
    <w:rsid w:val="00B66D65"/>
    <w:rsid w:val="00B66DB3"/>
    <w:rsid w:val="00B66F28"/>
    <w:rsid w:val="00B67C4E"/>
    <w:rsid w:val="00B67E37"/>
    <w:rsid w:val="00B67F8B"/>
    <w:rsid w:val="00B701B5"/>
    <w:rsid w:val="00B7048E"/>
    <w:rsid w:val="00B70874"/>
    <w:rsid w:val="00B70C0E"/>
    <w:rsid w:val="00B71761"/>
    <w:rsid w:val="00B71E3B"/>
    <w:rsid w:val="00B721AD"/>
    <w:rsid w:val="00B726E2"/>
    <w:rsid w:val="00B72ED1"/>
    <w:rsid w:val="00B73366"/>
    <w:rsid w:val="00B73C3C"/>
    <w:rsid w:val="00B741BA"/>
    <w:rsid w:val="00B745B2"/>
    <w:rsid w:val="00B74B3F"/>
    <w:rsid w:val="00B75032"/>
    <w:rsid w:val="00B76483"/>
    <w:rsid w:val="00B767BD"/>
    <w:rsid w:val="00B76D7F"/>
    <w:rsid w:val="00B807F5"/>
    <w:rsid w:val="00B80F89"/>
    <w:rsid w:val="00B815F0"/>
    <w:rsid w:val="00B81AB4"/>
    <w:rsid w:val="00B82096"/>
    <w:rsid w:val="00B82229"/>
    <w:rsid w:val="00B829A9"/>
    <w:rsid w:val="00B82CE0"/>
    <w:rsid w:val="00B82DD3"/>
    <w:rsid w:val="00B83E47"/>
    <w:rsid w:val="00B84BB3"/>
    <w:rsid w:val="00B84D61"/>
    <w:rsid w:val="00B84FF1"/>
    <w:rsid w:val="00B853D5"/>
    <w:rsid w:val="00B855D3"/>
    <w:rsid w:val="00B865F2"/>
    <w:rsid w:val="00B87170"/>
    <w:rsid w:val="00B87BE5"/>
    <w:rsid w:val="00B87CCF"/>
    <w:rsid w:val="00B87E20"/>
    <w:rsid w:val="00B902E4"/>
    <w:rsid w:val="00B905C8"/>
    <w:rsid w:val="00B90C42"/>
    <w:rsid w:val="00B912BF"/>
    <w:rsid w:val="00B935C2"/>
    <w:rsid w:val="00B9378D"/>
    <w:rsid w:val="00B93C95"/>
    <w:rsid w:val="00B9502A"/>
    <w:rsid w:val="00B95174"/>
    <w:rsid w:val="00B95300"/>
    <w:rsid w:val="00B95495"/>
    <w:rsid w:val="00B95D5C"/>
    <w:rsid w:val="00B960FF"/>
    <w:rsid w:val="00B96CDE"/>
    <w:rsid w:val="00B97705"/>
    <w:rsid w:val="00BA056E"/>
    <w:rsid w:val="00BA0901"/>
    <w:rsid w:val="00BA098D"/>
    <w:rsid w:val="00BA0A18"/>
    <w:rsid w:val="00BA10CD"/>
    <w:rsid w:val="00BA116D"/>
    <w:rsid w:val="00BA173D"/>
    <w:rsid w:val="00BA20A1"/>
    <w:rsid w:val="00BA2FAA"/>
    <w:rsid w:val="00BA3C96"/>
    <w:rsid w:val="00BA4B37"/>
    <w:rsid w:val="00BA4B82"/>
    <w:rsid w:val="00BA4CFE"/>
    <w:rsid w:val="00BA5AD3"/>
    <w:rsid w:val="00BA6426"/>
    <w:rsid w:val="00BA6C82"/>
    <w:rsid w:val="00BA6E4C"/>
    <w:rsid w:val="00BA6EA2"/>
    <w:rsid w:val="00BA71C4"/>
    <w:rsid w:val="00BA781B"/>
    <w:rsid w:val="00BA78B4"/>
    <w:rsid w:val="00BA7A42"/>
    <w:rsid w:val="00BB0C55"/>
    <w:rsid w:val="00BB0FAE"/>
    <w:rsid w:val="00BB11B5"/>
    <w:rsid w:val="00BB13C5"/>
    <w:rsid w:val="00BB1475"/>
    <w:rsid w:val="00BB1A66"/>
    <w:rsid w:val="00BB1ADC"/>
    <w:rsid w:val="00BB321F"/>
    <w:rsid w:val="00BB4329"/>
    <w:rsid w:val="00BB4358"/>
    <w:rsid w:val="00BB4520"/>
    <w:rsid w:val="00BB4C93"/>
    <w:rsid w:val="00BB571B"/>
    <w:rsid w:val="00BB59A1"/>
    <w:rsid w:val="00BB5AE4"/>
    <w:rsid w:val="00BB6698"/>
    <w:rsid w:val="00BB6773"/>
    <w:rsid w:val="00BB6896"/>
    <w:rsid w:val="00BB6BBE"/>
    <w:rsid w:val="00BB7A7B"/>
    <w:rsid w:val="00BB7E42"/>
    <w:rsid w:val="00BC00CB"/>
    <w:rsid w:val="00BC05E6"/>
    <w:rsid w:val="00BC0A62"/>
    <w:rsid w:val="00BC1563"/>
    <w:rsid w:val="00BC1693"/>
    <w:rsid w:val="00BC1E86"/>
    <w:rsid w:val="00BC1EA8"/>
    <w:rsid w:val="00BC23EB"/>
    <w:rsid w:val="00BC2B00"/>
    <w:rsid w:val="00BC2B8C"/>
    <w:rsid w:val="00BC3CDC"/>
    <w:rsid w:val="00BC4984"/>
    <w:rsid w:val="00BC4F80"/>
    <w:rsid w:val="00BC5C28"/>
    <w:rsid w:val="00BC60B3"/>
    <w:rsid w:val="00BC635A"/>
    <w:rsid w:val="00BC653F"/>
    <w:rsid w:val="00BC747C"/>
    <w:rsid w:val="00BC76FF"/>
    <w:rsid w:val="00BC7E1D"/>
    <w:rsid w:val="00BD09C6"/>
    <w:rsid w:val="00BD0B24"/>
    <w:rsid w:val="00BD0EAA"/>
    <w:rsid w:val="00BD0F0B"/>
    <w:rsid w:val="00BD13F2"/>
    <w:rsid w:val="00BD1764"/>
    <w:rsid w:val="00BD1D29"/>
    <w:rsid w:val="00BD22EB"/>
    <w:rsid w:val="00BD30A9"/>
    <w:rsid w:val="00BD3755"/>
    <w:rsid w:val="00BD3942"/>
    <w:rsid w:val="00BD3F89"/>
    <w:rsid w:val="00BD45BA"/>
    <w:rsid w:val="00BD46D7"/>
    <w:rsid w:val="00BD47D9"/>
    <w:rsid w:val="00BD4E7F"/>
    <w:rsid w:val="00BD50E3"/>
    <w:rsid w:val="00BD6439"/>
    <w:rsid w:val="00BD64F1"/>
    <w:rsid w:val="00BD7DA6"/>
    <w:rsid w:val="00BE0011"/>
    <w:rsid w:val="00BE0DD1"/>
    <w:rsid w:val="00BE15E8"/>
    <w:rsid w:val="00BE290E"/>
    <w:rsid w:val="00BE2CD9"/>
    <w:rsid w:val="00BE3A25"/>
    <w:rsid w:val="00BE487A"/>
    <w:rsid w:val="00BE4A89"/>
    <w:rsid w:val="00BE4E55"/>
    <w:rsid w:val="00BE4F51"/>
    <w:rsid w:val="00BE5205"/>
    <w:rsid w:val="00BE5EA9"/>
    <w:rsid w:val="00BE6B32"/>
    <w:rsid w:val="00BE6E23"/>
    <w:rsid w:val="00BE6F95"/>
    <w:rsid w:val="00BF04E3"/>
    <w:rsid w:val="00BF0A46"/>
    <w:rsid w:val="00BF1727"/>
    <w:rsid w:val="00BF1E2E"/>
    <w:rsid w:val="00BF1EE9"/>
    <w:rsid w:val="00BF22A1"/>
    <w:rsid w:val="00BF2C26"/>
    <w:rsid w:val="00BF2ED5"/>
    <w:rsid w:val="00BF349F"/>
    <w:rsid w:val="00BF34EF"/>
    <w:rsid w:val="00BF37E0"/>
    <w:rsid w:val="00BF389D"/>
    <w:rsid w:val="00BF3BD5"/>
    <w:rsid w:val="00BF3DF1"/>
    <w:rsid w:val="00BF4209"/>
    <w:rsid w:val="00BF43F0"/>
    <w:rsid w:val="00BF44C5"/>
    <w:rsid w:val="00BF4922"/>
    <w:rsid w:val="00BF50D8"/>
    <w:rsid w:val="00BF5256"/>
    <w:rsid w:val="00BF5484"/>
    <w:rsid w:val="00BF684E"/>
    <w:rsid w:val="00BF6F6B"/>
    <w:rsid w:val="00C000E2"/>
    <w:rsid w:val="00C002BC"/>
    <w:rsid w:val="00C00AAA"/>
    <w:rsid w:val="00C00D93"/>
    <w:rsid w:val="00C0205F"/>
    <w:rsid w:val="00C02E37"/>
    <w:rsid w:val="00C03116"/>
    <w:rsid w:val="00C033AC"/>
    <w:rsid w:val="00C0415F"/>
    <w:rsid w:val="00C044B8"/>
    <w:rsid w:val="00C0776B"/>
    <w:rsid w:val="00C07859"/>
    <w:rsid w:val="00C07BF6"/>
    <w:rsid w:val="00C102E6"/>
    <w:rsid w:val="00C10382"/>
    <w:rsid w:val="00C107A4"/>
    <w:rsid w:val="00C107FA"/>
    <w:rsid w:val="00C10C42"/>
    <w:rsid w:val="00C10E53"/>
    <w:rsid w:val="00C11331"/>
    <w:rsid w:val="00C11C6A"/>
    <w:rsid w:val="00C11CAD"/>
    <w:rsid w:val="00C12482"/>
    <w:rsid w:val="00C13CB9"/>
    <w:rsid w:val="00C146E0"/>
    <w:rsid w:val="00C14EF3"/>
    <w:rsid w:val="00C15023"/>
    <w:rsid w:val="00C1515A"/>
    <w:rsid w:val="00C15801"/>
    <w:rsid w:val="00C15B18"/>
    <w:rsid w:val="00C15C31"/>
    <w:rsid w:val="00C15F53"/>
    <w:rsid w:val="00C1662C"/>
    <w:rsid w:val="00C16B01"/>
    <w:rsid w:val="00C172D0"/>
    <w:rsid w:val="00C17450"/>
    <w:rsid w:val="00C1794B"/>
    <w:rsid w:val="00C2000A"/>
    <w:rsid w:val="00C2075A"/>
    <w:rsid w:val="00C20B52"/>
    <w:rsid w:val="00C20C38"/>
    <w:rsid w:val="00C20C7D"/>
    <w:rsid w:val="00C20DAC"/>
    <w:rsid w:val="00C2246A"/>
    <w:rsid w:val="00C22B45"/>
    <w:rsid w:val="00C22FB1"/>
    <w:rsid w:val="00C23537"/>
    <w:rsid w:val="00C23CC5"/>
    <w:rsid w:val="00C23D66"/>
    <w:rsid w:val="00C246A7"/>
    <w:rsid w:val="00C24E0D"/>
    <w:rsid w:val="00C24ECA"/>
    <w:rsid w:val="00C2542A"/>
    <w:rsid w:val="00C2627E"/>
    <w:rsid w:val="00C26975"/>
    <w:rsid w:val="00C26CC2"/>
    <w:rsid w:val="00C27F74"/>
    <w:rsid w:val="00C3010F"/>
    <w:rsid w:val="00C30753"/>
    <w:rsid w:val="00C30823"/>
    <w:rsid w:val="00C30891"/>
    <w:rsid w:val="00C312FE"/>
    <w:rsid w:val="00C31563"/>
    <w:rsid w:val="00C318B1"/>
    <w:rsid w:val="00C32338"/>
    <w:rsid w:val="00C32934"/>
    <w:rsid w:val="00C32B58"/>
    <w:rsid w:val="00C33080"/>
    <w:rsid w:val="00C344EF"/>
    <w:rsid w:val="00C34C3F"/>
    <w:rsid w:val="00C35713"/>
    <w:rsid w:val="00C364C7"/>
    <w:rsid w:val="00C36500"/>
    <w:rsid w:val="00C36D84"/>
    <w:rsid w:val="00C4019E"/>
    <w:rsid w:val="00C40A94"/>
    <w:rsid w:val="00C40BCC"/>
    <w:rsid w:val="00C41237"/>
    <w:rsid w:val="00C41370"/>
    <w:rsid w:val="00C43075"/>
    <w:rsid w:val="00C43AEA"/>
    <w:rsid w:val="00C43E4F"/>
    <w:rsid w:val="00C43EFA"/>
    <w:rsid w:val="00C43F52"/>
    <w:rsid w:val="00C44A68"/>
    <w:rsid w:val="00C44B77"/>
    <w:rsid w:val="00C44CB5"/>
    <w:rsid w:val="00C45009"/>
    <w:rsid w:val="00C45439"/>
    <w:rsid w:val="00C4605D"/>
    <w:rsid w:val="00C4637B"/>
    <w:rsid w:val="00C46AB3"/>
    <w:rsid w:val="00C46F92"/>
    <w:rsid w:val="00C47909"/>
    <w:rsid w:val="00C5094F"/>
    <w:rsid w:val="00C50D4A"/>
    <w:rsid w:val="00C50F5A"/>
    <w:rsid w:val="00C510BD"/>
    <w:rsid w:val="00C514AC"/>
    <w:rsid w:val="00C51CDA"/>
    <w:rsid w:val="00C51D1E"/>
    <w:rsid w:val="00C52CBF"/>
    <w:rsid w:val="00C53AA8"/>
    <w:rsid w:val="00C53D53"/>
    <w:rsid w:val="00C543DB"/>
    <w:rsid w:val="00C5588B"/>
    <w:rsid w:val="00C55958"/>
    <w:rsid w:val="00C5638B"/>
    <w:rsid w:val="00C565BE"/>
    <w:rsid w:val="00C56821"/>
    <w:rsid w:val="00C5685E"/>
    <w:rsid w:val="00C56A06"/>
    <w:rsid w:val="00C56B21"/>
    <w:rsid w:val="00C56B82"/>
    <w:rsid w:val="00C57943"/>
    <w:rsid w:val="00C57B8C"/>
    <w:rsid w:val="00C57D09"/>
    <w:rsid w:val="00C60061"/>
    <w:rsid w:val="00C60765"/>
    <w:rsid w:val="00C60C07"/>
    <w:rsid w:val="00C610B8"/>
    <w:rsid w:val="00C6191C"/>
    <w:rsid w:val="00C61CDF"/>
    <w:rsid w:val="00C61FF4"/>
    <w:rsid w:val="00C62328"/>
    <w:rsid w:val="00C626C5"/>
    <w:rsid w:val="00C62727"/>
    <w:rsid w:val="00C62870"/>
    <w:rsid w:val="00C62B68"/>
    <w:rsid w:val="00C630E6"/>
    <w:rsid w:val="00C6361C"/>
    <w:rsid w:val="00C63C37"/>
    <w:rsid w:val="00C63EC9"/>
    <w:rsid w:val="00C643C1"/>
    <w:rsid w:val="00C64931"/>
    <w:rsid w:val="00C658C9"/>
    <w:rsid w:val="00C66BA4"/>
    <w:rsid w:val="00C66C66"/>
    <w:rsid w:val="00C675B3"/>
    <w:rsid w:val="00C70236"/>
    <w:rsid w:val="00C70726"/>
    <w:rsid w:val="00C7084A"/>
    <w:rsid w:val="00C7186A"/>
    <w:rsid w:val="00C746AE"/>
    <w:rsid w:val="00C7566A"/>
    <w:rsid w:val="00C759B4"/>
    <w:rsid w:val="00C75CD9"/>
    <w:rsid w:val="00C7689D"/>
    <w:rsid w:val="00C769B5"/>
    <w:rsid w:val="00C76C44"/>
    <w:rsid w:val="00C77A87"/>
    <w:rsid w:val="00C8044B"/>
    <w:rsid w:val="00C80DA0"/>
    <w:rsid w:val="00C812F2"/>
    <w:rsid w:val="00C81649"/>
    <w:rsid w:val="00C82781"/>
    <w:rsid w:val="00C82991"/>
    <w:rsid w:val="00C83348"/>
    <w:rsid w:val="00C83751"/>
    <w:rsid w:val="00C837E7"/>
    <w:rsid w:val="00C83E73"/>
    <w:rsid w:val="00C8423A"/>
    <w:rsid w:val="00C84C04"/>
    <w:rsid w:val="00C84E4B"/>
    <w:rsid w:val="00C85AC1"/>
    <w:rsid w:val="00C85C4B"/>
    <w:rsid w:val="00C85D9A"/>
    <w:rsid w:val="00C86CF5"/>
    <w:rsid w:val="00C86CFC"/>
    <w:rsid w:val="00C8732F"/>
    <w:rsid w:val="00C8752D"/>
    <w:rsid w:val="00C87CAE"/>
    <w:rsid w:val="00C919C0"/>
    <w:rsid w:val="00C91F12"/>
    <w:rsid w:val="00C92CD0"/>
    <w:rsid w:val="00C95A12"/>
    <w:rsid w:val="00C95DD2"/>
    <w:rsid w:val="00C96323"/>
    <w:rsid w:val="00C96A51"/>
    <w:rsid w:val="00C96FB3"/>
    <w:rsid w:val="00CA0BB4"/>
    <w:rsid w:val="00CA222B"/>
    <w:rsid w:val="00CA2455"/>
    <w:rsid w:val="00CA25C5"/>
    <w:rsid w:val="00CA26FC"/>
    <w:rsid w:val="00CA2728"/>
    <w:rsid w:val="00CA2D61"/>
    <w:rsid w:val="00CA335B"/>
    <w:rsid w:val="00CA425D"/>
    <w:rsid w:val="00CA45F0"/>
    <w:rsid w:val="00CA4B65"/>
    <w:rsid w:val="00CA5044"/>
    <w:rsid w:val="00CA5FD3"/>
    <w:rsid w:val="00CA6CAD"/>
    <w:rsid w:val="00CA6DFB"/>
    <w:rsid w:val="00CA6FB6"/>
    <w:rsid w:val="00CA7063"/>
    <w:rsid w:val="00CA7DB3"/>
    <w:rsid w:val="00CB07C7"/>
    <w:rsid w:val="00CB1EB1"/>
    <w:rsid w:val="00CB31F5"/>
    <w:rsid w:val="00CB37DF"/>
    <w:rsid w:val="00CB4128"/>
    <w:rsid w:val="00CB5574"/>
    <w:rsid w:val="00CC0133"/>
    <w:rsid w:val="00CC1E70"/>
    <w:rsid w:val="00CC246F"/>
    <w:rsid w:val="00CC26FF"/>
    <w:rsid w:val="00CC2910"/>
    <w:rsid w:val="00CC32D7"/>
    <w:rsid w:val="00CC3E05"/>
    <w:rsid w:val="00CC65F8"/>
    <w:rsid w:val="00CC6A19"/>
    <w:rsid w:val="00CC6FCE"/>
    <w:rsid w:val="00CD03B9"/>
    <w:rsid w:val="00CD0CC0"/>
    <w:rsid w:val="00CD10E0"/>
    <w:rsid w:val="00CD154C"/>
    <w:rsid w:val="00CD22B8"/>
    <w:rsid w:val="00CD3B59"/>
    <w:rsid w:val="00CD3B5C"/>
    <w:rsid w:val="00CD402B"/>
    <w:rsid w:val="00CD43EC"/>
    <w:rsid w:val="00CD61F1"/>
    <w:rsid w:val="00CD631D"/>
    <w:rsid w:val="00CD6BC5"/>
    <w:rsid w:val="00CD6DB7"/>
    <w:rsid w:val="00CD7488"/>
    <w:rsid w:val="00CD7CDD"/>
    <w:rsid w:val="00CE0A9B"/>
    <w:rsid w:val="00CE2E7F"/>
    <w:rsid w:val="00CE3B4C"/>
    <w:rsid w:val="00CE3E1E"/>
    <w:rsid w:val="00CE422E"/>
    <w:rsid w:val="00CE4267"/>
    <w:rsid w:val="00CE4A59"/>
    <w:rsid w:val="00CE4B4A"/>
    <w:rsid w:val="00CE4DB2"/>
    <w:rsid w:val="00CE4F4C"/>
    <w:rsid w:val="00CE5C4C"/>
    <w:rsid w:val="00CE600A"/>
    <w:rsid w:val="00CE633F"/>
    <w:rsid w:val="00CE6711"/>
    <w:rsid w:val="00CE6CDE"/>
    <w:rsid w:val="00CF0A89"/>
    <w:rsid w:val="00CF0B67"/>
    <w:rsid w:val="00CF1248"/>
    <w:rsid w:val="00CF1415"/>
    <w:rsid w:val="00CF1C44"/>
    <w:rsid w:val="00CF205D"/>
    <w:rsid w:val="00CF34F1"/>
    <w:rsid w:val="00CF35B3"/>
    <w:rsid w:val="00CF37F7"/>
    <w:rsid w:val="00CF3A9C"/>
    <w:rsid w:val="00CF41B5"/>
    <w:rsid w:val="00CF4E76"/>
    <w:rsid w:val="00CF52A0"/>
    <w:rsid w:val="00CF5923"/>
    <w:rsid w:val="00CF5DD0"/>
    <w:rsid w:val="00CF7309"/>
    <w:rsid w:val="00CF760A"/>
    <w:rsid w:val="00D00136"/>
    <w:rsid w:val="00D001B0"/>
    <w:rsid w:val="00D006CE"/>
    <w:rsid w:val="00D00DEB"/>
    <w:rsid w:val="00D01D97"/>
    <w:rsid w:val="00D02101"/>
    <w:rsid w:val="00D02882"/>
    <w:rsid w:val="00D02F0B"/>
    <w:rsid w:val="00D03AB0"/>
    <w:rsid w:val="00D04BA2"/>
    <w:rsid w:val="00D05913"/>
    <w:rsid w:val="00D06D88"/>
    <w:rsid w:val="00D06FD0"/>
    <w:rsid w:val="00D0736B"/>
    <w:rsid w:val="00D0772A"/>
    <w:rsid w:val="00D07BFF"/>
    <w:rsid w:val="00D10385"/>
    <w:rsid w:val="00D108D2"/>
    <w:rsid w:val="00D1183F"/>
    <w:rsid w:val="00D11A25"/>
    <w:rsid w:val="00D11B44"/>
    <w:rsid w:val="00D12A3F"/>
    <w:rsid w:val="00D1459B"/>
    <w:rsid w:val="00D14878"/>
    <w:rsid w:val="00D15416"/>
    <w:rsid w:val="00D15578"/>
    <w:rsid w:val="00D15D33"/>
    <w:rsid w:val="00D15DDA"/>
    <w:rsid w:val="00D15F08"/>
    <w:rsid w:val="00D16548"/>
    <w:rsid w:val="00D166F3"/>
    <w:rsid w:val="00D16836"/>
    <w:rsid w:val="00D16BBC"/>
    <w:rsid w:val="00D1791B"/>
    <w:rsid w:val="00D20B99"/>
    <w:rsid w:val="00D20EFA"/>
    <w:rsid w:val="00D210DA"/>
    <w:rsid w:val="00D212FA"/>
    <w:rsid w:val="00D219EE"/>
    <w:rsid w:val="00D21C2D"/>
    <w:rsid w:val="00D21E90"/>
    <w:rsid w:val="00D21FAF"/>
    <w:rsid w:val="00D22E1E"/>
    <w:rsid w:val="00D22EB5"/>
    <w:rsid w:val="00D232C7"/>
    <w:rsid w:val="00D23E72"/>
    <w:rsid w:val="00D23FBC"/>
    <w:rsid w:val="00D24A0D"/>
    <w:rsid w:val="00D24B29"/>
    <w:rsid w:val="00D24C1C"/>
    <w:rsid w:val="00D25E34"/>
    <w:rsid w:val="00D26EAF"/>
    <w:rsid w:val="00D27311"/>
    <w:rsid w:val="00D27EC9"/>
    <w:rsid w:val="00D31343"/>
    <w:rsid w:val="00D31580"/>
    <w:rsid w:val="00D31F92"/>
    <w:rsid w:val="00D325FA"/>
    <w:rsid w:val="00D327A5"/>
    <w:rsid w:val="00D33777"/>
    <w:rsid w:val="00D33E6D"/>
    <w:rsid w:val="00D3429A"/>
    <w:rsid w:val="00D34374"/>
    <w:rsid w:val="00D34B65"/>
    <w:rsid w:val="00D34FF7"/>
    <w:rsid w:val="00D35A3C"/>
    <w:rsid w:val="00D363BE"/>
    <w:rsid w:val="00D367D4"/>
    <w:rsid w:val="00D3703D"/>
    <w:rsid w:val="00D37D56"/>
    <w:rsid w:val="00D37DA4"/>
    <w:rsid w:val="00D40163"/>
    <w:rsid w:val="00D4099A"/>
    <w:rsid w:val="00D409E1"/>
    <w:rsid w:val="00D4145E"/>
    <w:rsid w:val="00D41844"/>
    <w:rsid w:val="00D41FCD"/>
    <w:rsid w:val="00D42812"/>
    <w:rsid w:val="00D43273"/>
    <w:rsid w:val="00D4346A"/>
    <w:rsid w:val="00D4365B"/>
    <w:rsid w:val="00D43919"/>
    <w:rsid w:val="00D43A70"/>
    <w:rsid w:val="00D43BD5"/>
    <w:rsid w:val="00D43CF4"/>
    <w:rsid w:val="00D443B7"/>
    <w:rsid w:val="00D44556"/>
    <w:rsid w:val="00D46146"/>
    <w:rsid w:val="00D466CB"/>
    <w:rsid w:val="00D473F5"/>
    <w:rsid w:val="00D47DD1"/>
    <w:rsid w:val="00D50CFD"/>
    <w:rsid w:val="00D51502"/>
    <w:rsid w:val="00D52118"/>
    <w:rsid w:val="00D5264E"/>
    <w:rsid w:val="00D52A73"/>
    <w:rsid w:val="00D545A4"/>
    <w:rsid w:val="00D54983"/>
    <w:rsid w:val="00D55E63"/>
    <w:rsid w:val="00D5601D"/>
    <w:rsid w:val="00D5668A"/>
    <w:rsid w:val="00D56763"/>
    <w:rsid w:val="00D5687D"/>
    <w:rsid w:val="00D56C60"/>
    <w:rsid w:val="00D57414"/>
    <w:rsid w:val="00D601B0"/>
    <w:rsid w:val="00D611DB"/>
    <w:rsid w:val="00D615E1"/>
    <w:rsid w:val="00D619E7"/>
    <w:rsid w:val="00D61BC9"/>
    <w:rsid w:val="00D61CA6"/>
    <w:rsid w:val="00D63530"/>
    <w:rsid w:val="00D63B4D"/>
    <w:rsid w:val="00D63D3D"/>
    <w:rsid w:val="00D6475F"/>
    <w:rsid w:val="00D648D6"/>
    <w:rsid w:val="00D64911"/>
    <w:rsid w:val="00D64C6C"/>
    <w:rsid w:val="00D65213"/>
    <w:rsid w:val="00D659D7"/>
    <w:rsid w:val="00D65AEB"/>
    <w:rsid w:val="00D65E12"/>
    <w:rsid w:val="00D66A0D"/>
    <w:rsid w:val="00D66C5E"/>
    <w:rsid w:val="00D67AEF"/>
    <w:rsid w:val="00D67C73"/>
    <w:rsid w:val="00D71401"/>
    <w:rsid w:val="00D71456"/>
    <w:rsid w:val="00D71798"/>
    <w:rsid w:val="00D728FD"/>
    <w:rsid w:val="00D72B91"/>
    <w:rsid w:val="00D73537"/>
    <w:rsid w:val="00D73547"/>
    <w:rsid w:val="00D74A17"/>
    <w:rsid w:val="00D75211"/>
    <w:rsid w:val="00D75ABE"/>
    <w:rsid w:val="00D75D65"/>
    <w:rsid w:val="00D75E45"/>
    <w:rsid w:val="00D76ED6"/>
    <w:rsid w:val="00D77493"/>
    <w:rsid w:val="00D779B3"/>
    <w:rsid w:val="00D77BEF"/>
    <w:rsid w:val="00D816D2"/>
    <w:rsid w:val="00D81B4A"/>
    <w:rsid w:val="00D81CE5"/>
    <w:rsid w:val="00D82F7B"/>
    <w:rsid w:val="00D83D60"/>
    <w:rsid w:val="00D84188"/>
    <w:rsid w:val="00D85598"/>
    <w:rsid w:val="00D85BD2"/>
    <w:rsid w:val="00D86031"/>
    <w:rsid w:val="00D87703"/>
    <w:rsid w:val="00D87929"/>
    <w:rsid w:val="00D87CB9"/>
    <w:rsid w:val="00D9050F"/>
    <w:rsid w:val="00D91B0A"/>
    <w:rsid w:val="00D9324A"/>
    <w:rsid w:val="00D935B2"/>
    <w:rsid w:val="00D93C23"/>
    <w:rsid w:val="00D93FD0"/>
    <w:rsid w:val="00D94440"/>
    <w:rsid w:val="00D95296"/>
    <w:rsid w:val="00D95950"/>
    <w:rsid w:val="00D962B7"/>
    <w:rsid w:val="00D96D1F"/>
    <w:rsid w:val="00D96DAC"/>
    <w:rsid w:val="00D97945"/>
    <w:rsid w:val="00D97B68"/>
    <w:rsid w:val="00DA0585"/>
    <w:rsid w:val="00DA09FD"/>
    <w:rsid w:val="00DA0F8D"/>
    <w:rsid w:val="00DA20E9"/>
    <w:rsid w:val="00DA2208"/>
    <w:rsid w:val="00DA23FD"/>
    <w:rsid w:val="00DA3037"/>
    <w:rsid w:val="00DA384B"/>
    <w:rsid w:val="00DA4515"/>
    <w:rsid w:val="00DA4A88"/>
    <w:rsid w:val="00DA4C3A"/>
    <w:rsid w:val="00DA4F87"/>
    <w:rsid w:val="00DA6AEE"/>
    <w:rsid w:val="00DA7911"/>
    <w:rsid w:val="00DA7D03"/>
    <w:rsid w:val="00DB02C6"/>
    <w:rsid w:val="00DB1916"/>
    <w:rsid w:val="00DB2033"/>
    <w:rsid w:val="00DB26DC"/>
    <w:rsid w:val="00DB2D73"/>
    <w:rsid w:val="00DB304D"/>
    <w:rsid w:val="00DB31D7"/>
    <w:rsid w:val="00DB3EAE"/>
    <w:rsid w:val="00DB45E6"/>
    <w:rsid w:val="00DB5A74"/>
    <w:rsid w:val="00DB5AE6"/>
    <w:rsid w:val="00DB5EDC"/>
    <w:rsid w:val="00DB63FB"/>
    <w:rsid w:val="00DB6B61"/>
    <w:rsid w:val="00DB6BB4"/>
    <w:rsid w:val="00DB6EA9"/>
    <w:rsid w:val="00DB71AD"/>
    <w:rsid w:val="00DB71C7"/>
    <w:rsid w:val="00DC0FE4"/>
    <w:rsid w:val="00DC174C"/>
    <w:rsid w:val="00DC1EE1"/>
    <w:rsid w:val="00DC2431"/>
    <w:rsid w:val="00DC2E61"/>
    <w:rsid w:val="00DC32E7"/>
    <w:rsid w:val="00DC37C6"/>
    <w:rsid w:val="00DC430A"/>
    <w:rsid w:val="00DC4618"/>
    <w:rsid w:val="00DC47AD"/>
    <w:rsid w:val="00DC483F"/>
    <w:rsid w:val="00DC4AEE"/>
    <w:rsid w:val="00DC4EA4"/>
    <w:rsid w:val="00DC502F"/>
    <w:rsid w:val="00DC5172"/>
    <w:rsid w:val="00DC5943"/>
    <w:rsid w:val="00DC6690"/>
    <w:rsid w:val="00DC68B0"/>
    <w:rsid w:val="00DC695F"/>
    <w:rsid w:val="00DC70B3"/>
    <w:rsid w:val="00DC76CF"/>
    <w:rsid w:val="00DC7A36"/>
    <w:rsid w:val="00DD0406"/>
    <w:rsid w:val="00DD044D"/>
    <w:rsid w:val="00DD0A0F"/>
    <w:rsid w:val="00DD18AF"/>
    <w:rsid w:val="00DD1E30"/>
    <w:rsid w:val="00DD1EDB"/>
    <w:rsid w:val="00DD1F8F"/>
    <w:rsid w:val="00DD23BC"/>
    <w:rsid w:val="00DD3C96"/>
    <w:rsid w:val="00DD3E80"/>
    <w:rsid w:val="00DD48A3"/>
    <w:rsid w:val="00DD558F"/>
    <w:rsid w:val="00DD5B16"/>
    <w:rsid w:val="00DD5ED9"/>
    <w:rsid w:val="00DD5EEC"/>
    <w:rsid w:val="00DD6B63"/>
    <w:rsid w:val="00DD714E"/>
    <w:rsid w:val="00DD796D"/>
    <w:rsid w:val="00DD7DE0"/>
    <w:rsid w:val="00DE05A8"/>
    <w:rsid w:val="00DE0993"/>
    <w:rsid w:val="00DE143E"/>
    <w:rsid w:val="00DE14F8"/>
    <w:rsid w:val="00DE151E"/>
    <w:rsid w:val="00DE16D1"/>
    <w:rsid w:val="00DE1D1E"/>
    <w:rsid w:val="00DE1E2E"/>
    <w:rsid w:val="00DE1EC0"/>
    <w:rsid w:val="00DE1F8E"/>
    <w:rsid w:val="00DE2A9A"/>
    <w:rsid w:val="00DE3DCB"/>
    <w:rsid w:val="00DE3E39"/>
    <w:rsid w:val="00DE3F52"/>
    <w:rsid w:val="00DE43D9"/>
    <w:rsid w:val="00DE56E6"/>
    <w:rsid w:val="00DE5722"/>
    <w:rsid w:val="00DE627F"/>
    <w:rsid w:val="00DE6F6F"/>
    <w:rsid w:val="00DE7098"/>
    <w:rsid w:val="00DE7AA4"/>
    <w:rsid w:val="00DE7D01"/>
    <w:rsid w:val="00DE7F39"/>
    <w:rsid w:val="00DF2BA5"/>
    <w:rsid w:val="00DF2EC3"/>
    <w:rsid w:val="00DF4209"/>
    <w:rsid w:val="00DF4BFF"/>
    <w:rsid w:val="00DF52DE"/>
    <w:rsid w:val="00DF53FC"/>
    <w:rsid w:val="00DF55B3"/>
    <w:rsid w:val="00DF584F"/>
    <w:rsid w:val="00DF6099"/>
    <w:rsid w:val="00DF6D1B"/>
    <w:rsid w:val="00DF6E21"/>
    <w:rsid w:val="00DF6F72"/>
    <w:rsid w:val="00DF76B0"/>
    <w:rsid w:val="00DF7735"/>
    <w:rsid w:val="00DF7C98"/>
    <w:rsid w:val="00E006CF"/>
    <w:rsid w:val="00E00D2B"/>
    <w:rsid w:val="00E0129D"/>
    <w:rsid w:val="00E016E6"/>
    <w:rsid w:val="00E021FD"/>
    <w:rsid w:val="00E03150"/>
    <w:rsid w:val="00E03AD2"/>
    <w:rsid w:val="00E041A7"/>
    <w:rsid w:val="00E0431B"/>
    <w:rsid w:val="00E044FF"/>
    <w:rsid w:val="00E05061"/>
    <w:rsid w:val="00E05375"/>
    <w:rsid w:val="00E05724"/>
    <w:rsid w:val="00E057DC"/>
    <w:rsid w:val="00E05A21"/>
    <w:rsid w:val="00E05D5B"/>
    <w:rsid w:val="00E05E40"/>
    <w:rsid w:val="00E062CC"/>
    <w:rsid w:val="00E06ADC"/>
    <w:rsid w:val="00E0739D"/>
    <w:rsid w:val="00E104EC"/>
    <w:rsid w:val="00E105C3"/>
    <w:rsid w:val="00E10B3F"/>
    <w:rsid w:val="00E10DF4"/>
    <w:rsid w:val="00E10E60"/>
    <w:rsid w:val="00E10F02"/>
    <w:rsid w:val="00E10F61"/>
    <w:rsid w:val="00E10F93"/>
    <w:rsid w:val="00E1194B"/>
    <w:rsid w:val="00E1247E"/>
    <w:rsid w:val="00E13238"/>
    <w:rsid w:val="00E13495"/>
    <w:rsid w:val="00E134C0"/>
    <w:rsid w:val="00E145BB"/>
    <w:rsid w:val="00E14BAD"/>
    <w:rsid w:val="00E154FD"/>
    <w:rsid w:val="00E155A8"/>
    <w:rsid w:val="00E15DA1"/>
    <w:rsid w:val="00E15F9A"/>
    <w:rsid w:val="00E167AD"/>
    <w:rsid w:val="00E16AD6"/>
    <w:rsid w:val="00E16E90"/>
    <w:rsid w:val="00E17264"/>
    <w:rsid w:val="00E203F6"/>
    <w:rsid w:val="00E20756"/>
    <w:rsid w:val="00E21203"/>
    <w:rsid w:val="00E227DB"/>
    <w:rsid w:val="00E22B4B"/>
    <w:rsid w:val="00E23562"/>
    <w:rsid w:val="00E235B1"/>
    <w:rsid w:val="00E238AA"/>
    <w:rsid w:val="00E23DFF"/>
    <w:rsid w:val="00E2423C"/>
    <w:rsid w:val="00E24AED"/>
    <w:rsid w:val="00E24CD8"/>
    <w:rsid w:val="00E24EAF"/>
    <w:rsid w:val="00E25043"/>
    <w:rsid w:val="00E254D3"/>
    <w:rsid w:val="00E257A2"/>
    <w:rsid w:val="00E2626B"/>
    <w:rsid w:val="00E2781B"/>
    <w:rsid w:val="00E27AF8"/>
    <w:rsid w:val="00E30A1D"/>
    <w:rsid w:val="00E310EC"/>
    <w:rsid w:val="00E31610"/>
    <w:rsid w:val="00E3250A"/>
    <w:rsid w:val="00E3264D"/>
    <w:rsid w:val="00E32781"/>
    <w:rsid w:val="00E3303E"/>
    <w:rsid w:val="00E34C58"/>
    <w:rsid w:val="00E34D92"/>
    <w:rsid w:val="00E356FA"/>
    <w:rsid w:val="00E363E3"/>
    <w:rsid w:val="00E36F8E"/>
    <w:rsid w:val="00E3720E"/>
    <w:rsid w:val="00E3734B"/>
    <w:rsid w:val="00E37C83"/>
    <w:rsid w:val="00E4175F"/>
    <w:rsid w:val="00E41D94"/>
    <w:rsid w:val="00E42FF1"/>
    <w:rsid w:val="00E4349F"/>
    <w:rsid w:val="00E435EA"/>
    <w:rsid w:val="00E43F08"/>
    <w:rsid w:val="00E44AC5"/>
    <w:rsid w:val="00E45299"/>
    <w:rsid w:val="00E4537B"/>
    <w:rsid w:val="00E45673"/>
    <w:rsid w:val="00E45FFC"/>
    <w:rsid w:val="00E4695E"/>
    <w:rsid w:val="00E47C34"/>
    <w:rsid w:val="00E47D3C"/>
    <w:rsid w:val="00E47E24"/>
    <w:rsid w:val="00E504D0"/>
    <w:rsid w:val="00E509E4"/>
    <w:rsid w:val="00E5105B"/>
    <w:rsid w:val="00E510A8"/>
    <w:rsid w:val="00E510B2"/>
    <w:rsid w:val="00E511CB"/>
    <w:rsid w:val="00E516BC"/>
    <w:rsid w:val="00E517CD"/>
    <w:rsid w:val="00E52C52"/>
    <w:rsid w:val="00E52EEB"/>
    <w:rsid w:val="00E53886"/>
    <w:rsid w:val="00E53C5E"/>
    <w:rsid w:val="00E54BB4"/>
    <w:rsid w:val="00E5601A"/>
    <w:rsid w:val="00E56361"/>
    <w:rsid w:val="00E56C64"/>
    <w:rsid w:val="00E5744F"/>
    <w:rsid w:val="00E604DD"/>
    <w:rsid w:val="00E60556"/>
    <w:rsid w:val="00E608EA"/>
    <w:rsid w:val="00E61567"/>
    <w:rsid w:val="00E61640"/>
    <w:rsid w:val="00E619CF"/>
    <w:rsid w:val="00E61E79"/>
    <w:rsid w:val="00E62E67"/>
    <w:rsid w:val="00E632D2"/>
    <w:rsid w:val="00E632F5"/>
    <w:rsid w:val="00E6345D"/>
    <w:rsid w:val="00E63558"/>
    <w:rsid w:val="00E64BEE"/>
    <w:rsid w:val="00E656E5"/>
    <w:rsid w:val="00E65A4D"/>
    <w:rsid w:val="00E65AAB"/>
    <w:rsid w:val="00E667B3"/>
    <w:rsid w:val="00E67450"/>
    <w:rsid w:val="00E677E3"/>
    <w:rsid w:val="00E70130"/>
    <w:rsid w:val="00E7030B"/>
    <w:rsid w:val="00E70E4E"/>
    <w:rsid w:val="00E71215"/>
    <w:rsid w:val="00E72B67"/>
    <w:rsid w:val="00E73934"/>
    <w:rsid w:val="00E74878"/>
    <w:rsid w:val="00E76665"/>
    <w:rsid w:val="00E7782D"/>
    <w:rsid w:val="00E779AB"/>
    <w:rsid w:val="00E77A37"/>
    <w:rsid w:val="00E80469"/>
    <w:rsid w:val="00E8063E"/>
    <w:rsid w:val="00E8064F"/>
    <w:rsid w:val="00E8069B"/>
    <w:rsid w:val="00E80981"/>
    <w:rsid w:val="00E80A78"/>
    <w:rsid w:val="00E80CAC"/>
    <w:rsid w:val="00E81314"/>
    <w:rsid w:val="00E81F21"/>
    <w:rsid w:val="00E826AB"/>
    <w:rsid w:val="00E8283D"/>
    <w:rsid w:val="00E82D19"/>
    <w:rsid w:val="00E83742"/>
    <w:rsid w:val="00E83973"/>
    <w:rsid w:val="00E83E1E"/>
    <w:rsid w:val="00E83FB0"/>
    <w:rsid w:val="00E842AA"/>
    <w:rsid w:val="00E84DC7"/>
    <w:rsid w:val="00E85C33"/>
    <w:rsid w:val="00E85E2B"/>
    <w:rsid w:val="00E861A7"/>
    <w:rsid w:val="00E87B35"/>
    <w:rsid w:val="00E90AE0"/>
    <w:rsid w:val="00E90D3E"/>
    <w:rsid w:val="00E9159B"/>
    <w:rsid w:val="00E91891"/>
    <w:rsid w:val="00E9280A"/>
    <w:rsid w:val="00E93069"/>
    <w:rsid w:val="00E9306A"/>
    <w:rsid w:val="00E9346D"/>
    <w:rsid w:val="00E94E6A"/>
    <w:rsid w:val="00E95445"/>
    <w:rsid w:val="00E955FA"/>
    <w:rsid w:val="00E95F32"/>
    <w:rsid w:val="00E96099"/>
    <w:rsid w:val="00E966A8"/>
    <w:rsid w:val="00E96A46"/>
    <w:rsid w:val="00E9734E"/>
    <w:rsid w:val="00EA0020"/>
    <w:rsid w:val="00EA0443"/>
    <w:rsid w:val="00EA08E3"/>
    <w:rsid w:val="00EA172D"/>
    <w:rsid w:val="00EA18D1"/>
    <w:rsid w:val="00EA1BC9"/>
    <w:rsid w:val="00EA222C"/>
    <w:rsid w:val="00EA2676"/>
    <w:rsid w:val="00EA4D31"/>
    <w:rsid w:val="00EA4F7B"/>
    <w:rsid w:val="00EA6D56"/>
    <w:rsid w:val="00EA72B4"/>
    <w:rsid w:val="00EA7D4E"/>
    <w:rsid w:val="00EB00D6"/>
    <w:rsid w:val="00EB0347"/>
    <w:rsid w:val="00EB1378"/>
    <w:rsid w:val="00EB146E"/>
    <w:rsid w:val="00EB14CC"/>
    <w:rsid w:val="00EB1AC4"/>
    <w:rsid w:val="00EB2103"/>
    <w:rsid w:val="00EB2318"/>
    <w:rsid w:val="00EB2703"/>
    <w:rsid w:val="00EB27C8"/>
    <w:rsid w:val="00EB2E4C"/>
    <w:rsid w:val="00EB35A3"/>
    <w:rsid w:val="00EB38C9"/>
    <w:rsid w:val="00EB3B3B"/>
    <w:rsid w:val="00EB423E"/>
    <w:rsid w:val="00EB4783"/>
    <w:rsid w:val="00EB47ED"/>
    <w:rsid w:val="00EB4D55"/>
    <w:rsid w:val="00EB4FBD"/>
    <w:rsid w:val="00EB532C"/>
    <w:rsid w:val="00EB61B3"/>
    <w:rsid w:val="00EB61E8"/>
    <w:rsid w:val="00EB6945"/>
    <w:rsid w:val="00EB69AF"/>
    <w:rsid w:val="00EB6AE8"/>
    <w:rsid w:val="00EB726B"/>
    <w:rsid w:val="00EB7342"/>
    <w:rsid w:val="00EC22D8"/>
    <w:rsid w:val="00EC3E6A"/>
    <w:rsid w:val="00EC45C0"/>
    <w:rsid w:val="00EC4FB8"/>
    <w:rsid w:val="00EC631F"/>
    <w:rsid w:val="00EC6733"/>
    <w:rsid w:val="00EC6D8A"/>
    <w:rsid w:val="00EC70F3"/>
    <w:rsid w:val="00EC710F"/>
    <w:rsid w:val="00EC7B9F"/>
    <w:rsid w:val="00ED0742"/>
    <w:rsid w:val="00ED0E85"/>
    <w:rsid w:val="00ED1BC5"/>
    <w:rsid w:val="00ED21BF"/>
    <w:rsid w:val="00ED33A6"/>
    <w:rsid w:val="00ED3B06"/>
    <w:rsid w:val="00ED3DFE"/>
    <w:rsid w:val="00ED4636"/>
    <w:rsid w:val="00ED4926"/>
    <w:rsid w:val="00ED497F"/>
    <w:rsid w:val="00ED49EF"/>
    <w:rsid w:val="00ED4E44"/>
    <w:rsid w:val="00ED4E99"/>
    <w:rsid w:val="00ED562B"/>
    <w:rsid w:val="00ED5A98"/>
    <w:rsid w:val="00ED5CA3"/>
    <w:rsid w:val="00ED5CE9"/>
    <w:rsid w:val="00ED5FA2"/>
    <w:rsid w:val="00ED695A"/>
    <w:rsid w:val="00ED6E18"/>
    <w:rsid w:val="00ED7289"/>
    <w:rsid w:val="00ED731B"/>
    <w:rsid w:val="00ED73BF"/>
    <w:rsid w:val="00ED7988"/>
    <w:rsid w:val="00ED7BB8"/>
    <w:rsid w:val="00ED7F32"/>
    <w:rsid w:val="00EE01D9"/>
    <w:rsid w:val="00EE0873"/>
    <w:rsid w:val="00EE15F2"/>
    <w:rsid w:val="00EE19CF"/>
    <w:rsid w:val="00EE1A2A"/>
    <w:rsid w:val="00EE23E0"/>
    <w:rsid w:val="00EE2759"/>
    <w:rsid w:val="00EE298B"/>
    <w:rsid w:val="00EE2C1B"/>
    <w:rsid w:val="00EE2DCD"/>
    <w:rsid w:val="00EE2F5C"/>
    <w:rsid w:val="00EE2F9A"/>
    <w:rsid w:val="00EE3124"/>
    <w:rsid w:val="00EE313B"/>
    <w:rsid w:val="00EE347F"/>
    <w:rsid w:val="00EE4642"/>
    <w:rsid w:val="00EE5250"/>
    <w:rsid w:val="00EE53E5"/>
    <w:rsid w:val="00EE6357"/>
    <w:rsid w:val="00EE6637"/>
    <w:rsid w:val="00EE7023"/>
    <w:rsid w:val="00EE7491"/>
    <w:rsid w:val="00EE7F3F"/>
    <w:rsid w:val="00EF03E0"/>
    <w:rsid w:val="00EF0814"/>
    <w:rsid w:val="00EF2ED1"/>
    <w:rsid w:val="00EF3256"/>
    <w:rsid w:val="00EF3711"/>
    <w:rsid w:val="00EF44B0"/>
    <w:rsid w:val="00EF54E5"/>
    <w:rsid w:val="00EF5645"/>
    <w:rsid w:val="00EF5F1D"/>
    <w:rsid w:val="00EF7764"/>
    <w:rsid w:val="00F000B9"/>
    <w:rsid w:val="00F00F6E"/>
    <w:rsid w:val="00F01112"/>
    <w:rsid w:val="00F0142B"/>
    <w:rsid w:val="00F01BC2"/>
    <w:rsid w:val="00F027C3"/>
    <w:rsid w:val="00F02F18"/>
    <w:rsid w:val="00F0393C"/>
    <w:rsid w:val="00F03EE2"/>
    <w:rsid w:val="00F04321"/>
    <w:rsid w:val="00F04A21"/>
    <w:rsid w:val="00F05411"/>
    <w:rsid w:val="00F055FE"/>
    <w:rsid w:val="00F05D45"/>
    <w:rsid w:val="00F05E5D"/>
    <w:rsid w:val="00F0639D"/>
    <w:rsid w:val="00F06A96"/>
    <w:rsid w:val="00F0723E"/>
    <w:rsid w:val="00F0757F"/>
    <w:rsid w:val="00F07DF9"/>
    <w:rsid w:val="00F10670"/>
    <w:rsid w:val="00F11774"/>
    <w:rsid w:val="00F11EC4"/>
    <w:rsid w:val="00F11F34"/>
    <w:rsid w:val="00F12BCD"/>
    <w:rsid w:val="00F12FCD"/>
    <w:rsid w:val="00F144B8"/>
    <w:rsid w:val="00F15E43"/>
    <w:rsid w:val="00F176F7"/>
    <w:rsid w:val="00F17844"/>
    <w:rsid w:val="00F209B9"/>
    <w:rsid w:val="00F213FA"/>
    <w:rsid w:val="00F214A9"/>
    <w:rsid w:val="00F2189E"/>
    <w:rsid w:val="00F21DDB"/>
    <w:rsid w:val="00F21E3D"/>
    <w:rsid w:val="00F21E71"/>
    <w:rsid w:val="00F2225A"/>
    <w:rsid w:val="00F23221"/>
    <w:rsid w:val="00F23A24"/>
    <w:rsid w:val="00F243A9"/>
    <w:rsid w:val="00F24CB5"/>
    <w:rsid w:val="00F25226"/>
    <w:rsid w:val="00F25F00"/>
    <w:rsid w:val="00F26536"/>
    <w:rsid w:val="00F27076"/>
    <w:rsid w:val="00F2707F"/>
    <w:rsid w:val="00F2786F"/>
    <w:rsid w:val="00F30FAA"/>
    <w:rsid w:val="00F31325"/>
    <w:rsid w:val="00F31AD4"/>
    <w:rsid w:val="00F31C1F"/>
    <w:rsid w:val="00F32298"/>
    <w:rsid w:val="00F3255B"/>
    <w:rsid w:val="00F32D00"/>
    <w:rsid w:val="00F33125"/>
    <w:rsid w:val="00F340C8"/>
    <w:rsid w:val="00F34155"/>
    <w:rsid w:val="00F34347"/>
    <w:rsid w:val="00F34372"/>
    <w:rsid w:val="00F34A80"/>
    <w:rsid w:val="00F352AE"/>
    <w:rsid w:val="00F3549D"/>
    <w:rsid w:val="00F356AF"/>
    <w:rsid w:val="00F37193"/>
    <w:rsid w:val="00F3754C"/>
    <w:rsid w:val="00F3754D"/>
    <w:rsid w:val="00F3798F"/>
    <w:rsid w:val="00F42AB7"/>
    <w:rsid w:val="00F4363C"/>
    <w:rsid w:val="00F44128"/>
    <w:rsid w:val="00F45162"/>
    <w:rsid w:val="00F45746"/>
    <w:rsid w:val="00F45835"/>
    <w:rsid w:val="00F45F77"/>
    <w:rsid w:val="00F45FA4"/>
    <w:rsid w:val="00F47910"/>
    <w:rsid w:val="00F47AF2"/>
    <w:rsid w:val="00F47EC8"/>
    <w:rsid w:val="00F50E7A"/>
    <w:rsid w:val="00F51590"/>
    <w:rsid w:val="00F521E3"/>
    <w:rsid w:val="00F53F33"/>
    <w:rsid w:val="00F5567E"/>
    <w:rsid w:val="00F556A1"/>
    <w:rsid w:val="00F55802"/>
    <w:rsid w:val="00F560D4"/>
    <w:rsid w:val="00F56145"/>
    <w:rsid w:val="00F564A5"/>
    <w:rsid w:val="00F56CBC"/>
    <w:rsid w:val="00F57628"/>
    <w:rsid w:val="00F6055A"/>
    <w:rsid w:val="00F624F3"/>
    <w:rsid w:val="00F62C80"/>
    <w:rsid w:val="00F6367C"/>
    <w:rsid w:val="00F63AC2"/>
    <w:rsid w:val="00F63EFC"/>
    <w:rsid w:val="00F63F1D"/>
    <w:rsid w:val="00F64158"/>
    <w:rsid w:val="00F64582"/>
    <w:rsid w:val="00F6537D"/>
    <w:rsid w:val="00F6587F"/>
    <w:rsid w:val="00F6660D"/>
    <w:rsid w:val="00F6669E"/>
    <w:rsid w:val="00F66D8E"/>
    <w:rsid w:val="00F6710B"/>
    <w:rsid w:val="00F67E1F"/>
    <w:rsid w:val="00F715FB"/>
    <w:rsid w:val="00F71FBA"/>
    <w:rsid w:val="00F722AD"/>
    <w:rsid w:val="00F72B66"/>
    <w:rsid w:val="00F72B85"/>
    <w:rsid w:val="00F73384"/>
    <w:rsid w:val="00F73529"/>
    <w:rsid w:val="00F74707"/>
    <w:rsid w:val="00F74BF0"/>
    <w:rsid w:val="00F7547F"/>
    <w:rsid w:val="00F75BEF"/>
    <w:rsid w:val="00F75D01"/>
    <w:rsid w:val="00F76A49"/>
    <w:rsid w:val="00F76AE1"/>
    <w:rsid w:val="00F76DDF"/>
    <w:rsid w:val="00F77479"/>
    <w:rsid w:val="00F80E4E"/>
    <w:rsid w:val="00F80F94"/>
    <w:rsid w:val="00F81BD5"/>
    <w:rsid w:val="00F81D7D"/>
    <w:rsid w:val="00F81E04"/>
    <w:rsid w:val="00F82A22"/>
    <w:rsid w:val="00F82AE7"/>
    <w:rsid w:val="00F82D1A"/>
    <w:rsid w:val="00F8317C"/>
    <w:rsid w:val="00F838B1"/>
    <w:rsid w:val="00F83AF2"/>
    <w:rsid w:val="00F83E25"/>
    <w:rsid w:val="00F8482D"/>
    <w:rsid w:val="00F858B8"/>
    <w:rsid w:val="00F8593C"/>
    <w:rsid w:val="00F8597F"/>
    <w:rsid w:val="00F85BC0"/>
    <w:rsid w:val="00F85D81"/>
    <w:rsid w:val="00F863C7"/>
    <w:rsid w:val="00F86EB7"/>
    <w:rsid w:val="00F874C4"/>
    <w:rsid w:val="00F87E2A"/>
    <w:rsid w:val="00F87E62"/>
    <w:rsid w:val="00F903CA"/>
    <w:rsid w:val="00F9192C"/>
    <w:rsid w:val="00F91A6B"/>
    <w:rsid w:val="00F91D60"/>
    <w:rsid w:val="00F9204C"/>
    <w:rsid w:val="00F92838"/>
    <w:rsid w:val="00F92B8E"/>
    <w:rsid w:val="00F93AD3"/>
    <w:rsid w:val="00F93D80"/>
    <w:rsid w:val="00F93E06"/>
    <w:rsid w:val="00F9423C"/>
    <w:rsid w:val="00F94E6F"/>
    <w:rsid w:val="00F9503F"/>
    <w:rsid w:val="00F95969"/>
    <w:rsid w:val="00F9611D"/>
    <w:rsid w:val="00FA0AD3"/>
    <w:rsid w:val="00FA0B96"/>
    <w:rsid w:val="00FA12CA"/>
    <w:rsid w:val="00FA250A"/>
    <w:rsid w:val="00FA309F"/>
    <w:rsid w:val="00FA34EF"/>
    <w:rsid w:val="00FA36B0"/>
    <w:rsid w:val="00FA4338"/>
    <w:rsid w:val="00FA45A4"/>
    <w:rsid w:val="00FA4932"/>
    <w:rsid w:val="00FA52C2"/>
    <w:rsid w:val="00FA52CC"/>
    <w:rsid w:val="00FA55DA"/>
    <w:rsid w:val="00FA59AE"/>
    <w:rsid w:val="00FA5B84"/>
    <w:rsid w:val="00FA5DBD"/>
    <w:rsid w:val="00FA5E7C"/>
    <w:rsid w:val="00FA6460"/>
    <w:rsid w:val="00FA64DE"/>
    <w:rsid w:val="00FA76B9"/>
    <w:rsid w:val="00FA7BD8"/>
    <w:rsid w:val="00FB0271"/>
    <w:rsid w:val="00FB0401"/>
    <w:rsid w:val="00FB04D4"/>
    <w:rsid w:val="00FB0969"/>
    <w:rsid w:val="00FB0B4E"/>
    <w:rsid w:val="00FB0BEE"/>
    <w:rsid w:val="00FB0E6B"/>
    <w:rsid w:val="00FB1228"/>
    <w:rsid w:val="00FB1243"/>
    <w:rsid w:val="00FB1506"/>
    <w:rsid w:val="00FB1B10"/>
    <w:rsid w:val="00FB2758"/>
    <w:rsid w:val="00FB2AD8"/>
    <w:rsid w:val="00FB2BE8"/>
    <w:rsid w:val="00FB3767"/>
    <w:rsid w:val="00FB3CA7"/>
    <w:rsid w:val="00FB4174"/>
    <w:rsid w:val="00FB43FB"/>
    <w:rsid w:val="00FB444A"/>
    <w:rsid w:val="00FB48F6"/>
    <w:rsid w:val="00FB4963"/>
    <w:rsid w:val="00FB4990"/>
    <w:rsid w:val="00FB4DB9"/>
    <w:rsid w:val="00FB65E6"/>
    <w:rsid w:val="00FB682A"/>
    <w:rsid w:val="00FB72E1"/>
    <w:rsid w:val="00FB7763"/>
    <w:rsid w:val="00FB779F"/>
    <w:rsid w:val="00FB780F"/>
    <w:rsid w:val="00FB785C"/>
    <w:rsid w:val="00FB78D3"/>
    <w:rsid w:val="00FB7B72"/>
    <w:rsid w:val="00FB7E38"/>
    <w:rsid w:val="00FC0CF5"/>
    <w:rsid w:val="00FC1B77"/>
    <w:rsid w:val="00FC1FEB"/>
    <w:rsid w:val="00FC241E"/>
    <w:rsid w:val="00FC2717"/>
    <w:rsid w:val="00FC2825"/>
    <w:rsid w:val="00FC2A78"/>
    <w:rsid w:val="00FC4069"/>
    <w:rsid w:val="00FC452C"/>
    <w:rsid w:val="00FC453E"/>
    <w:rsid w:val="00FC4BD2"/>
    <w:rsid w:val="00FC4BDA"/>
    <w:rsid w:val="00FC4D75"/>
    <w:rsid w:val="00FC519D"/>
    <w:rsid w:val="00FC57D6"/>
    <w:rsid w:val="00FC583B"/>
    <w:rsid w:val="00FC598D"/>
    <w:rsid w:val="00FC59FD"/>
    <w:rsid w:val="00FC6358"/>
    <w:rsid w:val="00FC6901"/>
    <w:rsid w:val="00FC6EA7"/>
    <w:rsid w:val="00FC721D"/>
    <w:rsid w:val="00FC7A21"/>
    <w:rsid w:val="00FC7DBE"/>
    <w:rsid w:val="00FD0352"/>
    <w:rsid w:val="00FD0637"/>
    <w:rsid w:val="00FD0977"/>
    <w:rsid w:val="00FD0EFE"/>
    <w:rsid w:val="00FD1284"/>
    <w:rsid w:val="00FD14E5"/>
    <w:rsid w:val="00FD1A55"/>
    <w:rsid w:val="00FD2A13"/>
    <w:rsid w:val="00FD2F72"/>
    <w:rsid w:val="00FD3214"/>
    <w:rsid w:val="00FD34AE"/>
    <w:rsid w:val="00FD4366"/>
    <w:rsid w:val="00FD53E9"/>
    <w:rsid w:val="00FD5BFC"/>
    <w:rsid w:val="00FD5DC0"/>
    <w:rsid w:val="00FD5EDC"/>
    <w:rsid w:val="00FD61C5"/>
    <w:rsid w:val="00FD645D"/>
    <w:rsid w:val="00FD6CBF"/>
    <w:rsid w:val="00FD755B"/>
    <w:rsid w:val="00FD7620"/>
    <w:rsid w:val="00FD7D8E"/>
    <w:rsid w:val="00FE007F"/>
    <w:rsid w:val="00FE0294"/>
    <w:rsid w:val="00FE0639"/>
    <w:rsid w:val="00FE2FC9"/>
    <w:rsid w:val="00FE37BE"/>
    <w:rsid w:val="00FE3A77"/>
    <w:rsid w:val="00FE3B48"/>
    <w:rsid w:val="00FE3C5A"/>
    <w:rsid w:val="00FE3E11"/>
    <w:rsid w:val="00FE4037"/>
    <w:rsid w:val="00FE48EB"/>
    <w:rsid w:val="00FE67F1"/>
    <w:rsid w:val="00FE6AF6"/>
    <w:rsid w:val="00FE6B10"/>
    <w:rsid w:val="00FE6E9A"/>
    <w:rsid w:val="00FE7AE5"/>
    <w:rsid w:val="00FF02C0"/>
    <w:rsid w:val="00FF03E9"/>
    <w:rsid w:val="00FF0C8C"/>
    <w:rsid w:val="00FF15A3"/>
    <w:rsid w:val="00FF2BA5"/>
    <w:rsid w:val="00FF2BF7"/>
    <w:rsid w:val="00FF3497"/>
    <w:rsid w:val="00FF3D06"/>
    <w:rsid w:val="00FF3DC8"/>
    <w:rsid w:val="00FF44BB"/>
    <w:rsid w:val="00FF4D0E"/>
    <w:rsid w:val="00FF5B54"/>
    <w:rsid w:val="00FF6095"/>
    <w:rsid w:val="00FF68FB"/>
    <w:rsid w:val="00FF6A0F"/>
    <w:rsid w:val="00FF6C7E"/>
    <w:rsid w:val="00FF6FEF"/>
    <w:rsid w:val="00FF70A4"/>
    <w:rsid w:val="00FF7312"/>
    <w:rsid w:val="00FF7626"/>
    <w:rsid w:val="00FF7634"/>
    <w:rsid w:val="00FF763E"/>
    <w:rsid w:val="00FF76DF"/>
    <w:rsid w:val="02001571"/>
    <w:rsid w:val="021A50BE"/>
    <w:rsid w:val="033631DC"/>
    <w:rsid w:val="034D718E"/>
    <w:rsid w:val="0355302B"/>
    <w:rsid w:val="052102F8"/>
    <w:rsid w:val="0590434B"/>
    <w:rsid w:val="066F1EC1"/>
    <w:rsid w:val="077B3F65"/>
    <w:rsid w:val="07C00225"/>
    <w:rsid w:val="087A54E0"/>
    <w:rsid w:val="0AC155BE"/>
    <w:rsid w:val="0AD5BDBA"/>
    <w:rsid w:val="0AFD3C89"/>
    <w:rsid w:val="0B634893"/>
    <w:rsid w:val="0B6D598B"/>
    <w:rsid w:val="0BC90DDD"/>
    <w:rsid w:val="0BCE04B5"/>
    <w:rsid w:val="0C33236C"/>
    <w:rsid w:val="0C922869"/>
    <w:rsid w:val="0CBF1FED"/>
    <w:rsid w:val="0D3166E7"/>
    <w:rsid w:val="0E2D69E6"/>
    <w:rsid w:val="0E451786"/>
    <w:rsid w:val="0F291509"/>
    <w:rsid w:val="0F7554C5"/>
    <w:rsid w:val="0FEC0A4E"/>
    <w:rsid w:val="13257202"/>
    <w:rsid w:val="13F35552"/>
    <w:rsid w:val="14660F4D"/>
    <w:rsid w:val="151C2172"/>
    <w:rsid w:val="15593805"/>
    <w:rsid w:val="176D0C01"/>
    <w:rsid w:val="1781485B"/>
    <w:rsid w:val="17BFBA4D"/>
    <w:rsid w:val="17CE52A8"/>
    <w:rsid w:val="17DEAB8E"/>
    <w:rsid w:val="17E01981"/>
    <w:rsid w:val="17E79402"/>
    <w:rsid w:val="18E15EC0"/>
    <w:rsid w:val="19582D2D"/>
    <w:rsid w:val="1C054DD8"/>
    <w:rsid w:val="1C0F14E6"/>
    <w:rsid w:val="1DE67964"/>
    <w:rsid w:val="1DF1581B"/>
    <w:rsid w:val="1E124827"/>
    <w:rsid w:val="1F550E6F"/>
    <w:rsid w:val="1FDB7792"/>
    <w:rsid w:val="1FFBEAA5"/>
    <w:rsid w:val="200C76CE"/>
    <w:rsid w:val="202C7E22"/>
    <w:rsid w:val="20533D65"/>
    <w:rsid w:val="208B0347"/>
    <w:rsid w:val="20D52267"/>
    <w:rsid w:val="21A6582E"/>
    <w:rsid w:val="21C547BD"/>
    <w:rsid w:val="220B33E7"/>
    <w:rsid w:val="22431452"/>
    <w:rsid w:val="225263A8"/>
    <w:rsid w:val="22970BAB"/>
    <w:rsid w:val="245F4A69"/>
    <w:rsid w:val="256047F1"/>
    <w:rsid w:val="25D415D6"/>
    <w:rsid w:val="263278A0"/>
    <w:rsid w:val="266F2F1B"/>
    <w:rsid w:val="280123F6"/>
    <w:rsid w:val="287A36F4"/>
    <w:rsid w:val="28AC0391"/>
    <w:rsid w:val="2BA411B4"/>
    <w:rsid w:val="2C6423B3"/>
    <w:rsid w:val="2D037EF3"/>
    <w:rsid w:val="2D252FE1"/>
    <w:rsid w:val="2D6F148D"/>
    <w:rsid w:val="2E3C0666"/>
    <w:rsid w:val="2E9A2215"/>
    <w:rsid w:val="2EBB6CA6"/>
    <w:rsid w:val="2EFC86C9"/>
    <w:rsid w:val="2F2919D0"/>
    <w:rsid w:val="2F730E9C"/>
    <w:rsid w:val="308B2942"/>
    <w:rsid w:val="3106095F"/>
    <w:rsid w:val="31F357D4"/>
    <w:rsid w:val="32F80703"/>
    <w:rsid w:val="334706D7"/>
    <w:rsid w:val="33682D17"/>
    <w:rsid w:val="337B7616"/>
    <w:rsid w:val="337FC022"/>
    <w:rsid w:val="34586FDF"/>
    <w:rsid w:val="34C14A9B"/>
    <w:rsid w:val="3596644D"/>
    <w:rsid w:val="35E76DE6"/>
    <w:rsid w:val="368D3C0F"/>
    <w:rsid w:val="36B3353F"/>
    <w:rsid w:val="37175297"/>
    <w:rsid w:val="3875122D"/>
    <w:rsid w:val="388C4FEA"/>
    <w:rsid w:val="38C4712E"/>
    <w:rsid w:val="391B05DB"/>
    <w:rsid w:val="3B1A6C5E"/>
    <w:rsid w:val="3B96603A"/>
    <w:rsid w:val="3BED21F0"/>
    <w:rsid w:val="3CE04743"/>
    <w:rsid w:val="3CFB711C"/>
    <w:rsid w:val="3CFF3ECD"/>
    <w:rsid w:val="3D0939C4"/>
    <w:rsid w:val="3DE86088"/>
    <w:rsid w:val="3DFE3951"/>
    <w:rsid w:val="3EB36BA2"/>
    <w:rsid w:val="3FDEAC32"/>
    <w:rsid w:val="3FF871A1"/>
    <w:rsid w:val="40D73BA8"/>
    <w:rsid w:val="411A7D77"/>
    <w:rsid w:val="41826C83"/>
    <w:rsid w:val="41970A1B"/>
    <w:rsid w:val="41F223FF"/>
    <w:rsid w:val="42380FA7"/>
    <w:rsid w:val="427C0AD7"/>
    <w:rsid w:val="445540F5"/>
    <w:rsid w:val="45391EB1"/>
    <w:rsid w:val="456F1A26"/>
    <w:rsid w:val="45E249C2"/>
    <w:rsid w:val="462C5BD6"/>
    <w:rsid w:val="465E129C"/>
    <w:rsid w:val="466B7BBA"/>
    <w:rsid w:val="4678706D"/>
    <w:rsid w:val="46865705"/>
    <w:rsid w:val="46993F29"/>
    <w:rsid w:val="46FD5C4E"/>
    <w:rsid w:val="47043F82"/>
    <w:rsid w:val="49167C2D"/>
    <w:rsid w:val="4929478C"/>
    <w:rsid w:val="49BD7F63"/>
    <w:rsid w:val="4AC30931"/>
    <w:rsid w:val="4B57A469"/>
    <w:rsid w:val="4BE071F5"/>
    <w:rsid w:val="4BE50F4C"/>
    <w:rsid w:val="4CF57964"/>
    <w:rsid w:val="4D831288"/>
    <w:rsid w:val="4ECD5928"/>
    <w:rsid w:val="4ED1054C"/>
    <w:rsid w:val="4F1F1343"/>
    <w:rsid w:val="50483F54"/>
    <w:rsid w:val="508D2F68"/>
    <w:rsid w:val="52202A39"/>
    <w:rsid w:val="524A65DD"/>
    <w:rsid w:val="52641885"/>
    <w:rsid w:val="53E82F40"/>
    <w:rsid w:val="54E77B38"/>
    <w:rsid w:val="55C117A3"/>
    <w:rsid w:val="561074A3"/>
    <w:rsid w:val="56456AAE"/>
    <w:rsid w:val="56AF4620"/>
    <w:rsid w:val="576C0471"/>
    <w:rsid w:val="57721B0B"/>
    <w:rsid w:val="58517567"/>
    <w:rsid w:val="58F750F7"/>
    <w:rsid w:val="597FEEA6"/>
    <w:rsid w:val="59D16316"/>
    <w:rsid w:val="59D615A0"/>
    <w:rsid w:val="59DFFA5A"/>
    <w:rsid w:val="59FFB0EF"/>
    <w:rsid w:val="5AA259CF"/>
    <w:rsid w:val="5ADF299E"/>
    <w:rsid w:val="5AF0312A"/>
    <w:rsid w:val="5B41548D"/>
    <w:rsid w:val="5BA455B7"/>
    <w:rsid w:val="5BF02318"/>
    <w:rsid w:val="5CF87892"/>
    <w:rsid w:val="5DAE5894"/>
    <w:rsid w:val="5DB1089D"/>
    <w:rsid w:val="5EFCD8DC"/>
    <w:rsid w:val="5F3B4838"/>
    <w:rsid w:val="5F6FD5EF"/>
    <w:rsid w:val="5F7A4CF7"/>
    <w:rsid w:val="5FEB66F7"/>
    <w:rsid w:val="5FEED020"/>
    <w:rsid w:val="5FEFE923"/>
    <w:rsid w:val="5FF5E680"/>
    <w:rsid w:val="604C3B3B"/>
    <w:rsid w:val="61291238"/>
    <w:rsid w:val="62976C38"/>
    <w:rsid w:val="63260396"/>
    <w:rsid w:val="64A80E7F"/>
    <w:rsid w:val="64B764F6"/>
    <w:rsid w:val="65DF0B5D"/>
    <w:rsid w:val="661E5345"/>
    <w:rsid w:val="666FEB3E"/>
    <w:rsid w:val="66A25CDC"/>
    <w:rsid w:val="675F4732"/>
    <w:rsid w:val="67D0065F"/>
    <w:rsid w:val="67D8F4A7"/>
    <w:rsid w:val="682643BE"/>
    <w:rsid w:val="68E61F00"/>
    <w:rsid w:val="69A17196"/>
    <w:rsid w:val="6B0115A5"/>
    <w:rsid w:val="6B142B5C"/>
    <w:rsid w:val="6BD732D1"/>
    <w:rsid w:val="6C292C35"/>
    <w:rsid w:val="6D7F4CEB"/>
    <w:rsid w:val="6DCD1418"/>
    <w:rsid w:val="6DDF8CEA"/>
    <w:rsid w:val="6E1B0B67"/>
    <w:rsid w:val="6EAC2920"/>
    <w:rsid w:val="6EBC439F"/>
    <w:rsid w:val="6EBF26CD"/>
    <w:rsid w:val="6F091E7A"/>
    <w:rsid w:val="6F3FB9F4"/>
    <w:rsid w:val="6F7FFEB1"/>
    <w:rsid w:val="6FAE9878"/>
    <w:rsid w:val="6FBF8ADB"/>
    <w:rsid w:val="6FCF8E93"/>
    <w:rsid w:val="6FF751BC"/>
    <w:rsid w:val="6FFDA175"/>
    <w:rsid w:val="70716708"/>
    <w:rsid w:val="70EB475C"/>
    <w:rsid w:val="715635D8"/>
    <w:rsid w:val="71FB97B3"/>
    <w:rsid w:val="722712D6"/>
    <w:rsid w:val="746E7748"/>
    <w:rsid w:val="748E232D"/>
    <w:rsid w:val="75BFEF4E"/>
    <w:rsid w:val="75D532E5"/>
    <w:rsid w:val="75F48552"/>
    <w:rsid w:val="773FD12E"/>
    <w:rsid w:val="777B5264"/>
    <w:rsid w:val="777BF99C"/>
    <w:rsid w:val="77C4DFD1"/>
    <w:rsid w:val="77DF75C6"/>
    <w:rsid w:val="77F38521"/>
    <w:rsid w:val="77F6E849"/>
    <w:rsid w:val="78CC09CF"/>
    <w:rsid w:val="792D6961"/>
    <w:rsid w:val="794F29EB"/>
    <w:rsid w:val="79DA3541"/>
    <w:rsid w:val="79E7ED2C"/>
    <w:rsid w:val="7AE96CDD"/>
    <w:rsid w:val="7AFBC4F8"/>
    <w:rsid w:val="7AFF0115"/>
    <w:rsid w:val="7B7EC430"/>
    <w:rsid w:val="7BB72C05"/>
    <w:rsid w:val="7BFFEC75"/>
    <w:rsid w:val="7C3F02FF"/>
    <w:rsid w:val="7D1D8B0A"/>
    <w:rsid w:val="7DB7815E"/>
    <w:rsid w:val="7DFBBD5D"/>
    <w:rsid w:val="7E5FBE57"/>
    <w:rsid w:val="7EB5BFE3"/>
    <w:rsid w:val="7F3B27EC"/>
    <w:rsid w:val="7F614E15"/>
    <w:rsid w:val="7F674AA3"/>
    <w:rsid w:val="7F759F8A"/>
    <w:rsid w:val="7F75E369"/>
    <w:rsid w:val="7FA55922"/>
    <w:rsid w:val="7FAC211E"/>
    <w:rsid w:val="7FAF0D43"/>
    <w:rsid w:val="7FB3D844"/>
    <w:rsid w:val="7FBBE057"/>
    <w:rsid w:val="7FBF5191"/>
    <w:rsid w:val="7FD739A3"/>
    <w:rsid w:val="7FD781E9"/>
    <w:rsid w:val="7FDD4E77"/>
    <w:rsid w:val="7FF345BF"/>
    <w:rsid w:val="7FF7E7FC"/>
    <w:rsid w:val="7FFABC5D"/>
    <w:rsid w:val="7FFD5187"/>
    <w:rsid w:val="8FFF6AB1"/>
    <w:rsid w:val="96DB36F3"/>
    <w:rsid w:val="9775F239"/>
    <w:rsid w:val="9DFE7ED0"/>
    <w:rsid w:val="A3F336D0"/>
    <w:rsid w:val="AD7E40F1"/>
    <w:rsid w:val="AF27541A"/>
    <w:rsid w:val="AF57F1F7"/>
    <w:rsid w:val="AFF673DC"/>
    <w:rsid w:val="B7EFDCF6"/>
    <w:rsid w:val="B7FDECF0"/>
    <w:rsid w:val="B8B63C1D"/>
    <w:rsid w:val="BB772E67"/>
    <w:rsid w:val="BB7F395F"/>
    <w:rsid w:val="BEAF3EE3"/>
    <w:rsid w:val="BEEF8B46"/>
    <w:rsid w:val="BEFE51AB"/>
    <w:rsid w:val="BEFF121A"/>
    <w:rsid w:val="BF7A22CC"/>
    <w:rsid w:val="BF7AFC72"/>
    <w:rsid w:val="BFAE41C8"/>
    <w:rsid w:val="BFCFFFF3"/>
    <w:rsid w:val="BFDC1C53"/>
    <w:rsid w:val="BFFF30D7"/>
    <w:rsid w:val="C5FFC2A7"/>
    <w:rsid w:val="C9F773D0"/>
    <w:rsid w:val="CB5958A9"/>
    <w:rsid w:val="CCFFC285"/>
    <w:rsid w:val="CDBF6937"/>
    <w:rsid w:val="CF7D78B0"/>
    <w:rsid w:val="D3FFE556"/>
    <w:rsid w:val="D5F91193"/>
    <w:rsid w:val="DBD5178A"/>
    <w:rsid w:val="DCFDE76D"/>
    <w:rsid w:val="DD7C1441"/>
    <w:rsid w:val="DF9FAAE5"/>
    <w:rsid w:val="DFB703D2"/>
    <w:rsid w:val="E9DCD516"/>
    <w:rsid w:val="EB7941B7"/>
    <w:rsid w:val="EDD7A2EA"/>
    <w:rsid w:val="EE53B9FE"/>
    <w:rsid w:val="EF70A0FE"/>
    <w:rsid w:val="EFEC84CA"/>
    <w:rsid w:val="F0E7EF12"/>
    <w:rsid w:val="F3FBAABE"/>
    <w:rsid w:val="F3FD1D55"/>
    <w:rsid w:val="F61D2A4C"/>
    <w:rsid w:val="F65C6C57"/>
    <w:rsid w:val="F77EF637"/>
    <w:rsid w:val="F7960ED0"/>
    <w:rsid w:val="F7983DA4"/>
    <w:rsid w:val="F7BB4278"/>
    <w:rsid w:val="F7FFA999"/>
    <w:rsid w:val="F8B13AE2"/>
    <w:rsid w:val="F9FAEC7C"/>
    <w:rsid w:val="FABF025C"/>
    <w:rsid w:val="FAFA5CE9"/>
    <w:rsid w:val="FB3E201A"/>
    <w:rsid w:val="FB7F1C6F"/>
    <w:rsid w:val="FC2B0ECA"/>
    <w:rsid w:val="FC75B9BE"/>
    <w:rsid w:val="FC8A16C1"/>
    <w:rsid w:val="FD068575"/>
    <w:rsid w:val="FD792A2C"/>
    <w:rsid w:val="FDE66349"/>
    <w:rsid w:val="FDE6729D"/>
    <w:rsid w:val="FE5EF634"/>
    <w:rsid w:val="FE9BA38B"/>
    <w:rsid w:val="FE9D7EEC"/>
    <w:rsid w:val="FED3E5A2"/>
    <w:rsid w:val="FEFBAF43"/>
    <w:rsid w:val="FEFE808D"/>
    <w:rsid w:val="FF4F4B94"/>
    <w:rsid w:val="FF66A1E5"/>
    <w:rsid w:val="FF7DDFDB"/>
    <w:rsid w:val="FF7F2AC0"/>
    <w:rsid w:val="FFDFB12B"/>
    <w:rsid w:val="FFEF353B"/>
    <w:rsid w:val="FFF5A27D"/>
    <w:rsid w:val="FFF5BBEC"/>
    <w:rsid w:val="FFFDB64D"/>
    <w:rsid w:val="FFFF74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qFormat="1" w:unhideWhenUsed="0" w:uiPriority="0" w:semiHidden="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qFormat="1" w:unhideWhenUsed="0" w:uiPriority="0" w:semiHidden="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qFormat="1"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67"/>
    <w:qFormat/>
    <w:uiPriority w:val="0"/>
    <w:pPr>
      <w:keepNext/>
      <w:keepLines/>
      <w:tabs>
        <w:tab w:val="left" w:pos="360"/>
      </w:tabs>
      <w:adjustRightInd w:val="0"/>
      <w:spacing w:before="120" w:line="360" w:lineRule="auto"/>
      <w:textAlignment w:val="baseline"/>
      <w:outlineLvl w:val="0"/>
    </w:pPr>
    <w:rPr>
      <w:rFonts w:eastAsia="黑体"/>
      <w:b/>
      <w:kern w:val="44"/>
      <w:sz w:val="28"/>
      <w:szCs w:val="20"/>
    </w:rPr>
  </w:style>
  <w:style w:type="paragraph" w:styleId="5">
    <w:name w:val="heading 2"/>
    <w:basedOn w:val="1"/>
    <w:next w:val="6"/>
    <w:link w:val="68"/>
    <w:qFormat/>
    <w:uiPriority w:val="0"/>
    <w:pPr>
      <w:keepNext/>
      <w:tabs>
        <w:tab w:val="left" w:pos="360"/>
        <w:tab w:val="left" w:pos="1021"/>
      </w:tabs>
      <w:adjustRightInd w:val="0"/>
      <w:spacing w:before="120" w:line="360" w:lineRule="auto"/>
      <w:textAlignment w:val="baseline"/>
      <w:outlineLvl w:val="1"/>
    </w:pPr>
    <w:rPr>
      <w:rFonts w:eastAsia="黑体"/>
      <w:b/>
      <w:kern w:val="0"/>
      <w:sz w:val="28"/>
      <w:szCs w:val="20"/>
    </w:rPr>
  </w:style>
  <w:style w:type="paragraph" w:styleId="7">
    <w:name w:val="heading 3"/>
    <w:basedOn w:val="1"/>
    <w:next w:val="1"/>
    <w:link w:val="69"/>
    <w:qFormat/>
    <w:uiPriority w:val="0"/>
    <w:pPr>
      <w:tabs>
        <w:tab w:val="left" w:pos="360"/>
        <w:tab w:val="left" w:pos="900"/>
        <w:tab w:val="left" w:pos="1588"/>
      </w:tabs>
      <w:adjustRightInd w:val="0"/>
      <w:spacing w:before="120" w:line="360" w:lineRule="auto"/>
      <w:textAlignment w:val="baseline"/>
      <w:outlineLvl w:val="2"/>
    </w:pPr>
    <w:rPr>
      <w:rFonts w:eastAsia="黑体"/>
      <w:b/>
      <w:kern w:val="0"/>
      <w:sz w:val="28"/>
      <w:szCs w:val="20"/>
    </w:rPr>
  </w:style>
  <w:style w:type="paragraph" w:styleId="8">
    <w:name w:val="heading 4"/>
    <w:basedOn w:val="1"/>
    <w:next w:val="1"/>
    <w:qFormat/>
    <w:uiPriority w:val="0"/>
    <w:pPr>
      <w:tabs>
        <w:tab w:val="left" w:pos="360"/>
        <w:tab w:val="left" w:pos="2155"/>
      </w:tabs>
      <w:adjustRightInd w:val="0"/>
      <w:spacing w:before="120" w:line="360" w:lineRule="auto"/>
      <w:textAlignment w:val="baseline"/>
      <w:outlineLvl w:val="3"/>
    </w:pPr>
    <w:rPr>
      <w:rFonts w:ascii="Arial" w:hAnsi="Arial" w:eastAsia="黑体"/>
      <w:kern w:val="0"/>
      <w:sz w:val="28"/>
      <w:szCs w:val="20"/>
    </w:rPr>
  </w:style>
  <w:style w:type="paragraph" w:styleId="9">
    <w:name w:val="heading 5"/>
    <w:basedOn w:val="1"/>
    <w:next w:val="1"/>
    <w:link w:val="70"/>
    <w:qFormat/>
    <w:uiPriority w:val="0"/>
    <w:pPr>
      <w:keepNext/>
      <w:keepLines/>
      <w:numPr>
        <w:ilvl w:val="4"/>
        <w:numId w:val="1"/>
      </w:numPr>
      <w:adjustRightInd w:val="0"/>
      <w:spacing w:before="280" w:after="290" w:line="376" w:lineRule="atLeast"/>
      <w:textAlignment w:val="baseline"/>
      <w:outlineLvl w:val="4"/>
    </w:pPr>
    <w:rPr>
      <w:b/>
      <w:kern w:val="0"/>
      <w:sz w:val="28"/>
    </w:rPr>
  </w:style>
  <w:style w:type="character" w:default="1" w:styleId="33">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style>
  <w:style w:type="paragraph" w:styleId="3">
    <w:name w:val="Body Text Indent"/>
    <w:basedOn w:val="1"/>
    <w:next w:val="2"/>
    <w:qFormat/>
    <w:uiPriority w:val="0"/>
    <w:pPr>
      <w:spacing w:after="120"/>
      <w:ind w:left="420" w:leftChars="200"/>
    </w:pPr>
  </w:style>
  <w:style w:type="paragraph" w:styleId="6">
    <w:name w:val="Normal Indent"/>
    <w:basedOn w:val="1"/>
    <w:link w:val="86"/>
    <w:qFormat/>
    <w:uiPriority w:val="0"/>
    <w:pPr>
      <w:widowControl/>
      <w:ind w:firstLine="420" w:firstLineChars="200"/>
      <w:jc w:val="left"/>
    </w:pPr>
    <w:rPr>
      <w:kern w:val="0"/>
      <w:sz w:val="20"/>
      <w:szCs w:val="20"/>
    </w:rPr>
  </w:style>
  <w:style w:type="paragraph" w:styleId="10">
    <w:name w:val="Document Map"/>
    <w:basedOn w:val="1"/>
    <w:semiHidden/>
    <w:qFormat/>
    <w:uiPriority w:val="0"/>
    <w:pPr>
      <w:shd w:val="clear" w:color="auto" w:fill="000080"/>
    </w:pPr>
  </w:style>
  <w:style w:type="paragraph" w:styleId="11">
    <w:name w:val="annotation text"/>
    <w:basedOn w:val="1"/>
    <w:link w:val="96"/>
    <w:qFormat/>
    <w:uiPriority w:val="99"/>
    <w:pPr>
      <w:jc w:val="left"/>
    </w:pPr>
  </w:style>
  <w:style w:type="paragraph" w:styleId="12">
    <w:name w:val="Body Text 3"/>
    <w:basedOn w:val="1"/>
    <w:link w:val="71"/>
    <w:qFormat/>
    <w:uiPriority w:val="0"/>
    <w:pPr>
      <w:spacing w:after="120"/>
    </w:pPr>
    <w:rPr>
      <w:sz w:val="16"/>
      <w:szCs w:val="16"/>
    </w:rPr>
  </w:style>
  <w:style w:type="paragraph" w:styleId="13">
    <w:name w:val="Body Text"/>
    <w:basedOn w:val="1"/>
    <w:link w:val="75"/>
    <w:qFormat/>
    <w:uiPriority w:val="0"/>
    <w:pPr>
      <w:spacing w:after="120"/>
    </w:pPr>
  </w:style>
  <w:style w:type="paragraph" w:styleId="14">
    <w:name w:val="HTML Address"/>
    <w:basedOn w:val="1"/>
    <w:link w:val="144"/>
    <w:qFormat/>
    <w:uiPriority w:val="0"/>
    <w:rPr>
      <w:rFonts w:eastAsiaTheme="minorEastAsia" w:cstheme="minorBidi"/>
      <w:sz w:val="24"/>
      <w:szCs w:val="22"/>
    </w:rPr>
  </w:style>
  <w:style w:type="paragraph" w:styleId="15">
    <w:name w:val="toc 3"/>
    <w:basedOn w:val="1"/>
    <w:next w:val="1"/>
    <w:qFormat/>
    <w:uiPriority w:val="39"/>
    <w:pPr>
      <w:ind w:left="840" w:leftChars="400"/>
    </w:pPr>
  </w:style>
  <w:style w:type="paragraph" w:styleId="16">
    <w:name w:val="Plain Text"/>
    <w:basedOn w:val="1"/>
    <w:link w:val="81"/>
    <w:qFormat/>
    <w:uiPriority w:val="0"/>
    <w:rPr>
      <w:rFonts w:ascii="宋体"/>
      <w:szCs w:val="20"/>
    </w:rPr>
  </w:style>
  <w:style w:type="paragraph" w:styleId="17">
    <w:name w:val="Date"/>
    <w:basedOn w:val="1"/>
    <w:next w:val="1"/>
    <w:link w:val="84"/>
    <w:qFormat/>
    <w:uiPriority w:val="0"/>
    <w:pPr>
      <w:ind w:left="100" w:leftChars="2500"/>
    </w:pPr>
  </w:style>
  <w:style w:type="paragraph" w:styleId="18">
    <w:name w:val="Body Text Indent 2"/>
    <w:basedOn w:val="1"/>
    <w:link w:val="85"/>
    <w:qFormat/>
    <w:uiPriority w:val="0"/>
    <w:pPr>
      <w:spacing w:after="120" w:line="480" w:lineRule="auto"/>
      <w:ind w:left="200" w:leftChars="200"/>
    </w:pPr>
  </w:style>
  <w:style w:type="paragraph" w:styleId="19">
    <w:name w:val="Balloon Text"/>
    <w:basedOn w:val="1"/>
    <w:link w:val="151"/>
    <w:semiHidden/>
    <w:qFormat/>
    <w:uiPriority w:val="99"/>
    <w:rPr>
      <w:sz w:val="18"/>
      <w:szCs w:val="18"/>
    </w:rPr>
  </w:style>
  <w:style w:type="paragraph" w:styleId="20">
    <w:name w:val="footer"/>
    <w:basedOn w:val="1"/>
    <w:link w:val="74"/>
    <w:qFormat/>
    <w:uiPriority w:val="0"/>
    <w:pPr>
      <w:tabs>
        <w:tab w:val="center" w:pos="4153"/>
        <w:tab w:val="right" w:pos="8306"/>
      </w:tabs>
      <w:snapToGrid w:val="0"/>
      <w:jc w:val="left"/>
    </w:pPr>
    <w:rPr>
      <w:rFonts w:ascii="宋体"/>
      <w:sz w:val="18"/>
      <w:szCs w:val="20"/>
    </w:rPr>
  </w:style>
  <w:style w:type="paragraph" w:styleId="21">
    <w:name w:val="header"/>
    <w:basedOn w:val="1"/>
    <w:link w:val="103"/>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tabs>
        <w:tab w:val="right" w:leader="dot" w:pos="9628"/>
      </w:tabs>
      <w:spacing w:before="120" w:after="120"/>
      <w:ind w:firstLine="74" w:firstLineChars="74"/>
      <w:jc w:val="left"/>
    </w:pPr>
    <w:rPr>
      <w:b/>
      <w:bCs/>
      <w:caps/>
      <w:sz w:val="20"/>
      <w:szCs w:val="20"/>
    </w:rPr>
  </w:style>
  <w:style w:type="paragraph" w:styleId="23">
    <w:name w:val="List"/>
    <w:basedOn w:val="1"/>
    <w:qFormat/>
    <w:uiPriority w:val="0"/>
    <w:pPr>
      <w:ind w:left="420" w:hanging="420"/>
    </w:pPr>
    <w:rPr>
      <w:rFonts w:ascii="Arial" w:hAnsi="Arial" w:eastAsia="楷体_GB2312" w:cstheme="minorBidi"/>
      <w:sz w:val="28"/>
    </w:rPr>
  </w:style>
  <w:style w:type="paragraph" w:styleId="24">
    <w:name w:val="toc 2"/>
    <w:basedOn w:val="1"/>
    <w:next w:val="1"/>
    <w:qFormat/>
    <w:uiPriority w:val="39"/>
    <w:pPr>
      <w:tabs>
        <w:tab w:val="right" w:leader="dot" w:pos="9628"/>
      </w:tabs>
      <w:spacing w:line="260" w:lineRule="exact"/>
      <w:ind w:left="210"/>
      <w:jc w:val="left"/>
    </w:pPr>
    <w:rPr>
      <w:smallCaps/>
      <w:sz w:val="20"/>
      <w:szCs w:val="20"/>
    </w:rPr>
  </w:style>
  <w:style w:type="paragraph" w:styleId="25">
    <w:name w:val="toc 9"/>
    <w:basedOn w:val="1"/>
    <w:next w:val="1"/>
    <w:qFormat/>
    <w:uiPriority w:val="0"/>
    <w:pPr>
      <w:ind w:left="1680"/>
      <w:jc w:val="left"/>
    </w:pPr>
    <w:rPr>
      <w:sz w:val="18"/>
      <w:szCs w:val="18"/>
    </w:rPr>
  </w:style>
  <w:style w:type="paragraph" w:styleId="26">
    <w:name w:val="Body Text 2"/>
    <w:basedOn w:val="1"/>
    <w:link w:val="89"/>
    <w:qFormat/>
    <w:uiPriority w:val="0"/>
    <w:pPr>
      <w:spacing w:after="120" w:line="480" w:lineRule="auto"/>
    </w:pPr>
  </w:style>
  <w:style w:type="paragraph" w:styleId="27">
    <w:name w:val="Normal (Web)"/>
    <w:basedOn w:val="1"/>
    <w:qFormat/>
    <w:uiPriority w:val="0"/>
    <w:pPr>
      <w:widowControl/>
      <w:spacing w:before="100" w:beforeAutospacing="1" w:after="100" w:afterAutospacing="1"/>
      <w:jc w:val="left"/>
    </w:pPr>
    <w:rPr>
      <w:rFonts w:ascii="宋体" w:hAnsi="宋体"/>
      <w:kern w:val="0"/>
      <w:sz w:val="24"/>
    </w:rPr>
  </w:style>
  <w:style w:type="paragraph" w:styleId="28">
    <w:name w:val="Title"/>
    <w:basedOn w:val="1"/>
    <w:next w:val="1"/>
    <w:link w:val="79"/>
    <w:qFormat/>
    <w:uiPriority w:val="0"/>
    <w:pPr>
      <w:spacing w:before="240" w:after="60"/>
      <w:jc w:val="center"/>
      <w:outlineLvl w:val="0"/>
    </w:pPr>
    <w:rPr>
      <w:rFonts w:ascii="Cambria" w:hAnsi="Cambria"/>
      <w:b/>
      <w:bCs/>
      <w:sz w:val="32"/>
      <w:szCs w:val="32"/>
    </w:rPr>
  </w:style>
  <w:style w:type="paragraph" w:styleId="29">
    <w:name w:val="annotation subject"/>
    <w:basedOn w:val="11"/>
    <w:next w:val="11"/>
    <w:link w:val="97"/>
    <w:qFormat/>
    <w:uiPriority w:val="0"/>
    <w:rPr>
      <w:b/>
      <w:bCs/>
    </w:rPr>
  </w:style>
  <w:style w:type="table" w:styleId="31">
    <w:name w:val="Table Grid"/>
    <w:basedOn w:val="3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2">
    <w:name w:val="Light Shading"/>
    <w:basedOn w:val="30"/>
    <w:qFormat/>
    <w:uiPriority w:val="60"/>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character" w:styleId="34">
    <w:name w:val="Strong"/>
    <w:basedOn w:val="33"/>
    <w:qFormat/>
    <w:uiPriority w:val="0"/>
    <w:rPr>
      <w:b/>
      <w:bCs/>
    </w:rPr>
  </w:style>
  <w:style w:type="character" w:styleId="35">
    <w:name w:val="page number"/>
    <w:qFormat/>
    <w:uiPriority w:val="0"/>
  </w:style>
  <w:style w:type="character" w:styleId="36">
    <w:name w:val="Emphasis"/>
    <w:basedOn w:val="33"/>
    <w:qFormat/>
    <w:uiPriority w:val="20"/>
    <w:rPr>
      <w:i/>
      <w:iCs/>
    </w:rPr>
  </w:style>
  <w:style w:type="character" w:styleId="37">
    <w:name w:val="Hyperlink"/>
    <w:qFormat/>
    <w:uiPriority w:val="99"/>
    <w:rPr>
      <w:color w:val="0000FF"/>
      <w:u w:val="single"/>
    </w:rPr>
  </w:style>
  <w:style w:type="character" w:styleId="38">
    <w:name w:val="annotation reference"/>
    <w:qFormat/>
    <w:uiPriority w:val="0"/>
    <w:rPr>
      <w:sz w:val="21"/>
      <w:szCs w:val="21"/>
    </w:rPr>
  </w:style>
  <w:style w:type="paragraph" w:styleId="39">
    <w:name w:val="List Paragraph"/>
    <w:basedOn w:val="1"/>
    <w:link w:val="73"/>
    <w:qFormat/>
    <w:uiPriority w:val="34"/>
    <w:pPr>
      <w:ind w:firstLine="420" w:firstLineChars="200"/>
    </w:pPr>
  </w:style>
  <w:style w:type="paragraph" w:customStyle="1" w:styleId="40">
    <w:name w:val="日期1"/>
    <w:basedOn w:val="1"/>
    <w:next w:val="1"/>
    <w:link w:val="87"/>
    <w:qFormat/>
    <w:uiPriority w:val="0"/>
    <w:rPr>
      <w:szCs w:val="20"/>
    </w:rPr>
  </w:style>
  <w:style w:type="paragraph" w:customStyle="1" w:styleId="41">
    <w:name w:val="承康医疗"/>
    <w:basedOn w:val="1"/>
    <w:link w:val="90"/>
    <w:qFormat/>
    <w:uiPriority w:val="0"/>
    <w:pPr>
      <w:widowControl/>
      <w:jc w:val="left"/>
    </w:pPr>
    <w:rPr>
      <w:rFonts w:ascii="微软雅黑" w:hAnsi="微软雅黑" w:eastAsia="微软雅黑"/>
      <w:kern w:val="0"/>
      <w:szCs w:val="21"/>
    </w:rPr>
  </w:style>
  <w:style w:type="paragraph" w:customStyle="1" w:styleId="42">
    <w:name w:val="表格"/>
    <w:basedOn w:val="1"/>
    <w:qFormat/>
    <w:uiPriority w:val="0"/>
    <w:pPr>
      <w:tabs>
        <w:tab w:val="left" w:pos="1200"/>
      </w:tabs>
      <w:spacing w:line="500" w:lineRule="exact"/>
      <w:jc w:val="center"/>
    </w:pPr>
    <w:rPr>
      <w:rFonts w:ascii="宋体"/>
      <w:sz w:val="24"/>
      <w:szCs w:val="18"/>
    </w:rPr>
  </w:style>
  <w:style w:type="paragraph" w:customStyle="1" w:styleId="43">
    <w:name w:val="xl23"/>
    <w:next w:val="25"/>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44">
    <w:name w:val="Default"/>
    <w:link w:val="98"/>
    <w:qFormat/>
    <w:uiPriority w:val="0"/>
    <w:pPr>
      <w:widowControl w:val="0"/>
      <w:autoSpaceDE w:val="0"/>
      <w:autoSpaceDN w:val="0"/>
      <w:adjustRightInd w:val="0"/>
    </w:pPr>
    <w:rPr>
      <w:rFonts w:ascii="宋体" w:hAnsi="Calibri" w:eastAsia="宋体" w:cs="Times New Roman"/>
      <w:color w:val="000000"/>
      <w:sz w:val="24"/>
      <w:szCs w:val="24"/>
      <w:lang w:val="en-US" w:eastAsia="zh-CN" w:bidi="ar-SA"/>
    </w:rPr>
  </w:style>
  <w:style w:type="paragraph" w:customStyle="1" w:styleId="45">
    <w:name w:val="正文五号"/>
    <w:basedOn w:val="1"/>
    <w:qFormat/>
    <w:uiPriority w:val="0"/>
    <w:rPr>
      <w:rFonts w:ascii="宋体" w:eastAsia="仿宋_GB2312"/>
      <w:szCs w:val="20"/>
    </w:rPr>
  </w:style>
  <w:style w:type="paragraph" w:customStyle="1" w:styleId="46">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47">
    <w:name w:val="Char Char Char"/>
    <w:basedOn w:val="1"/>
    <w:qFormat/>
    <w:uiPriority w:val="0"/>
    <w:pPr>
      <w:ind w:firstLine="200" w:firstLineChars="200"/>
    </w:pPr>
    <w:rPr>
      <w:sz w:val="24"/>
    </w:rPr>
  </w:style>
  <w:style w:type="paragraph" w:customStyle="1" w:styleId="48">
    <w:name w:val="列出段落1"/>
    <w:basedOn w:val="1"/>
    <w:qFormat/>
    <w:uiPriority w:val="0"/>
    <w:pPr>
      <w:ind w:firstLine="420" w:firstLineChars="200"/>
    </w:pPr>
    <w:rPr>
      <w:szCs w:val="21"/>
    </w:rPr>
  </w:style>
  <w:style w:type="paragraph" w:customStyle="1" w:styleId="49">
    <w:name w:val="Char2 Char Char Char Char Char Char"/>
    <w:basedOn w:val="10"/>
    <w:qFormat/>
    <w:uiPriority w:val="0"/>
    <w:rPr>
      <w:rFonts w:ascii="Tahoma" w:hAnsi="Tahoma"/>
      <w:sz w:val="24"/>
    </w:rPr>
  </w:style>
  <w:style w:type="paragraph" w:customStyle="1" w:styleId="50">
    <w:name w:val="Char"/>
    <w:basedOn w:val="1"/>
    <w:qFormat/>
    <w:uiPriority w:val="0"/>
  </w:style>
  <w:style w:type="paragraph" w:customStyle="1" w:styleId="51">
    <w:name w:val="Absatz2AL"/>
    <w:basedOn w:val="13"/>
    <w:next w:val="1"/>
    <w:qFormat/>
    <w:uiPriority w:val="0"/>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52">
    <w:name w:val="Char Char1 Char Char"/>
    <w:basedOn w:val="1"/>
    <w:qFormat/>
    <w:uiPriority w:val="0"/>
    <w:pPr>
      <w:tabs>
        <w:tab w:val="left" w:pos="360"/>
      </w:tabs>
    </w:pPr>
    <w:rPr>
      <w:szCs w:val="20"/>
    </w:rPr>
  </w:style>
  <w:style w:type="paragraph" w:customStyle="1" w:styleId="53">
    <w:name w:val="样式2"/>
    <w:basedOn w:val="1"/>
    <w:qFormat/>
    <w:uiPriority w:val="0"/>
    <w:pPr>
      <w:spacing w:line="360" w:lineRule="auto"/>
    </w:pPr>
    <w:rPr>
      <w:rFonts w:ascii="Century Gothic" w:hAnsi="Century Gothic" w:eastAsia="黑体"/>
      <w:b/>
      <w:sz w:val="32"/>
      <w:szCs w:val="30"/>
    </w:rPr>
  </w:style>
  <w:style w:type="paragraph" w:customStyle="1" w:styleId="54">
    <w:name w:val="Char13"/>
    <w:basedOn w:val="1"/>
    <w:qFormat/>
    <w:uiPriority w:val="0"/>
  </w:style>
  <w:style w:type="paragraph" w:customStyle="1" w:styleId="55">
    <w:name w:val="缺省文本"/>
    <w:basedOn w:val="1"/>
    <w:qFormat/>
    <w:uiPriority w:val="0"/>
    <w:pPr>
      <w:autoSpaceDE w:val="0"/>
      <w:autoSpaceDN w:val="0"/>
      <w:adjustRightInd w:val="0"/>
      <w:jc w:val="left"/>
    </w:pPr>
    <w:rPr>
      <w:kern w:val="0"/>
      <w:sz w:val="24"/>
      <w:szCs w:val="20"/>
    </w:rPr>
  </w:style>
  <w:style w:type="paragraph" w:customStyle="1" w:styleId="56">
    <w:name w:val="抬头"/>
    <w:basedOn w:val="1"/>
    <w:qFormat/>
    <w:uiPriority w:val="0"/>
    <w:pPr>
      <w:spacing w:beforeLines="50" w:line="360" w:lineRule="auto"/>
    </w:pPr>
    <w:rPr>
      <w:rFonts w:ascii="宋体"/>
      <w:sz w:val="24"/>
    </w:rPr>
  </w:style>
  <w:style w:type="paragraph" w:customStyle="1" w:styleId="57">
    <w:name w:val="Char1"/>
    <w:basedOn w:val="1"/>
    <w:qFormat/>
    <w:uiPriority w:val="0"/>
    <w:pPr>
      <w:ind w:firstLine="200" w:firstLineChars="200"/>
    </w:pPr>
  </w:style>
  <w:style w:type="paragraph" w:customStyle="1" w:styleId="58">
    <w:name w:val="5"/>
    <w:basedOn w:val="1"/>
    <w:qFormat/>
    <w:uiPriority w:val="0"/>
    <w:pPr>
      <w:tabs>
        <w:tab w:val="right" w:pos="-2120"/>
      </w:tabs>
      <w:snapToGrid w:val="0"/>
    </w:pPr>
    <w:rPr>
      <w:rFonts w:ascii="Tahoma" w:hAnsi="Tahoma"/>
      <w:spacing w:val="6"/>
      <w:sz w:val="24"/>
      <w:szCs w:val="20"/>
    </w:rPr>
  </w:style>
  <w:style w:type="paragraph" w:customStyle="1" w:styleId="59">
    <w:name w:val="p0"/>
    <w:basedOn w:val="1"/>
    <w:qFormat/>
    <w:uiPriority w:val="0"/>
    <w:pPr>
      <w:widowControl/>
    </w:pPr>
    <w:rPr>
      <w:kern w:val="0"/>
      <w:szCs w:val="21"/>
    </w:rPr>
  </w:style>
  <w:style w:type="paragraph" w:customStyle="1" w:styleId="60">
    <w:name w:val="Char Char Char Char Char Char"/>
    <w:basedOn w:val="1"/>
    <w:qFormat/>
    <w:uiPriority w:val="0"/>
    <w:rPr>
      <w:rFonts w:ascii="Tahoma" w:hAnsi="Tahoma"/>
      <w:sz w:val="24"/>
      <w:szCs w:val="20"/>
    </w:rPr>
  </w:style>
  <w:style w:type="paragraph" w:styleId="61">
    <w:name w:val="No Spacing"/>
    <w:qFormat/>
    <w:uiPriority w:val="1"/>
    <w:pPr>
      <w:widowControl w:val="0"/>
      <w:jc w:val="both"/>
    </w:pPr>
    <w:rPr>
      <w:rFonts w:ascii="Calibri" w:hAnsi="Calibri" w:eastAsia="宋体" w:cs="Times New Roman"/>
      <w:kern w:val="2"/>
      <w:sz w:val="21"/>
      <w:szCs w:val="24"/>
      <w:lang w:val="en-US" w:eastAsia="zh-CN" w:bidi="ar-SA"/>
    </w:rPr>
  </w:style>
  <w:style w:type="paragraph" w:customStyle="1" w:styleId="62">
    <w:name w:val="无间隔1"/>
    <w:basedOn w:val="1"/>
    <w:qFormat/>
    <w:uiPriority w:val="0"/>
    <w:pPr>
      <w:widowControl/>
      <w:jc w:val="left"/>
    </w:pPr>
    <w:rPr>
      <w:kern w:val="0"/>
      <w:sz w:val="22"/>
      <w:szCs w:val="20"/>
      <w:lang w:eastAsia="en-US" w:bidi="en-US"/>
    </w:rPr>
  </w:style>
  <w:style w:type="paragraph" w:customStyle="1" w:styleId="63">
    <w:name w:val="中等深浅网格 21"/>
    <w:qFormat/>
    <w:uiPriority w:val="1"/>
    <w:pPr>
      <w:widowControl w:val="0"/>
      <w:jc w:val="both"/>
    </w:pPr>
    <w:rPr>
      <w:rFonts w:ascii="Calibri" w:hAnsi="Calibri" w:eastAsia="宋体" w:cs="Times New Roman"/>
      <w:kern w:val="2"/>
      <w:sz w:val="21"/>
      <w:szCs w:val="24"/>
      <w:lang w:val="en-US" w:eastAsia="zh-CN" w:bidi="ar-SA"/>
    </w:rPr>
  </w:style>
  <w:style w:type="paragraph" w:customStyle="1" w:styleId="64">
    <w:name w:val="列表段落1"/>
    <w:basedOn w:val="1"/>
    <w:qFormat/>
    <w:uiPriority w:val="34"/>
    <w:pPr>
      <w:ind w:firstLine="420" w:firstLineChars="200"/>
    </w:pPr>
    <w:rPr>
      <w:szCs w:val="21"/>
    </w:rPr>
  </w:style>
  <w:style w:type="paragraph" w:customStyle="1" w:styleId="65">
    <w:name w:val="_正文段落"/>
    <w:basedOn w:val="1"/>
    <w:next w:val="1"/>
    <w:link w:val="94"/>
    <w:qFormat/>
    <w:uiPriority w:val="0"/>
    <w:pPr>
      <w:spacing w:beforeLines="15" w:afterLines="30" w:line="360" w:lineRule="auto"/>
      <w:ind w:firstLine="200" w:firstLineChars="200"/>
      <w:jc w:val="left"/>
    </w:pPr>
    <w:rPr>
      <w:rFonts w:ascii="宋体" w:hAnsi="Courier New"/>
      <w:kern w:val="0"/>
      <w:sz w:val="24"/>
      <w:szCs w:val="32"/>
    </w:rPr>
  </w:style>
  <w:style w:type="paragraph" w:customStyle="1" w:styleId="66">
    <w:name w:val="_Style 60"/>
    <w:hidden/>
    <w:semiHidden/>
    <w:qFormat/>
    <w:uiPriority w:val="99"/>
    <w:rPr>
      <w:rFonts w:ascii="Calibri" w:hAnsi="Calibri" w:eastAsia="宋体" w:cs="Times New Roman"/>
      <w:kern w:val="2"/>
      <w:sz w:val="21"/>
      <w:szCs w:val="24"/>
      <w:lang w:val="en-US" w:eastAsia="zh-CN" w:bidi="ar-SA"/>
    </w:rPr>
  </w:style>
  <w:style w:type="character" w:customStyle="1" w:styleId="67">
    <w:name w:val="标题 1 Char"/>
    <w:link w:val="4"/>
    <w:qFormat/>
    <w:uiPriority w:val="0"/>
    <w:rPr>
      <w:rFonts w:eastAsia="黑体"/>
      <w:b/>
      <w:kern w:val="44"/>
      <w:sz w:val="28"/>
    </w:rPr>
  </w:style>
  <w:style w:type="character" w:customStyle="1" w:styleId="68">
    <w:name w:val="标题 2 Char"/>
    <w:link w:val="5"/>
    <w:qFormat/>
    <w:uiPriority w:val="0"/>
    <w:rPr>
      <w:rFonts w:eastAsia="黑体"/>
      <w:b/>
      <w:sz w:val="28"/>
    </w:rPr>
  </w:style>
  <w:style w:type="character" w:customStyle="1" w:styleId="69">
    <w:name w:val="标题 3 Char2"/>
    <w:link w:val="7"/>
    <w:qFormat/>
    <w:uiPriority w:val="0"/>
    <w:rPr>
      <w:rFonts w:eastAsia="黑体"/>
      <w:b/>
      <w:sz w:val="28"/>
    </w:rPr>
  </w:style>
  <w:style w:type="character" w:customStyle="1" w:styleId="70">
    <w:name w:val="标题 5 Char"/>
    <w:link w:val="9"/>
    <w:qFormat/>
    <w:uiPriority w:val="0"/>
    <w:rPr>
      <w:rFonts w:ascii="Calibri" w:hAnsi="Calibri" w:eastAsia="宋体"/>
      <w:b/>
      <w:sz w:val="28"/>
      <w:szCs w:val="24"/>
    </w:rPr>
  </w:style>
  <w:style w:type="character" w:customStyle="1" w:styleId="71">
    <w:name w:val="正文文本 3 Char"/>
    <w:link w:val="12"/>
    <w:qFormat/>
    <w:uiPriority w:val="0"/>
    <w:rPr>
      <w:kern w:val="2"/>
      <w:sz w:val="16"/>
      <w:szCs w:val="16"/>
    </w:rPr>
  </w:style>
  <w:style w:type="character" w:customStyle="1" w:styleId="72">
    <w:name w:val="标题 3 Char1"/>
    <w:qFormat/>
    <w:uiPriority w:val="0"/>
    <w:rPr>
      <w:rFonts w:eastAsia="宋体"/>
      <w:b/>
      <w:bCs/>
      <w:kern w:val="2"/>
      <w:sz w:val="32"/>
      <w:szCs w:val="32"/>
      <w:lang w:val="en-US" w:eastAsia="zh-CN" w:bidi="ar-SA"/>
    </w:rPr>
  </w:style>
  <w:style w:type="character" w:customStyle="1" w:styleId="73">
    <w:name w:val="列出段落 Char"/>
    <w:link w:val="39"/>
    <w:qFormat/>
    <w:uiPriority w:val="0"/>
    <w:rPr>
      <w:kern w:val="2"/>
      <w:sz w:val="21"/>
      <w:szCs w:val="24"/>
    </w:rPr>
  </w:style>
  <w:style w:type="character" w:customStyle="1" w:styleId="74">
    <w:name w:val="页脚 Char"/>
    <w:link w:val="20"/>
    <w:qFormat/>
    <w:uiPriority w:val="0"/>
    <w:rPr>
      <w:rFonts w:ascii="宋体"/>
      <w:kern w:val="2"/>
      <w:sz w:val="18"/>
    </w:rPr>
  </w:style>
  <w:style w:type="character" w:customStyle="1" w:styleId="75">
    <w:name w:val="正文文本 Char"/>
    <w:link w:val="13"/>
    <w:qFormat/>
    <w:uiPriority w:val="99"/>
    <w:rPr>
      <w:kern w:val="2"/>
      <w:sz w:val="21"/>
      <w:szCs w:val="24"/>
    </w:rPr>
  </w:style>
  <w:style w:type="character" w:customStyle="1" w:styleId="76">
    <w:name w:val="dy_biao_content1"/>
    <w:qFormat/>
    <w:uiPriority w:val="0"/>
    <w:rPr>
      <w:rFonts w:hint="eastAsia" w:ascii="宋体" w:hAnsi="宋体" w:eastAsia="宋体"/>
      <w:sz w:val="24"/>
      <w:szCs w:val="24"/>
    </w:rPr>
  </w:style>
  <w:style w:type="character" w:customStyle="1" w:styleId="77">
    <w:name w:val="纯文本 Char1"/>
    <w:qFormat/>
    <w:uiPriority w:val="0"/>
    <w:rPr>
      <w:rFonts w:ascii="宋体" w:eastAsia="宋体"/>
      <w:kern w:val="2"/>
      <w:sz w:val="21"/>
      <w:lang w:val="en-US" w:eastAsia="zh-CN" w:bidi="ar-SA"/>
    </w:rPr>
  </w:style>
  <w:style w:type="character" w:customStyle="1" w:styleId="78">
    <w:name w:val="标题 3 Char"/>
    <w:qFormat/>
    <w:uiPriority w:val="0"/>
    <w:rPr>
      <w:rFonts w:eastAsia="宋体"/>
      <w:b/>
      <w:bCs/>
      <w:kern w:val="2"/>
      <w:sz w:val="32"/>
      <w:szCs w:val="32"/>
      <w:lang w:val="en-US" w:eastAsia="zh-CN" w:bidi="ar-SA"/>
    </w:rPr>
  </w:style>
  <w:style w:type="character" w:customStyle="1" w:styleId="79">
    <w:name w:val="标题 Char"/>
    <w:link w:val="28"/>
    <w:qFormat/>
    <w:uiPriority w:val="0"/>
    <w:rPr>
      <w:rFonts w:ascii="Cambria" w:hAnsi="Cambria" w:cs="Times New Roman"/>
      <w:b/>
      <w:bCs/>
      <w:kern w:val="2"/>
      <w:sz w:val="32"/>
      <w:szCs w:val="32"/>
    </w:rPr>
  </w:style>
  <w:style w:type="character" w:customStyle="1" w:styleId="80">
    <w:name w:val="grame"/>
    <w:qFormat/>
    <w:uiPriority w:val="0"/>
  </w:style>
  <w:style w:type="character" w:customStyle="1" w:styleId="81">
    <w:name w:val="纯文本 Char4"/>
    <w:link w:val="16"/>
    <w:qFormat/>
    <w:uiPriority w:val="0"/>
    <w:rPr>
      <w:rFonts w:ascii="宋体" w:eastAsia="宋体"/>
      <w:kern w:val="2"/>
      <w:sz w:val="21"/>
      <w:lang w:val="en-US" w:eastAsia="zh-CN" w:bidi="ar-SA"/>
    </w:rPr>
  </w:style>
  <w:style w:type="character" w:customStyle="1" w:styleId="82">
    <w:name w:val="_Style 76"/>
    <w:qFormat/>
    <w:uiPriority w:val="0"/>
    <w:rPr>
      <w:rFonts w:eastAsia="仿宋_GB2312"/>
      <w:iCs/>
      <w:color w:val="auto"/>
      <w:sz w:val="24"/>
    </w:rPr>
  </w:style>
  <w:style w:type="character" w:customStyle="1" w:styleId="83">
    <w:name w:val="孙普文字 Char"/>
    <w:qFormat/>
    <w:uiPriority w:val="0"/>
    <w:rPr>
      <w:rFonts w:ascii="宋体" w:hAnsi="Times New Roman" w:eastAsia="宋体" w:cs="Times New Roman"/>
      <w:szCs w:val="20"/>
    </w:rPr>
  </w:style>
  <w:style w:type="character" w:customStyle="1" w:styleId="84">
    <w:name w:val="日期 Char"/>
    <w:link w:val="17"/>
    <w:qFormat/>
    <w:uiPriority w:val="99"/>
    <w:rPr>
      <w:kern w:val="2"/>
      <w:sz w:val="21"/>
      <w:szCs w:val="24"/>
    </w:rPr>
  </w:style>
  <w:style w:type="character" w:customStyle="1" w:styleId="85">
    <w:name w:val="正文文本缩进 2 Char"/>
    <w:link w:val="18"/>
    <w:qFormat/>
    <w:uiPriority w:val="99"/>
    <w:rPr>
      <w:kern w:val="2"/>
      <w:sz w:val="21"/>
      <w:szCs w:val="24"/>
    </w:rPr>
  </w:style>
  <w:style w:type="character" w:customStyle="1" w:styleId="86">
    <w:name w:val="正文缩进 Char1"/>
    <w:link w:val="6"/>
    <w:qFormat/>
    <w:uiPriority w:val="0"/>
  </w:style>
  <w:style w:type="character" w:customStyle="1" w:styleId="87">
    <w:name w:val="Date Char Char"/>
    <w:link w:val="40"/>
    <w:qFormat/>
    <w:uiPriority w:val="0"/>
    <w:rPr>
      <w:kern w:val="2"/>
      <w:sz w:val="21"/>
    </w:rPr>
  </w:style>
  <w:style w:type="character" w:customStyle="1" w:styleId="88">
    <w:name w:val="页脚 字符"/>
    <w:qFormat/>
    <w:uiPriority w:val="0"/>
    <w:rPr>
      <w:kern w:val="2"/>
      <w:sz w:val="18"/>
      <w:szCs w:val="18"/>
    </w:rPr>
  </w:style>
  <w:style w:type="character" w:customStyle="1" w:styleId="89">
    <w:name w:val="正文文本 2 Char"/>
    <w:link w:val="26"/>
    <w:qFormat/>
    <w:uiPriority w:val="0"/>
    <w:rPr>
      <w:kern w:val="2"/>
      <w:sz w:val="21"/>
      <w:szCs w:val="24"/>
    </w:rPr>
  </w:style>
  <w:style w:type="character" w:customStyle="1" w:styleId="90">
    <w:name w:val="承康医疗 Char"/>
    <w:link w:val="41"/>
    <w:qFormat/>
    <w:uiPriority w:val="0"/>
    <w:rPr>
      <w:rFonts w:ascii="微软雅黑" w:hAnsi="微软雅黑" w:eastAsia="微软雅黑"/>
      <w:sz w:val="21"/>
      <w:szCs w:val="21"/>
    </w:rPr>
  </w:style>
  <w:style w:type="character" w:customStyle="1" w:styleId="91">
    <w:name w:val="纯文本 字符1"/>
    <w:qFormat/>
    <w:uiPriority w:val="0"/>
    <w:rPr>
      <w:rFonts w:ascii="宋体" w:eastAsia="宋体"/>
      <w:kern w:val="2"/>
      <w:sz w:val="21"/>
      <w:lang w:val="en-US" w:eastAsia="zh-CN" w:bidi="ar-SA"/>
    </w:rPr>
  </w:style>
  <w:style w:type="character" w:customStyle="1" w:styleId="92">
    <w:name w:val="纯文本 Char2"/>
    <w:qFormat/>
    <w:uiPriority w:val="0"/>
    <w:rPr>
      <w:rFonts w:ascii="宋体" w:hAnsi="Times New Roman" w:eastAsia="宋体" w:cs="Times New Roman"/>
      <w:kern w:val="2"/>
      <w:sz w:val="21"/>
      <w:lang w:val="en-US" w:eastAsia="zh-CN" w:bidi="ar-SA"/>
    </w:rPr>
  </w:style>
  <w:style w:type="character" w:customStyle="1" w:styleId="93">
    <w:name w:val="纯文本 字符"/>
    <w:qFormat/>
    <w:uiPriority w:val="0"/>
    <w:rPr>
      <w:rFonts w:ascii="宋体" w:hAnsi="Courier New"/>
      <w:kern w:val="2"/>
      <w:sz w:val="21"/>
      <w:szCs w:val="21"/>
    </w:rPr>
  </w:style>
  <w:style w:type="character" w:customStyle="1" w:styleId="94">
    <w:name w:val="_正文段落 Char"/>
    <w:link w:val="65"/>
    <w:qFormat/>
    <w:uiPriority w:val="0"/>
    <w:rPr>
      <w:rFonts w:ascii="宋体" w:hAnsi="Courier New"/>
      <w:sz w:val="24"/>
      <w:szCs w:val="32"/>
    </w:rPr>
  </w:style>
  <w:style w:type="character" w:customStyle="1" w:styleId="95">
    <w:name w:val="A6"/>
    <w:qFormat/>
    <w:uiPriority w:val="99"/>
    <w:rPr>
      <w:rFonts w:cs="MetaPlusNormal-Caps"/>
      <w:color w:val="000000"/>
      <w:sz w:val="16"/>
      <w:szCs w:val="16"/>
    </w:rPr>
  </w:style>
  <w:style w:type="character" w:customStyle="1" w:styleId="96">
    <w:name w:val="批注文字 Char"/>
    <w:link w:val="11"/>
    <w:qFormat/>
    <w:uiPriority w:val="99"/>
    <w:rPr>
      <w:kern w:val="2"/>
      <w:sz w:val="21"/>
      <w:szCs w:val="24"/>
    </w:rPr>
  </w:style>
  <w:style w:type="character" w:customStyle="1" w:styleId="97">
    <w:name w:val="批注主题 Char"/>
    <w:link w:val="29"/>
    <w:qFormat/>
    <w:uiPriority w:val="0"/>
    <w:rPr>
      <w:b/>
      <w:bCs/>
      <w:kern w:val="2"/>
      <w:sz w:val="21"/>
      <w:szCs w:val="24"/>
    </w:rPr>
  </w:style>
  <w:style w:type="character" w:customStyle="1" w:styleId="98">
    <w:name w:val="Default Char"/>
    <w:link w:val="44"/>
    <w:qFormat/>
    <w:uiPriority w:val="0"/>
    <w:rPr>
      <w:rFonts w:ascii="宋体"/>
      <w:color w:val="000000"/>
      <w:sz w:val="24"/>
      <w:szCs w:val="24"/>
      <w:lang w:bidi="ar-SA"/>
    </w:rPr>
  </w:style>
  <w:style w:type="character" w:customStyle="1" w:styleId="99">
    <w:name w:val="正文文本 字符1"/>
    <w:qFormat/>
    <w:uiPriority w:val="0"/>
    <w:rPr>
      <w:kern w:val="2"/>
      <w:sz w:val="21"/>
      <w:szCs w:val="24"/>
    </w:rPr>
  </w:style>
  <w:style w:type="character" w:customStyle="1" w:styleId="100">
    <w:name w:val="A10"/>
    <w:qFormat/>
    <w:uiPriority w:val="99"/>
    <w:rPr>
      <w:rFonts w:ascii="Times New Roman" w:hAnsi="Times New Roman" w:cs="Times New Roman"/>
      <w:color w:val="000000"/>
      <w:sz w:val="11"/>
      <w:szCs w:val="11"/>
    </w:rPr>
  </w:style>
  <w:style w:type="character" w:customStyle="1" w:styleId="101">
    <w:name w:val="font41"/>
    <w:qFormat/>
    <w:uiPriority w:val="0"/>
    <w:rPr>
      <w:rFonts w:hint="default" w:ascii="Times New Roman" w:hAnsi="Times New Roman" w:cs="Times New Roman"/>
      <w:color w:val="000000"/>
      <w:sz w:val="20"/>
      <w:szCs w:val="20"/>
      <w:u w:val="none"/>
    </w:rPr>
  </w:style>
  <w:style w:type="character" w:customStyle="1" w:styleId="102">
    <w:name w:val="正文文本 3 字符1"/>
    <w:qFormat/>
    <w:uiPriority w:val="0"/>
    <w:rPr>
      <w:kern w:val="2"/>
      <w:sz w:val="16"/>
      <w:szCs w:val="16"/>
    </w:rPr>
  </w:style>
  <w:style w:type="character" w:customStyle="1" w:styleId="103">
    <w:name w:val="页眉 Char1"/>
    <w:link w:val="21"/>
    <w:qFormat/>
    <w:uiPriority w:val="99"/>
    <w:rPr>
      <w:kern w:val="2"/>
      <w:sz w:val="18"/>
      <w:szCs w:val="18"/>
    </w:rPr>
  </w:style>
  <w:style w:type="character" w:customStyle="1" w:styleId="104">
    <w:name w:val="列出段落 字符1"/>
    <w:qFormat/>
    <w:uiPriority w:val="0"/>
    <w:rPr>
      <w:kern w:val="2"/>
      <w:sz w:val="21"/>
      <w:szCs w:val="24"/>
    </w:rPr>
  </w:style>
  <w:style w:type="character" w:customStyle="1" w:styleId="105">
    <w:name w:val="font01"/>
    <w:qFormat/>
    <w:uiPriority w:val="0"/>
    <w:rPr>
      <w:rFonts w:hint="eastAsia" w:ascii="宋体" w:hAnsi="宋体" w:eastAsia="宋体" w:cs="宋体"/>
      <w:color w:val="000000"/>
      <w:sz w:val="24"/>
      <w:szCs w:val="24"/>
      <w:u w:val="none"/>
    </w:rPr>
  </w:style>
  <w:style w:type="character" w:customStyle="1" w:styleId="106">
    <w:name w:val="s1"/>
    <w:qFormat/>
    <w:uiPriority w:val="0"/>
    <w:rPr>
      <w:rFonts w:ascii="Helvetica" w:hAnsi="Helvetica" w:eastAsia="Helvetica" w:cs="Helvetica"/>
      <w:sz w:val="24"/>
      <w:szCs w:val="24"/>
    </w:rPr>
  </w:style>
  <w:style w:type="character" w:customStyle="1" w:styleId="107">
    <w:name w:val="font71"/>
    <w:qFormat/>
    <w:uiPriority w:val="0"/>
    <w:rPr>
      <w:rFonts w:hint="eastAsia" w:ascii="宋体" w:hAnsi="宋体" w:eastAsia="宋体" w:cs="宋体"/>
      <w:color w:val="000000"/>
      <w:sz w:val="23"/>
      <w:szCs w:val="23"/>
      <w:u w:val="none"/>
    </w:rPr>
  </w:style>
  <w:style w:type="character" w:customStyle="1" w:styleId="108">
    <w:name w:val="font31"/>
    <w:qFormat/>
    <w:uiPriority w:val="0"/>
    <w:rPr>
      <w:rFonts w:hint="eastAsia" w:ascii="宋体" w:hAnsi="宋体" w:eastAsia="宋体" w:cs="宋体"/>
      <w:color w:val="000000"/>
      <w:sz w:val="20"/>
      <w:szCs w:val="20"/>
      <w:u w:val="none"/>
    </w:rPr>
  </w:style>
  <w:style w:type="character" w:customStyle="1" w:styleId="109">
    <w:name w:val="def"/>
    <w:qFormat/>
    <w:uiPriority w:val="0"/>
  </w:style>
  <w:style w:type="character" w:customStyle="1" w:styleId="110">
    <w:name w:val="页眉 Char"/>
    <w:qFormat/>
    <w:uiPriority w:val="0"/>
    <w:rPr>
      <w:sz w:val="18"/>
      <w:szCs w:val="18"/>
    </w:rPr>
  </w:style>
  <w:style w:type="character" w:customStyle="1" w:styleId="111">
    <w:name w:val="font51"/>
    <w:qFormat/>
    <w:uiPriority w:val="0"/>
    <w:rPr>
      <w:rFonts w:hint="default" w:ascii="Arial" w:hAnsi="Arial" w:cs="Arial"/>
      <w:color w:val="000000"/>
      <w:sz w:val="15"/>
      <w:szCs w:val="15"/>
      <w:u w:val="none"/>
    </w:rPr>
  </w:style>
  <w:style w:type="character" w:customStyle="1" w:styleId="112">
    <w:name w:val="不明显强调1"/>
    <w:qFormat/>
    <w:uiPriority w:val="0"/>
    <w:rPr>
      <w:rFonts w:eastAsia="仿宋_GB2312"/>
      <w:iCs/>
      <w:color w:val="auto"/>
      <w:sz w:val="24"/>
    </w:rPr>
  </w:style>
  <w:style w:type="character" w:customStyle="1" w:styleId="113">
    <w:name w:val="font61"/>
    <w:qFormat/>
    <w:uiPriority w:val="0"/>
    <w:rPr>
      <w:rFonts w:hint="eastAsia" w:ascii="宋体" w:hAnsi="宋体" w:eastAsia="宋体" w:cs="宋体"/>
      <w:color w:val="000000"/>
      <w:sz w:val="20"/>
      <w:szCs w:val="20"/>
      <w:u w:val="none"/>
    </w:rPr>
  </w:style>
  <w:style w:type="character" w:customStyle="1" w:styleId="114">
    <w:name w:val="font101"/>
    <w:qFormat/>
    <w:uiPriority w:val="0"/>
    <w:rPr>
      <w:rFonts w:hint="eastAsia" w:ascii="宋体" w:hAnsi="宋体" w:eastAsia="宋体" w:cs="宋体"/>
      <w:b/>
      <w:color w:val="000000"/>
      <w:sz w:val="36"/>
      <w:szCs w:val="36"/>
      <w:u w:val="none"/>
    </w:rPr>
  </w:style>
  <w:style w:type="character" w:customStyle="1" w:styleId="115">
    <w:name w:val="正文文本缩进 2 字符1"/>
    <w:qFormat/>
    <w:uiPriority w:val="0"/>
    <w:rPr>
      <w:kern w:val="2"/>
      <w:sz w:val="21"/>
      <w:szCs w:val="24"/>
    </w:rPr>
  </w:style>
  <w:style w:type="character" w:customStyle="1" w:styleId="116">
    <w:name w:val="font21"/>
    <w:qFormat/>
    <w:uiPriority w:val="0"/>
    <w:rPr>
      <w:rFonts w:hint="eastAsia" w:ascii="宋体" w:hAnsi="宋体" w:eastAsia="宋体" w:cs="宋体"/>
      <w:color w:val="000000"/>
      <w:sz w:val="20"/>
      <w:szCs w:val="20"/>
      <w:u w:val="none"/>
    </w:rPr>
  </w:style>
  <w:style w:type="character" w:customStyle="1" w:styleId="117">
    <w:name w:val="font11"/>
    <w:qFormat/>
    <w:uiPriority w:val="0"/>
    <w:rPr>
      <w:rFonts w:hint="default" w:ascii="Times New Roman" w:hAnsi="Times New Roman" w:cs="Times New Roman"/>
      <w:color w:val="000000"/>
      <w:sz w:val="24"/>
      <w:szCs w:val="24"/>
      <w:u w:val="none"/>
    </w:rPr>
  </w:style>
  <w:style w:type="character" w:customStyle="1" w:styleId="118">
    <w:name w:val="日期 字符1"/>
    <w:qFormat/>
    <w:uiPriority w:val="0"/>
    <w:rPr>
      <w:kern w:val="2"/>
      <w:sz w:val="21"/>
      <w:szCs w:val="24"/>
    </w:rPr>
  </w:style>
  <w:style w:type="character" w:customStyle="1" w:styleId="119">
    <w:name w:val="A11"/>
    <w:qFormat/>
    <w:uiPriority w:val="99"/>
    <w:rPr>
      <w:rFonts w:ascii="宋体" w:eastAsia="宋体" w:cs="宋体"/>
      <w:color w:val="000000"/>
      <w:sz w:val="20"/>
      <w:szCs w:val="20"/>
      <w:u w:val="single"/>
    </w:rPr>
  </w:style>
  <w:style w:type="character" w:customStyle="1" w:styleId="120">
    <w:name w:val="正文文本 2 字符1"/>
    <w:qFormat/>
    <w:uiPriority w:val="0"/>
    <w:rPr>
      <w:kern w:val="2"/>
      <w:sz w:val="21"/>
      <w:szCs w:val="24"/>
    </w:rPr>
  </w:style>
  <w:style w:type="paragraph" w:customStyle="1" w:styleId="121">
    <w:name w:val="xl30"/>
    <w:basedOn w:val="1"/>
    <w:qFormat/>
    <w:uiPriority w:val="0"/>
    <w:pPr>
      <w:widowControl/>
      <w:pBdr>
        <w:bottom w:val="single" w:color="auto" w:sz="4" w:space="0"/>
      </w:pBdr>
      <w:spacing w:before="100" w:beforeAutospacing="1" w:after="100" w:afterAutospacing="1"/>
      <w:jc w:val="center"/>
    </w:pPr>
    <w:rPr>
      <w:rFonts w:ascii="Arial Unicode MS" w:hAnsi="Arial Unicode MS" w:eastAsia="Arial Unicode MS" w:cs="Arial Unicode MS"/>
      <w:kern w:val="0"/>
      <w:sz w:val="22"/>
      <w:szCs w:val="22"/>
      <w:lang w:eastAsia="en-US"/>
    </w:rPr>
  </w:style>
  <w:style w:type="paragraph" w:customStyle="1" w:styleId="122">
    <w:name w:val="Char Char"/>
    <w:basedOn w:val="1"/>
    <w:qFormat/>
    <w:uiPriority w:val="0"/>
    <w:pPr>
      <w:widowControl/>
      <w:spacing w:after="160" w:line="240" w:lineRule="exact"/>
      <w:jc w:val="left"/>
    </w:pPr>
    <w:rPr>
      <w:rFonts w:ascii="Times New Roman" w:hAnsi="Times New Roman"/>
      <w:kern w:val="0"/>
      <w:sz w:val="20"/>
      <w:szCs w:val="20"/>
    </w:rPr>
  </w:style>
  <w:style w:type="paragraph" w:customStyle="1" w:styleId="123">
    <w:name w:val="Pa144"/>
    <w:basedOn w:val="44"/>
    <w:next w:val="44"/>
    <w:qFormat/>
    <w:uiPriority w:val="99"/>
    <w:pPr>
      <w:spacing w:line="201" w:lineRule="atLeast"/>
    </w:pPr>
    <w:rPr>
      <w:rFonts w:ascii="汉仪大黑简K艵." w:eastAsia="汉仪大黑简K艵."/>
      <w:color w:val="auto"/>
    </w:rPr>
  </w:style>
  <w:style w:type="paragraph" w:customStyle="1" w:styleId="124">
    <w:name w:val="Char2 Char Char Char Char Char Char1"/>
    <w:basedOn w:val="10"/>
    <w:qFormat/>
    <w:uiPriority w:val="0"/>
    <w:rPr>
      <w:rFonts w:ascii="Tahoma" w:hAnsi="Tahoma"/>
      <w:sz w:val="24"/>
    </w:rPr>
  </w:style>
  <w:style w:type="paragraph" w:customStyle="1" w:styleId="125">
    <w:name w:val="Pa10"/>
    <w:basedOn w:val="44"/>
    <w:next w:val="44"/>
    <w:qFormat/>
    <w:uiPriority w:val="0"/>
    <w:pPr>
      <w:spacing w:line="161" w:lineRule="atLeast"/>
    </w:pPr>
    <w:rPr>
      <w:rFonts w:ascii="Akzidenz Grotesk BQ" w:hAnsi="Akzidenz Grotesk BQ"/>
      <w:color w:val="auto"/>
    </w:rPr>
  </w:style>
  <w:style w:type="paragraph" w:customStyle="1" w:styleId="126">
    <w:name w:val="Pa9"/>
    <w:basedOn w:val="44"/>
    <w:next w:val="44"/>
    <w:qFormat/>
    <w:uiPriority w:val="0"/>
    <w:pPr>
      <w:spacing w:before="120" w:line="161" w:lineRule="atLeast"/>
    </w:pPr>
    <w:rPr>
      <w:rFonts w:ascii="Akzidenz Grotesk BQ" w:hAnsi="Akzidenz Grotesk BQ"/>
      <w:color w:val="auto"/>
    </w:rPr>
  </w:style>
  <w:style w:type="paragraph" w:customStyle="1" w:styleId="127">
    <w:name w:val="正文1"/>
    <w:qFormat/>
    <w:uiPriority w:val="0"/>
    <w:rPr>
      <w:rFonts w:ascii="Helvetica" w:hAnsi="Helvetica" w:eastAsia="Arial Unicode MS" w:cs="Arial Unicode MS"/>
      <w:color w:val="000000"/>
      <w:sz w:val="22"/>
      <w:szCs w:val="22"/>
      <w:lang w:val="en-US" w:eastAsia="zh-CN" w:bidi="ar-SA"/>
    </w:rPr>
  </w:style>
  <w:style w:type="paragraph" w:customStyle="1" w:styleId="128">
    <w:name w:val="日期2"/>
    <w:basedOn w:val="1"/>
    <w:next w:val="1"/>
    <w:qFormat/>
    <w:uiPriority w:val="0"/>
    <w:rPr>
      <w:rFonts w:ascii="Times New Roman" w:hAnsi="Times New Roman"/>
      <w:szCs w:val="20"/>
    </w:rPr>
  </w:style>
  <w:style w:type="paragraph" w:customStyle="1" w:styleId="129">
    <w:name w:val="彩色列表 - 强调文字颜色 11"/>
    <w:basedOn w:val="1"/>
    <w:qFormat/>
    <w:uiPriority w:val="34"/>
    <w:pPr>
      <w:ind w:firstLine="420" w:firstLineChars="200"/>
    </w:pPr>
    <w:rPr>
      <w:rFonts w:ascii="Cambria" w:hAnsi="Cambria"/>
      <w:sz w:val="24"/>
    </w:rPr>
  </w:style>
  <w:style w:type="paragraph" w:customStyle="1" w:styleId="130">
    <w:name w:val="正文 A"/>
    <w:qFormat/>
    <w:uiPriority w:val="0"/>
    <w:pPr>
      <w:widowControl w:val="0"/>
      <w:jc w:val="both"/>
    </w:pPr>
    <w:rPr>
      <w:rFonts w:ascii="Times New Roman" w:hAnsi="Times New Roman" w:eastAsia="Calibri" w:cs="Calibri"/>
      <w:color w:val="000000"/>
      <w:kern w:val="2"/>
      <w:sz w:val="21"/>
      <w:szCs w:val="21"/>
      <w:u w:color="000000"/>
      <w:lang w:val="en-US" w:eastAsia="zh-CN" w:bidi="ar-SA"/>
    </w:rPr>
  </w:style>
  <w:style w:type="paragraph" w:customStyle="1" w:styleId="131">
    <w:name w:val="p1"/>
    <w:basedOn w:val="1"/>
    <w:qFormat/>
    <w:uiPriority w:val="0"/>
    <w:pPr>
      <w:jc w:val="left"/>
    </w:pPr>
    <w:rPr>
      <w:kern w:val="0"/>
      <w:szCs w:val="22"/>
    </w:rPr>
  </w:style>
  <w:style w:type="paragraph" w:customStyle="1" w:styleId="132">
    <w:name w:val="样式4"/>
    <w:basedOn w:val="1"/>
    <w:qFormat/>
    <w:uiPriority w:val="0"/>
    <w:pPr>
      <w:numPr>
        <w:ilvl w:val="0"/>
        <w:numId w:val="2"/>
      </w:numPr>
      <w:tabs>
        <w:tab w:val="left" w:pos="360"/>
      </w:tabs>
      <w:ind w:left="284" w:hanging="284"/>
    </w:pPr>
    <w:rPr>
      <w:szCs w:val="22"/>
    </w:rPr>
  </w:style>
  <w:style w:type="paragraph" w:customStyle="1" w:styleId="133">
    <w:name w:val="手册第二级"/>
    <w:basedOn w:val="48"/>
    <w:qFormat/>
    <w:uiPriority w:val="0"/>
    <w:pPr>
      <w:widowControl/>
      <w:numPr>
        <w:ilvl w:val="1"/>
        <w:numId w:val="3"/>
      </w:numPr>
      <w:tabs>
        <w:tab w:val="left" w:pos="1021"/>
      </w:tabs>
      <w:ind w:left="1021" w:firstLine="0" w:firstLineChars="0"/>
      <w:jc w:val="left"/>
    </w:pPr>
    <w:rPr>
      <w:rFonts w:eastAsia="仿宋_GB2312"/>
      <w:b/>
      <w:sz w:val="30"/>
      <w:szCs w:val="22"/>
    </w:rPr>
  </w:style>
  <w:style w:type="paragraph" w:customStyle="1" w:styleId="134">
    <w:name w:val="列出段落2"/>
    <w:basedOn w:val="1"/>
    <w:qFormat/>
    <w:uiPriority w:val="0"/>
    <w:pPr>
      <w:ind w:firstLine="420" w:firstLineChars="200"/>
    </w:pPr>
    <w:rPr>
      <w:rFonts w:ascii="Times New Roman" w:hAnsi="Times New Roman"/>
    </w:rPr>
  </w:style>
  <w:style w:type="paragraph" w:customStyle="1" w:styleId="135">
    <w:name w:val="列出段落3"/>
    <w:basedOn w:val="1"/>
    <w:qFormat/>
    <w:uiPriority w:val="34"/>
    <w:pPr>
      <w:widowControl/>
      <w:ind w:left="708"/>
      <w:jc w:val="left"/>
    </w:pPr>
    <w:rPr>
      <w:rFonts w:ascii="RotisSansSerif" w:hAnsi="RotisSansSerif" w:cs="Arial"/>
      <w:kern w:val="0"/>
      <w:sz w:val="24"/>
      <w:lang w:val="de-DE"/>
    </w:rPr>
  </w:style>
  <w:style w:type="paragraph" w:customStyle="1" w:styleId="136">
    <w:name w:val="Pa7"/>
    <w:basedOn w:val="44"/>
    <w:next w:val="44"/>
    <w:qFormat/>
    <w:uiPriority w:val="99"/>
    <w:pPr>
      <w:spacing w:line="201" w:lineRule="atLeast"/>
    </w:pPr>
    <w:rPr>
      <w:rFonts w:ascii="汉仪大黑简K艵." w:eastAsia="汉仪大黑简K艵."/>
      <w:color w:val="auto"/>
    </w:rPr>
  </w:style>
  <w:style w:type="paragraph" w:customStyle="1" w:styleId="137">
    <w:name w:val="彩色列表 - 强调文字颜色 12"/>
    <w:basedOn w:val="1"/>
    <w:qFormat/>
    <w:uiPriority w:val="34"/>
    <w:pPr>
      <w:ind w:firstLine="420" w:firstLineChars="200"/>
    </w:pPr>
    <w:rPr>
      <w:szCs w:val="22"/>
    </w:rPr>
  </w:style>
  <w:style w:type="character" w:customStyle="1" w:styleId="138">
    <w:name w:val="apple-style-span"/>
    <w:qFormat/>
    <w:uiPriority w:val="0"/>
  </w:style>
  <w:style w:type="character" w:customStyle="1" w:styleId="139">
    <w:name w:val="正文文本 Char1"/>
    <w:qFormat/>
    <w:uiPriority w:val="0"/>
    <w:rPr>
      <w:kern w:val="2"/>
      <w:sz w:val="21"/>
      <w:szCs w:val="24"/>
    </w:rPr>
  </w:style>
  <w:style w:type="character" w:customStyle="1" w:styleId="140">
    <w:name w:val="正文缩进 Char"/>
    <w:qFormat/>
    <w:uiPriority w:val="0"/>
  </w:style>
  <w:style w:type="character" w:customStyle="1" w:styleId="141">
    <w:name w:val="纯文本 Char3"/>
    <w:qFormat/>
    <w:uiPriority w:val="0"/>
    <w:rPr>
      <w:rFonts w:ascii="宋体" w:eastAsia="宋体"/>
      <w:kern w:val="2"/>
      <w:sz w:val="21"/>
      <w:lang w:val="en-US" w:eastAsia="zh-CN" w:bidi="ar-SA"/>
    </w:rPr>
  </w:style>
  <w:style w:type="character" w:customStyle="1" w:styleId="142">
    <w:name w:val="NormalCharacter"/>
    <w:qFormat/>
    <w:uiPriority w:val="0"/>
  </w:style>
  <w:style w:type="character" w:customStyle="1" w:styleId="143">
    <w:name w:val="未处理的提及1"/>
    <w:basedOn w:val="33"/>
    <w:semiHidden/>
    <w:unhideWhenUsed/>
    <w:qFormat/>
    <w:uiPriority w:val="99"/>
    <w:rPr>
      <w:color w:val="605E5C"/>
      <w:shd w:val="clear" w:color="auto" w:fill="E1DFDD"/>
    </w:rPr>
  </w:style>
  <w:style w:type="character" w:customStyle="1" w:styleId="144">
    <w:name w:val="HTML 地址 Char"/>
    <w:basedOn w:val="33"/>
    <w:link w:val="14"/>
    <w:qFormat/>
    <w:uiPriority w:val="0"/>
    <w:rPr>
      <w:rFonts w:ascii="Calibri" w:hAnsi="Calibri" w:cstheme="minorBidi"/>
      <w:kern w:val="2"/>
      <w:sz w:val="24"/>
      <w:szCs w:val="22"/>
    </w:rPr>
  </w:style>
  <w:style w:type="character" w:customStyle="1" w:styleId="145">
    <w:name w:val="纯文本 Char"/>
    <w:qFormat/>
    <w:uiPriority w:val="0"/>
    <w:rPr>
      <w:rFonts w:ascii="宋体" w:eastAsia="宋体"/>
      <w:kern w:val="2"/>
      <w:sz w:val="21"/>
      <w:lang w:val="en-US" w:eastAsia="zh-CN" w:bidi="ar-SA"/>
    </w:rPr>
  </w:style>
  <w:style w:type="paragraph" w:customStyle="1" w:styleId="146">
    <w:name w:val="表格内容"/>
    <w:basedOn w:val="1"/>
    <w:qFormat/>
    <w:uiPriority w:val="0"/>
    <w:pPr>
      <w:suppressLineNumbers/>
    </w:pPr>
    <w:rPr>
      <w:rFonts w:eastAsia="新宋体"/>
      <w:lang w:bidi="hi-IN"/>
    </w:rPr>
  </w:style>
  <w:style w:type="paragraph" w:customStyle="1" w:styleId="147">
    <w:name w:val="p15"/>
    <w:basedOn w:val="1"/>
    <w:qFormat/>
    <w:uiPriority w:val="0"/>
    <w:rPr>
      <w:rFonts w:ascii="Arial Unicode MS" w:hAnsi="Arial Unicode MS"/>
      <w:color w:val="000000"/>
      <w:sz w:val="24"/>
    </w:rPr>
  </w:style>
  <w:style w:type="character" w:customStyle="1" w:styleId="148">
    <w:name w:val="fontstyle01"/>
    <w:basedOn w:val="33"/>
    <w:qFormat/>
    <w:uiPriority w:val="0"/>
    <w:rPr>
      <w:rFonts w:hint="default" w:ascii="Tahoma" w:hAnsi="Tahoma" w:cs="Tahoma"/>
      <w:color w:val="000000"/>
      <w:sz w:val="22"/>
      <w:szCs w:val="22"/>
    </w:rPr>
  </w:style>
  <w:style w:type="character" w:customStyle="1" w:styleId="149">
    <w:name w:val="fontstyle11"/>
    <w:basedOn w:val="33"/>
    <w:qFormat/>
    <w:uiPriority w:val="0"/>
    <w:rPr>
      <w:rFonts w:hint="default" w:ascii="MicrosoftYaHei" w:hAnsi="MicrosoftYaHei"/>
      <w:color w:val="000000"/>
      <w:sz w:val="22"/>
      <w:szCs w:val="22"/>
    </w:rPr>
  </w:style>
  <w:style w:type="character" w:customStyle="1" w:styleId="150">
    <w:name w:val="页脚 Char1"/>
    <w:qFormat/>
    <w:uiPriority w:val="99"/>
    <w:rPr>
      <w:rFonts w:ascii="Times New Roman" w:hAnsi="Times New Roman" w:eastAsia="宋体" w:cs="Times New Roman"/>
      <w:sz w:val="18"/>
      <w:szCs w:val="18"/>
    </w:rPr>
  </w:style>
  <w:style w:type="character" w:customStyle="1" w:styleId="151">
    <w:name w:val="批注框文本 Char"/>
    <w:basedOn w:val="33"/>
    <w:link w:val="19"/>
    <w:semiHidden/>
    <w:qFormat/>
    <w:uiPriority w:val="99"/>
    <w:rPr>
      <w:rFonts w:ascii="Calibri" w:hAnsi="Calibri" w:eastAsia="宋体"/>
      <w:kern w:val="2"/>
      <w:sz w:val="18"/>
      <w:szCs w:val="18"/>
    </w:rPr>
  </w:style>
  <w:style w:type="character" w:customStyle="1" w:styleId="152">
    <w:name w:val="纯文本 Char5"/>
    <w:qFormat/>
    <w:uiPriority w:val="0"/>
    <w:rPr>
      <w:rFonts w:ascii="宋体" w:eastAsia="宋体"/>
      <w:kern w:val="2"/>
      <w:sz w:val="21"/>
      <w:lang w:val="en-US" w:eastAsia="zh-CN" w:bidi="ar-SA"/>
    </w:rPr>
  </w:style>
  <w:style w:type="paragraph" w:customStyle="1" w:styleId="153">
    <w:name w:val="AONormal"/>
    <w:qFormat/>
    <w:uiPriority w:val="0"/>
    <w:pPr>
      <w:autoSpaceDE w:val="0"/>
      <w:autoSpaceDN w:val="0"/>
      <w:adjustRightInd w:val="0"/>
      <w:spacing w:after="160" w:line="400" w:lineRule="exact"/>
      <w:ind w:firstLine="440" w:firstLineChars="200"/>
    </w:pPr>
    <w:rPr>
      <w:rFonts w:ascii="华文楷体" w:hAnsi="华文楷体" w:eastAsia="华文楷体" w:cs="华文楷体"/>
      <w:sz w:val="22"/>
      <w:szCs w:val="21"/>
      <w:lang w:val="en-US" w:eastAsia="zh-CN" w:bidi="ar-SA"/>
    </w:rPr>
  </w:style>
  <w:style w:type="character" w:customStyle="1" w:styleId="154">
    <w:name w:val="未处理的提及2"/>
    <w:basedOn w:val="33"/>
    <w:semiHidden/>
    <w:unhideWhenUsed/>
    <w:qFormat/>
    <w:uiPriority w:val="99"/>
    <w:rPr>
      <w:color w:val="605E5C"/>
      <w:shd w:val="clear" w:color="auto" w:fill="E1DFDD"/>
    </w:rPr>
  </w:style>
  <w:style w:type="paragraph" w:customStyle="1" w:styleId="155">
    <w:name w:val="修订1"/>
    <w:hidden/>
    <w:unhideWhenUsed/>
    <w:qFormat/>
    <w:uiPriority w:val="99"/>
    <w:rPr>
      <w:rFonts w:ascii="Calibri" w:hAnsi="Calibri" w:eastAsia="宋体" w:cs="Times New Roman"/>
      <w:kern w:val="2"/>
      <w:sz w:val="21"/>
      <w:szCs w:val="24"/>
      <w:lang w:val="en-US" w:eastAsia="zh-CN" w:bidi="ar-SA"/>
    </w:rPr>
  </w:style>
  <w:style w:type="character" w:customStyle="1" w:styleId="156">
    <w:name w:val="font91"/>
    <w:basedOn w:val="33"/>
    <w:qFormat/>
    <w:uiPriority w:val="0"/>
    <w:rPr>
      <w:rFonts w:hint="eastAsia" w:ascii="仿宋_GB2312" w:eastAsia="仿宋_GB2312" w:cs="仿宋_GB2312"/>
      <w:color w:val="auto"/>
      <w:sz w:val="32"/>
      <w:szCs w:val="32"/>
      <w:u w:val="none"/>
    </w:rPr>
  </w:style>
  <w:style w:type="character" w:customStyle="1" w:styleId="157">
    <w:name w:val="font81"/>
    <w:basedOn w:val="33"/>
    <w:qFormat/>
    <w:uiPriority w:val="0"/>
    <w:rPr>
      <w:rFonts w:hint="eastAsia" w:ascii="仿宋_GB2312" w:eastAsia="仿宋_GB2312" w:cs="仿宋_GB2312"/>
      <w:color w:val="000000"/>
      <w:sz w:val="32"/>
      <w:szCs w:val="32"/>
      <w:u w:val="none"/>
    </w:rPr>
  </w:style>
  <w:style w:type="character" w:customStyle="1" w:styleId="158">
    <w:name w:val="font111"/>
    <w:basedOn w:val="33"/>
    <w:qFormat/>
    <w:uiPriority w:val="0"/>
    <w:rPr>
      <w:rFonts w:hint="default" w:ascii="Times New Roman" w:hAnsi="Times New Roman" w:cs="Times New Roman"/>
      <w:color w:val="000000"/>
      <w:sz w:val="32"/>
      <w:szCs w:val="32"/>
      <w:u w:val="none"/>
    </w:rPr>
  </w:style>
  <w:style w:type="character" w:customStyle="1" w:styleId="159">
    <w:name w:val="font121"/>
    <w:basedOn w:val="33"/>
    <w:qFormat/>
    <w:uiPriority w:val="0"/>
    <w:rPr>
      <w:rFonts w:ascii="Cambria Math" w:hAnsi="Cambria Math" w:eastAsia="Cambria Math" w:cs="Cambria Math"/>
      <w:color w:val="000000"/>
      <w:sz w:val="32"/>
      <w:szCs w:val="32"/>
      <w:u w:val="none"/>
    </w:rPr>
  </w:style>
  <w:style w:type="paragraph" w:customStyle="1" w:styleId="160">
    <w:name w:val="修订2"/>
    <w:hidden/>
    <w:unhideWhenUsed/>
    <w:qFormat/>
    <w:uiPriority w:val="99"/>
    <w:rPr>
      <w:rFonts w:ascii="Calibri" w:hAnsi="Calibri" w:eastAsia="宋体" w:cs="Times New Roman"/>
      <w:kern w:val="2"/>
      <w:sz w:val="21"/>
      <w:szCs w:val="24"/>
      <w:lang w:val="en-US" w:eastAsia="zh-CN" w:bidi="ar-SA"/>
    </w:rPr>
  </w:style>
  <w:style w:type="paragraph" w:customStyle="1" w:styleId="161">
    <w:name w:val="修订3"/>
    <w:hidden/>
    <w:unhideWhenUsed/>
    <w:qFormat/>
    <w:uiPriority w:val="99"/>
    <w:rPr>
      <w:rFonts w:ascii="Calibri" w:hAnsi="Calibri" w:eastAsia="宋体" w:cs="Times New Roman"/>
      <w:kern w:val="2"/>
      <w:sz w:val="21"/>
      <w:szCs w:val="24"/>
      <w:lang w:val="en-US" w:eastAsia="zh-CN" w:bidi="ar-SA"/>
    </w:rPr>
  </w:style>
  <w:style w:type="paragraph" w:customStyle="1" w:styleId="162">
    <w:name w:val="修订4"/>
    <w:hidden/>
    <w:unhideWhenUsed/>
    <w:qFormat/>
    <w:uiPriority w:val="99"/>
    <w:rPr>
      <w:rFonts w:ascii="Calibri" w:hAnsi="Calibri" w:eastAsia="宋体" w:cs="Times New Roman"/>
      <w:kern w:val="2"/>
      <w:sz w:val="21"/>
      <w:szCs w:val="24"/>
      <w:lang w:val="en-US" w:eastAsia="zh-CN" w:bidi="ar-SA"/>
    </w:rPr>
  </w:style>
  <w:style w:type="table" w:customStyle="1" w:styleId="163">
    <w:name w:val="Table Normal"/>
    <w:semiHidden/>
    <w:unhideWhenUsed/>
    <w:qFormat/>
    <w:uiPriority w:val="0"/>
    <w:rPr>
      <w:rFonts w:asciiTheme="minorHAnsi" w:hAnsiTheme="minorHAnsi" w:eastAsiaTheme="minorEastAsia" w:cstheme="minorBidi"/>
    </w:rPr>
    <w:tblPr>
      <w:tblCellMar>
        <w:top w:w="0" w:type="dxa"/>
        <w:left w:w="0" w:type="dxa"/>
        <w:bottom w:w="0" w:type="dxa"/>
        <w:right w:w="0" w:type="dxa"/>
      </w:tblCellMar>
    </w:tblPr>
  </w:style>
  <w:style w:type="paragraph" w:customStyle="1" w:styleId="164">
    <w:name w:val="_Style 2"/>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116</Pages>
  <Words>5413</Words>
  <Characters>6157</Characters>
  <Lines>485</Lines>
  <Paragraphs>136</Paragraphs>
  <TotalTime>0</TotalTime>
  <ScaleCrop>false</ScaleCrop>
  <LinksUpToDate>false</LinksUpToDate>
  <CharactersWithSpaces>6263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2025-08-25T05:58:00Z</dcterms:created>
  <dc:creator>User</dc:creator>
  <cp:lastModifiedBy>小太阳</cp:lastModifiedBy>
  <cp:lastPrinted>2026-05-21T02:49:00Z</cp:lastPrinted>
  <dcterms:modified xsi:type="dcterms:W3CDTF">2026-05-21T03:00:44Z</dcterms:modified>
  <dc:title>云南省肿瘤医院</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A9EBC5EFD6A4469698E5E0014EDFFA04_13</vt:lpwstr>
  </property>
  <property fmtid="{D5CDD505-2E9C-101B-9397-08002B2CF9AE}" pid="4" name="KSOTemplateDocerSaveRecord">
    <vt:lpwstr>eyJoZGlkIjoiZmU5YWQyOGJmODMyMjUwMDBiODMyODU5MzE4ZDg4NzAiLCJ1c2VySWQiOiIxMDA2NzY3MzQ0In0=</vt:lpwstr>
  </property>
</Properties>
</file>