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4D851E">
      <w:pPr>
        <w:spacing w:line="360" w:lineRule="auto"/>
        <w:jc w:val="center"/>
        <w:rPr>
          <w:rFonts w:ascii="宋体" w:hAnsi="宋体"/>
          <w:sz w:val="36"/>
          <w:szCs w:val="36"/>
        </w:rPr>
      </w:pPr>
      <w:bookmarkStart w:id="0" w:name="_Toc498"/>
      <w:r>
        <w:rPr>
          <w:rFonts w:hint="eastAsia" w:ascii="宋体" w:hAnsi="宋体"/>
          <w:b/>
          <w:sz w:val="36"/>
          <w:szCs w:val="36"/>
        </w:rPr>
        <w:t>昆明经济技术开发区洛羊片区2025年至2028年环卫清扫保洁服务采购项目公开招标公告</w:t>
      </w:r>
    </w:p>
    <w:p w14:paraId="2F75F848">
      <w:pPr>
        <w:widowControl w:val="0"/>
        <w:pBdr>
          <w:top w:val="single" w:color="auto" w:sz="4" w:space="1"/>
          <w:left w:val="single" w:color="auto" w:sz="4" w:space="4"/>
          <w:bottom w:val="single" w:color="auto" w:sz="4" w:space="1"/>
          <w:right w:val="single" w:color="auto" w:sz="4" w:space="4"/>
        </w:pBdr>
        <w:spacing w:line="360" w:lineRule="auto"/>
        <w:ind w:firstLine="480" w:firstLineChars="200"/>
        <w:jc w:val="both"/>
        <w:rPr>
          <w:rFonts w:ascii="宋体" w:hAnsi="宋体" w:cs="宋体"/>
          <w:sz w:val="24"/>
          <w:szCs w:val="24"/>
        </w:rPr>
      </w:pPr>
      <w:r>
        <w:rPr>
          <w:rFonts w:hint="eastAsia" w:ascii="宋体" w:hAnsi="宋体" w:cs="宋体"/>
          <w:kern w:val="2"/>
          <w:sz w:val="24"/>
          <w:szCs w:val="24"/>
        </w:rPr>
        <w:t>项目概况</w:t>
      </w:r>
    </w:p>
    <w:p w14:paraId="4428BF29">
      <w:pPr>
        <w:widowControl w:val="0"/>
        <w:pBdr>
          <w:top w:val="single" w:color="auto" w:sz="4" w:space="1"/>
          <w:left w:val="single" w:color="auto" w:sz="4" w:space="4"/>
          <w:bottom w:val="single" w:color="auto" w:sz="4" w:space="1"/>
          <w:right w:val="single" w:color="auto" w:sz="4" w:space="4"/>
        </w:pBdr>
        <w:spacing w:line="360" w:lineRule="auto"/>
        <w:ind w:firstLine="480" w:firstLineChars="200"/>
        <w:jc w:val="both"/>
        <w:rPr>
          <w:rFonts w:ascii="宋体" w:hAnsi="宋体" w:cs="宋体"/>
          <w:sz w:val="24"/>
          <w:szCs w:val="24"/>
        </w:rPr>
      </w:pPr>
      <w:r>
        <w:rPr>
          <w:rFonts w:hint="eastAsia" w:ascii="宋体" w:hAnsi="宋体" w:cs="宋体"/>
          <w:kern w:val="2"/>
          <w:sz w:val="24"/>
          <w:szCs w:val="24"/>
          <w:u w:val="single"/>
        </w:rPr>
        <w:t>昆明经济技术开发区洛羊片区2025年至2028年环卫清扫保洁服务采购项目</w:t>
      </w:r>
      <w:r>
        <w:rPr>
          <w:rFonts w:hint="eastAsia" w:ascii="宋体" w:hAnsi="宋体" w:cs="宋体"/>
          <w:kern w:val="2"/>
          <w:sz w:val="24"/>
          <w:szCs w:val="24"/>
        </w:rPr>
        <w:t>招标项目的潜在投标人应在</w:t>
      </w:r>
      <w:r>
        <w:rPr>
          <w:rFonts w:hint="eastAsia" w:ascii="宋体" w:hAnsi="宋体" w:cs="宋体"/>
          <w:sz w:val="24"/>
          <w:szCs w:val="24"/>
          <w:u w:val="single"/>
        </w:rPr>
        <w:t>政采云平台（https://www.zcygov.cn/）线上</w:t>
      </w:r>
      <w:r>
        <w:rPr>
          <w:rFonts w:hint="eastAsia" w:ascii="宋体" w:hAnsi="宋体" w:cs="宋体"/>
          <w:kern w:val="2"/>
          <w:sz w:val="24"/>
          <w:szCs w:val="24"/>
        </w:rPr>
        <w:t>获取招标文件，并于</w:t>
      </w:r>
      <w:r>
        <w:rPr>
          <w:rFonts w:hint="eastAsia" w:ascii="宋体" w:hAnsi="宋体" w:cs="宋体"/>
          <w:kern w:val="2"/>
          <w:sz w:val="24"/>
          <w:szCs w:val="24"/>
          <w:u w:val="single"/>
        </w:rPr>
        <w:t>2025年6月</w:t>
      </w:r>
      <w:r>
        <w:rPr>
          <w:rFonts w:hint="eastAsia" w:ascii="宋体" w:hAnsi="宋体" w:cs="宋体"/>
          <w:kern w:val="2"/>
          <w:sz w:val="24"/>
          <w:szCs w:val="24"/>
          <w:u w:val="single"/>
          <w:lang w:val="en-US" w:eastAsia="zh-CN"/>
        </w:rPr>
        <w:t>30</w:t>
      </w:r>
      <w:r>
        <w:rPr>
          <w:rFonts w:hint="eastAsia" w:ascii="宋体" w:hAnsi="宋体" w:cs="宋体"/>
          <w:kern w:val="2"/>
          <w:sz w:val="24"/>
          <w:szCs w:val="24"/>
          <w:u w:val="single"/>
        </w:rPr>
        <w:t>日</w:t>
      </w:r>
      <w:r>
        <w:rPr>
          <w:rFonts w:hint="eastAsia" w:ascii="宋体" w:hAnsi="宋体" w:cs="宋体"/>
          <w:kern w:val="2"/>
          <w:sz w:val="24"/>
          <w:szCs w:val="24"/>
          <w:u w:val="single"/>
          <w:lang w:val="en-US" w:eastAsia="zh-CN"/>
        </w:rPr>
        <w:t>09</w:t>
      </w:r>
      <w:r>
        <w:rPr>
          <w:rFonts w:hint="eastAsia" w:ascii="宋体" w:hAnsi="宋体" w:cs="宋体"/>
          <w:kern w:val="2"/>
          <w:sz w:val="24"/>
          <w:szCs w:val="24"/>
          <w:u w:val="single"/>
        </w:rPr>
        <w:t>点00分</w:t>
      </w:r>
      <w:r>
        <w:rPr>
          <w:rFonts w:hint="eastAsia" w:ascii="宋体" w:hAnsi="宋体" w:cs="宋体"/>
          <w:bCs/>
          <w:kern w:val="2"/>
          <w:sz w:val="24"/>
          <w:szCs w:val="24"/>
          <w:u w:val="single"/>
        </w:rPr>
        <w:t>（北京时间）</w:t>
      </w:r>
      <w:r>
        <w:rPr>
          <w:rFonts w:hint="eastAsia" w:ascii="宋体" w:hAnsi="宋体" w:cs="宋体"/>
          <w:bCs/>
          <w:kern w:val="2"/>
          <w:sz w:val="24"/>
          <w:szCs w:val="24"/>
        </w:rPr>
        <w:t>前递交投标文件</w:t>
      </w:r>
      <w:r>
        <w:rPr>
          <w:rFonts w:hint="eastAsia" w:ascii="宋体" w:hAnsi="宋体" w:cs="宋体"/>
          <w:kern w:val="2"/>
          <w:sz w:val="24"/>
          <w:szCs w:val="24"/>
        </w:rPr>
        <w:t>。</w:t>
      </w:r>
    </w:p>
    <w:p w14:paraId="1A3F4E48">
      <w:pPr>
        <w:pStyle w:val="3"/>
        <w:pageBreakBefore w:val="0"/>
        <w:widowControl/>
        <w:kinsoku/>
        <w:wordWrap/>
        <w:overflowPunct/>
        <w:topLinePunct w:val="0"/>
        <w:autoSpaceDE/>
        <w:autoSpaceDN/>
        <w:bidi w:val="0"/>
        <w:adjustRightInd/>
        <w:snapToGrid/>
        <w:spacing w:before="0" w:after="0" w:line="360" w:lineRule="auto"/>
        <w:textAlignment w:val="auto"/>
        <w:rPr>
          <w:rFonts w:ascii="宋体" w:hAnsi="宋体" w:eastAsia="宋体" w:cs="宋体"/>
          <w:bCs w:val="0"/>
          <w:sz w:val="24"/>
          <w:szCs w:val="24"/>
        </w:rPr>
      </w:pPr>
      <w:bookmarkStart w:id="1" w:name="_Toc32031"/>
      <w:bookmarkEnd w:id="1"/>
      <w:bookmarkStart w:id="2" w:name="_Toc29108"/>
      <w:bookmarkEnd w:id="2"/>
      <w:bookmarkStart w:id="3" w:name="_Toc12487"/>
      <w:bookmarkStart w:id="4" w:name="_Toc35393790"/>
      <w:bookmarkStart w:id="5" w:name="_Toc28359079"/>
      <w:bookmarkStart w:id="6" w:name="_Toc35393621"/>
      <w:bookmarkStart w:id="7" w:name="_Toc28359002"/>
      <w:bookmarkStart w:id="8" w:name="_Hlk24379207"/>
      <w:r>
        <w:rPr>
          <w:rFonts w:hint="eastAsia" w:ascii="宋体" w:hAnsi="宋体" w:eastAsia="宋体" w:cs="宋体"/>
          <w:bCs w:val="0"/>
          <w:sz w:val="24"/>
          <w:szCs w:val="24"/>
        </w:rPr>
        <w:t>一、项目基本情况</w:t>
      </w:r>
      <w:bookmarkEnd w:id="3"/>
      <w:bookmarkEnd w:id="4"/>
      <w:bookmarkEnd w:id="5"/>
      <w:bookmarkEnd w:id="6"/>
      <w:bookmarkEnd w:id="7"/>
    </w:p>
    <w:p w14:paraId="7356D01B">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sz w:val="24"/>
          <w:szCs w:val="24"/>
        </w:rPr>
      </w:pPr>
      <w:r>
        <w:rPr>
          <w:rFonts w:hint="eastAsia" w:ascii="宋体" w:hAnsi="宋体" w:cs="宋体"/>
          <w:kern w:val="2"/>
          <w:sz w:val="24"/>
          <w:szCs w:val="24"/>
        </w:rPr>
        <w:t>项目编号：YDCOF20251015</w:t>
      </w:r>
    </w:p>
    <w:p w14:paraId="60136766">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sz w:val="24"/>
          <w:szCs w:val="24"/>
        </w:rPr>
      </w:pPr>
      <w:r>
        <w:rPr>
          <w:rFonts w:hint="eastAsia" w:ascii="宋体" w:hAnsi="宋体" w:cs="宋体"/>
          <w:kern w:val="2"/>
          <w:sz w:val="24"/>
          <w:szCs w:val="24"/>
        </w:rPr>
        <w:t>项目名称：昆明经济技术开发区洛羊片区2025年至2028年环卫清扫保洁服务采购项目</w:t>
      </w:r>
    </w:p>
    <w:bookmarkEnd w:id="8"/>
    <w:p w14:paraId="5DB96D7B">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color w:val="000000"/>
          <w:sz w:val="24"/>
          <w:szCs w:val="24"/>
          <w:highlight w:val="none"/>
        </w:rPr>
      </w:pPr>
      <w:r>
        <w:rPr>
          <w:rFonts w:hint="eastAsia" w:ascii="宋体" w:hAnsi="宋体" w:cs="宋体"/>
          <w:kern w:val="2"/>
          <w:sz w:val="24"/>
          <w:szCs w:val="24"/>
        </w:rPr>
        <w:t>预算金额：</w:t>
      </w:r>
      <w:r>
        <w:rPr>
          <w:rFonts w:hint="eastAsia" w:ascii="宋体" w:hAnsi="宋体" w:cs="宋体"/>
          <w:color w:val="000000"/>
          <w:kern w:val="2"/>
          <w:sz w:val="24"/>
          <w:szCs w:val="24"/>
          <w:highlight w:val="none"/>
        </w:rPr>
        <w:t>212</w:t>
      </w:r>
      <w:r>
        <w:rPr>
          <w:rFonts w:hint="eastAsia" w:ascii="宋体" w:hAnsi="宋体" w:cs="宋体"/>
          <w:color w:val="000000"/>
          <w:kern w:val="2"/>
          <w:sz w:val="24"/>
          <w:szCs w:val="24"/>
          <w:highlight w:val="none"/>
          <w:lang w:val="en-US" w:eastAsia="zh-CN"/>
        </w:rPr>
        <w:t>80000.00</w:t>
      </w:r>
      <w:r>
        <w:rPr>
          <w:rFonts w:hint="eastAsia" w:ascii="宋体" w:hAnsi="宋体" w:cs="宋体"/>
          <w:color w:val="000000"/>
          <w:kern w:val="2"/>
          <w:sz w:val="24"/>
          <w:szCs w:val="24"/>
          <w:highlight w:val="none"/>
        </w:rPr>
        <w:t>元/年</w:t>
      </w:r>
    </w:p>
    <w:p w14:paraId="50086D73">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color w:val="000000"/>
          <w:sz w:val="24"/>
          <w:szCs w:val="24"/>
          <w:highlight w:val="none"/>
          <w:lang w:val="en-US" w:eastAsia="zh-CN"/>
        </w:rPr>
      </w:pPr>
      <w:r>
        <w:rPr>
          <w:rFonts w:hint="eastAsia" w:ascii="宋体" w:hAnsi="宋体" w:cs="宋体"/>
          <w:kern w:val="2"/>
          <w:sz w:val="24"/>
          <w:szCs w:val="24"/>
        </w:rPr>
        <w:t>最高限价：</w:t>
      </w:r>
      <w:r>
        <w:rPr>
          <w:rFonts w:hint="eastAsia" w:ascii="宋体" w:hAnsi="宋体" w:cs="宋体"/>
          <w:color w:val="000000"/>
          <w:kern w:val="2"/>
          <w:sz w:val="24"/>
          <w:szCs w:val="24"/>
          <w:highlight w:val="none"/>
          <w:lang w:val="en-US" w:eastAsia="zh-CN"/>
        </w:rPr>
        <w:t>21159117.19元/年</w:t>
      </w:r>
    </w:p>
    <w:p w14:paraId="195279F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rPr>
      </w:pPr>
      <w:r>
        <w:rPr>
          <w:rFonts w:hint="eastAsia" w:ascii="宋体" w:hAnsi="宋体" w:cs="宋体"/>
          <w:kern w:val="2"/>
          <w:sz w:val="24"/>
          <w:szCs w:val="24"/>
        </w:rPr>
        <w:t>采购需求：</w:t>
      </w:r>
      <w:r>
        <w:rPr>
          <w:rFonts w:hint="eastAsia" w:ascii="宋体" w:hAnsi="宋体" w:cs="宋体"/>
          <w:color w:val="000000"/>
          <w:sz w:val="24"/>
          <w:szCs w:val="24"/>
        </w:rPr>
        <w:t>负责经开区洛羊街道办事处行政区域范围内的道路清扫保洁，生活垃圾清运、公厕管养、环卫设施清洗维护、代收生活垃圾费、环卫应急、数字案件等环卫相关工作</w:t>
      </w:r>
      <w:r>
        <w:rPr>
          <w:rFonts w:hint="eastAsia" w:ascii="宋体" w:hAnsi="宋体" w:cs="宋体"/>
          <w:color w:val="000000"/>
          <w:sz w:val="24"/>
          <w:szCs w:val="24"/>
          <w:lang w:eastAsia="zh-CN"/>
        </w:rPr>
        <w:t>，</w:t>
      </w:r>
      <w:r>
        <w:rPr>
          <w:rFonts w:hint="eastAsia" w:ascii="宋体" w:hAnsi="宋体"/>
          <w:color w:val="auto"/>
          <w:sz w:val="24"/>
          <w:szCs w:val="24"/>
          <w:lang w:val="en-US" w:eastAsia="zh-CN"/>
        </w:rPr>
        <w:t>保洁</w:t>
      </w:r>
      <w:r>
        <w:rPr>
          <w:rFonts w:hint="eastAsia" w:ascii="宋体" w:hAnsi="宋体" w:cs="宋体"/>
          <w:sz w:val="24"/>
          <w:szCs w:val="24"/>
        </w:rPr>
        <w:t>总面积</w:t>
      </w:r>
      <w:r>
        <w:rPr>
          <w:rFonts w:hint="eastAsia" w:ascii="宋体" w:hAnsi="宋体" w:cs="宋体"/>
          <w:sz w:val="24"/>
          <w:szCs w:val="24"/>
          <w:lang w:eastAsia="zh-CN"/>
        </w:rPr>
        <w:t>约</w:t>
      </w:r>
      <w:r>
        <w:rPr>
          <w:rFonts w:hint="eastAsia" w:ascii="宋体" w:hAnsi="宋体" w:cs="宋体"/>
          <w:sz w:val="24"/>
          <w:szCs w:val="24"/>
        </w:rPr>
        <w:t>为2</w:t>
      </w:r>
      <w:r>
        <w:rPr>
          <w:rFonts w:hint="eastAsia" w:ascii="宋体" w:hAnsi="宋体" w:cs="宋体"/>
          <w:sz w:val="24"/>
          <w:szCs w:val="24"/>
          <w:lang w:val="en-US" w:eastAsia="zh-CN"/>
        </w:rPr>
        <w:t>30万平方米</w:t>
      </w:r>
      <w:r>
        <w:rPr>
          <w:rFonts w:hint="eastAsia" w:ascii="宋体" w:hAnsi="宋体" w:cs="宋体"/>
          <w:sz w:val="24"/>
          <w:szCs w:val="24"/>
          <w:lang w:eastAsia="zh-CN"/>
        </w:rPr>
        <w:t>。</w:t>
      </w:r>
      <w:r>
        <w:rPr>
          <w:rFonts w:hint="eastAsia" w:ascii="宋体" w:hAnsi="宋体" w:cs="宋体"/>
          <w:kern w:val="2"/>
          <w:sz w:val="24"/>
          <w:szCs w:val="24"/>
          <w:lang w:bidi="ar"/>
        </w:rPr>
        <w:t>满足《昆明市城市精细化管理标准》《昆明市环境卫生作业规范及质量标准》《关于加强环境卫生管理工作的实施意见》等要求</w:t>
      </w:r>
      <w:r>
        <w:rPr>
          <w:rFonts w:hint="eastAsia" w:ascii="宋体" w:hAnsi="宋体" w:cs="宋体"/>
          <w:sz w:val="24"/>
          <w:szCs w:val="24"/>
        </w:rPr>
        <w:t>。</w:t>
      </w:r>
      <w:r>
        <w:rPr>
          <w:rFonts w:hint="eastAsia" w:ascii="宋体" w:hAnsi="宋体"/>
          <w:color w:val="auto"/>
          <w:sz w:val="24"/>
          <w:szCs w:val="24"/>
        </w:rPr>
        <w:t>（详见招标文件第</w:t>
      </w:r>
      <w:r>
        <w:rPr>
          <w:rFonts w:hint="eastAsia" w:ascii="宋体" w:hAnsi="宋体"/>
          <w:color w:val="auto"/>
          <w:sz w:val="24"/>
          <w:szCs w:val="24"/>
          <w:lang w:val="en-US" w:eastAsia="zh-CN"/>
        </w:rPr>
        <w:t>六</w:t>
      </w:r>
      <w:r>
        <w:rPr>
          <w:rFonts w:hint="eastAsia" w:ascii="宋体" w:hAnsi="宋体"/>
          <w:color w:val="auto"/>
          <w:sz w:val="24"/>
          <w:szCs w:val="24"/>
        </w:rPr>
        <w:t>章“服务内容及要求”）</w:t>
      </w:r>
    </w:p>
    <w:p w14:paraId="540DCB6D">
      <w:pPr>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kern w:val="2"/>
          <w:sz w:val="24"/>
          <w:szCs w:val="24"/>
        </w:rPr>
      </w:pPr>
      <w:r>
        <w:rPr>
          <w:rFonts w:hint="eastAsia" w:ascii="宋体" w:hAnsi="宋体" w:cs="宋体"/>
          <w:kern w:val="2"/>
          <w:sz w:val="24"/>
          <w:szCs w:val="24"/>
        </w:rPr>
        <w:t>合同履行期限：</w:t>
      </w:r>
      <w:r>
        <w:rPr>
          <w:rFonts w:hint="eastAsia" w:ascii="宋体" w:hAnsi="宋体"/>
          <w:sz w:val="24"/>
          <w:szCs w:val="24"/>
        </w:rPr>
        <w:t>三年，合同一年一签，在签订合同后的服务期内</w:t>
      </w:r>
      <w:r>
        <w:rPr>
          <w:rFonts w:hint="eastAsia" w:ascii="宋体" w:hAnsi="宋体"/>
          <w:sz w:val="24"/>
          <w:szCs w:val="24"/>
          <w:lang w:eastAsia="zh-CN"/>
        </w:rPr>
        <w:t>，考核制度按相关考核办法执行</w:t>
      </w:r>
      <w:r>
        <w:rPr>
          <w:rFonts w:hint="eastAsia" w:ascii="宋体" w:hAnsi="宋体"/>
          <w:sz w:val="24"/>
          <w:szCs w:val="24"/>
        </w:rPr>
        <w:t>，考核合格后续签下一年合同，若连续两个月考核不达标或全年累计三个月考核不达标，</w:t>
      </w:r>
      <w:r>
        <w:rPr>
          <w:rFonts w:hint="eastAsia" w:ascii="宋体" w:hAnsi="宋体"/>
          <w:sz w:val="24"/>
          <w:szCs w:val="24"/>
          <w:lang w:val="en-US" w:eastAsia="zh-CN"/>
        </w:rPr>
        <w:t>采购人</w:t>
      </w:r>
      <w:r>
        <w:rPr>
          <w:rFonts w:hint="eastAsia" w:ascii="宋体" w:hAnsi="宋体"/>
          <w:sz w:val="24"/>
          <w:szCs w:val="24"/>
        </w:rPr>
        <w:t>有权终止合同；考核不合格或不按采购</w:t>
      </w:r>
      <w:r>
        <w:rPr>
          <w:rFonts w:hint="eastAsia" w:ascii="宋体" w:hAnsi="宋体"/>
          <w:sz w:val="24"/>
          <w:szCs w:val="24"/>
          <w:lang w:val="en-US" w:eastAsia="zh-CN"/>
        </w:rPr>
        <w:t>人</w:t>
      </w:r>
      <w:r>
        <w:rPr>
          <w:rFonts w:hint="eastAsia" w:ascii="宋体" w:hAnsi="宋体"/>
          <w:sz w:val="24"/>
          <w:szCs w:val="24"/>
        </w:rPr>
        <w:t>要求执行的则终止合同。</w:t>
      </w:r>
    </w:p>
    <w:p w14:paraId="2D1269D5">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sz w:val="24"/>
          <w:szCs w:val="24"/>
        </w:rPr>
      </w:pPr>
      <w:r>
        <w:rPr>
          <w:rFonts w:hint="eastAsia" w:ascii="宋体" w:hAnsi="宋体" w:cs="宋体"/>
          <w:kern w:val="2"/>
          <w:sz w:val="24"/>
          <w:szCs w:val="24"/>
        </w:rPr>
        <w:t>本项目（否）接受联合体投标。</w:t>
      </w:r>
    </w:p>
    <w:p w14:paraId="0921ED58">
      <w:pPr>
        <w:pStyle w:val="3"/>
        <w:pageBreakBefore w:val="0"/>
        <w:widowControl/>
        <w:kinsoku/>
        <w:wordWrap/>
        <w:overflowPunct/>
        <w:topLinePunct w:val="0"/>
        <w:autoSpaceDE/>
        <w:autoSpaceDN/>
        <w:bidi w:val="0"/>
        <w:adjustRightInd/>
        <w:snapToGrid/>
        <w:spacing w:before="0" w:after="0" w:line="360" w:lineRule="auto"/>
        <w:textAlignment w:val="auto"/>
        <w:rPr>
          <w:rFonts w:ascii="宋体" w:hAnsi="宋体" w:eastAsia="宋体" w:cs="宋体"/>
          <w:bCs w:val="0"/>
          <w:sz w:val="24"/>
          <w:szCs w:val="24"/>
        </w:rPr>
      </w:pPr>
      <w:bookmarkStart w:id="9" w:name="_Toc19494"/>
      <w:r>
        <w:rPr>
          <w:rFonts w:hint="eastAsia" w:ascii="宋体" w:hAnsi="宋体" w:eastAsia="宋体" w:cs="宋体"/>
          <w:bCs w:val="0"/>
          <w:sz w:val="24"/>
          <w:szCs w:val="24"/>
        </w:rPr>
        <w:t>二、申请人的资格要求</w:t>
      </w:r>
      <w:bookmarkEnd w:id="9"/>
    </w:p>
    <w:p w14:paraId="14CE41A7">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kern w:val="2"/>
          <w:sz w:val="24"/>
          <w:szCs w:val="24"/>
        </w:rPr>
      </w:pPr>
      <w:r>
        <w:rPr>
          <w:rFonts w:hint="eastAsia" w:ascii="宋体" w:hAnsi="宋体" w:cs="宋体"/>
          <w:kern w:val="2"/>
          <w:sz w:val="24"/>
          <w:szCs w:val="24"/>
        </w:rPr>
        <w:t>1.满足《中华人民共和国政府采购法》第二十二条规定；</w:t>
      </w:r>
    </w:p>
    <w:p w14:paraId="63684635">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kern w:val="2"/>
          <w:sz w:val="24"/>
          <w:szCs w:val="24"/>
        </w:rPr>
      </w:pPr>
      <w:r>
        <w:rPr>
          <w:rFonts w:hint="eastAsia" w:ascii="宋体" w:hAnsi="宋体" w:cs="宋体"/>
          <w:kern w:val="2"/>
          <w:sz w:val="24"/>
          <w:szCs w:val="24"/>
        </w:rPr>
        <w:t>1.1具有独立承担民事责任的能力。提供法人或者其他组织的营业执照等证明文件。</w:t>
      </w:r>
    </w:p>
    <w:p w14:paraId="798EDD50">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kern w:val="2"/>
          <w:sz w:val="24"/>
          <w:szCs w:val="24"/>
        </w:rPr>
      </w:pPr>
      <w:r>
        <w:rPr>
          <w:rFonts w:hint="eastAsia" w:ascii="宋体" w:hAnsi="宋体" w:cs="宋体"/>
          <w:kern w:val="2"/>
          <w:sz w:val="24"/>
          <w:szCs w:val="24"/>
        </w:rPr>
        <w:t>1.2具有良好的商业信誉和健全的财务会计制度。投标人须提供财务状况报告，内容可为以下两者之一：</w:t>
      </w:r>
    </w:p>
    <w:p w14:paraId="7BC43FA8">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kern w:val="2"/>
          <w:sz w:val="24"/>
          <w:szCs w:val="24"/>
          <w:lang w:bidi="ar"/>
        </w:rPr>
      </w:pPr>
      <w:r>
        <w:rPr>
          <w:rFonts w:hint="eastAsia" w:ascii="宋体" w:hAnsi="宋体" w:cs="宋体"/>
          <w:color w:val="000000"/>
          <w:kern w:val="2"/>
          <w:sz w:val="24"/>
          <w:szCs w:val="24"/>
          <w:lang w:bidi="ar"/>
        </w:rPr>
        <w:t xml:space="preserve">(1)2025年1月1日前成立的投标人可提供以下①或②任意一种： </w:t>
      </w:r>
    </w:p>
    <w:p w14:paraId="33C4BBEE">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kern w:val="2"/>
          <w:sz w:val="24"/>
          <w:szCs w:val="24"/>
          <w:lang w:bidi="ar"/>
        </w:rPr>
      </w:pPr>
      <w:r>
        <w:rPr>
          <w:rFonts w:hint="eastAsia" w:ascii="宋体" w:hAnsi="宋体" w:cs="宋体"/>
          <w:color w:val="000000"/>
          <w:kern w:val="2"/>
          <w:sz w:val="24"/>
          <w:szCs w:val="24"/>
          <w:lang w:bidi="ar"/>
        </w:rPr>
        <w:t>①提供2023年或2024年经第三方审计的财务报告及报表(报表至少应包括资产负债表、利润表(损益表)、现金流量表、所有者权益变动表及其附注)</w:t>
      </w:r>
      <w:r>
        <w:rPr>
          <w:rFonts w:hint="eastAsia" w:ascii="宋体" w:hAnsi="宋体" w:cs="宋体"/>
          <w:color w:val="000000"/>
          <w:kern w:val="2"/>
          <w:sz w:val="24"/>
          <w:szCs w:val="24"/>
          <w:highlight w:val="none"/>
          <w:lang w:eastAsia="zh-CN" w:bidi="ar"/>
        </w:rPr>
        <w:t>，须有可通过</w:t>
      </w:r>
      <w:r>
        <w:rPr>
          <w:rFonts w:hint="eastAsia" w:ascii="宋体" w:hAnsi="宋体" w:cs="宋体"/>
          <w:color w:val="000000"/>
          <w:kern w:val="2"/>
          <w:sz w:val="24"/>
          <w:szCs w:val="24"/>
          <w:highlight w:val="none"/>
          <w:lang w:bidi="ar"/>
        </w:rPr>
        <w:t>统一监管平台进行查验的验证二维码；</w:t>
      </w:r>
      <w:r>
        <w:rPr>
          <w:rFonts w:hint="eastAsia" w:ascii="宋体" w:hAnsi="宋体" w:cs="宋体"/>
          <w:color w:val="000000"/>
          <w:kern w:val="2"/>
          <w:sz w:val="24"/>
          <w:szCs w:val="24"/>
          <w:lang w:bidi="ar"/>
        </w:rPr>
        <w:t>②提供自投标文件提交截止时间前三个月内基本开户银行出具的资信证明。</w:t>
      </w:r>
    </w:p>
    <w:p w14:paraId="784B386D">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color w:val="000000"/>
          <w:kern w:val="2"/>
          <w:sz w:val="24"/>
          <w:szCs w:val="24"/>
        </w:rPr>
      </w:pPr>
      <w:bookmarkStart w:id="10" w:name="OLE_LINK1"/>
      <w:r>
        <w:rPr>
          <w:rFonts w:hint="eastAsia" w:ascii="宋体" w:hAnsi="宋体" w:cs="宋体"/>
          <w:color w:val="000000"/>
          <w:kern w:val="2"/>
          <w:sz w:val="24"/>
          <w:szCs w:val="24"/>
          <w:lang w:bidi="ar"/>
        </w:rPr>
        <w:t>(2)</w:t>
      </w:r>
      <w:bookmarkEnd w:id="10"/>
      <w:r>
        <w:rPr>
          <w:rFonts w:hint="eastAsia" w:ascii="宋体" w:hAnsi="宋体" w:cs="宋体"/>
          <w:color w:val="000000"/>
          <w:kern w:val="2"/>
          <w:sz w:val="24"/>
          <w:szCs w:val="24"/>
          <w:lang w:bidi="ar"/>
        </w:rPr>
        <w:t>2025年1月1日至今成立的投标人提供自成立至今的财务报表或提供具有良好的商业信誉和健全的财务会计制度承诺书(或书面声明)。</w:t>
      </w:r>
    </w:p>
    <w:p w14:paraId="3873CC02">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sz w:val="24"/>
          <w:szCs w:val="24"/>
        </w:rPr>
      </w:pPr>
      <w:r>
        <w:rPr>
          <w:rFonts w:hint="eastAsia" w:ascii="宋体" w:hAnsi="宋体" w:cs="宋体"/>
          <w:kern w:val="2"/>
          <w:sz w:val="24"/>
          <w:szCs w:val="24"/>
        </w:rPr>
        <w:t>1.3具有履行合同所必需的设备和专业技术能力。</w:t>
      </w:r>
      <w:r>
        <w:rPr>
          <w:rFonts w:hint="eastAsia" w:ascii="宋体" w:hAnsi="宋体" w:cs="宋体"/>
          <w:sz w:val="24"/>
          <w:szCs w:val="24"/>
        </w:rPr>
        <w:t>提供具备履行合同所必需的设备和专业技术能力的证明材料或书面说明。</w:t>
      </w:r>
    </w:p>
    <w:p w14:paraId="77DDBC6A">
      <w:pPr>
        <w:pageBreakBefore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kern w:val="2"/>
          <w:sz w:val="24"/>
          <w:szCs w:val="24"/>
        </w:rPr>
      </w:pPr>
      <w:r>
        <w:rPr>
          <w:rFonts w:hint="eastAsia" w:ascii="宋体" w:hAnsi="宋体" w:cs="宋体"/>
          <w:kern w:val="2"/>
          <w:sz w:val="24"/>
          <w:szCs w:val="24"/>
        </w:rPr>
        <w:t>1.4有依法缴纳税收和社会保障资金的良好记录。</w:t>
      </w:r>
      <w:r>
        <w:rPr>
          <w:rFonts w:hint="eastAsia" w:ascii="宋体" w:hAnsi="宋体" w:cs="宋体"/>
          <w:sz w:val="24"/>
          <w:szCs w:val="24"/>
        </w:rPr>
        <w:t>提供2024年9月至今任意连续3个月依法缴纳税收和缴纳社会保障资金的证明(成立未满3个月的提供成立以来的税收和社会保障资金缴纳凭据；依法免税或不需要缴纳社会保障资金的投标人，应提供相应文件证明其依法免税或不需要缴纳社会保障资金）。</w:t>
      </w:r>
    </w:p>
    <w:p w14:paraId="19448941">
      <w:pPr>
        <w:pageBreakBefore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sz w:val="24"/>
          <w:szCs w:val="24"/>
        </w:rPr>
      </w:pPr>
      <w:r>
        <w:rPr>
          <w:rFonts w:hint="eastAsia" w:ascii="宋体" w:hAnsi="宋体" w:cs="宋体"/>
          <w:sz w:val="24"/>
          <w:szCs w:val="24"/>
        </w:rPr>
        <w:t>1.5参加政府采购活动前三年内，在经营活动中没有重大违法记录。提供参加政府采购活动前三年内在经营活动中没有重大违法记录的书面声明。</w:t>
      </w:r>
    </w:p>
    <w:p w14:paraId="176A41F5">
      <w:pPr>
        <w:pageBreakBefore w:val="0"/>
        <w:kinsoku/>
        <w:wordWrap/>
        <w:overflowPunct/>
        <w:topLinePunct w:val="0"/>
        <w:autoSpaceDE/>
        <w:autoSpaceDN/>
        <w:bidi w:val="0"/>
        <w:adjustRightInd/>
        <w:snapToGrid/>
        <w:spacing w:line="360" w:lineRule="auto"/>
        <w:ind w:firstLine="465"/>
        <w:textAlignment w:val="auto"/>
        <w:rPr>
          <w:rFonts w:ascii="宋体" w:hAnsi="宋体" w:cs="宋体"/>
          <w:sz w:val="24"/>
          <w:szCs w:val="24"/>
        </w:rPr>
      </w:pPr>
      <w:r>
        <w:rPr>
          <w:rFonts w:hint="eastAsia" w:ascii="宋体" w:hAnsi="宋体" w:cs="宋体"/>
          <w:sz w:val="24"/>
          <w:szCs w:val="24"/>
        </w:rPr>
        <w:t>1.6法律、行政法规规定的其他条件。</w:t>
      </w:r>
    </w:p>
    <w:p w14:paraId="49CB719F">
      <w:pPr>
        <w:pStyle w:val="11"/>
        <w:pageBreakBefore w:val="0"/>
        <w:kinsoku/>
        <w:wordWrap/>
        <w:overflowPunct/>
        <w:topLinePunct w:val="0"/>
        <w:autoSpaceDE/>
        <w:autoSpaceDN/>
        <w:bidi w:val="0"/>
        <w:adjustRightInd/>
        <w:snapToGrid/>
        <w:ind w:firstLine="465"/>
        <w:textAlignment w:val="auto"/>
        <w:rPr>
          <w:rFonts w:ascii="宋体" w:hAnsi="宋体" w:cs="宋体"/>
          <w:kern w:val="0"/>
          <w:sz w:val="24"/>
        </w:rPr>
      </w:pPr>
      <w:r>
        <w:rPr>
          <w:rFonts w:hint="eastAsia" w:ascii="宋体" w:hAnsi="宋体" w:cs="宋体"/>
          <w:kern w:val="0"/>
          <w:sz w:val="24"/>
        </w:rPr>
        <w:t>1.6.1单位负责人为同一人或者存在直接控股、管理关系的不同供应商，不得参加同一合同项下的政府采购活动。</w:t>
      </w:r>
    </w:p>
    <w:p w14:paraId="294DBF30">
      <w:pPr>
        <w:pStyle w:val="11"/>
        <w:pageBreakBefore w:val="0"/>
        <w:kinsoku/>
        <w:wordWrap/>
        <w:overflowPunct/>
        <w:topLinePunct w:val="0"/>
        <w:autoSpaceDE/>
        <w:autoSpaceDN/>
        <w:bidi w:val="0"/>
        <w:adjustRightInd/>
        <w:snapToGrid/>
        <w:ind w:firstLine="465"/>
        <w:textAlignment w:val="auto"/>
        <w:rPr>
          <w:rFonts w:ascii="宋体" w:hAnsi="宋体" w:cs="宋体"/>
          <w:kern w:val="0"/>
          <w:sz w:val="24"/>
        </w:rPr>
      </w:pPr>
      <w:r>
        <w:rPr>
          <w:rFonts w:hint="eastAsia" w:ascii="宋体" w:hAnsi="宋体" w:cs="宋体"/>
          <w:kern w:val="0"/>
          <w:sz w:val="24"/>
        </w:rPr>
        <w:t>为采购项目提供整体设计、规范编制或者项目管理、监理、检测等服务的供应商，不得再参加该采购项目的其他采购活动。</w:t>
      </w:r>
    </w:p>
    <w:p w14:paraId="3D27E4F5">
      <w:pPr>
        <w:pStyle w:val="11"/>
        <w:pageBreakBefore w:val="0"/>
        <w:kinsoku/>
        <w:wordWrap/>
        <w:overflowPunct/>
        <w:topLinePunct w:val="0"/>
        <w:autoSpaceDE/>
        <w:autoSpaceDN/>
        <w:bidi w:val="0"/>
        <w:adjustRightInd/>
        <w:snapToGrid/>
        <w:ind w:firstLine="465"/>
        <w:textAlignment w:val="auto"/>
      </w:pPr>
      <w:r>
        <w:rPr>
          <w:rFonts w:hint="eastAsia" w:ascii="宋体" w:hAnsi="宋体" w:cs="宋体"/>
          <w:kern w:val="0"/>
          <w:sz w:val="24"/>
        </w:rPr>
        <w:t>1.6.2投标人应在“信用中国”网站(www.creditchina.gov.cn)未被列入失信被执行人记录</w:t>
      </w:r>
      <w:r>
        <w:rPr>
          <w:rFonts w:hint="eastAsia" w:ascii="宋体" w:hAnsi="宋体" w:cs="宋体"/>
          <w:sz w:val="24"/>
        </w:rPr>
        <w:t>（按网站要求链接到中国执行信息网（http://zxgk.court.gov.cn/shixin/）查询）</w:t>
      </w:r>
      <w:r>
        <w:rPr>
          <w:rFonts w:hint="eastAsia" w:ascii="宋体" w:hAnsi="宋体" w:cs="宋体"/>
          <w:kern w:val="0"/>
          <w:sz w:val="24"/>
        </w:rPr>
        <w:t>、重大税收违法失信主体且在中国政府采购网(www.ccgp.gov.cn)没有政府采购严重违法失信行为记录</w:t>
      </w:r>
      <w:r>
        <w:rPr>
          <w:rFonts w:hint="eastAsia" w:ascii="宋体" w:hAnsi="宋体"/>
          <w:sz w:val="24"/>
        </w:rPr>
        <w:t>(被禁止在一定期限内参加政府采购活动但期限届满的除外)</w:t>
      </w:r>
      <w:r>
        <w:rPr>
          <w:rFonts w:hint="eastAsia" w:ascii="宋体" w:hAnsi="宋体" w:cs="宋体"/>
          <w:kern w:val="0"/>
          <w:sz w:val="24"/>
        </w:rPr>
        <w:t>。</w:t>
      </w:r>
    </w:p>
    <w:p w14:paraId="0A0BF742">
      <w:pPr>
        <w:pStyle w:val="11"/>
        <w:pageBreakBefore w:val="0"/>
        <w:widowControl w:val="0"/>
        <w:kinsoku/>
        <w:wordWrap/>
        <w:overflowPunct/>
        <w:topLinePunct w:val="0"/>
        <w:autoSpaceDE/>
        <w:autoSpaceDN/>
        <w:bidi w:val="0"/>
        <w:adjustRightInd/>
        <w:snapToGrid/>
        <w:ind w:firstLine="480" w:firstLineChars="200"/>
        <w:textAlignment w:val="auto"/>
        <w:rPr>
          <w:rFonts w:ascii="宋体" w:hAnsi="宋体" w:cs="宋体"/>
          <w:sz w:val="24"/>
        </w:rPr>
      </w:pPr>
      <w:bookmarkStart w:id="11" w:name="_Toc28359004"/>
      <w:bookmarkStart w:id="12" w:name="_Toc28359081"/>
      <w:r>
        <w:rPr>
          <w:rFonts w:hint="eastAsia" w:ascii="宋体" w:hAnsi="宋体" w:cs="宋体"/>
          <w:sz w:val="24"/>
        </w:rPr>
        <w:t>2.落实政府采购政策需满足的资格要求：本项目不属于专门面向中小企业采购的项目，对符合条件的小微企业，在价格评分时给予报价10%的扣除，用扣除后的价格参与价格评分。</w:t>
      </w:r>
    </w:p>
    <w:p w14:paraId="114AF961">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kern w:val="2"/>
          <w:sz w:val="24"/>
          <w:szCs w:val="24"/>
          <w:u w:val="single"/>
        </w:rPr>
      </w:pPr>
      <w:r>
        <w:rPr>
          <w:rFonts w:hint="eastAsia" w:ascii="宋体" w:hAnsi="宋体" w:cs="宋体"/>
          <w:kern w:val="2"/>
          <w:sz w:val="24"/>
          <w:szCs w:val="24"/>
        </w:rPr>
        <w:t>3.本项目的特定资格要求：本项目不接受联合体投标。</w:t>
      </w:r>
    </w:p>
    <w:p w14:paraId="580E9938">
      <w:pPr>
        <w:pStyle w:val="3"/>
        <w:pageBreakBefore w:val="0"/>
        <w:widowControl/>
        <w:kinsoku/>
        <w:wordWrap/>
        <w:overflowPunct/>
        <w:topLinePunct w:val="0"/>
        <w:autoSpaceDE/>
        <w:autoSpaceDN/>
        <w:bidi w:val="0"/>
        <w:adjustRightInd/>
        <w:snapToGrid/>
        <w:spacing w:before="0" w:after="0" w:line="360" w:lineRule="auto"/>
        <w:textAlignment w:val="auto"/>
        <w:rPr>
          <w:rFonts w:ascii="宋体" w:hAnsi="宋体" w:eastAsia="宋体" w:cs="宋体"/>
          <w:bCs w:val="0"/>
          <w:sz w:val="24"/>
          <w:szCs w:val="24"/>
        </w:rPr>
      </w:pPr>
      <w:bookmarkStart w:id="13" w:name="_Toc28527"/>
      <w:bookmarkStart w:id="14" w:name="_Toc35393623"/>
      <w:bookmarkStart w:id="15" w:name="_Toc35393792"/>
      <w:r>
        <w:rPr>
          <w:rFonts w:hint="eastAsia" w:ascii="宋体" w:hAnsi="宋体" w:eastAsia="宋体" w:cs="宋体"/>
          <w:bCs w:val="0"/>
          <w:sz w:val="24"/>
          <w:szCs w:val="24"/>
        </w:rPr>
        <w:t>三、获取招标文件</w:t>
      </w:r>
      <w:bookmarkEnd w:id="11"/>
      <w:bookmarkEnd w:id="12"/>
      <w:bookmarkEnd w:id="13"/>
      <w:bookmarkEnd w:id="14"/>
      <w:bookmarkEnd w:id="15"/>
    </w:p>
    <w:p w14:paraId="4A0E9BC6">
      <w:pPr>
        <w:pageBreakBefore w:val="0"/>
        <w:widowControl w:val="0"/>
        <w:kinsoku/>
        <w:wordWrap/>
        <w:overflowPunct/>
        <w:topLinePunct w:val="0"/>
        <w:autoSpaceDE/>
        <w:autoSpaceDN/>
        <w:bidi w:val="0"/>
        <w:adjustRightInd/>
        <w:snapToGrid/>
        <w:spacing w:line="360" w:lineRule="auto"/>
        <w:ind w:firstLine="540"/>
        <w:jc w:val="both"/>
        <w:textAlignment w:val="auto"/>
        <w:rPr>
          <w:rFonts w:ascii="宋体" w:hAnsi="宋体" w:cs="宋体"/>
          <w:kern w:val="2"/>
          <w:sz w:val="24"/>
          <w:szCs w:val="24"/>
        </w:rPr>
      </w:pPr>
      <w:r>
        <w:rPr>
          <w:rFonts w:hint="eastAsia" w:ascii="宋体" w:hAnsi="宋体" w:cs="宋体"/>
          <w:kern w:val="2"/>
          <w:sz w:val="24"/>
          <w:szCs w:val="24"/>
        </w:rPr>
        <w:t>时间：2025-</w:t>
      </w:r>
      <w:r>
        <w:rPr>
          <w:rFonts w:hint="eastAsia" w:ascii="宋体" w:hAnsi="宋体" w:cs="宋体"/>
          <w:kern w:val="2"/>
          <w:sz w:val="24"/>
          <w:szCs w:val="24"/>
          <w:lang w:val="en-US" w:eastAsia="zh-CN"/>
        </w:rPr>
        <w:t>6</w:t>
      </w:r>
      <w:r>
        <w:rPr>
          <w:rFonts w:hint="eastAsia" w:ascii="宋体" w:hAnsi="宋体" w:cs="宋体"/>
          <w:kern w:val="2"/>
          <w:sz w:val="24"/>
          <w:szCs w:val="24"/>
        </w:rPr>
        <w:t>-</w:t>
      </w:r>
      <w:r>
        <w:rPr>
          <w:rFonts w:hint="eastAsia" w:ascii="宋体" w:hAnsi="宋体" w:cs="宋体"/>
          <w:kern w:val="2"/>
          <w:sz w:val="24"/>
          <w:szCs w:val="24"/>
          <w:lang w:val="en-US" w:eastAsia="zh-CN"/>
        </w:rPr>
        <w:t>8</w:t>
      </w:r>
      <w:r>
        <w:rPr>
          <w:rFonts w:hint="eastAsia" w:ascii="宋体" w:hAnsi="宋体" w:cs="宋体"/>
          <w:kern w:val="2"/>
          <w:sz w:val="24"/>
          <w:szCs w:val="24"/>
        </w:rPr>
        <w:t xml:space="preserve"> 06:00至2025-6-</w:t>
      </w:r>
      <w:r>
        <w:rPr>
          <w:rFonts w:hint="eastAsia" w:ascii="宋体" w:hAnsi="宋体" w:cs="宋体"/>
          <w:kern w:val="2"/>
          <w:sz w:val="24"/>
          <w:szCs w:val="24"/>
          <w:lang w:val="en-US" w:eastAsia="zh-CN"/>
        </w:rPr>
        <w:t>13</w:t>
      </w:r>
      <w:r>
        <w:rPr>
          <w:rFonts w:hint="eastAsia" w:ascii="宋体" w:hAnsi="宋体" w:cs="宋体"/>
          <w:kern w:val="2"/>
          <w:sz w:val="24"/>
          <w:szCs w:val="24"/>
        </w:rPr>
        <w:t xml:space="preserve"> 23:59 每日上午06:00至12:00 下午12:00至23:59（北京时间，法定节假日除外）</w:t>
      </w:r>
    </w:p>
    <w:p w14:paraId="50FA316B">
      <w:pPr>
        <w:pageBreakBefore w:val="0"/>
        <w:kinsoku/>
        <w:wordWrap/>
        <w:overflowPunct/>
        <w:topLinePunct w:val="0"/>
        <w:autoSpaceDE/>
        <w:autoSpaceDN/>
        <w:bidi w:val="0"/>
        <w:adjustRightInd/>
        <w:snapToGrid/>
        <w:spacing w:line="360" w:lineRule="auto"/>
        <w:ind w:firstLine="540"/>
        <w:textAlignment w:val="auto"/>
        <w:rPr>
          <w:rFonts w:ascii="宋体" w:hAnsi="宋体" w:cs="宋体"/>
          <w:sz w:val="24"/>
          <w:szCs w:val="24"/>
        </w:rPr>
      </w:pPr>
      <w:r>
        <w:rPr>
          <w:rFonts w:hint="eastAsia" w:ascii="宋体" w:hAnsi="宋体" w:cs="宋体"/>
          <w:sz w:val="24"/>
          <w:szCs w:val="24"/>
        </w:rPr>
        <w:t>地点：供应商可自行在“政采云”平台（http：//www.zcygov.cn）下载采购文件（操作路径：登录“政采云”平台-项目采购-获取采购文件-找到本项目-点击“申请获取采购文件”），电子投标文件制作需要基于“政采云”平台（http：//www.zcygov.cn）获取的采购文件编制。</w:t>
      </w:r>
    </w:p>
    <w:p w14:paraId="469D900C">
      <w:pPr>
        <w:pageBreakBefore w:val="0"/>
        <w:kinsoku/>
        <w:wordWrap/>
        <w:overflowPunct/>
        <w:topLinePunct w:val="0"/>
        <w:autoSpaceDE/>
        <w:autoSpaceDN/>
        <w:bidi w:val="0"/>
        <w:adjustRightInd/>
        <w:snapToGrid/>
        <w:spacing w:line="360" w:lineRule="auto"/>
        <w:ind w:firstLine="540"/>
        <w:textAlignment w:val="auto"/>
        <w:rPr>
          <w:rFonts w:ascii="宋体" w:hAnsi="宋体" w:cs="宋体"/>
          <w:sz w:val="24"/>
          <w:szCs w:val="24"/>
        </w:rPr>
      </w:pPr>
      <w:r>
        <w:rPr>
          <w:rFonts w:hint="eastAsia" w:ascii="宋体" w:hAnsi="宋体" w:cs="宋体"/>
          <w:sz w:val="24"/>
          <w:szCs w:val="24"/>
        </w:rPr>
        <w:t>方式：1.凡有意参加</w:t>
      </w:r>
      <w:r>
        <w:rPr>
          <w:rFonts w:hint="eastAsia" w:ascii="宋体" w:hAnsi="宋体" w:cs="宋体"/>
          <w:sz w:val="24"/>
          <w:szCs w:val="24"/>
          <w:lang w:eastAsia="zh-CN"/>
        </w:rPr>
        <w:t>投标</w:t>
      </w:r>
      <w:r>
        <w:rPr>
          <w:rFonts w:hint="eastAsia" w:ascii="宋体" w:hAnsi="宋体" w:cs="宋体"/>
          <w:sz w:val="24"/>
          <w:szCs w:val="24"/>
        </w:rPr>
        <w:t>者，须注册政采云平台账号并登录办理数字证书（CA），若供应商未办理数字证书（CA）的，可选择办理云南壹证通CA。CA申领链接：http://yzt.ynsmartcert.cn/cms/yztmdkj.html云南壹证通CA可支持线上、线下两种办理方式，并提供7*24小时全天候客户服务支持，客服热线400-004-0628。（紧急CA办理电话：19988166369）政府采购云平台支持多家CA服务商，供应商可自行选择办理。2.数字证书（CA）申领完成之后进入政府采购云平台，企业账号与数字证书（CA）进行绑定，凭企业数字证书（CA）进行项目报名及免费下载招标文件。3.按上述要求获取文件的供应商视为已合法获取本项目采购文件，具备本项目的</w:t>
      </w:r>
      <w:r>
        <w:rPr>
          <w:rFonts w:hint="eastAsia" w:ascii="宋体" w:hAnsi="宋体" w:eastAsia="宋体" w:cs="宋体"/>
          <w:color w:val="auto"/>
          <w:sz w:val="24"/>
          <w:szCs w:val="24"/>
          <w:highlight w:val="none"/>
          <w:lang w:eastAsia="zh-CN"/>
        </w:rPr>
        <w:t>投标</w:t>
      </w:r>
      <w:r>
        <w:rPr>
          <w:rFonts w:hint="eastAsia" w:ascii="宋体" w:hAnsi="宋体" w:cs="宋体"/>
          <w:sz w:val="24"/>
          <w:szCs w:val="24"/>
        </w:rPr>
        <w:t>资格。4.如有问题可拨打政采云客户服务热线95763进行咨询，数字证书（CA）问题可咨询24小时技术支持热线400-004-0628（紧急办理可拨：19988166369）。</w:t>
      </w:r>
    </w:p>
    <w:p w14:paraId="30BE9D4C">
      <w:pPr>
        <w:pageBreakBefore w:val="0"/>
        <w:kinsoku/>
        <w:wordWrap/>
        <w:overflowPunct/>
        <w:topLinePunct w:val="0"/>
        <w:autoSpaceDE/>
        <w:autoSpaceDN/>
        <w:bidi w:val="0"/>
        <w:adjustRightInd/>
        <w:snapToGrid/>
        <w:spacing w:line="360" w:lineRule="auto"/>
        <w:ind w:firstLine="540"/>
        <w:textAlignment w:val="auto"/>
        <w:rPr>
          <w:rFonts w:ascii="宋体" w:hAnsi="宋体" w:cs="宋体"/>
          <w:sz w:val="24"/>
          <w:szCs w:val="24"/>
        </w:rPr>
      </w:pPr>
      <w:r>
        <w:rPr>
          <w:rFonts w:hint="eastAsia" w:ascii="宋体" w:hAnsi="宋体" w:cs="宋体"/>
          <w:sz w:val="24"/>
          <w:szCs w:val="24"/>
        </w:rPr>
        <w:t>售价：0元。</w:t>
      </w:r>
    </w:p>
    <w:p w14:paraId="67F8DE2B">
      <w:pPr>
        <w:pStyle w:val="3"/>
        <w:pageBreakBefore w:val="0"/>
        <w:widowControl/>
        <w:kinsoku/>
        <w:wordWrap/>
        <w:overflowPunct/>
        <w:topLinePunct w:val="0"/>
        <w:autoSpaceDE/>
        <w:autoSpaceDN/>
        <w:bidi w:val="0"/>
        <w:adjustRightInd/>
        <w:snapToGrid/>
        <w:spacing w:before="0" w:after="0" w:line="360" w:lineRule="auto"/>
        <w:textAlignment w:val="auto"/>
        <w:rPr>
          <w:rFonts w:ascii="宋体" w:hAnsi="宋体" w:eastAsia="宋体" w:cs="宋体"/>
          <w:bCs w:val="0"/>
          <w:sz w:val="24"/>
          <w:szCs w:val="24"/>
        </w:rPr>
      </w:pPr>
      <w:bookmarkStart w:id="16" w:name="_Toc28359082"/>
      <w:bookmarkStart w:id="17" w:name="_Toc28359005"/>
      <w:bookmarkStart w:id="18" w:name="_Toc35393793"/>
      <w:bookmarkStart w:id="19" w:name="_Toc35393624"/>
      <w:bookmarkStart w:id="20" w:name="_Toc3667"/>
      <w:r>
        <w:rPr>
          <w:rFonts w:hint="eastAsia" w:ascii="宋体" w:hAnsi="宋体" w:eastAsia="宋体" w:cs="宋体"/>
          <w:bCs w:val="0"/>
          <w:sz w:val="24"/>
          <w:szCs w:val="24"/>
        </w:rPr>
        <w:t>四、提交投标文件</w:t>
      </w:r>
      <w:bookmarkEnd w:id="16"/>
      <w:bookmarkEnd w:id="17"/>
      <w:r>
        <w:rPr>
          <w:rFonts w:hint="eastAsia" w:ascii="宋体" w:hAnsi="宋体" w:eastAsia="宋体" w:cs="宋体"/>
          <w:bCs w:val="0"/>
          <w:sz w:val="24"/>
          <w:szCs w:val="24"/>
        </w:rPr>
        <w:t>截止时间、开标时间和地点</w:t>
      </w:r>
      <w:bookmarkEnd w:id="18"/>
      <w:bookmarkEnd w:id="19"/>
      <w:bookmarkEnd w:id="20"/>
    </w:p>
    <w:p w14:paraId="2BBF1BC1">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bCs/>
          <w:sz w:val="24"/>
          <w:szCs w:val="24"/>
          <w:u w:val="single"/>
        </w:rPr>
      </w:pPr>
      <w:r>
        <w:rPr>
          <w:rFonts w:hint="eastAsia" w:ascii="宋体" w:hAnsi="宋体" w:cs="宋体"/>
          <w:kern w:val="2"/>
          <w:sz w:val="24"/>
          <w:szCs w:val="24"/>
        </w:rPr>
        <w:t>2025年6月</w:t>
      </w:r>
      <w:r>
        <w:rPr>
          <w:rFonts w:hint="eastAsia" w:ascii="宋体" w:hAnsi="宋体" w:cs="宋体"/>
          <w:kern w:val="2"/>
          <w:sz w:val="24"/>
          <w:szCs w:val="24"/>
          <w:lang w:val="en-US" w:eastAsia="zh-CN"/>
        </w:rPr>
        <w:t>30</w:t>
      </w:r>
      <w:r>
        <w:rPr>
          <w:rFonts w:hint="eastAsia" w:ascii="宋体" w:hAnsi="宋体" w:cs="宋体"/>
          <w:kern w:val="2"/>
          <w:sz w:val="24"/>
          <w:szCs w:val="24"/>
        </w:rPr>
        <w:t>日</w:t>
      </w:r>
      <w:r>
        <w:rPr>
          <w:rFonts w:hint="eastAsia" w:ascii="宋体" w:hAnsi="宋体" w:cs="宋体"/>
          <w:kern w:val="2"/>
          <w:sz w:val="24"/>
          <w:szCs w:val="24"/>
          <w:lang w:val="en-US" w:eastAsia="zh-CN"/>
        </w:rPr>
        <w:t>09</w:t>
      </w:r>
      <w:r>
        <w:rPr>
          <w:rFonts w:hint="eastAsia" w:ascii="宋体" w:hAnsi="宋体" w:cs="宋体"/>
          <w:kern w:val="2"/>
          <w:sz w:val="24"/>
          <w:szCs w:val="24"/>
        </w:rPr>
        <w:t>点00分</w:t>
      </w:r>
      <w:r>
        <w:rPr>
          <w:rFonts w:hint="eastAsia" w:ascii="宋体" w:hAnsi="宋体" w:cs="宋体"/>
          <w:bCs/>
          <w:kern w:val="2"/>
          <w:sz w:val="24"/>
          <w:szCs w:val="24"/>
        </w:rPr>
        <w:t>（北京时间）</w:t>
      </w:r>
    </w:p>
    <w:p w14:paraId="3E3E5BF1">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kern w:val="2"/>
          <w:sz w:val="24"/>
          <w:szCs w:val="24"/>
        </w:rPr>
      </w:pPr>
      <w:r>
        <w:rPr>
          <w:rFonts w:hint="eastAsia" w:ascii="宋体" w:hAnsi="宋体" w:cs="宋体"/>
          <w:kern w:val="2"/>
          <w:sz w:val="24"/>
          <w:szCs w:val="24"/>
        </w:rPr>
        <w:t>地点：</w:t>
      </w:r>
      <w:r>
        <w:rPr>
          <w:rFonts w:hint="eastAsia" w:ascii="宋体" w:hAnsi="宋体" w:cs="宋体"/>
          <w:sz w:val="24"/>
          <w:szCs w:val="24"/>
        </w:rPr>
        <w:t>“政采云”平台开标大厅，会议地点为云南元大工程咨询有限责任公司1509会议室</w:t>
      </w:r>
    </w:p>
    <w:p w14:paraId="272966C7">
      <w:pPr>
        <w:pStyle w:val="11"/>
        <w:pageBreakBefore w:val="0"/>
        <w:kinsoku/>
        <w:wordWrap/>
        <w:overflowPunct/>
        <w:topLinePunct w:val="0"/>
        <w:autoSpaceDE/>
        <w:autoSpaceDN/>
        <w:bidi w:val="0"/>
        <w:adjustRightInd/>
        <w:snapToGrid/>
        <w:ind w:firstLine="480" w:firstLineChars="200"/>
        <w:textAlignment w:val="auto"/>
        <w:rPr>
          <w:rFonts w:ascii="宋体" w:hAnsi="宋体" w:cs="宋体"/>
          <w:sz w:val="24"/>
        </w:rPr>
      </w:pPr>
      <w:r>
        <w:rPr>
          <w:rFonts w:hint="eastAsia" w:ascii="宋体" w:hAnsi="宋体" w:cs="宋体"/>
          <w:sz w:val="24"/>
        </w:rPr>
        <w:t>在</w:t>
      </w:r>
      <w:r>
        <w:rPr>
          <w:rFonts w:hint="eastAsia" w:ascii="宋体" w:hAnsi="宋体" w:cs="宋体"/>
          <w:bCs/>
          <w:sz w:val="24"/>
        </w:rPr>
        <w:t>投标文件提交的截止时间前，需在网上递交投标文件，具体要求：网上递交，</w:t>
      </w:r>
      <w:r>
        <w:rPr>
          <w:rFonts w:hint="eastAsia" w:ascii="宋体" w:hAnsi="宋体" w:cs="宋体"/>
          <w:sz w:val="24"/>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1CAC7CD1">
      <w:pPr>
        <w:pStyle w:val="3"/>
        <w:pageBreakBefore w:val="0"/>
        <w:widowControl/>
        <w:kinsoku/>
        <w:wordWrap/>
        <w:overflowPunct/>
        <w:topLinePunct w:val="0"/>
        <w:autoSpaceDE/>
        <w:autoSpaceDN/>
        <w:bidi w:val="0"/>
        <w:adjustRightInd/>
        <w:snapToGrid/>
        <w:spacing w:before="0" w:after="0" w:line="360" w:lineRule="auto"/>
        <w:textAlignment w:val="auto"/>
        <w:rPr>
          <w:rFonts w:ascii="宋体" w:hAnsi="宋体" w:eastAsia="宋体" w:cs="宋体"/>
          <w:bCs w:val="0"/>
          <w:sz w:val="24"/>
          <w:szCs w:val="24"/>
        </w:rPr>
      </w:pPr>
      <w:bookmarkStart w:id="21" w:name="_Toc28359084"/>
      <w:bookmarkStart w:id="22" w:name="_Toc7321"/>
      <w:bookmarkStart w:id="23" w:name="_Toc35393794"/>
      <w:bookmarkStart w:id="24" w:name="_Toc35393625"/>
      <w:bookmarkStart w:id="25" w:name="_Toc28359007"/>
      <w:r>
        <w:rPr>
          <w:rFonts w:hint="eastAsia" w:ascii="宋体" w:hAnsi="宋体" w:eastAsia="宋体" w:cs="宋体"/>
          <w:bCs w:val="0"/>
          <w:sz w:val="24"/>
          <w:szCs w:val="24"/>
        </w:rPr>
        <w:t>五、公告期限</w:t>
      </w:r>
      <w:bookmarkEnd w:id="21"/>
      <w:bookmarkEnd w:id="22"/>
      <w:bookmarkEnd w:id="23"/>
      <w:bookmarkEnd w:id="24"/>
      <w:bookmarkEnd w:id="25"/>
    </w:p>
    <w:p w14:paraId="1C118495">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sz w:val="24"/>
          <w:szCs w:val="24"/>
        </w:rPr>
      </w:pPr>
      <w:r>
        <w:rPr>
          <w:rFonts w:hint="eastAsia" w:ascii="宋体" w:hAnsi="宋体" w:cs="宋体"/>
          <w:sz w:val="24"/>
          <w:szCs w:val="24"/>
        </w:rPr>
        <w:t>自本公告发布之日起5个工作日。</w:t>
      </w:r>
    </w:p>
    <w:p w14:paraId="75B7B92A">
      <w:pPr>
        <w:pStyle w:val="3"/>
        <w:pageBreakBefore w:val="0"/>
        <w:widowControl/>
        <w:kinsoku/>
        <w:wordWrap/>
        <w:overflowPunct/>
        <w:topLinePunct w:val="0"/>
        <w:autoSpaceDE/>
        <w:autoSpaceDN/>
        <w:bidi w:val="0"/>
        <w:adjustRightInd/>
        <w:snapToGrid/>
        <w:spacing w:before="0" w:after="0" w:line="360" w:lineRule="auto"/>
        <w:textAlignment w:val="auto"/>
        <w:rPr>
          <w:rFonts w:ascii="宋体" w:hAnsi="宋体" w:eastAsia="宋体" w:cs="宋体"/>
          <w:bCs w:val="0"/>
          <w:sz w:val="24"/>
          <w:szCs w:val="24"/>
        </w:rPr>
      </w:pPr>
      <w:bookmarkStart w:id="26" w:name="_Toc29927"/>
      <w:bookmarkStart w:id="27" w:name="_Toc35393795"/>
      <w:bookmarkStart w:id="28" w:name="_Toc35393626"/>
      <w:bookmarkStart w:id="29" w:name="_Toc24932"/>
      <w:bookmarkStart w:id="30" w:name="_Toc28359008"/>
      <w:bookmarkStart w:id="31" w:name="_Toc35393627"/>
      <w:bookmarkStart w:id="32" w:name="_Toc28359085"/>
      <w:bookmarkStart w:id="33" w:name="_Toc35393796"/>
      <w:r>
        <w:rPr>
          <w:rFonts w:hint="eastAsia" w:ascii="宋体" w:hAnsi="宋体" w:eastAsia="宋体" w:cs="宋体"/>
          <w:bCs w:val="0"/>
          <w:sz w:val="24"/>
          <w:szCs w:val="24"/>
        </w:rPr>
        <w:t>六、其他补充事宜</w:t>
      </w:r>
      <w:bookmarkEnd w:id="26"/>
      <w:bookmarkEnd w:id="27"/>
      <w:bookmarkEnd w:id="28"/>
      <w:bookmarkEnd w:id="29"/>
    </w:p>
    <w:p w14:paraId="31A3692E">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u w:val="single"/>
        </w:rPr>
      </w:pPr>
      <w:r>
        <w:rPr>
          <w:rFonts w:hint="eastAsia" w:ascii="宋体" w:hAnsi="宋体" w:cs="宋体"/>
          <w:sz w:val="24"/>
          <w:szCs w:val="24"/>
        </w:rPr>
        <w:t>1.开标方式：网上开标</w:t>
      </w:r>
    </w:p>
    <w:p w14:paraId="093262D6">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u w:val="single"/>
        </w:rPr>
      </w:pPr>
      <w:r>
        <w:rPr>
          <w:rFonts w:hint="eastAsia" w:ascii="宋体" w:hAnsi="宋体" w:cs="宋体"/>
          <w:sz w:val="24"/>
          <w:szCs w:val="24"/>
        </w:rPr>
        <w:t>2.是否需要缴纳投标保证金：是</w:t>
      </w:r>
    </w:p>
    <w:p w14:paraId="6137B27A">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highlight w:val="yellow"/>
        </w:rPr>
      </w:pPr>
      <w:r>
        <w:rPr>
          <w:rFonts w:hint="eastAsia" w:ascii="宋体" w:hAnsi="宋体" w:cs="宋体"/>
          <w:sz w:val="24"/>
          <w:szCs w:val="24"/>
        </w:rPr>
        <w:t>3.保证金缴纳金额(元）：10万元。</w:t>
      </w:r>
    </w:p>
    <w:p w14:paraId="1F9E689B">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4.保证金缴纳方式：支票、汇票、本票、保函、电汇、网银转账、银行保函、保证保险等非现金形式</w:t>
      </w:r>
    </w:p>
    <w:p w14:paraId="2B73A83A">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sz w:val="24"/>
          <w:szCs w:val="24"/>
          <w:u w:val="single"/>
        </w:rPr>
      </w:pPr>
      <w:r>
        <w:rPr>
          <w:rFonts w:hint="eastAsia" w:ascii="宋体" w:hAnsi="宋体" w:cs="宋体"/>
          <w:sz w:val="24"/>
          <w:szCs w:val="24"/>
        </w:rPr>
        <w:t>5.保证金缴纳截止时间：</w:t>
      </w:r>
      <w:r>
        <w:rPr>
          <w:rFonts w:hint="eastAsia" w:ascii="宋体" w:hAnsi="宋体" w:cs="宋体"/>
          <w:kern w:val="2"/>
          <w:sz w:val="24"/>
          <w:szCs w:val="24"/>
        </w:rPr>
        <w:t>2025年6月</w:t>
      </w:r>
      <w:r>
        <w:rPr>
          <w:rFonts w:hint="eastAsia" w:ascii="宋体" w:hAnsi="宋体" w:cs="宋体"/>
          <w:kern w:val="2"/>
          <w:sz w:val="24"/>
          <w:szCs w:val="24"/>
          <w:lang w:val="en-US" w:eastAsia="zh-CN"/>
        </w:rPr>
        <w:t>30</w:t>
      </w:r>
      <w:r>
        <w:rPr>
          <w:rFonts w:hint="eastAsia" w:ascii="宋体" w:hAnsi="宋体" w:cs="宋体"/>
          <w:kern w:val="2"/>
          <w:sz w:val="24"/>
          <w:szCs w:val="24"/>
        </w:rPr>
        <w:t>日</w:t>
      </w:r>
      <w:r>
        <w:rPr>
          <w:rFonts w:hint="eastAsia" w:ascii="宋体" w:hAnsi="宋体" w:cs="宋体"/>
          <w:kern w:val="2"/>
          <w:sz w:val="24"/>
          <w:szCs w:val="24"/>
          <w:lang w:val="en-US" w:eastAsia="zh-CN"/>
        </w:rPr>
        <w:t>09</w:t>
      </w:r>
      <w:r>
        <w:rPr>
          <w:rFonts w:hint="eastAsia" w:ascii="宋体" w:hAnsi="宋体" w:cs="宋体"/>
          <w:kern w:val="2"/>
          <w:sz w:val="24"/>
          <w:szCs w:val="24"/>
        </w:rPr>
        <w:t>点00分</w:t>
      </w:r>
      <w:r>
        <w:rPr>
          <w:rFonts w:hint="eastAsia" w:ascii="宋体" w:hAnsi="宋体" w:cs="宋体"/>
          <w:bCs/>
          <w:kern w:val="2"/>
          <w:sz w:val="24"/>
          <w:szCs w:val="24"/>
        </w:rPr>
        <w:t>（北京时间）</w:t>
      </w:r>
    </w:p>
    <w:p w14:paraId="1B4C0E25">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6.其他：</w:t>
      </w:r>
    </w:p>
    <w:p w14:paraId="78190B1D">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u w:val="single"/>
        </w:rPr>
      </w:pPr>
      <w:r>
        <w:rPr>
          <w:rFonts w:hint="eastAsia" w:ascii="宋体" w:hAnsi="宋体" w:cs="宋体"/>
          <w:sz w:val="24"/>
          <w:szCs w:val="24"/>
        </w:rPr>
        <w:t>6.1本次招标公告在《云南省政府采购网》上发布，公告内容和时间以云南省政府采购网发布的信息为准。</w:t>
      </w:r>
    </w:p>
    <w:p w14:paraId="71C0DDE9">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6.2本项目执行政府采购促进中小企业发展、支持监狱企业、促进残疾人就业、强制采购和优先采购节能、环保产品等政府采购政策。</w:t>
      </w:r>
    </w:p>
    <w:p w14:paraId="6A2ECA4A">
      <w:pPr>
        <w:pageBreakBefore w:val="0"/>
        <w:kinsoku/>
        <w:wordWrap/>
        <w:overflowPunct/>
        <w:topLinePunct w:val="0"/>
        <w:autoSpaceDE/>
        <w:autoSpaceDN/>
        <w:bidi w:val="0"/>
        <w:adjustRightInd/>
        <w:snapToGrid/>
        <w:spacing w:line="360" w:lineRule="auto"/>
        <w:ind w:firstLine="480" w:firstLineChars="200"/>
        <w:jc w:val="both"/>
        <w:textAlignment w:val="auto"/>
        <w:rPr>
          <w:rFonts w:ascii="宋体" w:hAnsi="宋体" w:cs="宋体"/>
          <w:sz w:val="24"/>
          <w:szCs w:val="24"/>
        </w:rPr>
      </w:pPr>
      <w:r>
        <w:rPr>
          <w:rFonts w:hint="eastAsia" w:ascii="宋体" w:hAnsi="宋体" w:cs="宋体"/>
          <w:sz w:val="24"/>
          <w:szCs w:val="24"/>
        </w:rPr>
        <w:t>6.3注意事项：(1)本项目为不见面开标，供应商无需到达现场；(2)本项目实行网上投标，采用电子投标文件；(3)因未注册入库、未办理CA数字证书等原因造成无法投标或投标失败等后果由供应商自行承担；(4)供应商将政采云电子交易客户端下载、安装完成后，可通过账号密码或CA登录客户端进行投标文件的制作。在使用政采云投标客户端时，建议使用WIN7(64位)及以上操作系统。客户端请至政采云网站(https：//edu.zcygov.cn/luban/yunnan-dzjy-gys)进行查看下载，如有问题可拨打政采云客户服务热线400-881-7190进行咨询以及云南CA操作问题：请致电云南CA，4006727666。如因供应商自身原因导致在规定时间内无法正常解密的(如：浏览器故障、未安装相关驱动、网络故障、加密CA与解密CA不一致等)，代理机构不予异常处理，视为供应商自动弃标；(5)获取招标文件的方式：有意参加投标的供应商需要在政采云平台办理数字证书（CA）。完成数字证书（CA）办理后，供应商需要在政采云平台绑定数字证书(CA)，并在平台上获取采购文件和其他相关采购资料。注：</w:t>
      </w:r>
      <w:r>
        <w:rPr>
          <w:rFonts w:hint="eastAsia" w:ascii="宋体" w:hAnsi="宋体" w:cs="宋体"/>
          <w:spacing w:val="-6"/>
          <w:sz w:val="24"/>
          <w:szCs w:val="24"/>
        </w:rPr>
        <w:t>CA办理链接：http://yzt.ynsmartcert.cn/cms/yztmdkj.html或者https://middle.zcygov.cn/ca/apply/list?_app_=zcy.s</w:t>
      </w:r>
      <w:bookmarkStart w:id="37" w:name="_GoBack"/>
      <w:bookmarkEnd w:id="37"/>
      <w:r>
        <w:rPr>
          <w:rFonts w:hint="eastAsia" w:ascii="宋体" w:hAnsi="宋体" w:cs="宋体"/>
          <w:spacing w:val="-6"/>
          <w:sz w:val="24"/>
          <w:szCs w:val="24"/>
        </w:rPr>
        <w:t>ys</w:t>
      </w:r>
      <w:r>
        <w:rPr>
          <w:rFonts w:hint="eastAsia" w:ascii="宋体" w:hAnsi="宋体" w:cs="宋体"/>
          <w:sz w:val="24"/>
          <w:szCs w:val="24"/>
        </w:rPr>
        <w:t>需要注意的是，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数字证书问题可咨询云南壹证通CA：0871-67276028（紧急可拨19988166369）。</w:t>
      </w:r>
    </w:p>
    <w:p w14:paraId="1D6DDDA6">
      <w:pPr>
        <w:pStyle w:val="3"/>
        <w:pageBreakBefore w:val="0"/>
        <w:widowControl/>
        <w:kinsoku/>
        <w:wordWrap/>
        <w:overflowPunct/>
        <w:topLinePunct w:val="0"/>
        <w:autoSpaceDE/>
        <w:autoSpaceDN/>
        <w:bidi w:val="0"/>
        <w:adjustRightInd/>
        <w:snapToGrid/>
        <w:spacing w:before="0" w:after="0" w:line="360" w:lineRule="auto"/>
        <w:textAlignment w:val="auto"/>
        <w:rPr>
          <w:rFonts w:ascii="宋体" w:hAnsi="宋体" w:eastAsia="宋体" w:cs="宋体"/>
          <w:bCs w:val="0"/>
          <w:sz w:val="24"/>
          <w:szCs w:val="24"/>
        </w:rPr>
      </w:pPr>
      <w:bookmarkStart w:id="34" w:name="_Toc29406"/>
      <w:r>
        <w:rPr>
          <w:rFonts w:hint="eastAsia" w:ascii="宋体" w:hAnsi="宋体" w:eastAsia="宋体" w:cs="宋体"/>
          <w:bCs w:val="0"/>
          <w:sz w:val="24"/>
          <w:szCs w:val="24"/>
        </w:rPr>
        <w:t>七、对本次招标提出询问，请按以下方式联系</w:t>
      </w:r>
      <w:bookmarkEnd w:id="30"/>
      <w:bookmarkEnd w:id="31"/>
      <w:bookmarkEnd w:id="32"/>
      <w:bookmarkEnd w:id="33"/>
      <w:bookmarkEnd w:id="34"/>
    </w:p>
    <w:p w14:paraId="693C7EA0">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1.采购人信息</w:t>
      </w:r>
    </w:p>
    <w:p w14:paraId="31B5ED39">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hint="eastAsia" w:ascii="宋体" w:hAnsi="宋体" w:cs="宋体"/>
          <w:sz w:val="24"/>
          <w:szCs w:val="24"/>
        </w:rPr>
        <w:t>名称：中国（云南）自由贸易试验区昆明片区城市管理局\昆明经济技术开发区城市管理局</w:t>
      </w:r>
    </w:p>
    <w:p w14:paraId="2B96F375">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地址：昆明经济技术开发区信息产业基地春漫大道5号</w:t>
      </w:r>
    </w:p>
    <w:p w14:paraId="5FB2BC5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联系方式：</w:t>
      </w:r>
      <w:r>
        <w:rPr>
          <w:rFonts w:hint="eastAsia" w:ascii="宋体" w:hAnsi="宋体" w:cs="宋体"/>
          <w:sz w:val="24"/>
          <w:szCs w:val="24"/>
          <w:highlight w:val="none"/>
          <w:lang w:val="en-US" w:eastAsia="zh-CN"/>
        </w:rPr>
        <w:t>陈国慧、罗跃文、王昆、张伟</w:t>
      </w:r>
      <w:r>
        <w:rPr>
          <w:rFonts w:hint="eastAsia" w:ascii="宋体" w:hAnsi="宋体" w:cs="宋体"/>
          <w:sz w:val="24"/>
          <w:szCs w:val="24"/>
        </w:rPr>
        <w:t>（0871-67428949）</w:t>
      </w:r>
    </w:p>
    <w:p w14:paraId="613AA107">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2.采购代理机构信息</w:t>
      </w:r>
    </w:p>
    <w:p w14:paraId="1C9D69D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名称：云南元大工程咨询有限责任公司</w:t>
      </w:r>
    </w:p>
    <w:p w14:paraId="40A49154">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地址：云南省昆明市盘龙区联盟路与万宏路交汇处万宏嘉园沣苑（地块三）B座15楼（奥斯迪商务中心B座15楼）</w:t>
      </w:r>
    </w:p>
    <w:p w14:paraId="31B2170C">
      <w:pPr>
        <w:widowControl w:val="0"/>
        <w:spacing w:line="360" w:lineRule="auto"/>
        <w:ind w:firstLine="480" w:firstLineChars="200"/>
        <w:rPr>
          <w:rFonts w:ascii="宋体" w:hAnsi="宋体" w:cs="宋体"/>
          <w:sz w:val="24"/>
          <w:szCs w:val="24"/>
        </w:rPr>
      </w:pPr>
      <w:r>
        <w:rPr>
          <w:rFonts w:hint="eastAsia" w:ascii="宋体" w:hAnsi="宋体" w:cs="宋体"/>
          <w:sz w:val="24"/>
          <w:szCs w:val="24"/>
        </w:rPr>
        <w:t>联系方式：沈娜、段坤彦、王永坤、程吉鹏（0871-63338509）</w:t>
      </w:r>
    </w:p>
    <w:p w14:paraId="4432B198">
      <w:pPr>
        <w:widowControl w:val="0"/>
        <w:spacing w:line="360" w:lineRule="auto"/>
        <w:ind w:firstLine="480" w:firstLineChars="200"/>
        <w:rPr>
          <w:rFonts w:ascii="宋体" w:hAnsi="宋体" w:cs="宋体"/>
          <w:sz w:val="24"/>
          <w:szCs w:val="24"/>
        </w:rPr>
      </w:pPr>
      <w:r>
        <w:rPr>
          <w:rFonts w:hint="eastAsia" w:ascii="宋体" w:hAnsi="宋体" w:cs="宋体"/>
          <w:sz w:val="24"/>
          <w:szCs w:val="24"/>
        </w:rPr>
        <w:t>3.项目联系方式</w:t>
      </w:r>
    </w:p>
    <w:p w14:paraId="582C1210">
      <w:pPr>
        <w:widowControl w:val="0"/>
        <w:spacing w:line="360" w:lineRule="auto"/>
        <w:ind w:firstLine="480" w:firstLineChars="200"/>
        <w:rPr>
          <w:rFonts w:ascii="宋体" w:hAnsi="宋体" w:cs="宋体"/>
          <w:sz w:val="24"/>
          <w:szCs w:val="24"/>
        </w:rPr>
      </w:pPr>
      <w:r>
        <w:rPr>
          <w:rFonts w:hint="eastAsia" w:ascii="宋体" w:hAnsi="宋体" w:cs="宋体"/>
          <w:sz w:val="24"/>
          <w:szCs w:val="24"/>
        </w:rPr>
        <w:t>项目联系人：</w:t>
      </w:r>
      <w:r>
        <w:rPr>
          <w:rFonts w:hint="eastAsia" w:ascii="宋体" w:hAnsi="宋体" w:cs="宋体"/>
          <w:sz w:val="24"/>
          <w:szCs w:val="24"/>
          <w:highlight w:val="none"/>
          <w:lang w:val="en-US" w:eastAsia="zh-CN"/>
        </w:rPr>
        <w:t>陈国慧、罗跃文、王昆、张伟</w:t>
      </w:r>
      <w:r>
        <w:rPr>
          <w:rFonts w:hint="eastAsia" w:ascii="宋体" w:hAnsi="宋体" w:cs="宋体"/>
          <w:sz w:val="24"/>
          <w:szCs w:val="24"/>
          <w:highlight w:val="none"/>
        </w:rPr>
        <w:t>(</w:t>
      </w:r>
      <w:r>
        <w:rPr>
          <w:rFonts w:hint="eastAsia" w:ascii="宋体" w:hAnsi="宋体" w:cs="宋体"/>
          <w:sz w:val="24"/>
          <w:szCs w:val="24"/>
        </w:rPr>
        <w:t>采购人)、曾桂华、赵德武、曹魁（采购代理机构）</w:t>
      </w:r>
    </w:p>
    <w:p w14:paraId="1BFFD073">
      <w:pPr>
        <w:spacing w:line="360" w:lineRule="auto"/>
        <w:ind w:firstLine="480" w:firstLineChars="200"/>
        <w:rPr>
          <w:rFonts w:ascii="仿宋" w:hAnsi="仿宋" w:eastAsia="仿宋" w:cs="宋体"/>
          <w:sz w:val="24"/>
        </w:rPr>
      </w:pPr>
      <w:r>
        <w:rPr>
          <w:rFonts w:hint="eastAsia" w:ascii="宋体" w:hAnsi="宋体" w:cs="宋体"/>
          <w:sz w:val="24"/>
          <w:szCs w:val="24"/>
        </w:rPr>
        <w:t>电话：0871-63338509</w:t>
      </w:r>
      <w:bookmarkEnd w:id="0"/>
      <w:bookmarkStart w:id="35" w:name="_Toc8120"/>
      <w:bookmarkEnd w:id="35"/>
      <w:bookmarkStart w:id="36" w:name="_Toc23419"/>
      <w:bookmarkEnd w:id="36"/>
    </w:p>
    <w:p w14:paraId="00BBC4B1"/>
    <w:sectPr>
      <w:headerReference r:id="rId3" w:type="default"/>
      <w:pgSz w:w="11906" w:h="16838"/>
      <w:pgMar w:top="1440" w:right="1083" w:bottom="1440" w:left="1083" w:header="720" w:footer="720"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imesNewRomanPSMT">
    <w:altName w:val="宋体"/>
    <w:panose1 w:val="00000000000000000000"/>
    <w:charset w:val="00"/>
    <w:family w:val="auto"/>
    <w:pitch w:val="default"/>
    <w:sig w:usb0="00000000" w:usb1="00000000" w:usb2="00000010" w:usb3="00000000" w:csb0="00040001"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26AC6">
    <w:pPr>
      <w:pStyle w:val="21"/>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E97"/>
    <w:rsid w:val="0000715C"/>
    <w:rsid w:val="000125A8"/>
    <w:rsid w:val="001950F8"/>
    <w:rsid w:val="00286F6B"/>
    <w:rsid w:val="004F5758"/>
    <w:rsid w:val="007402CA"/>
    <w:rsid w:val="00774B67"/>
    <w:rsid w:val="007939BA"/>
    <w:rsid w:val="0084344F"/>
    <w:rsid w:val="008649C8"/>
    <w:rsid w:val="00B4246E"/>
    <w:rsid w:val="00B60DF7"/>
    <w:rsid w:val="00B62E97"/>
    <w:rsid w:val="00C31ED7"/>
    <w:rsid w:val="00CC30FC"/>
    <w:rsid w:val="00D46861"/>
    <w:rsid w:val="00DB60F6"/>
    <w:rsid w:val="00E40E4D"/>
    <w:rsid w:val="0208004B"/>
    <w:rsid w:val="033E696D"/>
    <w:rsid w:val="04477832"/>
    <w:rsid w:val="045A71D0"/>
    <w:rsid w:val="04690C83"/>
    <w:rsid w:val="047F723D"/>
    <w:rsid w:val="05353F49"/>
    <w:rsid w:val="05F11A75"/>
    <w:rsid w:val="06345E06"/>
    <w:rsid w:val="087C30FA"/>
    <w:rsid w:val="08B95816"/>
    <w:rsid w:val="08E51639"/>
    <w:rsid w:val="08F8136C"/>
    <w:rsid w:val="09E162A4"/>
    <w:rsid w:val="0A852F24"/>
    <w:rsid w:val="0B09418A"/>
    <w:rsid w:val="0C7451AE"/>
    <w:rsid w:val="0D546BB8"/>
    <w:rsid w:val="0DF95DB2"/>
    <w:rsid w:val="0E9262B2"/>
    <w:rsid w:val="0FE91A0F"/>
    <w:rsid w:val="1031756B"/>
    <w:rsid w:val="106C2D6C"/>
    <w:rsid w:val="134578A4"/>
    <w:rsid w:val="13733A6E"/>
    <w:rsid w:val="1380268A"/>
    <w:rsid w:val="13B50586"/>
    <w:rsid w:val="15107A3E"/>
    <w:rsid w:val="15FF3D3A"/>
    <w:rsid w:val="16E00D64"/>
    <w:rsid w:val="17B46DA6"/>
    <w:rsid w:val="17E31439"/>
    <w:rsid w:val="18E43693"/>
    <w:rsid w:val="19394EDE"/>
    <w:rsid w:val="195624A4"/>
    <w:rsid w:val="1A6052D4"/>
    <w:rsid w:val="1A8C5DB8"/>
    <w:rsid w:val="1B4D72F6"/>
    <w:rsid w:val="1BB36E00"/>
    <w:rsid w:val="1C464BB3"/>
    <w:rsid w:val="1CFF0AC4"/>
    <w:rsid w:val="1D5C1A72"/>
    <w:rsid w:val="1D6F5768"/>
    <w:rsid w:val="1E162569"/>
    <w:rsid w:val="1F4D7B8E"/>
    <w:rsid w:val="1FDC62F1"/>
    <w:rsid w:val="20393F67"/>
    <w:rsid w:val="20B41BC5"/>
    <w:rsid w:val="20CA3197"/>
    <w:rsid w:val="211C60E8"/>
    <w:rsid w:val="215F71A4"/>
    <w:rsid w:val="22A93AE5"/>
    <w:rsid w:val="23450E67"/>
    <w:rsid w:val="24083239"/>
    <w:rsid w:val="256E67E6"/>
    <w:rsid w:val="259A582D"/>
    <w:rsid w:val="26415CA9"/>
    <w:rsid w:val="2819505A"/>
    <w:rsid w:val="28425D08"/>
    <w:rsid w:val="29DF4256"/>
    <w:rsid w:val="2A2667D1"/>
    <w:rsid w:val="2A41096D"/>
    <w:rsid w:val="2ABA62BC"/>
    <w:rsid w:val="2E0A72C8"/>
    <w:rsid w:val="2EE144CD"/>
    <w:rsid w:val="2F3E547B"/>
    <w:rsid w:val="2F5B269C"/>
    <w:rsid w:val="311D7312"/>
    <w:rsid w:val="32601BAD"/>
    <w:rsid w:val="32780CA4"/>
    <w:rsid w:val="32D60D90"/>
    <w:rsid w:val="34F36F88"/>
    <w:rsid w:val="355A1555"/>
    <w:rsid w:val="35D83DA9"/>
    <w:rsid w:val="35DE1766"/>
    <w:rsid w:val="36402219"/>
    <w:rsid w:val="37737C8C"/>
    <w:rsid w:val="383A33E4"/>
    <w:rsid w:val="38E21291"/>
    <w:rsid w:val="39657AA9"/>
    <w:rsid w:val="39FC2B15"/>
    <w:rsid w:val="3A432D6D"/>
    <w:rsid w:val="3AE710BD"/>
    <w:rsid w:val="3B0A0908"/>
    <w:rsid w:val="3B183024"/>
    <w:rsid w:val="3B696145"/>
    <w:rsid w:val="3DDC1D85"/>
    <w:rsid w:val="3E4648DA"/>
    <w:rsid w:val="3EA13331"/>
    <w:rsid w:val="3EF75647"/>
    <w:rsid w:val="40817080"/>
    <w:rsid w:val="41FE258D"/>
    <w:rsid w:val="434D6F4B"/>
    <w:rsid w:val="43755937"/>
    <w:rsid w:val="43BD3753"/>
    <w:rsid w:val="44CC755A"/>
    <w:rsid w:val="453C6C53"/>
    <w:rsid w:val="461E795D"/>
    <w:rsid w:val="48044C2A"/>
    <w:rsid w:val="48541414"/>
    <w:rsid w:val="495402D0"/>
    <w:rsid w:val="4B8B15F1"/>
    <w:rsid w:val="4BB01057"/>
    <w:rsid w:val="4C8F6EBF"/>
    <w:rsid w:val="4D2211D8"/>
    <w:rsid w:val="4DCB3F26"/>
    <w:rsid w:val="4E467A51"/>
    <w:rsid w:val="4E573A0C"/>
    <w:rsid w:val="4E6F61BB"/>
    <w:rsid w:val="4F111E0D"/>
    <w:rsid w:val="4F55367B"/>
    <w:rsid w:val="50852AB2"/>
    <w:rsid w:val="51C4760A"/>
    <w:rsid w:val="53195A1E"/>
    <w:rsid w:val="53F046E7"/>
    <w:rsid w:val="54E3424B"/>
    <w:rsid w:val="58360B36"/>
    <w:rsid w:val="58705DF6"/>
    <w:rsid w:val="589A3BD0"/>
    <w:rsid w:val="5968741C"/>
    <w:rsid w:val="5AAF2166"/>
    <w:rsid w:val="5B345801"/>
    <w:rsid w:val="5BB24CE4"/>
    <w:rsid w:val="5C882BEA"/>
    <w:rsid w:val="5CA240BE"/>
    <w:rsid w:val="5CC20BEA"/>
    <w:rsid w:val="5CF05758"/>
    <w:rsid w:val="5DC664B8"/>
    <w:rsid w:val="5EB23613"/>
    <w:rsid w:val="600D101E"/>
    <w:rsid w:val="60D21CFD"/>
    <w:rsid w:val="60DA72FE"/>
    <w:rsid w:val="616E30EF"/>
    <w:rsid w:val="62E573E1"/>
    <w:rsid w:val="643424DC"/>
    <w:rsid w:val="65815634"/>
    <w:rsid w:val="66B15F58"/>
    <w:rsid w:val="66E63727"/>
    <w:rsid w:val="68513114"/>
    <w:rsid w:val="69872FA0"/>
    <w:rsid w:val="6B9C5831"/>
    <w:rsid w:val="6C3756A2"/>
    <w:rsid w:val="6CFC5A53"/>
    <w:rsid w:val="6D544E73"/>
    <w:rsid w:val="6F0155A2"/>
    <w:rsid w:val="6F032DDD"/>
    <w:rsid w:val="6F76453C"/>
    <w:rsid w:val="71615C3D"/>
    <w:rsid w:val="71B777CC"/>
    <w:rsid w:val="73744646"/>
    <w:rsid w:val="74140A9E"/>
    <w:rsid w:val="743069AD"/>
    <w:rsid w:val="748778E0"/>
    <w:rsid w:val="76CA4E14"/>
    <w:rsid w:val="774A385E"/>
    <w:rsid w:val="79876FEC"/>
    <w:rsid w:val="7A4D5B40"/>
    <w:rsid w:val="7AB636E5"/>
    <w:rsid w:val="7AD0116F"/>
    <w:rsid w:val="7B565870"/>
    <w:rsid w:val="7C8C270D"/>
    <w:rsid w:val="7DF2712A"/>
    <w:rsid w:val="7EEA1BAF"/>
    <w:rsid w:val="7F6A3CD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1"/>
      <w:szCs w:val="21"/>
      <w:lang w:val="en-US" w:eastAsia="zh-CN" w:bidi="ar-SA"/>
    </w:rPr>
  </w:style>
  <w:style w:type="paragraph" w:styleId="2">
    <w:name w:val="heading 1"/>
    <w:basedOn w:val="1"/>
    <w:next w:val="1"/>
    <w:link w:val="40"/>
    <w:qFormat/>
    <w:uiPriority w:val="99"/>
    <w:pPr>
      <w:keepNext/>
      <w:keepLines/>
      <w:widowControl w:val="0"/>
      <w:spacing w:before="340" w:after="330" w:line="576" w:lineRule="auto"/>
      <w:outlineLvl w:val="0"/>
    </w:pPr>
    <w:rPr>
      <w:b/>
      <w:bCs/>
      <w:kern w:val="44"/>
      <w:sz w:val="44"/>
      <w:szCs w:val="44"/>
    </w:rPr>
  </w:style>
  <w:style w:type="paragraph" w:styleId="3">
    <w:name w:val="heading 2"/>
    <w:basedOn w:val="1"/>
    <w:next w:val="1"/>
    <w:link w:val="41"/>
    <w:qFormat/>
    <w:uiPriority w:val="99"/>
    <w:pPr>
      <w:keepNext/>
      <w:keepLines/>
      <w:widowControl w:val="0"/>
      <w:spacing w:before="260" w:after="260" w:line="412" w:lineRule="auto"/>
      <w:outlineLvl w:val="1"/>
    </w:pPr>
    <w:rPr>
      <w:rFonts w:ascii="Arial" w:hAnsi="Arial" w:eastAsia="黑体"/>
      <w:b/>
      <w:bCs/>
      <w:sz w:val="32"/>
      <w:szCs w:val="32"/>
    </w:rPr>
  </w:style>
  <w:style w:type="paragraph" w:styleId="4">
    <w:name w:val="heading 3"/>
    <w:basedOn w:val="1"/>
    <w:next w:val="1"/>
    <w:link w:val="42"/>
    <w:qFormat/>
    <w:uiPriority w:val="99"/>
    <w:pPr>
      <w:keepNext/>
      <w:keepLines/>
      <w:widowControl w:val="0"/>
      <w:spacing w:before="260" w:after="260" w:line="412" w:lineRule="auto"/>
      <w:outlineLvl w:val="2"/>
    </w:pPr>
    <w:rPr>
      <w:b/>
      <w:bCs/>
      <w:sz w:val="32"/>
      <w:szCs w:val="32"/>
    </w:rPr>
  </w:style>
  <w:style w:type="character" w:default="1" w:styleId="34">
    <w:name w:val="Default Paragraph Font"/>
    <w:unhideWhenUsed/>
    <w:qFormat/>
    <w:uiPriority w:val="1"/>
  </w:style>
  <w:style w:type="table" w:default="1" w:styleId="32">
    <w:name w:val="Normal Table"/>
    <w:unhideWhenUsed/>
    <w:qFormat/>
    <w:uiPriority w:val="99"/>
    <w:tblPr>
      <w:tblCellMar>
        <w:top w:w="0" w:type="dxa"/>
        <w:left w:w="108" w:type="dxa"/>
        <w:bottom w:w="0" w:type="dxa"/>
        <w:right w:w="108" w:type="dxa"/>
      </w:tblCellMar>
    </w:tblPr>
  </w:style>
  <w:style w:type="paragraph" w:styleId="5">
    <w:name w:val="toc 7"/>
    <w:basedOn w:val="1"/>
    <w:next w:val="1"/>
    <w:unhideWhenUsed/>
    <w:qFormat/>
    <w:uiPriority w:val="39"/>
    <w:pPr>
      <w:ind w:left="1260"/>
    </w:pPr>
    <w:rPr>
      <w:rFonts w:ascii="Calibri" w:hAnsi="Calibri" w:cs="Calibri"/>
      <w:sz w:val="18"/>
      <w:szCs w:val="18"/>
    </w:rPr>
  </w:style>
  <w:style w:type="paragraph" w:styleId="6">
    <w:name w:val="Normal Indent"/>
    <w:basedOn w:val="1"/>
    <w:next w:val="1"/>
    <w:unhideWhenUsed/>
    <w:qFormat/>
    <w:uiPriority w:val="99"/>
    <w:pPr>
      <w:ind w:firstLine="420" w:firstLineChars="200"/>
    </w:pPr>
  </w:style>
  <w:style w:type="paragraph" w:styleId="7">
    <w:name w:val="Document Map"/>
    <w:basedOn w:val="1"/>
    <w:link w:val="43"/>
    <w:unhideWhenUsed/>
    <w:qFormat/>
    <w:uiPriority w:val="99"/>
    <w:rPr>
      <w:rFonts w:ascii="宋体"/>
      <w:sz w:val="18"/>
      <w:szCs w:val="18"/>
    </w:rPr>
  </w:style>
  <w:style w:type="paragraph" w:styleId="8">
    <w:name w:val="toa heading"/>
    <w:basedOn w:val="1"/>
    <w:next w:val="1"/>
    <w:semiHidden/>
    <w:qFormat/>
    <w:uiPriority w:val="0"/>
    <w:pPr>
      <w:widowControl w:val="0"/>
      <w:spacing w:before="120"/>
      <w:jc w:val="both"/>
    </w:pPr>
    <w:rPr>
      <w:rFonts w:ascii="Arial" w:hAnsi="Arial" w:cs="Arial"/>
      <w:kern w:val="2"/>
      <w:sz w:val="24"/>
      <w:szCs w:val="24"/>
    </w:rPr>
  </w:style>
  <w:style w:type="paragraph" w:styleId="9">
    <w:name w:val="annotation text"/>
    <w:basedOn w:val="1"/>
    <w:link w:val="44"/>
    <w:unhideWhenUsed/>
    <w:qFormat/>
    <w:uiPriority w:val="99"/>
  </w:style>
  <w:style w:type="paragraph" w:styleId="10">
    <w:name w:val="Body Text 3"/>
    <w:basedOn w:val="1"/>
    <w:link w:val="45"/>
    <w:unhideWhenUsed/>
    <w:qFormat/>
    <w:uiPriority w:val="99"/>
    <w:rPr>
      <w:rFonts w:ascii="宋体"/>
      <w:sz w:val="24"/>
      <w:szCs w:val="24"/>
    </w:rPr>
  </w:style>
  <w:style w:type="paragraph" w:styleId="11">
    <w:name w:val="Body Text"/>
    <w:basedOn w:val="1"/>
    <w:next w:val="12"/>
    <w:link w:val="39"/>
    <w:qFormat/>
    <w:uiPriority w:val="0"/>
    <w:pPr>
      <w:spacing w:line="360" w:lineRule="auto"/>
    </w:pPr>
    <w:rPr>
      <w:kern w:val="2"/>
      <w:szCs w:val="24"/>
    </w:rPr>
  </w:style>
  <w:style w:type="paragraph" w:customStyle="1" w:styleId="12">
    <w:name w:val="Normal_2"/>
    <w:basedOn w:val="13"/>
    <w:next w:val="11"/>
    <w:qFormat/>
    <w:uiPriority w:val="0"/>
    <w:rPr>
      <w:kern w:val="2"/>
      <w:sz w:val="21"/>
    </w:rPr>
  </w:style>
  <w:style w:type="paragraph" w:customStyle="1" w:styleId="13">
    <w:name w:val="Normal_3"/>
    <w:next w:val="14"/>
    <w:qFormat/>
    <w:uiPriority w:val="0"/>
    <w:pPr>
      <w:widowControl w:val="0"/>
      <w:jc w:val="both"/>
    </w:pPr>
    <w:rPr>
      <w:rFonts w:ascii="Times New Roman" w:hAnsi="Times New Roman" w:eastAsia="宋体" w:cs="Times New Roman"/>
      <w:lang w:val="en-US" w:eastAsia="zh-CN" w:bidi="ar-SA"/>
    </w:rPr>
  </w:style>
  <w:style w:type="paragraph" w:styleId="14">
    <w:name w:val="Plain Text"/>
    <w:basedOn w:val="1"/>
    <w:next w:val="1"/>
    <w:link w:val="47"/>
    <w:qFormat/>
    <w:uiPriority w:val="0"/>
    <w:rPr>
      <w:rFonts w:ascii="宋体" w:hAnsi="Courier New"/>
      <w:szCs w:val="20"/>
    </w:rPr>
  </w:style>
  <w:style w:type="paragraph" w:styleId="15">
    <w:name w:val="Body Text Indent"/>
    <w:basedOn w:val="1"/>
    <w:link w:val="46"/>
    <w:unhideWhenUsed/>
    <w:qFormat/>
    <w:uiPriority w:val="99"/>
    <w:pPr>
      <w:spacing w:line="460" w:lineRule="exact"/>
      <w:ind w:firstLine="510"/>
    </w:pPr>
  </w:style>
  <w:style w:type="paragraph" w:styleId="16">
    <w:name w:val="toc 5"/>
    <w:basedOn w:val="1"/>
    <w:next w:val="1"/>
    <w:unhideWhenUsed/>
    <w:qFormat/>
    <w:uiPriority w:val="39"/>
    <w:pPr>
      <w:ind w:left="840"/>
    </w:pPr>
    <w:rPr>
      <w:rFonts w:ascii="Calibri" w:hAnsi="Calibri" w:cs="Calibri"/>
      <w:sz w:val="18"/>
      <w:szCs w:val="18"/>
    </w:rPr>
  </w:style>
  <w:style w:type="paragraph" w:styleId="17">
    <w:name w:val="toc 3"/>
    <w:basedOn w:val="1"/>
    <w:next w:val="1"/>
    <w:unhideWhenUsed/>
    <w:qFormat/>
    <w:uiPriority w:val="39"/>
    <w:pPr>
      <w:ind w:left="420"/>
    </w:pPr>
    <w:rPr>
      <w:rFonts w:ascii="Calibri" w:hAnsi="Calibri" w:cs="Calibri"/>
      <w:i/>
      <w:iCs/>
      <w:sz w:val="20"/>
      <w:szCs w:val="20"/>
    </w:rPr>
  </w:style>
  <w:style w:type="paragraph" w:styleId="18">
    <w:name w:val="toc 8"/>
    <w:basedOn w:val="1"/>
    <w:next w:val="1"/>
    <w:unhideWhenUsed/>
    <w:qFormat/>
    <w:uiPriority w:val="39"/>
    <w:pPr>
      <w:ind w:left="1470"/>
    </w:pPr>
    <w:rPr>
      <w:rFonts w:ascii="Calibri" w:hAnsi="Calibri" w:cs="Calibri"/>
      <w:sz w:val="18"/>
      <w:szCs w:val="18"/>
    </w:rPr>
  </w:style>
  <w:style w:type="paragraph" w:styleId="19">
    <w:name w:val="Balloon Text"/>
    <w:basedOn w:val="1"/>
    <w:link w:val="48"/>
    <w:unhideWhenUsed/>
    <w:qFormat/>
    <w:uiPriority w:val="99"/>
    <w:rPr>
      <w:sz w:val="18"/>
      <w:szCs w:val="18"/>
    </w:rPr>
  </w:style>
  <w:style w:type="paragraph" w:styleId="20">
    <w:name w:val="footer"/>
    <w:basedOn w:val="1"/>
    <w:link w:val="49"/>
    <w:unhideWhenUsed/>
    <w:qFormat/>
    <w:uiPriority w:val="99"/>
    <w:pPr>
      <w:tabs>
        <w:tab w:val="center" w:pos="4153"/>
        <w:tab w:val="right" w:pos="8306"/>
      </w:tabs>
      <w:snapToGrid w:val="0"/>
    </w:pPr>
    <w:rPr>
      <w:sz w:val="18"/>
      <w:szCs w:val="18"/>
    </w:rPr>
  </w:style>
  <w:style w:type="paragraph" w:styleId="21">
    <w:name w:val="header"/>
    <w:basedOn w:val="1"/>
    <w:link w:val="50"/>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unhideWhenUsed/>
    <w:qFormat/>
    <w:uiPriority w:val="39"/>
    <w:pPr>
      <w:spacing w:before="120" w:after="120"/>
    </w:pPr>
    <w:rPr>
      <w:rFonts w:ascii="Calibri" w:hAnsi="Calibri" w:cs="Calibri"/>
      <w:b/>
      <w:bCs/>
      <w:caps/>
      <w:sz w:val="20"/>
      <w:szCs w:val="20"/>
    </w:rPr>
  </w:style>
  <w:style w:type="paragraph" w:styleId="23">
    <w:name w:val="toc 4"/>
    <w:basedOn w:val="1"/>
    <w:next w:val="1"/>
    <w:unhideWhenUsed/>
    <w:qFormat/>
    <w:uiPriority w:val="39"/>
    <w:pPr>
      <w:ind w:left="630"/>
    </w:pPr>
    <w:rPr>
      <w:rFonts w:ascii="Calibri" w:hAnsi="Calibri" w:cs="Calibri"/>
      <w:sz w:val="18"/>
      <w:szCs w:val="18"/>
    </w:rPr>
  </w:style>
  <w:style w:type="paragraph" w:styleId="24">
    <w:name w:val="footnote text"/>
    <w:basedOn w:val="1"/>
    <w:link w:val="51"/>
    <w:qFormat/>
    <w:uiPriority w:val="0"/>
    <w:pPr>
      <w:snapToGrid w:val="0"/>
    </w:pPr>
    <w:rPr>
      <w:sz w:val="18"/>
      <w:szCs w:val="18"/>
    </w:rPr>
  </w:style>
  <w:style w:type="paragraph" w:styleId="25">
    <w:name w:val="toc 6"/>
    <w:basedOn w:val="1"/>
    <w:next w:val="1"/>
    <w:unhideWhenUsed/>
    <w:qFormat/>
    <w:uiPriority w:val="39"/>
    <w:pPr>
      <w:ind w:left="1050"/>
    </w:pPr>
    <w:rPr>
      <w:rFonts w:ascii="Calibri" w:hAnsi="Calibri" w:cs="Calibri"/>
      <w:sz w:val="18"/>
      <w:szCs w:val="18"/>
    </w:rPr>
  </w:style>
  <w:style w:type="paragraph" w:styleId="26">
    <w:name w:val="toc 2"/>
    <w:basedOn w:val="1"/>
    <w:next w:val="1"/>
    <w:unhideWhenUsed/>
    <w:qFormat/>
    <w:uiPriority w:val="39"/>
    <w:pPr>
      <w:ind w:left="210"/>
    </w:pPr>
    <w:rPr>
      <w:rFonts w:ascii="Calibri" w:hAnsi="Calibri" w:cs="Calibri"/>
      <w:smallCaps/>
      <w:sz w:val="20"/>
      <w:szCs w:val="20"/>
    </w:rPr>
  </w:style>
  <w:style w:type="paragraph" w:styleId="27">
    <w:name w:val="toc 9"/>
    <w:basedOn w:val="1"/>
    <w:next w:val="1"/>
    <w:unhideWhenUsed/>
    <w:qFormat/>
    <w:uiPriority w:val="39"/>
    <w:pPr>
      <w:ind w:left="1680"/>
    </w:pPr>
    <w:rPr>
      <w:rFonts w:ascii="Calibri" w:hAnsi="Calibri" w:cs="Calibri"/>
      <w:sz w:val="18"/>
      <w:szCs w:val="18"/>
    </w:rPr>
  </w:style>
  <w:style w:type="paragraph" w:styleId="28">
    <w:name w:val="Body Text 2"/>
    <w:basedOn w:val="1"/>
    <w:link w:val="52"/>
    <w:qFormat/>
    <w:uiPriority w:val="0"/>
    <w:pPr>
      <w:spacing w:after="120" w:line="480" w:lineRule="auto"/>
    </w:pPr>
  </w:style>
  <w:style w:type="paragraph" w:styleId="29">
    <w:name w:val="Normal (Web)"/>
    <w:basedOn w:val="1"/>
    <w:unhideWhenUsed/>
    <w:qFormat/>
    <w:uiPriority w:val="99"/>
    <w:pPr>
      <w:spacing w:before="100" w:beforeAutospacing="1" w:after="100" w:afterAutospacing="1"/>
    </w:pPr>
    <w:rPr>
      <w:sz w:val="24"/>
      <w:szCs w:val="24"/>
    </w:rPr>
  </w:style>
  <w:style w:type="paragraph" w:styleId="30">
    <w:name w:val="annotation subject"/>
    <w:basedOn w:val="9"/>
    <w:next w:val="1"/>
    <w:link w:val="53"/>
    <w:unhideWhenUsed/>
    <w:qFormat/>
    <w:uiPriority w:val="99"/>
    <w:rPr>
      <w:b/>
      <w:bCs/>
    </w:rPr>
  </w:style>
  <w:style w:type="paragraph" w:styleId="31">
    <w:name w:val="Body Text First Indent 2"/>
    <w:basedOn w:val="15"/>
    <w:link w:val="54"/>
    <w:qFormat/>
    <w:uiPriority w:val="0"/>
    <w:pPr>
      <w:ind w:firstLine="420" w:firstLineChars="200"/>
    </w:pPr>
  </w:style>
  <w:style w:type="table" w:styleId="33">
    <w:name w:val="Table Grid"/>
    <w:basedOn w:val="32"/>
    <w:unhideWhenUsed/>
    <w:qFormat/>
    <w:uiPriority w:val="99"/>
    <w:pPr>
      <w:widowControl w:val="0"/>
      <w:jc w:val="both"/>
    </w:pPr>
    <w:rPr>
      <w:rFonts w:ascii="Calibri" w:hAnsi="Calibri" w:eastAsia="Times New Roman" w:cs="Times New Roman"/>
      <w:kern w:val="0"/>
      <w:sz w:val="20"/>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FollowedHyperlink"/>
    <w:unhideWhenUsed/>
    <w:qFormat/>
    <w:uiPriority w:val="99"/>
    <w:rPr>
      <w:color w:val="333333"/>
      <w:u w:val="none"/>
    </w:rPr>
  </w:style>
  <w:style w:type="character" w:styleId="36">
    <w:name w:val="Hyperlink"/>
    <w:unhideWhenUsed/>
    <w:qFormat/>
    <w:uiPriority w:val="99"/>
    <w:rPr>
      <w:color w:val="333333"/>
      <w:u w:val="none"/>
    </w:rPr>
  </w:style>
  <w:style w:type="character" w:styleId="37">
    <w:name w:val="annotation reference"/>
    <w:unhideWhenUsed/>
    <w:qFormat/>
    <w:uiPriority w:val="99"/>
    <w:rPr>
      <w:sz w:val="21"/>
      <w:szCs w:val="21"/>
    </w:rPr>
  </w:style>
  <w:style w:type="paragraph" w:customStyle="1" w:styleId="38">
    <w:name w:val="Body Text First Indent"/>
    <w:basedOn w:val="11"/>
    <w:qFormat/>
    <w:uiPriority w:val="0"/>
    <w:pPr>
      <w:tabs>
        <w:tab w:val="left" w:pos="7655"/>
      </w:tabs>
      <w:ind w:firstLine="200" w:firstLineChars="200"/>
    </w:pPr>
  </w:style>
  <w:style w:type="character" w:customStyle="1" w:styleId="39">
    <w:name w:val="正文文本 Char"/>
    <w:basedOn w:val="34"/>
    <w:link w:val="11"/>
    <w:qFormat/>
    <w:uiPriority w:val="0"/>
    <w:rPr>
      <w:rFonts w:ascii="Times New Roman" w:hAnsi="Times New Roman" w:eastAsia="宋体" w:cs="Times New Roman"/>
      <w:szCs w:val="24"/>
    </w:rPr>
  </w:style>
  <w:style w:type="character" w:customStyle="1" w:styleId="40">
    <w:name w:val="标题 1 Char"/>
    <w:basedOn w:val="34"/>
    <w:link w:val="2"/>
    <w:qFormat/>
    <w:uiPriority w:val="99"/>
    <w:rPr>
      <w:rFonts w:ascii="Times New Roman" w:hAnsi="Times New Roman" w:eastAsia="宋体" w:cs="Times New Roman"/>
      <w:b/>
      <w:bCs/>
      <w:kern w:val="44"/>
      <w:sz w:val="44"/>
      <w:szCs w:val="44"/>
    </w:rPr>
  </w:style>
  <w:style w:type="character" w:customStyle="1" w:styleId="41">
    <w:name w:val="标题 2 Char"/>
    <w:basedOn w:val="34"/>
    <w:link w:val="3"/>
    <w:qFormat/>
    <w:uiPriority w:val="99"/>
    <w:rPr>
      <w:rFonts w:ascii="Arial" w:hAnsi="Arial" w:eastAsia="黑体" w:cs="Times New Roman"/>
      <w:b/>
      <w:bCs/>
      <w:kern w:val="0"/>
      <w:sz w:val="32"/>
      <w:szCs w:val="32"/>
    </w:rPr>
  </w:style>
  <w:style w:type="character" w:customStyle="1" w:styleId="42">
    <w:name w:val="标题 3 Char"/>
    <w:basedOn w:val="34"/>
    <w:link w:val="4"/>
    <w:qFormat/>
    <w:uiPriority w:val="99"/>
    <w:rPr>
      <w:rFonts w:ascii="Times New Roman" w:hAnsi="Times New Roman" w:eastAsia="宋体" w:cs="Times New Roman"/>
      <w:b/>
      <w:bCs/>
      <w:kern w:val="0"/>
      <w:sz w:val="32"/>
      <w:szCs w:val="32"/>
    </w:rPr>
  </w:style>
  <w:style w:type="character" w:customStyle="1" w:styleId="43">
    <w:name w:val="文档结构图 Char"/>
    <w:basedOn w:val="34"/>
    <w:link w:val="7"/>
    <w:qFormat/>
    <w:uiPriority w:val="99"/>
    <w:rPr>
      <w:rFonts w:ascii="宋体" w:hAnsi="Times New Roman" w:eastAsia="宋体" w:cs="Times New Roman"/>
      <w:kern w:val="0"/>
      <w:sz w:val="18"/>
      <w:szCs w:val="18"/>
    </w:rPr>
  </w:style>
  <w:style w:type="character" w:customStyle="1" w:styleId="44">
    <w:name w:val="批注文字 Char"/>
    <w:basedOn w:val="34"/>
    <w:link w:val="9"/>
    <w:qFormat/>
    <w:uiPriority w:val="99"/>
    <w:rPr>
      <w:rFonts w:ascii="Times New Roman" w:hAnsi="Times New Roman" w:eastAsia="宋体" w:cs="Times New Roman"/>
      <w:kern w:val="0"/>
      <w:szCs w:val="21"/>
    </w:rPr>
  </w:style>
  <w:style w:type="character" w:customStyle="1" w:styleId="45">
    <w:name w:val="正文文本 3 Char"/>
    <w:basedOn w:val="34"/>
    <w:link w:val="10"/>
    <w:qFormat/>
    <w:uiPriority w:val="99"/>
    <w:rPr>
      <w:rFonts w:ascii="宋体" w:hAnsi="Times New Roman" w:eastAsia="宋体" w:cs="Times New Roman"/>
      <w:kern w:val="0"/>
      <w:sz w:val="24"/>
      <w:szCs w:val="24"/>
    </w:rPr>
  </w:style>
  <w:style w:type="character" w:customStyle="1" w:styleId="46">
    <w:name w:val="正文文本缩进 Char"/>
    <w:basedOn w:val="34"/>
    <w:link w:val="15"/>
    <w:qFormat/>
    <w:uiPriority w:val="99"/>
    <w:rPr>
      <w:rFonts w:ascii="Times New Roman" w:hAnsi="Times New Roman" w:eastAsia="宋体" w:cs="Times New Roman"/>
      <w:kern w:val="0"/>
      <w:szCs w:val="21"/>
    </w:rPr>
  </w:style>
  <w:style w:type="character" w:customStyle="1" w:styleId="47">
    <w:name w:val="纯文本 Char"/>
    <w:basedOn w:val="34"/>
    <w:link w:val="14"/>
    <w:qFormat/>
    <w:uiPriority w:val="0"/>
    <w:rPr>
      <w:rFonts w:ascii="宋体" w:hAnsi="Courier New" w:eastAsia="宋体" w:cs="Times New Roman"/>
      <w:kern w:val="0"/>
      <w:szCs w:val="20"/>
    </w:rPr>
  </w:style>
  <w:style w:type="character" w:customStyle="1" w:styleId="48">
    <w:name w:val="批注框文本 Char"/>
    <w:basedOn w:val="34"/>
    <w:link w:val="19"/>
    <w:semiHidden/>
    <w:qFormat/>
    <w:uiPriority w:val="99"/>
    <w:rPr>
      <w:rFonts w:ascii="Times New Roman" w:hAnsi="Times New Roman" w:eastAsia="宋体" w:cs="Times New Roman"/>
      <w:kern w:val="0"/>
      <w:sz w:val="18"/>
      <w:szCs w:val="18"/>
    </w:rPr>
  </w:style>
  <w:style w:type="character" w:customStyle="1" w:styleId="49">
    <w:name w:val="页脚 Char"/>
    <w:basedOn w:val="34"/>
    <w:link w:val="20"/>
    <w:qFormat/>
    <w:uiPriority w:val="99"/>
    <w:rPr>
      <w:sz w:val="18"/>
      <w:szCs w:val="18"/>
    </w:rPr>
  </w:style>
  <w:style w:type="character" w:customStyle="1" w:styleId="50">
    <w:name w:val="页眉 Char"/>
    <w:basedOn w:val="34"/>
    <w:link w:val="21"/>
    <w:qFormat/>
    <w:uiPriority w:val="99"/>
    <w:rPr>
      <w:sz w:val="18"/>
      <w:szCs w:val="18"/>
    </w:rPr>
  </w:style>
  <w:style w:type="character" w:customStyle="1" w:styleId="51">
    <w:name w:val="脚注文本 Char"/>
    <w:basedOn w:val="34"/>
    <w:link w:val="24"/>
    <w:qFormat/>
    <w:uiPriority w:val="0"/>
    <w:rPr>
      <w:rFonts w:ascii="Times New Roman" w:hAnsi="Times New Roman" w:eastAsia="宋体" w:cs="Times New Roman"/>
      <w:kern w:val="0"/>
      <w:sz w:val="18"/>
      <w:szCs w:val="18"/>
    </w:rPr>
  </w:style>
  <w:style w:type="character" w:customStyle="1" w:styleId="52">
    <w:name w:val="正文文本 2 Char"/>
    <w:basedOn w:val="34"/>
    <w:link w:val="28"/>
    <w:qFormat/>
    <w:uiPriority w:val="0"/>
    <w:rPr>
      <w:rFonts w:ascii="Times New Roman" w:hAnsi="Times New Roman" w:eastAsia="宋体" w:cs="Times New Roman"/>
      <w:kern w:val="0"/>
      <w:szCs w:val="21"/>
    </w:rPr>
  </w:style>
  <w:style w:type="character" w:customStyle="1" w:styleId="53">
    <w:name w:val="批注主题 Char"/>
    <w:basedOn w:val="44"/>
    <w:link w:val="30"/>
    <w:qFormat/>
    <w:uiPriority w:val="99"/>
    <w:rPr>
      <w:b/>
      <w:bCs/>
    </w:rPr>
  </w:style>
  <w:style w:type="character" w:customStyle="1" w:styleId="54">
    <w:name w:val="正文首行缩进 2 Char"/>
    <w:basedOn w:val="46"/>
    <w:link w:val="31"/>
    <w:qFormat/>
    <w:uiPriority w:val="0"/>
  </w:style>
  <w:style w:type="character" w:customStyle="1" w:styleId="55">
    <w:name w:val="16"/>
    <w:qFormat/>
    <w:uiPriority w:val="0"/>
    <w:rPr>
      <w:rFonts w:hint="default" w:ascii="Times New Roman" w:hAnsi="Times New Roman" w:cs="Times New Roman"/>
      <w:b/>
      <w:bCs/>
      <w:sz w:val="32"/>
      <w:szCs w:val="32"/>
    </w:rPr>
  </w:style>
  <w:style w:type="character" w:customStyle="1" w:styleId="56">
    <w:name w:val="15"/>
    <w:qFormat/>
    <w:uiPriority w:val="0"/>
    <w:rPr>
      <w:rFonts w:hint="default" w:ascii="Times New Roman" w:hAnsi="Times New Roman" w:cs="Times New Roman"/>
      <w:b/>
      <w:bCs/>
      <w:kern w:val="44"/>
      <w:sz w:val="44"/>
      <w:szCs w:val="44"/>
    </w:rPr>
  </w:style>
  <w:style w:type="paragraph" w:customStyle="1" w:styleId="57">
    <w:name w:val="msolistparagraph"/>
    <w:basedOn w:val="1"/>
    <w:qFormat/>
    <w:uiPriority w:val="0"/>
    <w:pPr>
      <w:widowControl w:val="0"/>
      <w:ind w:firstLine="420" w:firstLineChars="200"/>
      <w:jc w:val="both"/>
    </w:pPr>
    <w:rPr>
      <w:kern w:val="2"/>
    </w:rPr>
  </w:style>
  <w:style w:type="paragraph" w:customStyle="1" w:styleId="58">
    <w:name w:val="索引 11"/>
    <w:basedOn w:val="1"/>
    <w:next w:val="1"/>
    <w:qFormat/>
    <w:uiPriority w:val="0"/>
    <w:pPr>
      <w:spacing w:line="360" w:lineRule="auto"/>
    </w:pPr>
    <w:rPr>
      <w:rFonts w:ascii="仿宋_GB2312" w:eastAsia="仿宋_GB2312"/>
      <w:sz w:val="24"/>
      <w:szCs w:val="20"/>
    </w:rPr>
  </w:style>
  <w:style w:type="paragraph" w:customStyle="1" w:styleId="59">
    <w:name w:val="正文缩进1"/>
    <w:basedOn w:val="1"/>
    <w:qFormat/>
    <w:uiPriority w:val="0"/>
    <w:pPr>
      <w:autoSpaceDE w:val="0"/>
      <w:autoSpaceDN w:val="0"/>
      <w:adjustRightInd w:val="0"/>
      <w:ind w:firstLine="420"/>
    </w:pPr>
    <w:rPr>
      <w:rFonts w:ascii="宋体" w:hAnsi="Calibri"/>
      <w:sz w:val="24"/>
      <w:szCs w:val="22"/>
    </w:rPr>
  </w:style>
  <w:style w:type="paragraph" w:customStyle="1" w:styleId="60">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paragraph" w:customStyle="1" w:styleId="61">
    <w:name w:val="纯文本1"/>
    <w:basedOn w:val="1"/>
    <w:qFormat/>
    <w:uiPriority w:val="0"/>
    <w:rPr>
      <w:rFonts w:ascii="宋体" w:hAnsi="Courier New"/>
      <w:szCs w:val="22"/>
    </w:rPr>
  </w:style>
  <w:style w:type="paragraph" w:customStyle="1" w:styleId="62">
    <w:name w:val="_Style 2"/>
    <w:basedOn w:val="1"/>
    <w:qFormat/>
    <w:uiPriority w:val="0"/>
  </w:style>
  <w:style w:type="paragraph" w:customStyle="1" w:styleId="63">
    <w:name w:val="AONormal"/>
    <w:qFormat/>
    <w:uiPriority w:val="0"/>
    <w:pPr>
      <w:autoSpaceDE w:val="0"/>
      <w:autoSpaceDN w:val="0"/>
      <w:adjustRightInd w:val="0"/>
      <w:spacing w:line="400" w:lineRule="exact"/>
      <w:ind w:firstLine="440" w:firstLineChars="200"/>
    </w:pPr>
    <w:rPr>
      <w:rFonts w:ascii="华文楷体" w:hAnsi="华文楷体" w:eastAsia="华文楷体" w:cs="华文楷体"/>
      <w:kern w:val="0"/>
      <w:sz w:val="22"/>
      <w:szCs w:val="21"/>
      <w:lang w:val="en-US" w:eastAsia="zh-CN" w:bidi="ar-SA"/>
    </w:rPr>
  </w:style>
  <w:style w:type="paragraph" w:customStyle="1" w:styleId="64">
    <w:name w:val="列出段落1"/>
    <w:basedOn w:val="1"/>
    <w:qFormat/>
    <w:uiPriority w:val="0"/>
    <w:pPr>
      <w:ind w:firstLine="420" w:firstLineChars="200"/>
    </w:pPr>
  </w:style>
  <w:style w:type="paragraph" w:customStyle="1" w:styleId="65">
    <w:name w:val="Default"/>
    <w:qFormat/>
    <w:uiPriority w:val="0"/>
    <w:pPr>
      <w:widowControl w:val="0"/>
      <w:autoSpaceDE w:val="0"/>
      <w:autoSpaceDN w:val="0"/>
      <w:adjustRightInd w:val="0"/>
    </w:pPr>
    <w:rPr>
      <w:rFonts w:ascii="宋体" w:hAnsi="Times New Roman" w:eastAsia="宋体" w:cs="Times New Roman"/>
      <w:color w:val="000000"/>
      <w:kern w:val="0"/>
      <w:sz w:val="24"/>
      <w:szCs w:val="24"/>
      <w:lang w:val="en-US" w:eastAsia="zh-CN" w:bidi="ar-SA"/>
    </w:rPr>
  </w:style>
  <w:style w:type="character" w:customStyle="1" w:styleId="66">
    <w:name w:val="font81"/>
    <w:qFormat/>
    <w:uiPriority w:val="0"/>
    <w:rPr>
      <w:rFonts w:ascii="方正小标宋_GBK" w:hAnsi="方正小标宋_GBK" w:eastAsia="方正小标宋_GBK" w:cs="方正小标宋_GBK"/>
      <w:color w:val="000000"/>
      <w:sz w:val="40"/>
      <w:szCs w:val="40"/>
      <w:u w:val="none"/>
    </w:rPr>
  </w:style>
  <w:style w:type="character" w:customStyle="1" w:styleId="67">
    <w:name w:val="font41"/>
    <w:qFormat/>
    <w:uiPriority w:val="0"/>
    <w:rPr>
      <w:rFonts w:ascii="黑体" w:hAnsi="宋体" w:eastAsia="黑体" w:cs="黑体"/>
      <w:color w:val="000000"/>
      <w:sz w:val="32"/>
      <w:szCs w:val="32"/>
      <w:u w:val="none"/>
    </w:rPr>
  </w:style>
  <w:style w:type="character" w:customStyle="1" w:styleId="68">
    <w:name w:val="font21"/>
    <w:qFormat/>
    <w:uiPriority w:val="0"/>
    <w:rPr>
      <w:rFonts w:hint="default" w:ascii="Times New Roman" w:hAnsi="Times New Roman" w:cs="Times New Roman"/>
      <w:color w:val="000000"/>
      <w:sz w:val="32"/>
      <w:szCs w:val="32"/>
      <w:u w:val="none"/>
    </w:rPr>
  </w:style>
  <w:style w:type="character" w:customStyle="1" w:styleId="69">
    <w:name w:val="font91"/>
    <w:qFormat/>
    <w:uiPriority w:val="0"/>
    <w:rPr>
      <w:rFonts w:ascii="仿宋_GB2312" w:eastAsia="仿宋_GB2312" w:cs="仿宋_GB2312"/>
      <w:color w:val="000000"/>
      <w:sz w:val="32"/>
      <w:szCs w:val="32"/>
      <w:u w:val="none"/>
    </w:rPr>
  </w:style>
  <w:style w:type="character" w:customStyle="1" w:styleId="70">
    <w:name w:val="font61"/>
    <w:qFormat/>
    <w:uiPriority w:val="0"/>
    <w:rPr>
      <w:rFonts w:hint="default" w:ascii="仿宋_GB2312" w:eastAsia="仿宋_GB2312" w:cs="仿宋_GB2312"/>
      <w:color w:val="000000"/>
      <w:sz w:val="32"/>
      <w:szCs w:val="32"/>
      <w:u w:val="none"/>
    </w:rPr>
  </w:style>
  <w:style w:type="character" w:customStyle="1" w:styleId="71">
    <w:name w:val="font101"/>
    <w:basedOn w:val="34"/>
    <w:qFormat/>
    <w:uiPriority w:val="0"/>
    <w:rPr>
      <w:rFonts w:hint="default" w:ascii="仿宋_GB2312" w:eastAsia="仿宋_GB2312" w:cs="仿宋_GB2312"/>
      <w:color w:val="000000"/>
      <w:sz w:val="32"/>
      <w:szCs w:val="32"/>
      <w:u w:val="none"/>
    </w:rPr>
  </w:style>
  <w:style w:type="paragraph" w:customStyle="1" w:styleId="72">
    <w:name w:val="正文1"/>
    <w:next w:val="59"/>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73">
    <w:name w:val="Header or footer|1"/>
    <w:basedOn w:val="1"/>
    <w:qFormat/>
    <w:uiPriority w:val="0"/>
    <w:pPr>
      <w:widowControl w:val="0"/>
    </w:pPr>
    <w:rPr>
      <w:rFonts w:ascii="宋体" w:hAnsi="宋体" w:cs="宋体"/>
      <w:sz w:val="15"/>
      <w:szCs w:val="15"/>
    </w:rPr>
  </w:style>
  <w:style w:type="paragraph" w:customStyle="1" w:styleId="74">
    <w:name w:val="图表目录1"/>
    <w:basedOn w:val="75"/>
    <w:next w:val="75"/>
    <w:qFormat/>
    <w:uiPriority w:val="0"/>
    <w:pPr>
      <w:spacing w:line="480" w:lineRule="exact"/>
      <w:ind w:left="200" w:leftChars="200" w:hanging="200" w:hangingChars="200"/>
    </w:pPr>
    <w:rPr>
      <w:color w:val="7030A0"/>
      <w:sz w:val="24"/>
    </w:rPr>
  </w:style>
  <w:style w:type="paragraph" w:customStyle="1" w:styleId="75">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74"/>
    <w:qFormat/>
    <w:uiPriority w:val="0"/>
    <w:rPr>
      <w:rFonts w:ascii="Calibri" w:hAnsi="Calibri" w:cs="宋体"/>
    </w:rPr>
  </w:style>
  <w:style w:type="paragraph" w:customStyle="1" w:styleId="76">
    <w:name w:val="图表目录2"/>
    <w:basedOn w:val="75"/>
    <w:next w:val="75"/>
    <w:qFormat/>
    <w:uiPriority w:val="0"/>
    <w:pPr>
      <w:ind w:left="200" w:leftChars="200" w:hanging="200" w:hangingChars="200"/>
    </w:pPr>
  </w:style>
  <w:style w:type="paragraph" w:customStyle="1" w:styleId="77">
    <w:name w:val="Normal Indent1"/>
    <w:basedOn w:val="78"/>
    <w:qFormat/>
    <w:uiPriority w:val="99"/>
    <w:pPr>
      <w:ind w:firstLine="420" w:firstLineChars="200"/>
    </w:pPr>
    <w:rPr>
      <w:rFonts w:cs="Times New Roman"/>
    </w:rPr>
  </w:style>
  <w:style w:type="paragraph" w:customStyle="1" w:styleId="78">
    <w:name w:val="正文 New"/>
    <w:next w:val="76"/>
    <w:qFormat/>
    <w:uiPriority w:val="0"/>
    <w:pPr>
      <w:widowControl w:val="0"/>
      <w:jc w:val="both"/>
    </w:pPr>
    <w:rPr>
      <w:rFonts w:ascii="Calibri" w:hAnsi="Calibri" w:eastAsia="宋体" w:cs="黑体"/>
      <w:kern w:val="2"/>
      <w:sz w:val="21"/>
      <w:szCs w:val="22"/>
      <w:lang w:val="en-US" w:eastAsia="zh-CN" w:bidi="ar-SA"/>
    </w:rPr>
  </w:style>
  <w:style w:type="paragraph" w:customStyle="1" w:styleId="79">
    <w:name w:val="纯文本2"/>
    <w:basedOn w:val="1"/>
    <w:qFormat/>
    <w:uiPriority w:val="0"/>
    <w:pPr>
      <w:adjustRightInd w:val="0"/>
      <w:textAlignment w:val="baseline"/>
    </w:pPr>
    <w:rPr>
      <w:rFonts w:ascii="宋体" w:hAnsi="Courier New"/>
    </w:rPr>
  </w:style>
  <w:style w:type="paragraph" w:customStyle="1" w:styleId="80">
    <w:name w:val="表格文字"/>
    <w:basedOn w:val="1"/>
    <w:qFormat/>
    <w:uiPriority w:val="0"/>
    <w:pPr>
      <w:spacing w:before="25" w:after="25"/>
    </w:pPr>
    <w:rPr>
      <w:bCs/>
      <w:spacing w:val="10"/>
      <w:sz w:val="24"/>
    </w:rPr>
  </w:style>
  <w:style w:type="character" w:customStyle="1" w:styleId="81">
    <w:name w:val="NormalCharacter"/>
    <w:qFormat/>
    <w:uiPriority w:val="0"/>
  </w:style>
  <w:style w:type="paragraph" w:customStyle="1" w:styleId="82">
    <w:name w:val="段"/>
    <w:next w:val="1"/>
    <w:qFormat/>
    <w:uiPriority w:val="0"/>
    <w:pPr>
      <w:tabs>
        <w:tab w:val="center" w:pos="4201"/>
        <w:tab w:val="right" w:leader="dot" w:pos="9298"/>
      </w:tabs>
      <w:autoSpaceDE w:val="0"/>
      <w:autoSpaceDN w:val="0"/>
      <w:ind w:firstLine="420" w:firstLineChars="200"/>
      <w:jc w:val="both"/>
    </w:pPr>
    <w:rPr>
      <w:rFonts w:ascii="宋体" w:hAnsi="Calibri" w:eastAsia="Calibri" w:cs="Times New Roman"/>
      <w:kern w:val="0"/>
      <w:sz w:val="21"/>
      <w:szCs w:val="20"/>
      <w:lang w:val="en-US" w:eastAsia="zh-CN" w:bidi="ar-SA"/>
    </w:rPr>
  </w:style>
  <w:style w:type="paragraph" w:customStyle="1" w:styleId="83">
    <w:name w:val="_Style 1"/>
    <w:basedOn w:val="1"/>
    <w:qFormat/>
    <w:uiPriority w:val="0"/>
    <w:pPr>
      <w:ind w:firstLine="420" w:firstLineChars="200"/>
    </w:pPr>
    <w:rPr>
      <w:rFonts w:ascii="Calibri" w:hAnsi="Calibri" w:cs="黑体"/>
      <w:szCs w:val="24"/>
    </w:rPr>
  </w:style>
  <w:style w:type="character" w:customStyle="1" w:styleId="84">
    <w:name w:val="font111"/>
    <w:basedOn w:val="34"/>
    <w:qFormat/>
    <w:uiPriority w:val="0"/>
    <w:rPr>
      <w:rFonts w:hint="eastAsia" w:ascii="宋体" w:hAnsi="宋体" w:eastAsia="宋体" w:cs="宋体"/>
      <w:color w:val="000000"/>
      <w:sz w:val="24"/>
      <w:szCs w:val="24"/>
      <w:u w:val="none"/>
    </w:rPr>
  </w:style>
  <w:style w:type="character" w:customStyle="1" w:styleId="85">
    <w:name w:val="font51"/>
    <w:basedOn w:val="34"/>
    <w:qFormat/>
    <w:uiPriority w:val="0"/>
    <w:rPr>
      <w:rFonts w:hint="default" w:ascii="Times New Roman" w:hAnsi="Times New Roman" w:cs="Times New Roman"/>
      <w:color w:val="000000"/>
      <w:sz w:val="28"/>
      <w:szCs w:val="28"/>
      <w:u w:val="none"/>
      <w:vertAlign w:val="superscript"/>
    </w:rPr>
  </w:style>
  <w:style w:type="paragraph" w:customStyle="1" w:styleId="86">
    <w:name w:val="正文首行缩进1"/>
    <w:basedOn w:val="11"/>
    <w:qFormat/>
    <w:uiPriority w:val="0"/>
    <w:pPr>
      <w:tabs>
        <w:tab w:val="left" w:pos="7655"/>
      </w:tabs>
      <w:ind w:firstLine="200" w:firstLineChars="200"/>
    </w:pPr>
  </w:style>
  <w:style w:type="character" w:customStyle="1" w:styleId="87">
    <w:name w:val="font151"/>
    <w:basedOn w:val="34"/>
    <w:qFormat/>
    <w:uiPriority w:val="0"/>
    <w:rPr>
      <w:rFonts w:ascii="方正小标宋_GBK" w:hAnsi="方正小标宋_GBK" w:eastAsia="方正小标宋_GBK" w:cs="方正小标宋_GBK"/>
      <w:color w:val="000000"/>
      <w:sz w:val="36"/>
      <w:szCs w:val="36"/>
      <w:u w:val="none"/>
    </w:rPr>
  </w:style>
  <w:style w:type="character" w:customStyle="1" w:styleId="88">
    <w:name w:val="font161"/>
    <w:basedOn w:val="34"/>
    <w:qFormat/>
    <w:uiPriority w:val="0"/>
    <w:rPr>
      <w:rFonts w:ascii="黑体" w:hAnsi="宋体" w:eastAsia="黑体" w:cs="黑体"/>
      <w:color w:val="000000"/>
      <w:sz w:val="22"/>
      <w:szCs w:val="22"/>
      <w:u w:val="none"/>
    </w:rPr>
  </w:style>
  <w:style w:type="character" w:customStyle="1" w:styleId="89">
    <w:name w:val="font171"/>
    <w:basedOn w:val="34"/>
    <w:qFormat/>
    <w:uiPriority w:val="0"/>
    <w:rPr>
      <w:rFonts w:hint="eastAsia" w:ascii="黑体" w:hAnsi="宋体" w:eastAsia="黑体" w:cs="黑体"/>
      <w:color w:val="000000"/>
      <w:sz w:val="20"/>
      <w:szCs w:val="20"/>
      <w:u w:val="none"/>
    </w:rPr>
  </w:style>
  <w:style w:type="character" w:customStyle="1" w:styleId="90">
    <w:name w:val="font181"/>
    <w:basedOn w:val="34"/>
    <w:qFormat/>
    <w:uiPriority w:val="0"/>
    <w:rPr>
      <w:rFonts w:ascii="仿宋_GB2312" w:eastAsia="仿宋_GB2312" w:cs="仿宋_GB2312"/>
      <w:color w:val="000000"/>
      <w:sz w:val="22"/>
      <w:szCs w:val="22"/>
      <w:u w:val="none"/>
    </w:rPr>
  </w:style>
  <w:style w:type="character" w:customStyle="1" w:styleId="91">
    <w:name w:val="font191"/>
    <w:basedOn w:val="34"/>
    <w:qFormat/>
    <w:uiPriority w:val="0"/>
    <w:rPr>
      <w:rFonts w:hint="eastAsia" w:ascii="宋体" w:hAnsi="宋体" w:eastAsia="宋体" w:cs="宋体"/>
      <w:color w:val="000000"/>
      <w:sz w:val="22"/>
      <w:szCs w:val="22"/>
      <w:u w:val="none"/>
    </w:rPr>
  </w:style>
  <w:style w:type="character" w:customStyle="1" w:styleId="92">
    <w:name w:val="font112"/>
    <w:basedOn w:val="34"/>
    <w:qFormat/>
    <w:uiPriority w:val="0"/>
    <w:rPr>
      <w:rFonts w:hint="default" w:ascii="Times New Roman" w:hAnsi="Times New Roman" w:cs="Times New Roman"/>
      <w:b/>
      <w:bCs/>
      <w:color w:val="000000"/>
      <w:sz w:val="28"/>
      <w:szCs w:val="2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4466</Words>
  <Characters>5249</Characters>
  <Lines>311</Lines>
  <Paragraphs>87</Paragraphs>
  <TotalTime>6</TotalTime>
  <ScaleCrop>false</ScaleCrop>
  <LinksUpToDate>false</LinksUpToDate>
  <CharactersWithSpaces>5395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2025-05-30T01:22:00Z</dcterms:created>
  <dc:creator>DELL</dc:creator>
  <cp:lastModifiedBy>Vivian</cp:lastModifiedBy>
  <cp:lastPrinted>2025-06-06T10:08:00Z</cp:lastPrinted>
  <dcterms:modified xsi:type="dcterms:W3CDTF">2025-06-08T06:22:04Z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9CCEF0E36CB84C10935A3DF8A31F20CB_13</vt:lpwstr>
  </property>
  <property fmtid="{D5CDD505-2E9C-101B-9397-08002B2CF9AE}" pid="4" name="KSOTemplateDocerSaveRecord">
    <vt:lpwstr>eyJoZGlkIjoiMDZkNDE1ZGM1ZWM4OGI4YjM4ZDkwZGQ5ZDc4ZGUyYWYiLCJ1c2VySWQiOiI2NTk2MTc0OTIifQ==</vt:lpwstr>
  </property>
</Properties>
</file>