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C8B3E7">
      <w:pPr>
        <w:pStyle w:val="12"/>
        <w:rPr>
          <w:rFonts w:ascii="宋体" w:hAnsi="宋体" w:cs="宋体"/>
          <w:b/>
          <w:bCs/>
          <w:color w:val="auto"/>
          <w:sz w:val="24"/>
          <w:highlight w:val="none"/>
        </w:rPr>
      </w:pPr>
      <w:r>
        <w:rPr>
          <w:rFonts w:hint="eastAsia" w:ascii="宋体" w:hAnsi="宋体" w:cs="宋体"/>
          <w:color w:val="auto"/>
          <w:sz w:val="28"/>
          <w:szCs w:val="28"/>
          <w:highlight w:val="none"/>
        </w:rPr>
        <w:t xml:space="preserve">                                      </w:t>
      </w:r>
    </w:p>
    <w:p w14:paraId="3EB92DC0">
      <w:pPr>
        <w:pStyle w:val="12"/>
        <w:spacing w:line="600" w:lineRule="auto"/>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8"/>
          <w:szCs w:val="48"/>
          <w:highlight w:val="none"/>
          <w:lang w:eastAsia="zh-CN"/>
        </w:rPr>
        <w:t>云南省建水监狱2025年—2026年罪犯蛋类、蔬菜类生活物资采购项目</w:t>
      </w:r>
    </w:p>
    <w:p w14:paraId="67D1D9BA">
      <w:pPr>
        <w:jc w:val="both"/>
        <w:rPr>
          <w:rFonts w:ascii="宋体" w:hAnsi="宋体" w:cs="宋体"/>
          <w:color w:val="auto"/>
          <w:sz w:val="28"/>
          <w:szCs w:val="28"/>
          <w:highlight w:val="none"/>
        </w:rPr>
      </w:pPr>
    </w:p>
    <w:p w14:paraId="6231E3B1">
      <w:pPr>
        <w:pStyle w:val="12"/>
        <w:rPr>
          <w:rFonts w:ascii="宋体" w:hAnsi="宋体" w:cs="宋体"/>
          <w:color w:val="auto"/>
          <w:sz w:val="28"/>
          <w:szCs w:val="28"/>
          <w:highlight w:val="none"/>
        </w:rPr>
      </w:pPr>
    </w:p>
    <w:p w14:paraId="339DAF9B">
      <w:pPr>
        <w:pStyle w:val="12"/>
        <w:rPr>
          <w:rFonts w:ascii="宋体" w:hAnsi="宋体" w:cs="宋体"/>
          <w:color w:val="auto"/>
          <w:sz w:val="28"/>
          <w:szCs w:val="28"/>
          <w:highlight w:val="none"/>
        </w:rPr>
      </w:pPr>
    </w:p>
    <w:p w14:paraId="1A2DBC29">
      <w:pPr>
        <w:pStyle w:val="12"/>
        <w:rPr>
          <w:rFonts w:ascii="宋体" w:hAnsi="宋体" w:cs="宋体"/>
          <w:color w:val="auto"/>
          <w:sz w:val="28"/>
          <w:szCs w:val="28"/>
          <w:highlight w:val="none"/>
        </w:rPr>
      </w:pPr>
    </w:p>
    <w:p w14:paraId="1B71E2C1">
      <w:pPr>
        <w:jc w:val="center"/>
        <w:rPr>
          <w:rFonts w:ascii="宋体" w:hAnsi="宋体" w:cs="宋体"/>
          <w:color w:val="auto"/>
          <w:sz w:val="28"/>
          <w:szCs w:val="28"/>
          <w:highlight w:val="none"/>
        </w:rPr>
      </w:pPr>
      <w:r>
        <w:rPr>
          <w:rFonts w:hint="eastAsia" w:ascii="宋体" w:hAnsi="宋体" w:cs="宋体"/>
          <w:b/>
          <w:bCs/>
          <w:color w:val="auto"/>
          <w:sz w:val="96"/>
          <w:szCs w:val="96"/>
          <w:highlight w:val="none"/>
        </w:rPr>
        <w:t>招标文件</w:t>
      </w:r>
    </w:p>
    <w:p w14:paraId="43CA21A3">
      <w:pPr>
        <w:pStyle w:val="12"/>
        <w:rPr>
          <w:rFonts w:ascii="宋体" w:hAnsi="宋体" w:cs="宋体"/>
          <w:color w:val="auto"/>
          <w:sz w:val="28"/>
          <w:szCs w:val="28"/>
          <w:highlight w:val="none"/>
        </w:rPr>
      </w:pPr>
    </w:p>
    <w:p w14:paraId="5FD1B027">
      <w:pPr>
        <w:pStyle w:val="12"/>
        <w:rPr>
          <w:rFonts w:ascii="宋体" w:hAnsi="宋体" w:cs="宋体"/>
          <w:color w:val="auto"/>
          <w:sz w:val="28"/>
          <w:szCs w:val="28"/>
          <w:highlight w:val="none"/>
        </w:rPr>
      </w:pPr>
    </w:p>
    <w:p w14:paraId="10F598AA">
      <w:pPr>
        <w:pStyle w:val="12"/>
        <w:rPr>
          <w:rFonts w:ascii="宋体" w:hAnsi="宋体" w:cs="宋体"/>
          <w:color w:val="auto"/>
          <w:sz w:val="28"/>
          <w:szCs w:val="28"/>
          <w:highlight w:val="none"/>
        </w:rPr>
      </w:pPr>
    </w:p>
    <w:p w14:paraId="430BBDC3">
      <w:pPr>
        <w:pStyle w:val="12"/>
        <w:rPr>
          <w:rFonts w:ascii="宋体" w:hAnsi="宋体" w:cs="宋体"/>
          <w:color w:val="auto"/>
          <w:sz w:val="28"/>
          <w:szCs w:val="28"/>
          <w:highlight w:val="none"/>
        </w:rPr>
      </w:pPr>
    </w:p>
    <w:p w14:paraId="59D33066">
      <w:pPr>
        <w:pStyle w:val="12"/>
        <w:spacing w:before="158" w:beforeLines="50" w:after="158" w:afterLines="50"/>
        <w:ind w:firstLine="301" w:firstLineChars="100"/>
        <w:jc w:val="both"/>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公司编号：</w:t>
      </w:r>
      <w:r>
        <w:rPr>
          <w:rFonts w:hint="eastAsia" w:ascii="宋体" w:hAnsi="宋体" w:cs="宋体"/>
          <w:b/>
          <w:color w:val="auto"/>
          <w:sz w:val="30"/>
          <w:szCs w:val="30"/>
          <w:highlight w:val="none"/>
          <w:lang w:eastAsia="zh-CN"/>
        </w:rPr>
        <w:t>YNS（01）202502-07</w:t>
      </w:r>
    </w:p>
    <w:p w14:paraId="6844D5FF">
      <w:pPr>
        <w:pStyle w:val="12"/>
        <w:spacing w:before="158" w:beforeLines="50" w:after="158" w:afterLines="50"/>
        <w:ind w:firstLine="301" w:firstLineChars="100"/>
        <w:jc w:val="both"/>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政采云项目编号：</w:t>
      </w:r>
      <w:r>
        <w:rPr>
          <w:rFonts w:hint="eastAsia" w:ascii="宋体" w:hAnsi="宋体" w:cs="宋体"/>
          <w:b/>
          <w:color w:val="auto"/>
          <w:sz w:val="30"/>
          <w:szCs w:val="30"/>
          <w:highlight w:val="none"/>
          <w:lang w:eastAsia="zh-CN"/>
        </w:rPr>
        <w:t>YNZC2025-G1-02974-SBGC-0006</w:t>
      </w:r>
    </w:p>
    <w:p w14:paraId="28B1861E">
      <w:pPr>
        <w:pStyle w:val="12"/>
        <w:spacing w:before="158" w:beforeLines="50" w:after="158" w:afterLines="50"/>
        <w:ind w:firstLine="301" w:firstLineChars="100"/>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采  购  人：</w:t>
      </w:r>
      <w:r>
        <w:rPr>
          <w:rFonts w:hint="eastAsia" w:ascii="宋体" w:hAnsi="宋体" w:cs="宋体"/>
          <w:b/>
          <w:color w:val="auto"/>
          <w:sz w:val="30"/>
          <w:szCs w:val="30"/>
          <w:highlight w:val="none"/>
          <w:lang w:eastAsia="zh-CN"/>
        </w:rPr>
        <w:t>云南省建水监狱</w:t>
      </w:r>
    </w:p>
    <w:p w14:paraId="59BA196C">
      <w:pPr>
        <w:pStyle w:val="12"/>
        <w:spacing w:before="158" w:beforeLines="50" w:after="158" w:afterLines="50"/>
        <w:ind w:firstLine="301" w:firstLineChars="100"/>
        <w:rPr>
          <w:rFonts w:ascii="宋体" w:hAnsi="宋体" w:cs="宋体"/>
          <w:bCs/>
          <w:color w:val="auto"/>
          <w:sz w:val="30"/>
          <w:szCs w:val="30"/>
          <w:highlight w:val="none"/>
        </w:rPr>
      </w:pPr>
      <w:r>
        <w:rPr>
          <w:rFonts w:hint="eastAsia" w:ascii="宋体" w:hAnsi="宋体" w:cs="宋体"/>
          <w:b/>
          <w:color w:val="auto"/>
          <w:sz w:val="30"/>
          <w:szCs w:val="30"/>
          <w:highlight w:val="none"/>
        </w:rPr>
        <w:t>采购代理机构：</w:t>
      </w:r>
      <w:r>
        <w:rPr>
          <w:rFonts w:hint="eastAsia" w:ascii="宋体" w:hAnsi="宋体"/>
          <w:b/>
          <w:color w:val="auto"/>
          <w:sz w:val="30"/>
          <w:szCs w:val="30"/>
          <w:highlight w:val="none"/>
        </w:rPr>
        <w:t>山标工程</w:t>
      </w:r>
      <w:r>
        <w:rPr>
          <w:rFonts w:hint="eastAsia" w:ascii="宋体" w:hAnsi="宋体" w:cs="宋体"/>
          <w:b/>
          <w:color w:val="auto"/>
          <w:sz w:val="30"/>
          <w:szCs w:val="30"/>
          <w:highlight w:val="none"/>
          <w:lang w:eastAsia="zh-CN"/>
        </w:rPr>
        <w:t>项目</w:t>
      </w:r>
      <w:r>
        <w:rPr>
          <w:rFonts w:hint="eastAsia" w:ascii="宋体" w:hAnsi="宋体"/>
          <w:b/>
          <w:color w:val="auto"/>
          <w:sz w:val="30"/>
          <w:szCs w:val="30"/>
          <w:highlight w:val="none"/>
        </w:rPr>
        <w:t>管理咨询（云南）有限公司</w:t>
      </w:r>
    </w:p>
    <w:p w14:paraId="7F6FA323">
      <w:pPr>
        <w:pStyle w:val="12"/>
        <w:spacing w:before="158" w:beforeLines="50" w:after="158" w:afterLines="50"/>
        <w:jc w:val="center"/>
        <w:rPr>
          <w:rFonts w:ascii="宋体" w:hAnsi="宋体"/>
          <w:b/>
          <w:color w:val="auto"/>
          <w:sz w:val="30"/>
          <w:szCs w:val="30"/>
          <w:highlight w:val="none"/>
        </w:rPr>
      </w:pPr>
      <w:r>
        <w:rPr>
          <w:rFonts w:hint="eastAsia" w:ascii="宋体" w:hAnsi="宋体"/>
          <w:b/>
          <w:color w:val="auto"/>
          <w:sz w:val="30"/>
          <w:szCs w:val="30"/>
          <w:highlight w:val="none"/>
        </w:rPr>
        <w:t>二〇二</w:t>
      </w:r>
      <w:r>
        <w:rPr>
          <w:rFonts w:hint="eastAsia" w:ascii="宋体" w:hAnsi="宋体"/>
          <w:b/>
          <w:color w:val="auto"/>
          <w:sz w:val="30"/>
          <w:szCs w:val="30"/>
          <w:highlight w:val="none"/>
          <w:lang w:val="en-US" w:eastAsia="zh-CN"/>
        </w:rPr>
        <w:t>五</w:t>
      </w:r>
      <w:r>
        <w:rPr>
          <w:rFonts w:hint="eastAsia" w:ascii="宋体" w:hAnsi="宋体"/>
          <w:b/>
          <w:color w:val="auto"/>
          <w:sz w:val="30"/>
          <w:szCs w:val="30"/>
          <w:highlight w:val="none"/>
        </w:rPr>
        <w:t>年</w:t>
      </w:r>
      <w:r>
        <w:rPr>
          <w:rFonts w:hint="eastAsia" w:ascii="宋体" w:hAnsi="宋体"/>
          <w:b/>
          <w:color w:val="auto"/>
          <w:sz w:val="30"/>
          <w:szCs w:val="30"/>
          <w:highlight w:val="none"/>
          <w:lang w:val="en-US" w:eastAsia="zh-CN"/>
        </w:rPr>
        <w:t>五</w:t>
      </w:r>
      <w:r>
        <w:rPr>
          <w:rFonts w:hint="eastAsia" w:ascii="宋体" w:hAnsi="宋体"/>
          <w:b/>
          <w:color w:val="auto"/>
          <w:sz w:val="30"/>
          <w:szCs w:val="30"/>
          <w:highlight w:val="none"/>
        </w:rPr>
        <w:t>月</w:t>
      </w:r>
    </w:p>
    <w:p w14:paraId="6364F261">
      <w:pPr>
        <w:pStyle w:val="12"/>
        <w:jc w:val="center"/>
        <w:rPr>
          <w:rFonts w:ascii="宋体" w:hAnsi="宋体" w:cs="宋体"/>
          <w:color w:val="auto"/>
          <w:highlight w:val="none"/>
        </w:rPr>
        <w:sectPr>
          <w:footerReference r:id="rId5" w:type="first"/>
          <w:headerReference r:id="rId3" w:type="default"/>
          <w:footerReference r:id="rId4" w:type="default"/>
          <w:pgSz w:w="11906" w:h="16838"/>
          <w:pgMar w:top="1440" w:right="1083" w:bottom="1440" w:left="1083" w:header="720" w:footer="720" w:gutter="0"/>
          <w:pgNumType w:fmt="numberInDash"/>
          <w:cols w:space="720" w:num="1"/>
          <w:titlePg/>
          <w:docGrid w:type="lines" w:linePitch="317" w:charSpace="0"/>
        </w:sectPr>
      </w:pPr>
    </w:p>
    <w:p w14:paraId="26C0B5A7">
      <w:pPr>
        <w:pStyle w:val="12"/>
        <w:rPr>
          <w:rFonts w:ascii="宋体" w:hAnsi="宋体" w:cs="宋体"/>
          <w:color w:val="auto"/>
          <w:highlight w:val="none"/>
        </w:rPr>
      </w:pPr>
    </w:p>
    <w:p w14:paraId="0C4A98E9">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目  录</w:t>
      </w:r>
    </w:p>
    <w:p w14:paraId="4F5F9C15">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 w:val="0"/>
          <w:bCs w:val="0"/>
          <w:i w:val="0"/>
          <w:iCs w:val="0"/>
          <w:caps w:val="0"/>
          <w:color w:val="auto"/>
          <w:sz w:val="24"/>
          <w:szCs w:val="24"/>
          <w:highlight w:val="none"/>
        </w:rPr>
        <w:fldChar w:fldCharType="begin"/>
      </w:r>
      <w:r>
        <w:rPr>
          <w:rFonts w:hint="eastAsia" w:ascii="宋体" w:hAnsi="宋体" w:eastAsia="宋体" w:cs="宋体"/>
          <w:b w:val="0"/>
          <w:bCs w:val="0"/>
          <w:i w:val="0"/>
          <w:iCs w:val="0"/>
          <w:caps w:val="0"/>
          <w:color w:val="auto"/>
          <w:sz w:val="24"/>
          <w:szCs w:val="24"/>
          <w:highlight w:val="none"/>
        </w:rPr>
        <w:instrText xml:space="preserve"> TOC \o "1-3" \h \z \u </w:instrText>
      </w:r>
      <w:r>
        <w:rPr>
          <w:rFonts w:hint="eastAsia" w:ascii="宋体" w:hAnsi="宋体" w:eastAsia="宋体" w:cs="宋体"/>
          <w:b w:val="0"/>
          <w:bCs w:val="0"/>
          <w:i w:val="0"/>
          <w:iCs w:val="0"/>
          <w:caps w:val="0"/>
          <w:color w:val="auto"/>
          <w:sz w:val="24"/>
          <w:szCs w:val="24"/>
          <w:highlight w:val="none"/>
        </w:rPr>
        <w:fldChar w:fldCharType="separate"/>
      </w: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_Toc4224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第一章 招标公告</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_Toc4224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10BDC9E4">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_Toc13919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一、项目基本情况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_Toc13919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AD9A8C0">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_Toc22073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二、投标人的资格要求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_Toc22073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A9CC78E">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_Toc9403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三、获取招标文件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_Toc9403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0CDA970">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_Toc18361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四、提交投标文件截止时间、开标时间和地点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_Toc18361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E6B5797">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_Toc10527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五、公告期限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_Toc10527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5C5312D">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_Toc1017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val="0"/>
          <w:i w:val="0"/>
          <w:iCs w:val="0"/>
          <w:sz w:val="24"/>
          <w:szCs w:val="24"/>
          <w:highlight w:val="none"/>
        </w:rPr>
        <w:t>六、其他补充事宜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_Toc1017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91D3584">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_Toc7100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七、对本次招标提出询问，请按以下方式联系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_Toc7100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40289A4">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_Toc11058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i w:val="0"/>
          <w:iCs w:val="0"/>
          <w:sz w:val="24"/>
          <w:szCs w:val="24"/>
          <w:highlight w:val="none"/>
        </w:rPr>
        <w:t>第二章 投标人须知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_Toc11058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7273A36">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_Toc18818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投标人须知前附表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_Toc18818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9C65559">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_Toc21931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1. 总则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_Toc21931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- 15 -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602E638">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_Toc21583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2. 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_Toc21583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- 18 -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2B38BCA">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_Toc9656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3. 投标文件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_Toc9656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- 19 -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F266CE5">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_Toc25963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4. 投标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_Toc25963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- 21 -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ADBB306">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_Toc30393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5. 开标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_Toc30393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EC4469C">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_Toc19719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6.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_Toc19719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B16F8C3">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_Toc31015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7. 评标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_Toc31015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A5CFF54">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_Toc16029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8. 中标和合同</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_Toc16029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344D667">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_Toc19434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9. 询问与答复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_Toc19434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D4B63A0">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_Toc6497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10. 质疑接收、回复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_Toc6497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8916959">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_Toc26005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11. 纪律和监督</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_Toc26005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0E563A7">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_Toc25889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12. 需要补充的其他内容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_Toc25889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29DC919">
      <w:pPr>
        <w:pStyle w:val="19"/>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_Toc29748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13. 政府采购政策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_Toc29748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- 26 -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8C43941">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_Toc12105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i w:val="0"/>
          <w:iCs w:val="0"/>
          <w:sz w:val="24"/>
          <w:szCs w:val="24"/>
          <w:highlight w:val="none"/>
        </w:rPr>
        <w:t>第三章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_Toc12105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- 32 -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1CBAB8D">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_Toc20686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第四章 评标办法(综合评分法)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_Toc20686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- 34 -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17505EB">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_Toc4327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第五章 合同条款及格式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_Toc4327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- 43 -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C7BF4C3">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_Toc19410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第六章 采购需求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_Toc19410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- 55 -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342B603">
      <w:pPr>
        <w:pStyle w:val="18"/>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_Toc11743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第七章 投标文件格式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_Toc11743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C6543DD">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_Toc513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第一部分 资格审查部分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_Toc513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8FA23B3">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_Toc16048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一、具有独立承担民事责任的能力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_Toc16048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291F6A7">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_Toc9622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二、具有良好的商业信誉和健全的财务会计制度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_Toc9622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A721B4D">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_Toc378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三、具有履行合同所必需的设备和专业技术能力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_Toc378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- 67 -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35A9ADA">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_Toc17848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四、有依法缴纳税收和社会保障资金的良好记录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_Toc17848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3064C02">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_Toc5162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五、参加政府采购活动前三年内，在经营活动中没有重大违法记录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_Toc5162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- 69 -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B56AB4D">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_Toc11903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zh-CN"/>
        </w:rPr>
        <w:t>六、</w:t>
      </w:r>
      <w:r>
        <w:rPr>
          <w:rFonts w:hint="eastAsia" w:ascii="宋体" w:hAnsi="宋体" w:eastAsia="宋体" w:cs="宋体"/>
          <w:i w:val="0"/>
          <w:iCs w:val="0"/>
          <w:kern w:val="2"/>
          <w:sz w:val="24"/>
          <w:szCs w:val="24"/>
          <w:highlight w:val="none"/>
          <w:lang w:bidi="ar"/>
        </w:rPr>
        <w:t>法律、行政法规规定的其他条件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_Toc11903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- 70 -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490BFD96">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_Toc2285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七、</w:t>
      </w:r>
      <w:r>
        <w:rPr>
          <w:rFonts w:hint="eastAsia" w:ascii="宋体" w:hAnsi="宋体" w:eastAsia="宋体" w:cs="宋体"/>
          <w:i w:val="0"/>
          <w:iCs w:val="0"/>
          <w:sz w:val="24"/>
          <w:szCs w:val="24"/>
          <w:highlight w:val="none"/>
          <w:lang w:val="en-US" w:eastAsia="zh-CN"/>
        </w:rPr>
        <w:t>特定</w:t>
      </w:r>
      <w:r>
        <w:rPr>
          <w:rFonts w:hint="eastAsia" w:ascii="宋体" w:hAnsi="宋体" w:eastAsia="宋体" w:cs="宋体"/>
          <w:i w:val="0"/>
          <w:iCs w:val="0"/>
          <w:sz w:val="24"/>
          <w:szCs w:val="24"/>
          <w:highlight w:val="none"/>
          <w:lang w:val="zh-CN"/>
        </w:rPr>
        <w:t>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- 72 -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CE83ED9">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_Toc3597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八</w:t>
      </w:r>
      <w:r>
        <w:rPr>
          <w:rFonts w:hint="eastAsia" w:ascii="宋体" w:hAnsi="宋体" w:eastAsia="宋体" w:cs="宋体"/>
          <w:i w:val="0"/>
          <w:iCs w:val="0"/>
          <w:sz w:val="24"/>
          <w:szCs w:val="24"/>
          <w:highlight w:val="none"/>
        </w:rPr>
        <w:t>、</w:t>
      </w:r>
      <w:r>
        <w:rPr>
          <w:rFonts w:hint="eastAsia" w:ascii="宋体" w:hAnsi="宋体" w:eastAsia="宋体" w:cs="宋体"/>
          <w:i w:val="0"/>
          <w:iCs w:val="0"/>
          <w:sz w:val="24"/>
          <w:szCs w:val="24"/>
          <w:highlight w:val="none"/>
          <w:lang w:val="zh-CN"/>
        </w:rPr>
        <w:t>其他资格要求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_Toc3597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- 73 -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D23135C">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_Toc20317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rPr>
        <w:t>、</w:t>
      </w:r>
      <w:r>
        <w:rPr>
          <w:rFonts w:hint="eastAsia" w:ascii="宋体" w:hAnsi="宋体" w:eastAsia="宋体" w:cs="宋体"/>
          <w:i w:val="0"/>
          <w:iCs w:val="0"/>
          <w:sz w:val="24"/>
          <w:szCs w:val="24"/>
          <w:highlight w:val="none"/>
          <w:lang w:val="en-US" w:eastAsia="zh-CN"/>
        </w:rPr>
        <w:t>承诺书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_Toc20317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- 74 -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CDEE12E">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_Toc12174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w:t>
      </w:r>
      <w:r>
        <w:rPr>
          <w:rFonts w:hint="eastAsia" w:ascii="宋体" w:hAnsi="宋体" w:eastAsia="宋体" w:cs="宋体"/>
          <w:i w:val="0"/>
          <w:iCs w:val="0"/>
          <w:sz w:val="24"/>
          <w:szCs w:val="24"/>
          <w:highlight w:val="none"/>
        </w:rPr>
        <w:t>、落实政府采购政策需满足的资格要求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_Toc12174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- 76 -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4C3021A2">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_Toc8202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i w:val="0"/>
          <w:iCs w:val="0"/>
          <w:sz w:val="24"/>
          <w:szCs w:val="24"/>
          <w:highlight w:val="none"/>
        </w:rPr>
        <w:t>第二部分 商务报价部分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_Toc8202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- 81 -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3F90EFE">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_Toc25371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一、开标一览表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_Toc25371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- 81 -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19ABFA4">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_Toc17735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二、投标函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_Toc17735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E9F67F7">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_Toc8662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三、法定代表人(单位负责人)身份证明书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_Toc8662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C75B9C2">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_Toc13157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四、授权委托书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_Toc13157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3857409">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_Toc14260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五、投标人基本情况表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_Toc14260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979DE08">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_Toc13251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六、投标保证金缴纳凭据</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_Toc13251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494C7DC">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_Toc18643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七、商务条款偏离表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_Toc18643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- 87 -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42E4B3EA">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_Toc16731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八、分项报价表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_Toc16731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- 88 -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74FBFE8A">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_Toc30290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rPr>
        <w:t>、投标人廉政承诺</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_Toc30290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- 90 -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84CFD06">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_Toc27312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十、保密承诺</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_Toc27312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- 91 -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0F12C2D0">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_Toc18172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十</w:t>
      </w:r>
      <w:r>
        <w:rPr>
          <w:rFonts w:hint="eastAsia" w:ascii="宋体" w:hAnsi="宋体" w:eastAsia="宋体" w:cs="宋体"/>
          <w:i w:val="0"/>
          <w:iCs w:val="0"/>
          <w:sz w:val="24"/>
          <w:szCs w:val="24"/>
          <w:highlight w:val="none"/>
          <w:lang w:val="en-US" w:eastAsia="zh-CN"/>
        </w:rPr>
        <w:t>一</w:t>
      </w:r>
      <w:r>
        <w:rPr>
          <w:rFonts w:hint="eastAsia" w:ascii="宋体" w:hAnsi="宋体" w:eastAsia="宋体" w:cs="宋体"/>
          <w:i w:val="0"/>
          <w:iCs w:val="0"/>
          <w:sz w:val="24"/>
          <w:szCs w:val="24"/>
          <w:highlight w:val="none"/>
        </w:rPr>
        <w:t>、类似项目业绩表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_Toc18172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- 92 -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A18EEBA">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_Toc27730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bCs/>
          <w:i w:val="0"/>
          <w:iCs w:val="0"/>
          <w:sz w:val="24"/>
          <w:szCs w:val="24"/>
          <w:highlight w:val="none"/>
        </w:rPr>
        <w:t>第三部分 技术部分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_Toc27730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EFB6A1D">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_Toc23119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一、</w:t>
      </w:r>
      <w:r>
        <w:rPr>
          <w:rFonts w:hint="eastAsia" w:ascii="宋体" w:hAnsi="宋体" w:eastAsia="宋体" w:cs="宋体"/>
          <w:i w:val="0"/>
          <w:iCs w:val="0"/>
          <w:sz w:val="24"/>
          <w:szCs w:val="24"/>
          <w:highlight w:val="none"/>
          <w:lang w:val="en-US" w:eastAsia="zh-CN"/>
        </w:rPr>
        <w:t>采购清单</w:t>
      </w:r>
      <w:r>
        <w:rPr>
          <w:rFonts w:hint="eastAsia" w:ascii="宋体" w:hAnsi="宋体" w:eastAsia="宋体" w:cs="宋体"/>
          <w:i w:val="0"/>
          <w:iCs w:val="0"/>
          <w:sz w:val="24"/>
          <w:szCs w:val="24"/>
          <w:highlight w:val="none"/>
        </w:rPr>
        <w:t>偏离表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_Toc23119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- 93 -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31DCE9F">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_Toc4174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rPr>
        <w:t>二、供货服务方案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_Toc4174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D5C9C02">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_Toc24731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三、</w:t>
      </w:r>
      <w:r>
        <w:rPr>
          <w:rFonts w:hint="eastAsia" w:ascii="宋体" w:hAnsi="宋体" w:eastAsia="宋体" w:cs="宋体"/>
          <w:i w:val="0"/>
          <w:iCs w:val="0"/>
          <w:sz w:val="24"/>
          <w:szCs w:val="24"/>
          <w:highlight w:val="none"/>
        </w:rPr>
        <w:t>供货能力及供货渠道</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_Toc24731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6FE26246">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_Toc577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四、</w:t>
      </w:r>
      <w:r>
        <w:rPr>
          <w:rFonts w:hint="eastAsia" w:ascii="宋体" w:hAnsi="宋体" w:eastAsia="宋体" w:cs="宋体"/>
          <w:i w:val="0"/>
          <w:iCs w:val="0"/>
          <w:sz w:val="24"/>
          <w:szCs w:val="24"/>
          <w:highlight w:val="none"/>
        </w:rPr>
        <w:t>应急方案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_Toc577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- 94 -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213D8CA">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_Toc26968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五、仓储条件及管理方案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_Toc26968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2897FD2">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_Toc1259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、人员配置</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_Toc1259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- 95 -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5D5BFF8F">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_Toc24797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七、本项目的车辆配备情况及送货车辆的消毒清洗制度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_Toc24797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- 96 -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339E4BF1">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_Toc7540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八</w:t>
      </w:r>
      <w:r>
        <w:rPr>
          <w:rFonts w:hint="eastAsia" w:ascii="宋体" w:hAnsi="宋体" w:eastAsia="宋体" w:cs="宋体"/>
          <w:i w:val="0"/>
          <w:iCs w:val="0"/>
          <w:sz w:val="24"/>
          <w:szCs w:val="24"/>
          <w:highlight w:val="none"/>
        </w:rPr>
        <w:t>、售后服务及保障措施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_Toc7540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- 97 -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786B0E1">
      <w:pPr>
        <w:pStyle w:val="13"/>
        <w:tabs>
          <w:tab w:val="right" w:leader="dot" w:pos="9520"/>
        </w:tabs>
        <w:spacing w:line="360" w:lineRule="auto"/>
        <w:rPr>
          <w:rFonts w:hint="eastAsia" w:ascii="宋体" w:hAnsi="宋体" w:eastAsia="宋体" w:cs="宋体"/>
          <w:i w:val="0"/>
          <w:iCs w:val="0"/>
          <w:sz w:val="24"/>
          <w:szCs w:val="24"/>
        </w:rPr>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_Toc8479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rPr>
        <w:t>、质量</w:t>
      </w:r>
      <w:r>
        <w:rPr>
          <w:rFonts w:hint="eastAsia" w:ascii="宋体" w:hAnsi="宋体" w:eastAsia="宋体" w:cs="宋体"/>
          <w:i w:val="0"/>
          <w:iCs w:val="0"/>
          <w:sz w:val="24"/>
          <w:szCs w:val="24"/>
          <w:highlight w:val="none"/>
          <w:lang w:val="en-US" w:eastAsia="zh-CN"/>
        </w:rPr>
        <w:t>承诺及</w:t>
      </w:r>
      <w:r>
        <w:rPr>
          <w:rFonts w:hint="eastAsia" w:ascii="宋体" w:hAnsi="宋体" w:eastAsia="宋体" w:cs="宋体"/>
          <w:i w:val="0"/>
          <w:iCs w:val="0"/>
          <w:sz w:val="24"/>
          <w:szCs w:val="24"/>
          <w:highlight w:val="none"/>
        </w:rPr>
        <w:t>保证措施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_Toc8479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- 98 -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233E5F50">
      <w:pPr>
        <w:pStyle w:val="13"/>
        <w:tabs>
          <w:tab w:val="right" w:leader="dot" w:pos="9520"/>
        </w:tabs>
        <w:spacing w:line="360" w:lineRule="auto"/>
      </w:pPr>
      <w:r>
        <w:rPr>
          <w:rFonts w:hint="eastAsia" w:ascii="宋体" w:hAnsi="宋体" w:eastAsia="宋体" w:cs="宋体"/>
          <w:bCs w:val="0"/>
          <w:i w:val="0"/>
          <w:iCs w:val="0"/>
          <w:caps/>
          <w:color w:val="auto"/>
          <w:sz w:val="24"/>
          <w:szCs w:val="24"/>
          <w:highlight w:val="none"/>
        </w:rPr>
        <w:fldChar w:fldCharType="begin"/>
      </w:r>
      <w:r>
        <w:rPr>
          <w:rFonts w:hint="eastAsia" w:ascii="宋体" w:hAnsi="宋体" w:eastAsia="宋体" w:cs="宋体"/>
          <w:bCs w:val="0"/>
          <w:i w:val="0"/>
          <w:iCs w:val="0"/>
          <w:caps/>
          <w:sz w:val="24"/>
          <w:szCs w:val="24"/>
          <w:highlight w:val="none"/>
        </w:rPr>
        <w:instrText xml:space="preserve"> HYPERLINK \l _Toc10688 </w:instrText>
      </w:r>
      <w:r>
        <w:rPr>
          <w:rFonts w:hint="eastAsia" w:ascii="宋体" w:hAnsi="宋体" w:eastAsia="宋体" w:cs="宋体"/>
          <w:bCs w:val="0"/>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w:t>
      </w:r>
      <w:r>
        <w:rPr>
          <w:rFonts w:hint="eastAsia" w:ascii="宋体" w:hAnsi="宋体" w:eastAsia="宋体" w:cs="宋体"/>
          <w:i w:val="0"/>
          <w:iCs w:val="0"/>
          <w:sz w:val="24"/>
          <w:szCs w:val="24"/>
          <w:highlight w:val="none"/>
        </w:rPr>
        <w:t>其他资料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_Toc10688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- 99 -</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color w:val="auto"/>
          <w:sz w:val="24"/>
          <w:szCs w:val="24"/>
          <w:highlight w:val="none"/>
        </w:rPr>
        <w:fldChar w:fldCharType="end"/>
      </w:r>
    </w:p>
    <w:p w14:paraId="1864341F">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color w:val="auto"/>
          <w:sz w:val="24"/>
          <w:szCs w:val="24"/>
          <w:highlight w:val="none"/>
        </w:rPr>
      </w:pPr>
      <w:r>
        <w:rPr>
          <w:rFonts w:hint="eastAsia" w:ascii="宋体" w:hAnsi="宋体" w:eastAsia="宋体" w:cs="宋体"/>
          <w:bCs w:val="0"/>
          <w:i w:val="0"/>
          <w:iCs w:val="0"/>
          <w:caps/>
          <w:color w:val="auto"/>
          <w:szCs w:val="24"/>
          <w:highlight w:val="none"/>
        </w:rPr>
        <w:fldChar w:fldCharType="end"/>
      </w:r>
      <w:bookmarkStart w:id="0" w:name="_Toc25108"/>
      <w:bookmarkEnd w:id="0"/>
      <w:bookmarkStart w:id="1" w:name="_Toc29067"/>
      <w:bookmarkEnd w:id="1"/>
    </w:p>
    <w:p w14:paraId="69F03443">
      <w:pPr>
        <w:spacing w:line="400" w:lineRule="exact"/>
        <w:rPr>
          <w:rFonts w:ascii="宋体" w:hAnsi="宋体" w:cs="宋体"/>
          <w:color w:val="auto"/>
          <w:highlight w:val="none"/>
        </w:rPr>
      </w:pPr>
      <w:r>
        <w:rPr>
          <w:rFonts w:hint="eastAsia" w:ascii="宋体" w:hAnsi="宋体" w:cs="宋体"/>
          <w:color w:val="auto"/>
          <w:sz w:val="24"/>
          <w:szCs w:val="24"/>
          <w:highlight w:val="none"/>
        </w:rPr>
        <w:t xml:space="preserve"> </w:t>
      </w:r>
    </w:p>
    <w:p w14:paraId="74ABFA92">
      <w:pPr>
        <w:pStyle w:val="4"/>
        <w:spacing w:before="0" w:after="0" w:line="360" w:lineRule="auto"/>
        <w:jc w:val="center"/>
        <w:rPr>
          <w:rFonts w:ascii="宋体" w:hAnsi="宋体" w:cs="宋体"/>
          <w:color w:val="auto"/>
          <w:highlight w:val="none"/>
        </w:rPr>
        <w:sectPr>
          <w:headerReference r:id="rId7" w:type="first"/>
          <w:footerReference r:id="rId8" w:type="first"/>
          <w:headerReference r:id="rId6" w:type="default"/>
          <w:pgSz w:w="11906" w:h="16838"/>
          <w:pgMar w:top="1440" w:right="1083" w:bottom="1440" w:left="1303" w:header="720" w:footer="720" w:gutter="0"/>
          <w:pgNumType w:fmt="numberInDash" w:start="1"/>
          <w:cols w:space="720" w:num="1"/>
          <w:titlePg/>
          <w:docGrid w:type="lines" w:linePitch="317" w:charSpace="0"/>
        </w:sectPr>
      </w:pPr>
      <w:bookmarkStart w:id="2" w:name="_Toc12916"/>
      <w:bookmarkEnd w:id="2"/>
      <w:bookmarkStart w:id="3" w:name="_Toc3039"/>
      <w:bookmarkEnd w:id="3"/>
      <w:bookmarkStart w:id="4" w:name="_Toc24776"/>
    </w:p>
    <w:p w14:paraId="13E719D0">
      <w:pPr>
        <w:pStyle w:val="4"/>
        <w:spacing w:before="0" w:after="0" w:line="360" w:lineRule="auto"/>
        <w:jc w:val="center"/>
        <w:rPr>
          <w:rFonts w:ascii="宋体" w:hAnsi="宋体" w:cs="宋体"/>
          <w:color w:val="auto"/>
          <w:highlight w:val="none"/>
        </w:rPr>
      </w:pPr>
      <w:bookmarkStart w:id="5" w:name="_Toc9815"/>
      <w:bookmarkStart w:id="6" w:name="_Toc5778"/>
      <w:bookmarkStart w:id="7" w:name="_Toc4224"/>
      <w:r>
        <w:rPr>
          <w:rFonts w:hint="eastAsia" w:ascii="宋体" w:hAnsi="宋体" w:cs="宋体"/>
          <w:color w:val="auto"/>
          <w:highlight w:val="none"/>
        </w:rPr>
        <w:t>第一章 招标公告</w:t>
      </w:r>
      <w:bookmarkEnd w:id="4"/>
      <w:bookmarkEnd w:id="5"/>
      <w:bookmarkEnd w:id="6"/>
      <w:bookmarkEnd w:id="7"/>
    </w:p>
    <w:p w14:paraId="27402560">
      <w:pPr>
        <w:rPr>
          <w:rFonts w:ascii="宋体" w:hAnsi="宋体" w:cs="宋体"/>
          <w:color w:val="auto"/>
          <w:highlight w:val="none"/>
        </w:rPr>
      </w:pPr>
    </w:p>
    <w:p w14:paraId="530458B2">
      <w:pPr>
        <w:spacing w:line="360" w:lineRule="auto"/>
        <w:jc w:val="center"/>
        <w:rPr>
          <w:rFonts w:hint="eastAsia" w:ascii="宋体" w:hAnsi="宋体" w:eastAsia="宋体"/>
          <w:b/>
          <w:color w:val="auto"/>
          <w:sz w:val="30"/>
          <w:szCs w:val="30"/>
          <w:highlight w:val="none"/>
          <w:lang w:eastAsia="zh-CN"/>
        </w:rPr>
      </w:pPr>
      <w:bookmarkStart w:id="8" w:name="_Toc18212"/>
      <w:r>
        <w:rPr>
          <w:rFonts w:hint="eastAsia" w:ascii="宋体" w:hAnsi="宋体"/>
          <w:b/>
          <w:color w:val="auto"/>
          <w:sz w:val="30"/>
          <w:szCs w:val="30"/>
          <w:highlight w:val="none"/>
          <w:lang w:eastAsia="zh-CN"/>
        </w:rPr>
        <w:t>云南省建水监狱2025年—2026年罪犯蛋类、蔬菜类生活物资采购项目</w:t>
      </w:r>
    </w:p>
    <w:p w14:paraId="6D6FCC13">
      <w:pPr>
        <w:spacing w:line="360" w:lineRule="auto"/>
        <w:jc w:val="center"/>
        <w:rPr>
          <w:rFonts w:ascii="宋体" w:hAnsi="宋体"/>
          <w:color w:val="auto"/>
          <w:sz w:val="28"/>
          <w:szCs w:val="28"/>
          <w:highlight w:val="none"/>
        </w:rPr>
      </w:pPr>
      <w:r>
        <w:rPr>
          <w:rFonts w:hint="eastAsia" w:ascii="宋体" w:hAnsi="宋体"/>
          <w:b/>
          <w:color w:val="auto"/>
          <w:sz w:val="30"/>
          <w:szCs w:val="30"/>
          <w:highlight w:val="none"/>
        </w:rPr>
        <w:t>招标公告</w:t>
      </w:r>
    </w:p>
    <w:p w14:paraId="33973959">
      <w:pPr>
        <w:pStyle w:val="12"/>
        <w:rPr>
          <w:color w:val="auto"/>
          <w:highlight w:val="none"/>
        </w:rPr>
      </w:pPr>
    </w:p>
    <w:p w14:paraId="28A7F5F2">
      <w:pPr>
        <w:widowControl w:val="0"/>
        <w:pBdr>
          <w:top w:val="single" w:color="auto" w:sz="4" w:space="1"/>
          <w:left w:val="single" w:color="auto" w:sz="4" w:space="4"/>
          <w:bottom w:val="single" w:color="auto" w:sz="4" w:space="1"/>
          <w:right w:val="single" w:color="auto" w:sz="4" w:space="4"/>
        </w:pBdr>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项目概况</w:t>
      </w:r>
    </w:p>
    <w:p w14:paraId="04EE9994">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u w:val="single"/>
          <w:lang w:eastAsia="zh-CN" w:bidi="ar"/>
        </w:rPr>
        <w:t>云南省建水监狱2025年—2026年罪犯蛋类、蔬菜类生活物资采购项目</w:t>
      </w:r>
      <w:r>
        <w:rPr>
          <w:rFonts w:hint="eastAsia" w:ascii="宋体" w:hAnsi="宋体" w:cs="宋体"/>
          <w:color w:val="auto"/>
          <w:kern w:val="2"/>
          <w:sz w:val="24"/>
          <w:szCs w:val="24"/>
          <w:highlight w:val="none"/>
          <w:lang w:bidi="ar"/>
        </w:rPr>
        <w:t>的潜在投标人应在</w:t>
      </w:r>
      <w:r>
        <w:rPr>
          <w:rFonts w:hint="eastAsia" w:ascii="宋体" w:hAnsi="宋体" w:cs="宋体"/>
          <w:color w:val="auto"/>
          <w:sz w:val="24"/>
          <w:szCs w:val="24"/>
          <w:highlight w:val="none"/>
          <w:u w:val="single"/>
        </w:rPr>
        <w:t>政采云平台（</w:t>
      </w:r>
      <w:r>
        <w:rPr>
          <w:color w:val="auto"/>
          <w:highlight w:val="none"/>
        </w:rPr>
        <w:fldChar w:fldCharType="begin"/>
      </w:r>
      <w:r>
        <w:rPr>
          <w:color w:val="auto"/>
          <w:highlight w:val="none"/>
        </w:rPr>
        <w:instrText xml:space="preserve"> HYPERLINK "https://www.zcygov.cn/）获取（下载）招标文件，并于2023年" </w:instrText>
      </w:r>
      <w:r>
        <w:rPr>
          <w:color w:val="auto"/>
          <w:highlight w:val="none"/>
        </w:rPr>
        <w:fldChar w:fldCharType="separate"/>
      </w:r>
      <w:r>
        <w:rPr>
          <w:rStyle w:val="25"/>
          <w:rFonts w:hint="eastAsia" w:ascii="宋体" w:hAnsi="宋体" w:cs="宋体"/>
          <w:color w:val="auto"/>
          <w:sz w:val="24"/>
          <w:szCs w:val="24"/>
          <w:highlight w:val="none"/>
          <w:u w:val="single"/>
        </w:rPr>
        <w:t>https://www.zcygov.cn/）</w:t>
      </w:r>
      <w:r>
        <w:rPr>
          <w:rStyle w:val="25"/>
          <w:rFonts w:hint="eastAsia" w:ascii="宋体" w:hAnsi="宋体" w:cs="宋体"/>
          <w:color w:val="auto"/>
          <w:sz w:val="24"/>
          <w:szCs w:val="24"/>
          <w:highlight w:val="none"/>
        </w:rPr>
        <w:t>获取（下载）</w:t>
      </w:r>
      <w:r>
        <w:rPr>
          <w:rStyle w:val="25"/>
          <w:rFonts w:hint="eastAsia" w:ascii="宋体" w:hAnsi="宋体" w:cs="宋体"/>
          <w:color w:val="auto"/>
          <w:kern w:val="2"/>
          <w:sz w:val="24"/>
          <w:szCs w:val="24"/>
          <w:highlight w:val="none"/>
          <w:lang w:bidi="ar"/>
        </w:rPr>
        <w:t>招标文件，并于</w:t>
      </w:r>
      <w:r>
        <w:rPr>
          <w:rStyle w:val="25"/>
          <w:rFonts w:hint="eastAsia" w:ascii="宋体" w:hAnsi="宋体" w:cs="宋体"/>
          <w:color w:val="auto"/>
          <w:kern w:val="2"/>
          <w:sz w:val="24"/>
          <w:szCs w:val="24"/>
          <w:highlight w:val="none"/>
          <w:u w:val="single"/>
          <w:lang w:bidi="ar"/>
        </w:rPr>
        <w:fldChar w:fldCharType="end"/>
      </w:r>
      <w:r>
        <w:rPr>
          <w:rFonts w:hint="eastAsia" w:ascii="宋体" w:hAnsi="宋体" w:cs="宋体"/>
          <w:color w:val="auto"/>
          <w:kern w:val="2"/>
          <w:sz w:val="24"/>
          <w:szCs w:val="24"/>
          <w:highlight w:val="none"/>
          <w:u w:val="single"/>
          <w:lang w:bidi="ar"/>
        </w:rPr>
        <w:t>202</w:t>
      </w:r>
      <w:r>
        <w:rPr>
          <w:rFonts w:hint="eastAsia" w:ascii="宋体" w:hAnsi="宋体" w:cs="宋体"/>
          <w:color w:val="auto"/>
          <w:kern w:val="2"/>
          <w:sz w:val="24"/>
          <w:szCs w:val="24"/>
          <w:highlight w:val="none"/>
          <w:u w:val="single"/>
          <w:lang w:val="en-US" w:eastAsia="zh-CN" w:bidi="ar"/>
        </w:rPr>
        <w:t>5</w:t>
      </w:r>
      <w:r>
        <w:rPr>
          <w:rFonts w:hint="eastAsia" w:ascii="宋体" w:hAnsi="宋体" w:cs="宋体"/>
          <w:color w:val="auto"/>
          <w:kern w:val="2"/>
          <w:sz w:val="24"/>
          <w:szCs w:val="24"/>
          <w:highlight w:val="none"/>
          <w:u w:val="single"/>
          <w:lang w:bidi="ar"/>
        </w:rPr>
        <w:t>年</w:t>
      </w:r>
      <w:r>
        <w:rPr>
          <w:rFonts w:hint="eastAsia" w:ascii="宋体" w:hAnsi="宋体" w:cs="宋体"/>
          <w:color w:val="auto"/>
          <w:kern w:val="2"/>
          <w:sz w:val="24"/>
          <w:szCs w:val="24"/>
          <w:highlight w:val="none"/>
          <w:u w:val="single"/>
          <w:lang w:val="en-US" w:eastAsia="zh-CN" w:bidi="ar"/>
        </w:rPr>
        <w:t>6</w:t>
      </w:r>
      <w:r>
        <w:rPr>
          <w:rFonts w:hint="eastAsia" w:ascii="宋体" w:hAnsi="宋体" w:cs="宋体"/>
          <w:color w:val="auto"/>
          <w:kern w:val="2"/>
          <w:sz w:val="24"/>
          <w:szCs w:val="24"/>
          <w:highlight w:val="none"/>
          <w:u w:val="single"/>
          <w:lang w:bidi="ar"/>
        </w:rPr>
        <w:t>月</w:t>
      </w:r>
      <w:r>
        <w:rPr>
          <w:rFonts w:hint="eastAsia" w:ascii="宋体" w:hAnsi="宋体" w:cs="宋体"/>
          <w:color w:val="auto"/>
          <w:kern w:val="2"/>
          <w:sz w:val="24"/>
          <w:szCs w:val="24"/>
          <w:highlight w:val="none"/>
          <w:u w:val="single"/>
          <w:lang w:val="en-US" w:eastAsia="zh-CN" w:bidi="ar"/>
        </w:rPr>
        <w:t>25</w:t>
      </w:r>
      <w:r>
        <w:rPr>
          <w:rFonts w:hint="eastAsia" w:ascii="宋体" w:hAnsi="宋体" w:cs="宋体"/>
          <w:color w:val="auto"/>
          <w:kern w:val="2"/>
          <w:sz w:val="24"/>
          <w:szCs w:val="24"/>
          <w:highlight w:val="none"/>
          <w:u w:val="single"/>
          <w:lang w:bidi="ar"/>
        </w:rPr>
        <w:t>日</w:t>
      </w:r>
      <w:r>
        <w:rPr>
          <w:rFonts w:hint="eastAsia" w:ascii="宋体" w:hAnsi="宋体" w:cs="宋体"/>
          <w:color w:val="auto"/>
          <w:kern w:val="2"/>
          <w:sz w:val="24"/>
          <w:szCs w:val="24"/>
          <w:highlight w:val="none"/>
          <w:u w:val="single"/>
          <w:lang w:val="en-US" w:eastAsia="zh-CN" w:bidi="ar"/>
        </w:rPr>
        <w:t>10</w:t>
      </w:r>
      <w:r>
        <w:rPr>
          <w:rFonts w:hint="eastAsia" w:ascii="宋体" w:hAnsi="宋体" w:cs="宋体"/>
          <w:color w:val="auto"/>
          <w:kern w:val="2"/>
          <w:sz w:val="24"/>
          <w:szCs w:val="24"/>
          <w:highlight w:val="none"/>
          <w:u w:val="single"/>
          <w:lang w:eastAsia="zh-CN" w:bidi="ar"/>
        </w:rPr>
        <w:t>时00分</w:t>
      </w:r>
      <w:r>
        <w:rPr>
          <w:rFonts w:hint="eastAsia" w:ascii="宋体" w:hAnsi="宋体" w:cs="宋体"/>
          <w:bCs/>
          <w:color w:val="auto"/>
          <w:kern w:val="2"/>
          <w:sz w:val="24"/>
          <w:szCs w:val="24"/>
          <w:highlight w:val="none"/>
          <w:u w:val="single"/>
          <w:lang w:bidi="ar"/>
        </w:rPr>
        <w:t>（</w:t>
      </w:r>
      <w:r>
        <w:rPr>
          <w:rFonts w:hint="eastAsia" w:ascii="宋体" w:hAnsi="宋体" w:cs="宋体"/>
          <w:bCs/>
          <w:color w:val="auto"/>
          <w:kern w:val="2"/>
          <w:sz w:val="24"/>
          <w:szCs w:val="24"/>
          <w:highlight w:val="none"/>
          <w:lang w:bidi="ar"/>
        </w:rPr>
        <w:t>北京时间）前上传投标文件</w:t>
      </w:r>
      <w:r>
        <w:rPr>
          <w:rFonts w:hint="eastAsia" w:ascii="宋体" w:hAnsi="宋体" w:cs="宋体"/>
          <w:color w:val="auto"/>
          <w:kern w:val="2"/>
          <w:sz w:val="24"/>
          <w:szCs w:val="24"/>
          <w:highlight w:val="none"/>
          <w:lang w:bidi="ar"/>
        </w:rPr>
        <w:t>。</w:t>
      </w:r>
    </w:p>
    <w:p w14:paraId="468A24F9">
      <w:pPr>
        <w:pStyle w:val="12"/>
        <w:rPr>
          <w:color w:val="auto"/>
          <w:sz w:val="24"/>
          <w:highlight w:val="none"/>
        </w:rPr>
      </w:pPr>
    </w:p>
    <w:p w14:paraId="7C098CDD">
      <w:pPr>
        <w:pStyle w:val="5"/>
        <w:widowControl/>
        <w:spacing w:before="0" w:after="0" w:line="360" w:lineRule="auto"/>
        <w:rPr>
          <w:rFonts w:ascii="宋体" w:hAnsi="宋体" w:eastAsia="宋体" w:cs="宋体"/>
          <w:b/>
          <w:bCs w:val="0"/>
          <w:color w:val="auto"/>
          <w:sz w:val="24"/>
          <w:szCs w:val="24"/>
          <w:highlight w:val="none"/>
        </w:rPr>
      </w:pPr>
      <w:bookmarkStart w:id="9" w:name="_Toc29108"/>
      <w:bookmarkEnd w:id="9"/>
      <w:bookmarkStart w:id="10" w:name="_Toc32031"/>
      <w:bookmarkEnd w:id="10"/>
      <w:bookmarkStart w:id="11" w:name="_Toc26193"/>
      <w:bookmarkStart w:id="12" w:name="_Toc17680"/>
      <w:bookmarkStart w:id="13" w:name="_Toc35393790"/>
      <w:bookmarkStart w:id="14" w:name="_Toc13919"/>
      <w:bookmarkStart w:id="15" w:name="_Toc28359079"/>
      <w:bookmarkStart w:id="16" w:name="_Toc28359002"/>
      <w:bookmarkStart w:id="17" w:name="_Toc35393621"/>
      <w:bookmarkStart w:id="18" w:name="_Hlk24379207"/>
      <w:r>
        <w:rPr>
          <w:rFonts w:hint="eastAsia" w:ascii="宋体" w:hAnsi="宋体" w:eastAsia="宋体" w:cs="宋体"/>
          <w:b/>
          <w:bCs w:val="0"/>
          <w:color w:val="auto"/>
          <w:sz w:val="24"/>
          <w:szCs w:val="24"/>
          <w:highlight w:val="none"/>
        </w:rPr>
        <w:t>一、项目基本情况</w:t>
      </w:r>
      <w:bookmarkEnd w:id="11"/>
      <w:bookmarkEnd w:id="12"/>
      <w:bookmarkEnd w:id="13"/>
      <w:bookmarkEnd w:id="14"/>
      <w:bookmarkEnd w:id="15"/>
      <w:bookmarkEnd w:id="16"/>
      <w:bookmarkEnd w:id="17"/>
    </w:p>
    <w:p w14:paraId="5F430D7C">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1.政采云项目编号：</w:t>
      </w:r>
      <w:r>
        <w:rPr>
          <w:rFonts w:hint="eastAsia" w:ascii="宋体" w:hAnsi="宋体" w:cs="宋体"/>
          <w:color w:val="auto"/>
          <w:kern w:val="2"/>
          <w:sz w:val="24"/>
          <w:szCs w:val="24"/>
          <w:highlight w:val="none"/>
          <w:lang w:eastAsia="zh-CN" w:bidi="ar"/>
        </w:rPr>
        <w:t>YNZC2025-G1-02974-SBGC-0006</w:t>
      </w:r>
      <w:r>
        <w:rPr>
          <w:rFonts w:hint="eastAsia" w:ascii="宋体" w:hAnsi="宋体" w:cs="宋体"/>
          <w:color w:val="auto"/>
          <w:kern w:val="2"/>
          <w:sz w:val="24"/>
          <w:szCs w:val="24"/>
          <w:highlight w:val="none"/>
          <w:lang w:bidi="ar"/>
        </w:rPr>
        <w:t xml:space="preserve">   </w:t>
      </w:r>
    </w:p>
    <w:p w14:paraId="255E6B74">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2.项目名称：</w:t>
      </w:r>
      <w:r>
        <w:rPr>
          <w:rFonts w:hint="eastAsia" w:ascii="宋体" w:hAnsi="宋体" w:cs="宋体"/>
          <w:color w:val="auto"/>
          <w:kern w:val="2"/>
          <w:sz w:val="24"/>
          <w:szCs w:val="24"/>
          <w:highlight w:val="none"/>
          <w:lang w:eastAsia="zh-CN" w:bidi="ar"/>
        </w:rPr>
        <w:t>云南省建水监狱2025年—2026年罪犯蛋类、蔬菜类生活物资采购项目</w:t>
      </w:r>
    </w:p>
    <w:bookmarkEnd w:id="18"/>
    <w:p w14:paraId="2C38C147">
      <w:pPr>
        <w:widowControl w:val="0"/>
        <w:spacing w:line="360" w:lineRule="auto"/>
        <w:ind w:firstLine="480" w:firstLineChars="200"/>
        <w:jc w:val="both"/>
        <w:rPr>
          <w:rFonts w:hint="default"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bidi="ar"/>
        </w:rPr>
        <w:t>3.预算金额：</w:t>
      </w:r>
      <w:r>
        <w:rPr>
          <w:rFonts w:hint="eastAsia" w:ascii="宋体" w:hAnsi="宋体" w:cs="宋体"/>
          <w:color w:val="auto"/>
          <w:kern w:val="2"/>
          <w:sz w:val="24"/>
          <w:szCs w:val="24"/>
          <w:highlight w:val="none"/>
          <w:lang w:val="en-US" w:eastAsia="zh-CN" w:bidi="ar"/>
        </w:rPr>
        <w:t>2000000.00 元。</w:t>
      </w:r>
    </w:p>
    <w:p w14:paraId="4366F42C">
      <w:pPr>
        <w:widowControl w:val="0"/>
        <w:spacing w:line="360" w:lineRule="auto"/>
        <w:ind w:firstLine="480" w:firstLineChars="200"/>
        <w:jc w:val="both"/>
        <w:rPr>
          <w:rFonts w:hint="eastAsia" w:ascii="宋体" w:hAnsi="宋体" w:cs="宋体"/>
          <w:color w:val="auto"/>
          <w:sz w:val="24"/>
          <w:szCs w:val="24"/>
          <w:highlight w:val="none"/>
          <w:shd w:val="clear" w:color="auto" w:fill="FFFFFF"/>
        </w:rPr>
      </w:pPr>
      <w:r>
        <w:rPr>
          <w:rFonts w:hint="eastAsia" w:ascii="宋体" w:hAnsi="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bidi="ar"/>
        </w:rPr>
        <w:t>.采购需求：为</w:t>
      </w:r>
      <w:r>
        <w:rPr>
          <w:rFonts w:hint="eastAsia" w:ascii="宋体" w:hAnsi="宋体" w:cs="宋体"/>
          <w:color w:val="auto"/>
          <w:kern w:val="2"/>
          <w:sz w:val="24"/>
          <w:szCs w:val="24"/>
          <w:highlight w:val="none"/>
          <w:lang w:val="en-US" w:eastAsia="zh-CN" w:bidi="ar"/>
        </w:rPr>
        <w:t>保障监狱</w:t>
      </w:r>
      <w:r>
        <w:rPr>
          <w:rFonts w:hint="eastAsia" w:ascii="宋体" w:hAnsi="宋体" w:cs="宋体"/>
          <w:color w:val="auto"/>
          <w:kern w:val="2"/>
          <w:sz w:val="24"/>
          <w:szCs w:val="24"/>
          <w:highlight w:val="none"/>
          <w:lang w:eastAsia="zh-CN" w:bidi="ar"/>
        </w:rPr>
        <w:t>罪犯生活</w:t>
      </w:r>
      <w:r>
        <w:rPr>
          <w:rFonts w:hint="eastAsia" w:ascii="宋体" w:hAnsi="宋体" w:cs="宋体"/>
          <w:color w:val="auto"/>
          <w:kern w:val="2"/>
          <w:sz w:val="24"/>
          <w:szCs w:val="24"/>
          <w:highlight w:val="none"/>
          <w:lang w:bidi="ar"/>
        </w:rPr>
        <w:t>，</w:t>
      </w:r>
      <w:r>
        <w:rPr>
          <w:rFonts w:hint="eastAsia" w:ascii="宋体" w:hAnsi="宋体" w:cs="宋体"/>
          <w:color w:val="auto"/>
          <w:kern w:val="2"/>
          <w:sz w:val="24"/>
          <w:szCs w:val="24"/>
          <w:highlight w:val="none"/>
          <w:lang w:val="en-US" w:eastAsia="zh-CN" w:bidi="ar"/>
        </w:rPr>
        <w:t>须</w:t>
      </w:r>
      <w:r>
        <w:rPr>
          <w:rFonts w:hint="eastAsia" w:ascii="宋体" w:hAnsi="宋体" w:cs="宋体"/>
          <w:color w:val="auto"/>
          <w:kern w:val="2"/>
          <w:sz w:val="24"/>
          <w:szCs w:val="24"/>
          <w:highlight w:val="none"/>
          <w:lang w:bidi="ar"/>
        </w:rPr>
        <w:t>采购一批</w:t>
      </w:r>
      <w:r>
        <w:rPr>
          <w:rFonts w:hint="eastAsia" w:ascii="宋体" w:hAnsi="宋体" w:cs="宋体"/>
          <w:color w:val="auto"/>
          <w:kern w:val="2"/>
          <w:sz w:val="24"/>
          <w:szCs w:val="24"/>
          <w:highlight w:val="none"/>
          <w:lang w:eastAsia="zh-CN" w:bidi="ar"/>
        </w:rPr>
        <w:t>罪犯生活物资</w:t>
      </w:r>
      <w:r>
        <w:rPr>
          <w:rFonts w:hint="eastAsia" w:ascii="宋体" w:hAnsi="宋体" w:cs="宋体"/>
          <w:color w:val="auto"/>
          <w:kern w:val="2"/>
          <w:sz w:val="24"/>
          <w:szCs w:val="24"/>
          <w:highlight w:val="none"/>
          <w:lang w:bidi="ar"/>
        </w:rPr>
        <w:t>，具体详见招标文件第六章“采购需求”</w:t>
      </w:r>
      <w:r>
        <w:rPr>
          <w:rFonts w:hint="eastAsia" w:ascii="宋体" w:hAnsi="宋体" w:cs="宋体"/>
          <w:color w:val="auto"/>
          <w:sz w:val="24"/>
          <w:szCs w:val="24"/>
          <w:highlight w:val="none"/>
          <w:shd w:val="clear" w:color="auto" w:fill="FFFFFF"/>
        </w:rPr>
        <w:t>。</w:t>
      </w:r>
    </w:p>
    <w:tbl>
      <w:tblPr>
        <w:tblStyle w:val="23"/>
        <w:tblpPr w:leftFromText="180" w:rightFromText="180" w:vertAnchor="text" w:horzAnchor="page" w:tblpX="1258" w:tblpY="1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898"/>
        <w:gridCol w:w="1217"/>
        <w:gridCol w:w="2437"/>
        <w:gridCol w:w="877"/>
        <w:gridCol w:w="1203"/>
        <w:gridCol w:w="2009"/>
      </w:tblGrid>
      <w:tr w14:paraId="48D9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964" w:type="dxa"/>
            <w:vAlign w:val="center"/>
          </w:tcPr>
          <w:p w14:paraId="07378F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rPr>
              <w:t>序号</w:t>
            </w:r>
          </w:p>
        </w:tc>
        <w:tc>
          <w:tcPr>
            <w:tcW w:w="898" w:type="dxa"/>
            <w:vAlign w:val="center"/>
          </w:tcPr>
          <w:p w14:paraId="2CC887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lang w:eastAsia="zh-CN"/>
              </w:rPr>
              <w:t>标段</w:t>
            </w:r>
          </w:p>
        </w:tc>
        <w:tc>
          <w:tcPr>
            <w:tcW w:w="1217" w:type="dxa"/>
            <w:vAlign w:val="center"/>
          </w:tcPr>
          <w:p w14:paraId="16075C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是否</w:t>
            </w:r>
          </w:p>
          <w:p w14:paraId="4ADC5D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rPr>
              <w:t>进口</w:t>
            </w:r>
          </w:p>
        </w:tc>
        <w:tc>
          <w:tcPr>
            <w:tcW w:w="2437" w:type="dxa"/>
            <w:vAlign w:val="center"/>
          </w:tcPr>
          <w:p w14:paraId="739CD8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rPr>
              <w:t>项目（产品）名称</w:t>
            </w:r>
          </w:p>
        </w:tc>
        <w:tc>
          <w:tcPr>
            <w:tcW w:w="877" w:type="dxa"/>
            <w:vAlign w:val="center"/>
          </w:tcPr>
          <w:p w14:paraId="791189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rPr>
              <w:t>数量</w:t>
            </w:r>
          </w:p>
        </w:tc>
        <w:tc>
          <w:tcPr>
            <w:tcW w:w="1203" w:type="dxa"/>
            <w:vAlign w:val="center"/>
          </w:tcPr>
          <w:p w14:paraId="3A8934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rPr>
              <w:t>计量单位</w:t>
            </w:r>
          </w:p>
        </w:tc>
        <w:tc>
          <w:tcPr>
            <w:tcW w:w="2009" w:type="dxa"/>
            <w:vAlign w:val="center"/>
          </w:tcPr>
          <w:p w14:paraId="3CC27C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kern w:val="0"/>
                <w:sz w:val="24"/>
                <w:szCs w:val="24"/>
                <w:highlight w:val="none"/>
                <w:lang w:val="en-US" w:eastAsia="zh-CN"/>
              </w:rPr>
              <w:t>预算金额（元）</w:t>
            </w:r>
          </w:p>
        </w:tc>
      </w:tr>
      <w:tr w14:paraId="234E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964" w:type="dxa"/>
            <w:vAlign w:val="center"/>
          </w:tcPr>
          <w:p w14:paraId="644D256F">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898" w:type="dxa"/>
            <w:vAlign w:val="center"/>
          </w:tcPr>
          <w:p w14:paraId="6A3CAF79">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217" w:type="dxa"/>
            <w:vAlign w:val="center"/>
          </w:tcPr>
          <w:p w14:paraId="542B55E2">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kern w:val="0"/>
                <w:sz w:val="24"/>
                <w:szCs w:val="24"/>
                <w:highlight w:val="none"/>
              </w:rPr>
              <w:t>否</w:t>
            </w:r>
          </w:p>
        </w:tc>
        <w:tc>
          <w:tcPr>
            <w:tcW w:w="2437" w:type="dxa"/>
            <w:vAlign w:val="center"/>
          </w:tcPr>
          <w:p w14:paraId="695DC896">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蛋类、蔬菜类</w:t>
            </w:r>
          </w:p>
        </w:tc>
        <w:tc>
          <w:tcPr>
            <w:tcW w:w="877" w:type="dxa"/>
            <w:vAlign w:val="center"/>
          </w:tcPr>
          <w:p w14:paraId="47886C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1</w:t>
            </w:r>
          </w:p>
        </w:tc>
        <w:tc>
          <w:tcPr>
            <w:tcW w:w="1203" w:type="dxa"/>
            <w:vAlign w:val="center"/>
          </w:tcPr>
          <w:p w14:paraId="3C9F2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批</w:t>
            </w:r>
          </w:p>
        </w:tc>
        <w:tc>
          <w:tcPr>
            <w:tcW w:w="2009" w:type="dxa"/>
            <w:vAlign w:val="center"/>
          </w:tcPr>
          <w:p w14:paraId="26FA9473">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2000000.00 </w:t>
            </w:r>
          </w:p>
        </w:tc>
      </w:tr>
    </w:tbl>
    <w:p w14:paraId="042EFAD8">
      <w:pPr>
        <w:widowControl w:val="0"/>
        <w:spacing w:line="360" w:lineRule="auto"/>
        <w:ind w:firstLine="720" w:firstLineChars="300"/>
        <w:jc w:val="both"/>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bidi="ar"/>
        </w:rPr>
        <w:t>注：①各</w:t>
      </w:r>
      <w:r>
        <w:rPr>
          <w:rFonts w:hint="eastAsia" w:ascii="宋体" w:hAnsi="宋体" w:cs="宋体"/>
          <w:color w:val="auto"/>
          <w:kern w:val="2"/>
          <w:sz w:val="24"/>
          <w:szCs w:val="24"/>
          <w:highlight w:val="none"/>
          <w:lang w:val="en-US" w:eastAsia="zh-CN" w:bidi="ar"/>
        </w:rPr>
        <w:t>供应商</w:t>
      </w:r>
      <w:r>
        <w:rPr>
          <w:rFonts w:hint="eastAsia" w:ascii="宋体" w:hAnsi="宋体" w:cs="宋体"/>
          <w:color w:val="auto"/>
          <w:kern w:val="2"/>
          <w:sz w:val="24"/>
          <w:szCs w:val="24"/>
          <w:highlight w:val="none"/>
          <w:lang w:bidi="ar"/>
        </w:rPr>
        <w:t>须对所有内容进行</w:t>
      </w:r>
      <w:r>
        <w:rPr>
          <w:rFonts w:hint="eastAsia" w:ascii="宋体" w:hAnsi="宋体" w:cs="宋体"/>
          <w:color w:val="auto"/>
          <w:kern w:val="2"/>
          <w:sz w:val="24"/>
          <w:szCs w:val="24"/>
          <w:highlight w:val="none"/>
          <w:lang w:val="en-US" w:eastAsia="zh-CN" w:bidi="ar"/>
        </w:rPr>
        <w:t>分项报价、</w:t>
      </w:r>
      <w:r>
        <w:rPr>
          <w:rFonts w:hint="eastAsia" w:ascii="宋体" w:hAnsi="宋体" w:cs="宋体"/>
          <w:color w:val="auto"/>
          <w:kern w:val="2"/>
          <w:sz w:val="24"/>
          <w:szCs w:val="24"/>
          <w:highlight w:val="none"/>
          <w:lang w:bidi="ar"/>
        </w:rPr>
        <w:t>整体投标，不得缺项漏项，</w:t>
      </w:r>
      <w:r>
        <w:rPr>
          <w:rFonts w:hint="eastAsia" w:ascii="宋体" w:hAnsi="宋体" w:cs="宋体"/>
          <w:color w:val="auto"/>
          <w:kern w:val="2"/>
          <w:sz w:val="24"/>
          <w:szCs w:val="24"/>
          <w:highlight w:val="none"/>
          <w:lang w:val="en-US" w:eastAsia="zh-CN" w:bidi="ar"/>
        </w:rPr>
        <w:t>且每项分项报价均不得超过单价最高限价或投标总价不得超过预算金额，</w:t>
      </w:r>
      <w:r>
        <w:rPr>
          <w:rFonts w:hint="eastAsia" w:ascii="宋体" w:hAnsi="宋体" w:cs="宋体"/>
          <w:color w:val="auto"/>
          <w:kern w:val="2"/>
          <w:sz w:val="24"/>
          <w:szCs w:val="24"/>
          <w:highlight w:val="none"/>
          <w:lang w:bidi="ar"/>
        </w:rPr>
        <w:t>否则作否决投标处理</w:t>
      </w:r>
      <w:r>
        <w:rPr>
          <w:rFonts w:hint="eastAsia" w:ascii="宋体" w:hAnsi="宋体" w:eastAsia="宋体" w:cs="宋体"/>
          <w:color w:val="auto"/>
          <w:kern w:val="2"/>
          <w:sz w:val="24"/>
          <w:szCs w:val="24"/>
          <w:highlight w:val="none"/>
          <w:lang w:val="en-US" w:eastAsia="zh-CN" w:bidi="ar"/>
        </w:rPr>
        <w:t>。</w:t>
      </w:r>
    </w:p>
    <w:p w14:paraId="18238C04">
      <w:pPr>
        <w:widowControl w:val="0"/>
        <w:spacing w:line="360" w:lineRule="auto"/>
        <w:ind w:firstLine="720" w:firstLineChars="3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②本</w:t>
      </w:r>
      <w:r>
        <w:rPr>
          <w:rFonts w:hint="eastAsia" w:ascii="宋体" w:hAnsi="宋体" w:cs="宋体"/>
          <w:color w:val="auto"/>
          <w:kern w:val="2"/>
          <w:sz w:val="24"/>
          <w:szCs w:val="24"/>
          <w:highlight w:val="none"/>
          <w:lang w:val="en-US" w:eastAsia="zh-CN" w:bidi="ar"/>
        </w:rPr>
        <w:t>项目</w:t>
      </w:r>
      <w:r>
        <w:rPr>
          <w:rFonts w:hint="eastAsia" w:ascii="宋体" w:hAnsi="宋体" w:cs="宋体"/>
          <w:color w:val="auto"/>
          <w:kern w:val="2"/>
          <w:sz w:val="24"/>
          <w:szCs w:val="24"/>
          <w:highlight w:val="none"/>
          <w:lang w:bidi="ar"/>
        </w:rPr>
        <w:t>不接受进口产品</w:t>
      </w:r>
      <w:r>
        <w:rPr>
          <w:rFonts w:hint="eastAsia" w:ascii="宋体" w:hAnsi="宋体" w:cs="宋体"/>
          <w:color w:val="auto"/>
          <w:kern w:val="2"/>
          <w:sz w:val="24"/>
          <w:szCs w:val="24"/>
          <w:highlight w:val="none"/>
          <w:lang w:val="en-US" w:eastAsia="zh-CN" w:bidi="ar"/>
        </w:rPr>
        <w:t>投标</w:t>
      </w:r>
      <w:r>
        <w:rPr>
          <w:rFonts w:hint="eastAsia" w:ascii="宋体" w:hAnsi="宋体" w:cs="宋体"/>
          <w:color w:val="auto"/>
          <w:kern w:val="2"/>
          <w:sz w:val="24"/>
          <w:szCs w:val="24"/>
          <w:highlight w:val="none"/>
          <w:lang w:bidi="ar"/>
        </w:rPr>
        <w:t>，进口产品是指通过中国海关报关验放进入中国境内且产自关境外的产品。</w:t>
      </w:r>
    </w:p>
    <w:p w14:paraId="3B8EB8BE">
      <w:pPr>
        <w:widowControl w:val="0"/>
        <w:spacing w:line="360" w:lineRule="auto"/>
        <w:ind w:firstLine="720" w:firstLineChars="300"/>
        <w:jc w:val="both"/>
        <w:rPr>
          <w:rFonts w:hint="eastAsia" w:ascii="宋体" w:hAnsi="宋体" w:cs="宋体"/>
          <w:color w:val="auto"/>
          <w:sz w:val="24"/>
          <w:highlight w:val="none"/>
        </w:rPr>
      </w:pPr>
      <w:r>
        <w:rPr>
          <w:rFonts w:hint="eastAsia" w:ascii="宋体" w:hAnsi="宋体" w:cs="宋体"/>
          <w:color w:val="auto"/>
          <w:kern w:val="2"/>
          <w:sz w:val="24"/>
          <w:szCs w:val="24"/>
          <w:highlight w:val="none"/>
          <w:lang w:bidi="ar"/>
        </w:rPr>
        <w:t>③</w:t>
      </w:r>
      <w:r>
        <w:rPr>
          <w:rFonts w:hint="eastAsia" w:ascii="宋体" w:hAnsi="宋体" w:cs="宋体"/>
          <w:color w:val="auto"/>
          <w:sz w:val="24"/>
          <w:highlight w:val="none"/>
          <w:lang w:val="en-US" w:eastAsia="zh-CN"/>
        </w:rPr>
        <w:t>本项目对</w:t>
      </w:r>
      <w:r>
        <w:rPr>
          <w:rFonts w:hint="default" w:ascii="宋体" w:hAnsi="宋体" w:cs="宋体"/>
          <w:color w:val="auto"/>
          <w:sz w:val="24"/>
          <w:highlight w:val="none"/>
          <w:lang w:val="en-US" w:eastAsia="zh-CN"/>
        </w:rPr>
        <w:t>单价</w:t>
      </w:r>
      <w:r>
        <w:rPr>
          <w:rFonts w:hint="eastAsia" w:ascii="宋体" w:hAnsi="宋体" w:cs="宋体"/>
          <w:color w:val="auto"/>
          <w:sz w:val="24"/>
          <w:highlight w:val="none"/>
          <w:lang w:val="en-US" w:eastAsia="zh-CN"/>
        </w:rPr>
        <w:t>进行限价</w:t>
      </w:r>
      <w:r>
        <w:rPr>
          <w:rFonts w:hint="default" w:ascii="宋体" w:hAnsi="宋体" w:cs="宋体"/>
          <w:color w:val="auto"/>
          <w:sz w:val="24"/>
          <w:highlight w:val="none"/>
          <w:lang w:eastAsia="zh-CN"/>
        </w:rPr>
        <w:t>，</w:t>
      </w:r>
      <w:r>
        <w:rPr>
          <w:rFonts w:hint="eastAsia" w:ascii="宋体" w:hAnsi="宋体" w:cs="宋体"/>
          <w:color w:val="auto"/>
          <w:sz w:val="24"/>
          <w:highlight w:val="none"/>
          <w:lang w:val="en-US" w:eastAsia="zh-CN"/>
        </w:rPr>
        <w:t>单价最高限价</w:t>
      </w:r>
      <w:r>
        <w:rPr>
          <w:rFonts w:hint="default" w:ascii="宋体" w:hAnsi="宋体" w:cs="宋体"/>
          <w:color w:val="auto"/>
          <w:sz w:val="24"/>
          <w:highlight w:val="none"/>
        </w:rPr>
        <w:t>详见招标文件第</w:t>
      </w:r>
      <w:r>
        <w:rPr>
          <w:rFonts w:hint="eastAsia" w:ascii="宋体" w:hAnsi="宋体" w:cs="宋体"/>
          <w:color w:val="auto"/>
          <w:sz w:val="24"/>
          <w:highlight w:val="none"/>
          <w:lang w:val="en-US" w:eastAsia="zh-CN"/>
        </w:rPr>
        <w:t>六</w:t>
      </w:r>
      <w:r>
        <w:rPr>
          <w:rFonts w:hint="default" w:ascii="宋体" w:hAnsi="宋体" w:cs="宋体"/>
          <w:color w:val="auto"/>
          <w:sz w:val="24"/>
          <w:highlight w:val="none"/>
        </w:rPr>
        <w:t>章</w:t>
      </w:r>
      <w:r>
        <w:rPr>
          <w:rFonts w:hint="eastAsia" w:ascii="宋体" w:hAnsi="宋体" w:cs="宋体"/>
          <w:color w:val="auto"/>
          <w:sz w:val="24"/>
          <w:highlight w:val="none"/>
          <w:lang w:eastAsia="zh-CN"/>
        </w:rPr>
        <w:t>“</w:t>
      </w:r>
      <w:r>
        <w:rPr>
          <w:rFonts w:hint="default" w:ascii="宋体" w:hAnsi="宋体" w:cs="宋体"/>
          <w:color w:val="auto"/>
          <w:sz w:val="24"/>
          <w:highlight w:val="none"/>
        </w:rPr>
        <w:t>采购需求</w:t>
      </w:r>
      <w:r>
        <w:rPr>
          <w:rFonts w:hint="eastAsia" w:ascii="宋体" w:hAnsi="宋体" w:cs="宋体"/>
          <w:color w:val="auto"/>
          <w:sz w:val="24"/>
          <w:highlight w:val="none"/>
          <w:lang w:eastAsia="zh-CN"/>
        </w:rPr>
        <w:t>”，</w:t>
      </w:r>
      <w:r>
        <w:rPr>
          <w:rFonts w:hint="default" w:ascii="宋体" w:hAnsi="宋体" w:cs="宋体"/>
          <w:color w:val="auto"/>
          <w:sz w:val="24"/>
          <w:highlight w:val="none"/>
          <w:lang w:val="en-US" w:eastAsia="zh-CN"/>
        </w:rPr>
        <w:t>最终按实际供货数量据实结算</w:t>
      </w:r>
      <w:r>
        <w:rPr>
          <w:rFonts w:hint="eastAsia" w:ascii="宋体" w:hAnsi="宋体" w:cs="宋体"/>
          <w:color w:val="auto"/>
          <w:sz w:val="24"/>
          <w:highlight w:val="none"/>
          <w:lang w:val="en-US" w:eastAsia="zh-CN"/>
        </w:rPr>
        <w:t>，不超本项目采购预算金额。</w:t>
      </w:r>
    </w:p>
    <w:p w14:paraId="33DE276B">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bidi="ar"/>
        </w:rPr>
        <w:t>.合同履行期限：</w:t>
      </w:r>
      <w:r>
        <w:rPr>
          <w:rFonts w:hint="eastAsia" w:ascii="宋体" w:hAnsi="宋体" w:cs="宋体"/>
          <w:color w:val="auto"/>
          <w:kern w:val="2"/>
          <w:sz w:val="24"/>
          <w:szCs w:val="24"/>
          <w:highlight w:val="none"/>
          <w:lang w:eastAsia="zh-CN" w:bidi="ar"/>
        </w:rPr>
        <w:t>自合同签订之日起1年</w:t>
      </w:r>
      <w:r>
        <w:rPr>
          <w:rFonts w:hint="eastAsia" w:ascii="宋体" w:hAnsi="宋体" w:cs="宋体"/>
          <w:color w:val="auto"/>
          <w:kern w:val="2"/>
          <w:sz w:val="24"/>
          <w:szCs w:val="24"/>
          <w:highlight w:val="none"/>
          <w:lang w:bidi="ar"/>
        </w:rPr>
        <w:t>。</w:t>
      </w:r>
    </w:p>
    <w:p w14:paraId="709DE4EB">
      <w:pPr>
        <w:widowControl w:val="0"/>
        <w:spacing w:line="360" w:lineRule="auto"/>
        <w:ind w:firstLine="480" w:firstLineChars="200"/>
        <w:jc w:val="both"/>
        <w:rPr>
          <w:rFonts w:hint="default"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6.</w:t>
      </w:r>
      <w:r>
        <w:rPr>
          <w:rFonts w:hint="eastAsia" w:ascii="宋体" w:hAnsi="宋体" w:cs="宋体"/>
          <w:color w:val="auto"/>
          <w:sz w:val="24"/>
          <w:szCs w:val="24"/>
          <w:highlight w:val="none"/>
          <w:lang w:eastAsia="zh-CN"/>
        </w:rPr>
        <w:t>交货方式：按照采购人日常所需计划采购清单数量及要求分批次配送。</w:t>
      </w:r>
    </w:p>
    <w:p w14:paraId="1CC8434D">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val="en-US" w:eastAsia="zh-CN" w:bidi="ar"/>
        </w:rPr>
        <w:t>7</w:t>
      </w:r>
      <w:r>
        <w:rPr>
          <w:rFonts w:hint="eastAsia" w:ascii="宋体" w:hAnsi="宋体" w:cs="宋体"/>
          <w:color w:val="auto"/>
          <w:kern w:val="2"/>
          <w:sz w:val="24"/>
          <w:szCs w:val="24"/>
          <w:highlight w:val="none"/>
          <w:lang w:bidi="ar"/>
        </w:rPr>
        <w:t>.</w:t>
      </w:r>
      <w:r>
        <w:rPr>
          <w:rFonts w:hint="eastAsia" w:ascii="宋体" w:hAnsi="宋体" w:cs="宋体"/>
          <w:color w:val="auto"/>
          <w:kern w:val="2"/>
          <w:sz w:val="24"/>
          <w:szCs w:val="24"/>
          <w:highlight w:val="none"/>
          <w:lang w:eastAsia="zh-CN" w:bidi="ar"/>
        </w:rPr>
        <w:t>交货地点：云南省建水监狱（采购人指定地点）</w:t>
      </w:r>
      <w:r>
        <w:rPr>
          <w:rFonts w:hint="eastAsia" w:ascii="宋体" w:hAnsi="宋体" w:cs="宋体"/>
          <w:color w:val="auto"/>
          <w:kern w:val="2"/>
          <w:sz w:val="24"/>
          <w:szCs w:val="24"/>
          <w:highlight w:val="none"/>
          <w:lang w:bidi="ar"/>
        </w:rPr>
        <w:t>。</w:t>
      </w:r>
    </w:p>
    <w:p w14:paraId="1DF4F94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val="en-US" w:eastAsia="zh-CN" w:bidi="ar"/>
        </w:rPr>
        <w:t>8</w:t>
      </w:r>
      <w:r>
        <w:rPr>
          <w:rFonts w:hint="eastAsia" w:ascii="宋体" w:hAnsi="宋体" w:cs="宋体"/>
          <w:color w:val="auto"/>
          <w:kern w:val="2"/>
          <w:sz w:val="24"/>
          <w:szCs w:val="24"/>
          <w:highlight w:val="none"/>
          <w:lang w:bidi="ar"/>
        </w:rPr>
        <w:t>.质量标准：</w:t>
      </w:r>
      <w:r>
        <w:rPr>
          <w:rFonts w:hint="eastAsia" w:ascii="宋体" w:hAnsi="宋体" w:cs="宋体"/>
          <w:color w:val="auto"/>
          <w:kern w:val="2"/>
          <w:sz w:val="24"/>
          <w:szCs w:val="24"/>
          <w:highlight w:val="none"/>
          <w:lang w:eastAsia="zh-CN" w:bidi="ar"/>
        </w:rPr>
        <w:t>符合现行国家、行业相关的质量要求、规范及标准，满足</w:t>
      </w:r>
      <w:r>
        <w:rPr>
          <w:rFonts w:hint="eastAsia" w:ascii="宋体" w:hAnsi="宋体" w:cs="宋体"/>
          <w:color w:val="auto"/>
          <w:kern w:val="2"/>
          <w:sz w:val="24"/>
          <w:szCs w:val="24"/>
          <w:highlight w:val="none"/>
          <w:lang w:val="en-US" w:eastAsia="zh-CN" w:bidi="ar"/>
        </w:rPr>
        <w:t>采购人</w:t>
      </w:r>
      <w:r>
        <w:rPr>
          <w:rFonts w:hint="eastAsia" w:ascii="宋体" w:hAnsi="宋体" w:cs="宋体"/>
          <w:color w:val="auto"/>
          <w:kern w:val="2"/>
          <w:sz w:val="24"/>
          <w:szCs w:val="24"/>
          <w:highlight w:val="none"/>
          <w:lang w:eastAsia="zh-CN" w:bidi="ar"/>
        </w:rPr>
        <w:t>的订单质量要求，并通过相关验收</w:t>
      </w:r>
      <w:r>
        <w:rPr>
          <w:rFonts w:hint="eastAsia" w:ascii="宋体" w:hAnsi="宋体" w:cs="宋体"/>
          <w:color w:val="auto"/>
          <w:kern w:val="2"/>
          <w:sz w:val="24"/>
          <w:szCs w:val="24"/>
          <w:highlight w:val="none"/>
          <w:lang w:bidi="ar"/>
        </w:rPr>
        <w:t>。</w:t>
      </w:r>
    </w:p>
    <w:p w14:paraId="3F764BC6">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val="en-US" w:eastAsia="zh-CN" w:bidi="ar"/>
        </w:rPr>
        <w:t>9</w:t>
      </w:r>
      <w:r>
        <w:rPr>
          <w:rFonts w:hint="eastAsia" w:ascii="宋体" w:hAnsi="宋体" w:cs="宋体"/>
          <w:color w:val="auto"/>
          <w:kern w:val="2"/>
          <w:sz w:val="24"/>
          <w:szCs w:val="24"/>
          <w:highlight w:val="none"/>
          <w:lang w:bidi="ar"/>
        </w:rPr>
        <w:t>.本项目不接受联合体投标。</w:t>
      </w:r>
    </w:p>
    <w:p w14:paraId="147EB0B3">
      <w:pPr>
        <w:pStyle w:val="5"/>
        <w:widowControl/>
        <w:spacing w:before="0" w:after="0" w:line="360" w:lineRule="auto"/>
        <w:rPr>
          <w:rFonts w:ascii="宋体" w:hAnsi="宋体" w:eastAsia="宋体" w:cs="宋体"/>
          <w:b/>
          <w:bCs w:val="0"/>
          <w:color w:val="auto"/>
          <w:sz w:val="24"/>
          <w:szCs w:val="24"/>
          <w:highlight w:val="none"/>
        </w:rPr>
      </w:pPr>
      <w:bookmarkStart w:id="19" w:name="_Toc3700"/>
      <w:bookmarkStart w:id="20" w:name="_Toc28359003"/>
      <w:bookmarkStart w:id="21" w:name="_Toc35393791"/>
      <w:bookmarkStart w:id="22" w:name="_Toc13573"/>
      <w:bookmarkStart w:id="23" w:name="_Toc22073"/>
      <w:bookmarkStart w:id="24" w:name="_Toc35393622"/>
      <w:bookmarkStart w:id="25" w:name="_Toc28359080"/>
      <w:r>
        <w:rPr>
          <w:rFonts w:hint="eastAsia" w:ascii="宋体" w:hAnsi="宋体" w:eastAsia="宋体" w:cs="宋体"/>
          <w:b/>
          <w:bCs w:val="0"/>
          <w:color w:val="auto"/>
          <w:sz w:val="24"/>
          <w:szCs w:val="24"/>
          <w:highlight w:val="none"/>
        </w:rPr>
        <w:t>二、投标人的资格要求</w:t>
      </w:r>
      <w:bookmarkEnd w:id="19"/>
      <w:bookmarkEnd w:id="20"/>
      <w:bookmarkEnd w:id="21"/>
      <w:bookmarkEnd w:id="22"/>
      <w:bookmarkEnd w:id="23"/>
      <w:bookmarkEnd w:id="24"/>
      <w:bookmarkEnd w:id="25"/>
    </w:p>
    <w:p w14:paraId="1E1159CE">
      <w:pPr>
        <w:widowControl w:val="0"/>
        <w:spacing w:line="360" w:lineRule="auto"/>
        <w:ind w:firstLine="482" w:firstLineChars="200"/>
        <w:jc w:val="both"/>
        <w:rPr>
          <w:rFonts w:ascii="宋体" w:hAnsi="宋体" w:cs="宋体"/>
          <w:b/>
          <w:bCs/>
          <w:color w:val="auto"/>
          <w:kern w:val="2"/>
          <w:sz w:val="24"/>
          <w:szCs w:val="24"/>
          <w:highlight w:val="none"/>
          <w:lang w:bidi="ar"/>
        </w:rPr>
      </w:pPr>
      <w:bookmarkStart w:id="26" w:name="_Toc28359081"/>
      <w:bookmarkStart w:id="27" w:name="_Toc35393792"/>
      <w:bookmarkStart w:id="28" w:name="_Toc31262"/>
      <w:bookmarkStart w:id="29" w:name="_Toc28359004"/>
      <w:bookmarkStart w:id="30" w:name="_Toc35393623"/>
      <w:r>
        <w:rPr>
          <w:rFonts w:hint="eastAsia" w:ascii="宋体" w:hAnsi="宋体" w:cs="宋体"/>
          <w:b/>
          <w:bCs/>
          <w:color w:val="auto"/>
          <w:kern w:val="2"/>
          <w:sz w:val="24"/>
          <w:szCs w:val="24"/>
          <w:highlight w:val="none"/>
          <w:lang w:bidi="ar"/>
        </w:rPr>
        <w:t>1.满足《中华人民共和国政府采购法》第二十二条规定；</w:t>
      </w:r>
    </w:p>
    <w:p w14:paraId="0DCFD3CD">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1.1具有独立承担民事责任的能力（提供法人或者其他组织的营业执照等证明文件）。</w:t>
      </w:r>
    </w:p>
    <w:p w14:paraId="24CFB466">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1.2具有良好的商业信誉和健全的财务会计制度。投标人提供以下两者其一即可：</w:t>
      </w:r>
    </w:p>
    <w:p w14:paraId="463D5EE5">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①提供2022年或</w:t>
      </w:r>
      <w:r>
        <w:rPr>
          <w:rFonts w:hint="eastAsia" w:ascii="宋体" w:hAnsi="宋体" w:cs="宋体"/>
          <w:color w:val="auto"/>
          <w:kern w:val="2"/>
          <w:sz w:val="24"/>
          <w:szCs w:val="24"/>
          <w:highlight w:val="none"/>
          <w:lang w:eastAsia="zh-CN" w:bidi="ar"/>
        </w:rPr>
        <w:t>2023年或2024年经审计</w:t>
      </w:r>
      <w:r>
        <w:rPr>
          <w:rFonts w:hint="eastAsia" w:ascii="宋体" w:hAnsi="宋体" w:cs="宋体"/>
          <w:color w:val="auto"/>
          <w:kern w:val="2"/>
          <w:sz w:val="24"/>
          <w:szCs w:val="24"/>
          <w:highlight w:val="none"/>
          <w:lang w:bidi="ar"/>
        </w:rPr>
        <w:t>的财务报告(至少包括资产负债表、利润表、现金流量表)，新成立不满1年的投标人</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提供自成立至今的财务报表；</w:t>
      </w:r>
    </w:p>
    <w:p w14:paraId="7BF0EC58">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②提供自投标文件上传截止时间</w:t>
      </w:r>
      <w:r>
        <w:rPr>
          <w:rFonts w:hint="eastAsia" w:ascii="宋体" w:hAnsi="宋体" w:cs="宋体"/>
          <w:color w:val="auto"/>
          <w:kern w:val="2"/>
          <w:sz w:val="24"/>
          <w:szCs w:val="24"/>
          <w:highlight w:val="none"/>
          <w:lang w:eastAsia="zh-CN" w:bidi="ar"/>
        </w:rPr>
        <w:t>前三个月内基本开户银行出具的资信证明或承诺函</w:t>
      </w:r>
      <w:r>
        <w:rPr>
          <w:rFonts w:hint="eastAsia" w:ascii="宋体" w:hAnsi="宋体" w:cs="宋体"/>
          <w:color w:val="auto"/>
          <w:kern w:val="2"/>
          <w:sz w:val="24"/>
          <w:szCs w:val="24"/>
          <w:highlight w:val="none"/>
          <w:lang w:bidi="ar"/>
        </w:rPr>
        <w:t>。</w:t>
      </w:r>
    </w:p>
    <w:p w14:paraId="0240FB8D">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1.3具有履行合同所必需的设备和专业技术能力（</w:t>
      </w:r>
      <w:r>
        <w:rPr>
          <w:rFonts w:hint="eastAsia" w:ascii="宋体" w:hAnsi="宋体" w:cs="宋体"/>
          <w:color w:val="auto"/>
          <w:sz w:val="24"/>
          <w:szCs w:val="24"/>
          <w:highlight w:val="none"/>
        </w:rPr>
        <w:t>提供相关证明材料或承诺书</w:t>
      </w:r>
      <w:r>
        <w:rPr>
          <w:rFonts w:hint="eastAsia" w:ascii="宋体" w:hAnsi="宋体" w:cs="宋体"/>
          <w:color w:val="auto"/>
          <w:kern w:val="2"/>
          <w:sz w:val="24"/>
          <w:szCs w:val="24"/>
          <w:highlight w:val="none"/>
          <w:lang w:bidi="ar"/>
        </w:rPr>
        <w:t>）。</w:t>
      </w:r>
    </w:p>
    <w:p w14:paraId="4F0E48DD">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1.4具有依法缴纳税收和社会保障资金的良好记录。提供2024年1月至今</w:t>
      </w:r>
      <w:r>
        <w:rPr>
          <w:rFonts w:hint="eastAsia" w:ascii="宋体" w:hAnsi="宋体" w:cs="宋体"/>
          <w:color w:val="auto"/>
          <w:kern w:val="2"/>
          <w:sz w:val="24"/>
          <w:szCs w:val="24"/>
          <w:highlight w:val="none"/>
          <w:lang w:eastAsia="zh-CN" w:bidi="ar"/>
        </w:rPr>
        <w:t>任意3个月</w:t>
      </w:r>
      <w:r>
        <w:rPr>
          <w:rFonts w:hint="eastAsia" w:ascii="宋体" w:hAnsi="宋体" w:cs="宋体"/>
          <w:color w:val="auto"/>
          <w:kern w:val="2"/>
          <w:sz w:val="24"/>
          <w:szCs w:val="24"/>
          <w:highlight w:val="none"/>
          <w:lang w:bidi="ar"/>
        </w:rPr>
        <w:t>依法缴纳税收和缴纳社会保障资金的证明(</w:t>
      </w:r>
      <w:r>
        <w:rPr>
          <w:rFonts w:hint="eastAsia" w:ascii="宋体" w:hAnsi="宋体" w:cs="宋体"/>
          <w:color w:val="auto"/>
          <w:kern w:val="2"/>
          <w:sz w:val="24"/>
          <w:szCs w:val="24"/>
          <w:highlight w:val="none"/>
          <w:lang w:eastAsia="zh-CN" w:bidi="ar"/>
        </w:rPr>
        <w:t>成立未满3个月的提供成立</w:t>
      </w:r>
      <w:r>
        <w:rPr>
          <w:rFonts w:hint="eastAsia" w:ascii="宋体" w:hAnsi="宋体" w:cs="宋体"/>
          <w:color w:val="auto"/>
          <w:kern w:val="2"/>
          <w:sz w:val="24"/>
          <w:szCs w:val="24"/>
          <w:highlight w:val="none"/>
          <w:lang w:bidi="ar"/>
        </w:rPr>
        <w:t>以来的税收和社会保障资金缴纳凭据；依法免税或不需要缴纳社会保障资金的投标人，应提供相应文件证明)。</w:t>
      </w:r>
    </w:p>
    <w:p w14:paraId="43888DCF">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1.5参加政府采购活动前三年内，在经营活动中没有重大违法记录</w:t>
      </w:r>
      <w:r>
        <w:rPr>
          <w:rFonts w:hint="eastAsia" w:ascii="宋体" w:hAnsi="宋体" w:cs="宋体"/>
          <w:color w:val="auto"/>
          <w:sz w:val="24"/>
          <w:szCs w:val="24"/>
          <w:highlight w:val="none"/>
        </w:rPr>
        <w:t>（重大违法记录是指投标人因违法经营受到刑事处罚或者责令停产停业、吊销许可证或者执照、较大数额罚款等行政处罚）的书面声明</w:t>
      </w:r>
      <w:r>
        <w:rPr>
          <w:rFonts w:hint="eastAsia" w:ascii="宋体" w:hAnsi="宋体" w:cs="宋体"/>
          <w:color w:val="auto"/>
          <w:kern w:val="2"/>
          <w:sz w:val="24"/>
          <w:szCs w:val="24"/>
          <w:highlight w:val="none"/>
          <w:lang w:bidi="ar"/>
        </w:rPr>
        <w:t>。</w:t>
      </w:r>
    </w:p>
    <w:p w14:paraId="15AF6CC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1.6法律、行政法规规定的其他条件。</w:t>
      </w:r>
    </w:p>
    <w:p w14:paraId="567E8355">
      <w:pPr>
        <w:pageBreakBefore w:val="0"/>
        <w:kinsoku/>
        <w:wordWrap/>
        <w:overflowPunct/>
        <w:topLinePunct w:val="0"/>
        <w:autoSpaceDE/>
        <w:autoSpaceDN/>
        <w:bidi w:val="0"/>
        <w:adjustRightInd/>
        <w:snapToGrid/>
        <w:spacing w:line="360" w:lineRule="auto"/>
        <w:ind w:firstLine="465"/>
        <w:textAlignment w:val="auto"/>
        <w:outlineLvl w:val="9"/>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1.6.1 </w:t>
      </w:r>
      <w:r>
        <w:rPr>
          <w:rFonts w:hint="eastAsia" w:ascii="宋体" w:hAnsi="宋体" w:cs="宋体"/>
          <w:color w:val="auto"/>
          <w:kern w:val="2"/>
          <w:sz w:val="24"/>
          <w:szCs w:val="24"/>
          <w:highlight w:val="none"/>
          <w:lang w:eastAsia="zh-CN" w:bidi="ar"/>
        </w:rPr>
        <w:t>单位负责人为同一人或者存在直接控股、管理关系的不同供应商，不得参加同一合同项下的政府采购活动</w:t>
      </w:r>
      <w:r>
        <w:rPr>
          <w:rFonts w:hint="eastAsia" w:ascii="宋体" w:hAnsi="宋体" w:cs="宋体"/>
          <w:b w:val="0"/>
          <w:bCs w:val="0"/>
          <w:color w:val="auto"/>
          <w:sz w:val="24"/>
          <w:szCs w:val="24"/>
          <w:highlight w:val="none"/>
          <w:lang w:val="en-US" w:eastAsia="zh-CN" w:bidi="ar-SA"/>
        </w:rPr>
        <w:t>；</w:t>
      </w:r>
      <w:r>
        <w:rPr>
          <w:rFonts w:hint="eastAsia" w:ascii="宋体" w:hAnsi="宋体" w:cs="宋体"/>
          <w:color w:val="auto"/>
          <w:kern w:val="2"/>
          <w:sz w:val="24"/>
          <w:szCs w:val="24"/>
          <w:highlight w:val="none"/>
          <w:lang w:bidi="ar"/>
        </w:rPr>
        <w:t>为采购项目提供整体设计、规范编制或者项目管理、监理、检测等服务的供应商，不得再参加该采购项目的其他采购活动。</w:t>
      </w:r>
    </w:p>
    <w:p w14:paraId="002257F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1.6.2投标人应在“信用中国”网站(www.creditchina.gov.cn)未被列入失信被执行人记录、重大税收违法失信主体及中国政府采购网(www.ccgp.gov.cn)没有政府采购严重违法失信行为记录</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提供查询时间为本公告发布之日起至提交投标文件截止时间止的网站截图</w:t>
      </w:r>
      <w:r>
        <w:rPr>
          <w:rFonts w:hint="eastAsia" w:ascii="宋体" w:hAnsi="宋体" w:cs="宋体"/>
          <w:color w:val="auto"/>
          <w:sz w:val="24"/>
          <w:highlight w:val="none"/>
          <w:lang w:eastAsia="zh-CN"/>
        </w:rPr>
        <w:t>，</w:t>
      </w:r>
      <w:r>
        <w:rPr>
          <w:rFonts w:hint="eastAsia" w:ascii="宋体" w:hAnsi="宋体" w:cs="宋体"/>
          <w:color w:val="auto"/>
          <w:sz w:val="24"/>
          <w:highlight w:val="none"/>
        </w:rPr>
        <w:t>查询结果</w:t>
      </w:r>
      <w:r>
        <w:rPr>
          <w:rFonts w:hint="eastAsia" w:ascii="宋体" w:hAnsi="宋体" w:cs="宋体"/>
          <w:color w:val="auto"/>
          <w:sz w:val="24"/>
          <w:highlight w:val="none"/>
          <w:lang w:val="en-US" w:eastAsia="zh-CN"/>
        </w:rPr>
        <w:t>最终</w:t>
      </w:r>
      <w:r>
        <w:rPr>
          <w:rFonts w:hint="eastAsia" w:ascii="宋体" w:hAnsi="宋体" w:cs="宋体"/>
          <w:color w:val="auto"/>
          <w:sz w:val="24"/>
          <w:highlight w:val="none"/>
        </w:rPr>
        <w:t>以采购人、采购代理机构在开标后评标开始前查询结果为准，并将查询记录留存）</w:t>
      </w:r>
      <w:r>
        <w:rPr>
          <w:rFonts w:hint="eastAsia" w:ascii="宋体" w:hAnsi="宋体" w:cs="宋体"/>
          <w:color w:val="auto"/>
          <w:kern w:val="2"/>
          <w:sz w:val="24"/>
          <w:szCs w:val="24"/>
          <w:highlight w:val="none"/>
          <w:lang w:bidi="ar"/>
        </w:rPr>
        <w:t>。</w:t>
      </w:r>
    </w:p>
    <w:p w14:paraId="3D3E963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cs="宋体"/>
          <w:b/>
          <w:bCs/>
          <w:color w:val="auto"/>
          <w:kern w:val="2"/>
          <w:sz w:val="24"/>
          <w:szCs w:val="24"/>
          <w:highlight w:val="none"/>
          <w:lang w:bidi="ar"/>
        </w:rPr>
        <w:t>2.落实政府采购政策需满足的资格要求：</w:t>
      </w:r>
      <w:r>
        <w:rPr>
          <w:rFonts w:hint="eastAsia" w:ascii="宋体" w:hAnsi="宋体" w:eastAsia="宋体" w:cs="宋体"/>
          <w:i w:val="0"/>
          <w:iCs w:val="0"/>
          <w:color w:val="auto"/>
          <w:kern w:val="2"/>
          <w:sz w:val="24"/>
          <w:szCs w:val="24"/>
          <w:highlight w:val="none"/>
          <w:lang w:val="en-US" w:eastAsia="zh-CN" w:bidi="ar"/>
        </w:rPr>
        <w:t>本项目为专门面向中小企业采购（投标人</w:t>
      </w:r>
      <w:r>
        <w:rPr>
          <w:rFonts w:hint="eastAsia" w:ascii="宋体" w:hAnsi="宋体" w:cs="宋体"/>
          <w:color w:val="auto"/>
          <w:sz w:val="24"/>
          <w:highlight w:val="none"/>
          <w:lang w:val="en-US" w:eastAsia="zh-CN"/>
        </w:rPr>
        <w:t>须按招标文件要求提供</w:t>
      </w:r>
      <w:r>
        <w:rPr>
          <w:rFonts w:hint="eastAsia" w:ascii="宋体" w:hAnsi="宋体" w:eastAsia="宋体" w:cs="宋体"/>
          <w:i w:val="0"/>
          <w:iCs w:val="0"/>
          <w:color w:val="auto"/>
          <w:kern w:val="2"/>
          <w:sz w:val="24"/>
          <w:szCs w:val="24"/>
          <w:highlight w:val="none"/>
          <w:lang w:val="en-US" w:eastAsia="zh-CN" w:bidi="ar"/>
        </w:rPr>
        <w:t>《中小企业声明函》，否则，其提供的中小企业声明将被判定为无效声明函，由此造成的后果（涉及资格的按无效投标处理；涉及价格评审优惠的，不予认定）由投标人自行承担）</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kern w:val="2"/>
          <w:sz w:val="24"/>
          <w:szCs w:val="24"/>
          <w:highlight w:val="none"/>
          <w:lang w:val="en-US" w:eastAsia="zh-CN" w:bidi="ar"/>
        </w:rPr>
        <w:t>残疾人企业和监狱企业视同为小微企业。</w:t>
      </w:r>
    </w:p>
    <w:p w14:paraId="1760D8BF">
      <w:pPr>
        <w:widowControl w:val="0"/>
        <w:spacing w:line="360" w:lineRule="auto"/>
        <w:ind w:firstLine="482" w:firstLineChars="200"/>
        <w:jc w:val="both"/>
        <w:rPr>
          <w:rFonts w:hint="eastAsia" w:ascii="宋体" w:hAnsi="宋体" w:cs="宋体"/>
          <w:b/>
          <w:bCs/>
          <w:color w:val="auto"/>
          <w:kern w:val="2"/>
          <w:sz w:val="24"/>
          <w:szCs w:val="24"/>
          <w:highlight w:val="none"/>
          <w:lang w:bidi="ar"/>
        </w:rPr>
      </w:pPr>
      <w:r>
        <w:rPr>
          <w:rFonts w:hint="eastAsia" w:ascii="宋体" w:hAnsi="宋体" w:cs="宋体"/>
          <w:b/>
          <w:bCs/>
          <w:color w:val="auto"/>
          <w:kern w:val="2"/>
          <w:sz w:val="24"/>
          <w:szCs w:val="24"/>
          <w:highlight w:val="none"/>
          <w:lang w:bidi="ar"/>
        </w:rPr>
        <w:t>3.本项目的特定资格要求：</w:t>
      </w:r>
    </w:p>
    <w:p w14:paraId="7F0DE4BF">
      <w:pPr>
        <w:widowControl w:val="0"/>
        <w:spacing w:line="360" w:lineRule="auto"/>
        <w:ind w:firstLine="482" w:firstLineChars="200"/>
        <w:jc w:val="both"/>
        <w:rPr>
          <w:rFonts w:hint="eastAsia" w:ascii="宋体" w:hAnsi="宋体" w:eastAsia="宋体" w:cs="宋体"/>
          <w:b w:val="0"/>
          <w:bCs w:val="0"/>
          <w:color w:val="auto"/>
          <w:kern w:val="0"/>
          <w:sz w:val="24"/>
          <w:szCs w:val="21"/>
          <w:highlight w:val="none"/>
          <w:lang w:val="en-US" w:eastAsia="zh-CN" w:bidi="ar"/>
        </w:rPr>
      </w:pPr>
      <w:r>
        <w:rPr>
          <w:rFonts w:hint="eastAsia" w:ascii="宋体" w:hAnsi="宋体" w:cs="宋体"/>
          <w:b/>
          <w:bCs/>
          <w:color w:val="auto"/>
          <w:kern w:val="2"/>
          <w:sz w:val="24"/>
          <w:szCs w:val="24"/>
          <w:highlight w:val="none"/>
          <w:lang w:val="en-US" w:eastAsia="zh-CN" w:bidi="ar"/>
        </w:rPr>
        <w:t>3.1 特定资格：</w:t>
      </w:r>
      <w:r>
        <w:rPr>
          <w:rFonts w:hint="eastAsia" w:ascii="宋体" w:hAnsi="宋体" w:eastAsia="宋体" w:cs="宋体"/>
          <w:color w:val="auto"/>
          <w:kern w:val="0"/>
          <w:sz w:val="24"/>
          <w:highlight w:val="none"/>
          <w:lang w:bidi="ar"/>
        </w:rPr>
        <w:t>投标人须具备有效的《食品生产许可证》或《食品经营许可证》</w:t>
      </w:r>
      <w:r>
        <w:rPr>
          <w:rFonts w:hint="eastAsia" w:ascii="宋体" w:hAnsi="宋体" w:eastAsia="宋体" w:cs="宋体"/>
          <w:color w:val="auto"/>
          <w:kern w:val="0"/>
          <w:sz w:val="24"/>
          <w:highlight w:val="none"/>
          <w:lang w:val="en-US" w:eastAsia="zh-CN" w:bidi="ar"/>
        </w:rPr>
        <w:t>或相关证明材料</w:t>
      </w:r>
      <w:r>
        <w:rPr>
          <w:rFonts w:hint="eastAsia" w:ascii="宋体" w:hAnsi="宋体" w:eastAsia="宋体" w:cs="宋体"/>
          <w:b w:val="0"/>
          <w:bCs w:val="0"/>
          <w:color w:val="auto"/>
          <w:kern w:val="0"/>
          <w:sz w:val="24"/>
          <w:szCs w:val="21"/>
          <w:highlight w:val="none"/>
          <w:lang w:val="en-US" w:eastAsia="zh-CN" w:bidi="ar"/>
        </w:rPr>
        <w:t>（属于销售食用农产品等法律、法规规定的不需要取得食品经营许可情形的，提供相关情况说明）</w:t>
      </w:r>
      <w:r>
        <w:rPr>
          <w:rFonts w:hint="eastAsia" w:ascii="宋体" w:hAnsi="宋体" w:cs="宋体"/>
          <w:b w:val="0"/>
          <w:bCs w:val="0"/>
          <w:color w:val="auto"/>
          <w:kern w:val="0"/>
          <w:sz w:val="24"/>
          <w:szCs w:val="21"/>
          <w:highlight w:val="none"/>
          <w:lang w:val="en-US" w:eastAsia="zh-CN" w:bidi="ar"/>
        </w:rPr>
        <w:t>。</w:t>
      </w:r>
    </w:p>
    <w:p w14:paraId="449243A9">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3.</w:t>
      </w:r>
      <w:r>
        <w:rPr>
          <w:rFonts w:hint="eastAsia" w:ascii="宋体" w:hAnsi="宋体" w:cs="宋体"/>
          <w:color w:val="auto"/>
          <w:kern w:val="2"/>
          <w:sz w:val="24"/>
          <w:szCs w:val="24"/>
          <w:highlight w:val="none"/>
          <w:lang w:val="en-US" w:eastAsia="zh-CN" w:bidi="ar"/>
        </w:rPr>
        <w:t>2</w:t>
      </w:r>
      <w:r>
        <w:rPr>
          <w:rFonts w:hint="eastAsia" w:ascii="宋体" w:hAnsi="宋体" w:cs="宋体"/>
          <w:color w:val="auto"/>
          <w:kern w:val="2"/>
          <w:sz w:val="24"/>
          <w:szCs w:val="24"/>
          <w:highlight w:val="none"/>
          <w:lang w:bidi="ar"/>
        </w:rPr>
        <w:t>本项目不接受联合体投标。</w:t>
      </w:r>
    </w:p>
    <w:p w14:paraId="7940CBCE">
      <w:pPr>
        <w:widowControl/>
        <w:spacing w:line="360" w:lineRule="auto"/>
        <w:ind w:firstLine="480" w:firstLineChars="200"/>
        <w:jc w:val="left"/>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3.3</w:t>
      </w: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不允许转包及分包。</w:t>
      </w:r>
    </w:p>
    <w:bookmarkEnd w:id="26"/>
    <w:bookmarkEnd w:id="27"/>
    <w:bookmarkEnd w:id="28"/>
    <w:bookmarkEnd w:id="29"/>
    <w:bookmarkEnd w:id="30"/>
    <w:p w14:paraId="6C208E0D">
      <w:pPr>
        <w:pStyle w:val="5"/>
        <w:widowControl/>
        <w:spacing w:before="0" w:after="0" w:line="360" w:lineRule="auto"/>
        <w:rPr>
          <w:rFonts w:ascii="宋体" w:hAnsi="宋体" w:eastAsia="宋体" w:cs="宋体"/>
          <w:b/>
          <w:bCs w:val="0"/>
          <w:color w:val="auto"/>
          <w:sz w:val="24"/>
          <w:szCs w:val="24"/>
          <w:highlight w:val="none"/>
        </w:rPr>
      </w:pPr>
      <w:bookmarkStart w:id="31" w:name="_Toc9403"/>
      <w:bookmarkStart w:id="32" w:name="_Toc29552"/>
      <w:bookmarkStart w:id="33" w:name="_Toc15225"/>
      <w:r>
        <w:rPr>
          <w:rFonts w:hint="eastAsia" w:ascii="宋体" w:hAnsi="宋体" w:eastAsia="宋体" w:cs="宋体"/>
          <w:b/>
          <w:bCs w:val="0"/>
          <w:color w:val="auto"/>
          <w:sz w:val="24"/>
          <w:szCs w:val="24"/>
          <w:highlight w:val="none"/>
        </w:rPr>
        <w:t>三、获取招标文件</w:t>
      </w:r>
      <w:bookmarkEnd w:id="31"/>
      <w:bookmarkEnd w:id="32"/>
      <w:bookmarkEnd w:id="33"/>
    </w:p>
    <w:p w14:paraId="613D4EEB">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1.时间：</w:t>
      </w:r>
      <w:r>
        <w:rPr>
          <w:rFonts w:hint="eastAsia" w:ascii="宋体" w:hAnsi="宋体" w:cs="宋体"/>
          <w:color w:val="auto"/>
          <w:kern w:val="2"/>
          <w:sz w:val="24"/>
          <w:szCs w:val="24"/>
          <w:highlight w:val="none"/>
          <w:u w:val="single"/>
          <w:lang w:bidi="ar"/>
        </w:rPr>
        <w:t>202</w:t>
      </w:r>
      <w:r>
        <w:rPr>
          <w:rFonts w:hint="eastAsia" w:ascii="宋体" w:hAnsi="宋体" w:cs="宋体"/>
          <w:color w:val="auto"/>
          <w:kern w:val="2"/>
          <w:sz w:val="24"/>
          <w:szCs w:val="24"/>
          <w:highlight w:val="none"/>
          <w:u w:val="single"/>
          <w:lang w:val="en-US" w:eastAsia="zh-CN" w:bidi="ar"/>
        </w:rPr>
        <w:t>5</w:t>
      </w:r>
      <w:r>
        <w:rPr>
          <w:rFonts w:hint="eastAsia" w:ascii="宋体" w:hAnsi="宋体" w:cs="宋体"/>
          <w:color w:val="auto"/>
          <w:kern w:val="2"/>
          <w:sz w:val="24"/>
          <w:szCs w:val="24"/>
          <w:highlight w:val="none"/>
          <w:u w:val="none"/>
          <w:lang w:bidi="ar"/>
        </w:rPr>
        <w:t>年</w:t>
      </w:r>
      <w:r>
        <w:rPr>
          <w:rFonts w:hint="eastAsia" w:ascii="宋体" w:hAnsi="宋体" w:cs="宋体"/>
          <w:color w:val="auto"/>
          <w:kern w:val="2"/>
          <w:sz w:val="24"/>
          <w:szCs w:val="24"/>
          <w:highlight w:val="none"/>
          <w:u w:val="single"/>
          <w:lang w:val="en-US" w:eastAsia="zh-CN" w:bidi="ar"/>
        </w:rPr>
        <w:t xml:space="preserve"> 6</w:t>
      </w:r>
      <w:r>
        <w:rPr>
          <w:rFonts w:hint="eastAsia" w:ascii="宋体" w:hAnsi="宋体" w:cs="宋体"/>
          <w:color w:val="auto"/>
          <w:kern w:val="2"/>
          <w:sz w:val="24"/>
          <w:szCs w:val="24"/>
          <w:highlight w:val="none"/>
          <w:u w:val="none"/>
          <w:lang w:bidi="ar"/>
        </w:rPr>
        <w:t>月</w:t>
      </w:r>
      <w:r>
        <w:rPr>
          <w:rFonts w:hint="eastAsia" w:ascii="宋体" w:hAnsi="宋体" w:cs="宋体"/>
          <w:color w:val="auto"/>
          <w:kern w:val="2"/>
          <w:sz w:val="24"/>
          <w:szCs w:val="24"/>
          <w:highlight w:val="none"/>
          <w:u w:val="single"/>
          <w:lang w:val="en-US" w:eastAsia="zh-CN" w:bidi="ar"/>
        </w:rPr>
        <w:t xml:space="preserve"> 4 </w:t>
      </w:r>
      <w:r>
        <w:rPr>
          <w:rFonts w:hint="eastAsia" w:ascii="宋体" w:hAnsi="宋体" w:cs="宋体"/>
          <w:color w:val="auto"/>
          <w:kern w:val="2"/>
          <w:sz w:val="24"/>
          <w:szCs w:val="24"/>
          <w:highlight w:val="none"/>
          <w:u w:val="none"/>
          <w:lang w:bidi="ar"/>
        </w:rPr>
        <w:t>日</w:t>
      </w:r>
      <w:r>
        <w:rPr>
          <w:rFonts w:hint="eastAsia" w:ascii="宋体" w:hAnsi="宋体" w:cs="宋体"/>
          <w:color w:val="auto"/>
          <w:kern w:val="2"/>
          <w:sz w:val="24"/>
          <w:szCs w:val="24"/>
          <w:highlight w:val="none"/>
          <w:lang w:bidi="ar"/>
        </w:rPr>
        <w:t>至</w:t>
      </w:r>
      <w:r>
        <w:rPr>
          <w:rFonts w:hint="eastAsia" w:ascii="宋体" w:hAnsi="宋体" w:cs="宋体"/>
          <w:color w:val="auto"/>
          <w:kern w:val="2"/>
          <w:sz w:val="24"/>
          <w:szCs w:val="24"/>
          <w:highlight w:val="none"/>
          <w:u w:val="single"/>
          <w:lang w:bidi="ar"/>
        </w:rPr>
        <w:t>202</w:t>
      </w:r>
      <w:r>
        <w:rPr>
          <w:rFonts w:hint="eastAsia" w:ascii="宋体" w:hAnsi="宋体" w:cs="宋体"/>
          <w:color w:val="auto"/>
          <w:kern w:val="2"/>
          <w:sz w:val="24"/>
          <w:szCs w:val="24"/>
          <w:highlight w:val="none"/>
          <w:u w:val="single"/>
          <w:lang w:val="en-US" w:eastAsia="zh-CN" w:bidi="ar"/>
        </w:rPr>
        <w:t>5</w:t>
      </w:r>
      <w:r>
        <w:rPr>
          <w:rFonts w:hint="eastAsia" w:ascii="宋体" w:hAnsi="宋体" w:cs="宋体"/>
          <w:color w:val="auto"/>
          <w:kern w:val="2"/>
          <w:sz w:val="24"/>
          <w:szCs w:val="24"/>
          <w:highlight w:val="none"/>
          <w:u w:val="none"/>
          <w:lang w:bidi="ar"/>
        </w:rPr>
        <w:t>年</w:t>
      </w:r>
      <w:r>
        <w:rPr>
          <w:rFonts w:hint="eastAsia" w:ascii="宋体" w:hAnsi="宋体" w:cs="宋体"/>
          <w:color w:val="auto"/>
          <w:kern w:val="2"/>
          <w:sz w:val="24"/>
          <w:szCs w:val="24"/>
          <w:highlight w:val="none"/>
          <w:u w:val="single"/>
          <w:lang w:val="en-US" w:eastAsia="zh-CN" w:bidi="ar"/>
        </w:rPr>
        <w:t xml:space="preserve"> 6 </w:t>
      </w:r>
      <w:r>
        <w:rPr>
          <w:rFonts w:hint="eastAsia" w:ascii="宋体" w:hAnsi="宋体" w:cs="宋体"/>
          <w:color w:val="auto"/>
          <w:kern w:val="2"/>
          <w:sz w:val="24"/>
          <w:szCs w:val="24"/>
          <w:highlight w:val="none"/>
          <w:u w:val="none"/>
          <w:lang w:bidi="ar"/>
        </w:rPr>
        <w:t>月</w:t>
      </w:r>
      <w:r>
        <w:rPr>
          <w:rFonts w:hint="eastAsia" w:ascii="宋体" w:hAnsi="宋体" w:cs="宋体"/>
          <w:color w:val="auto"/>
          <w:kern w:val="2"/>
          <w:sz w:val="24"/>
          <w:szCs w:val="24"/>
          <w:highlight w:val="none"/>
          <w:u w:val="single"/>
          <w:lang w:val="en-US" w:eastAsia="zh-CN" w:bidi="ar"/>
        </w:rPr>
        <w:t xml:space="preserve"> 11</w:t>
      </w:r>
      <w:r>
        <w:rPr>
          <w:rFonts w:hint="eastAsia" w:ascii="宋体" w:hAnsi="宋体" w:cs="宋体"/>
          <w:color w:val="auto"/>
          <w:kern w:val="2"/>
          <w:sz w:val="24"/>
          <w:szCs w:val="24"/>
          <w:highlight w:val="none"/>
          <w:u w:val="none"/>
          <w:lang w:bidi="ar"/>
        </w:rPr>
        <w:t>日</w:t>
      </w:r>
      <w:r>
        <w:rPr>
          <w:rFonts w:hint="eastAsia" w:ascii="宋体" w:hAnsi="宋体" w:cs="宋体"/>
          <w:color w:val="auto"/>
          <w:kern w:val="2"/>
          <w:sz w:val="24"/>
          <w:szCs w:val="24"/>
          <w:highlight w:val="none"/>
          <w:lang w:bidi="ar"/>
        </w:rPr>
        <w:t>，每天上午</w:t>
      </w:r>
      <w:r>
        <w:rPr>
          <w:rFonts w:hint="eastAsia" w:ascii="宋体" w:hAnsi="宋体" w:cs="宋体"/>
          <w:color w:val="auto"/>
          <w:kern w:val="2"/>
          <w:sz w:val="24"/>
          <w:szCs w:val="24"/>
          <w:highlight w:val="none"/>
          <w:lang w:val="en-US" w:eastAsia="zh-CN" w:bidi="ar"/>
        </w:rPr>
        <w:t>06</w:t>
      </w:r>
      <w:r>
        <w:rPr>
          <w:rFonts w:hint="eastAsia" w:ascii="宋体" w:hAnsi="宋体" w:cs="宋体"/>
          <w:color w:val="auto"/>
          <w:kern w:val="2"/>
          <w:sz w:val="24"/>
          <w:szCs w:val="24"/>
          <w:highlight w:val="none"/>
          <w:lang w:bidi="ar"/>
        </w:rPr>
        <w:t>:00至12:00，下午12:00至23:59（北京时间）</w:t>
      </w:r>
      <w:r>
        <w:rPr>
          <w:rFonts w:hint="eastAsia" w:ascii="宋体" w:hAnsi="宋体" w:cs="宋体"/>
          <w:color w:val="auto"/>
          <w:kern w:val="2"/>
          <w:sz w:val="24"/>
          <w:szCs w:val="24"/>
          <w:highlight w:val="none"/>
          <w:lang w:eastAsia="zh-CN" w:bidi="ar"/>
        </w:rPr>
        <w:t>。</w:t>
      </w:r>
    </w:p>
    <w:p w14:paraId="13D09607">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lang w:bidi="ar"/>
        </w:rPr>
        <w:t>2.地点</w:t>
      </w:r>
      <w:r>
        <w:rPr>
          <w:rFonts w:hint="eastAsia" w:ascii="宋体" w:hAnsi="宋体" w:cs="宋体"/>
          <w:color w:val="auto"/>
          <w:sz w:val="24"/>
          <w:highlight w:val="none"/>
        </w:rPr>
        <w:t>：投标人可自行在“政采云”平台（http：//www.zcygov.cn）下载</w:t>
      </w:r>
      <w:r>
        <w:rPr>
          <w:rFonts w:hint="eastAsia" w:ascii="宋体" w:hAnsi="宋体" w:cs="宋体"/>
          <w:color w:val="auto"/>
          <w:sz w:val="24"/>
          <w:highlight w:val="none"/>
          <w:lang w:eastAsia="zh-CN"/>
        </w:rPr>
        <w:t>招标文件</w:t>
      </w:r>
      <w:r>
        <w:rPr>
          <w:rFonts w:hint="eastAsia" w:ascii="宋体" w:hAnsi="宋体" w:cs="宋体"/>
          <w:color w:val="auto"/>
          <w:sz w:val="24"/>
          <w:highlight w:val="none"/>
        </w:rPr>
        <w:t>（操作路径</w:t>
      </w:r>
      <w:r>
        <w:rPr>
          <w:rFonts w:hint="eastAsia" w:ascii="宋体" w:hAnsi="宋体" w:cs="宋体"/>
          <w:color w:val="auto"/>
          <w:sz w:val="24"/>
          <w:highlight w:val="none"/>
          <w:lang w:eastAsia="zh-CN"/>
        </w:rPr>
        <w:t>：</w:t>
      </w:r>
      <w:r>
        <w:rPr>
          <w:rFonts w:hint="eastAsia" w:ascii="宋体" w:hAnsi="宋体" w:cs="宋体"/>
          <w:color w:val="auto"/>
          <w:sz w:val="24"/>
          <w:highlight w:val="none"/>
        </w:rPr>
        <w:t>登录“政采云”平台-项目采购-获取</w:t>
      </w:r>
      <w:r>
        <w:rPr>
          <w:rFonts w:hint="eastAsia" w:ascii="宋体" w:hAnsi="宋体" w:cs="宋体"/>
          <w:color w:val="auto"/>
          <w:sz w:val="24"/>
          <w:highlight w:val="none"/>
          <w:lang w:eastAsia="zh-CN"/>
        </w:rPr>
        <w:t>招标文件</w:t>
      </w:r>
      <w:r>
        <w:rPr>
          <w:rFonts w:hint="eastAsia" w:ascii="宋体" w:hAnsi="宋体" w:cs="宋体"/>
          <w:color w:val="auto"/>
          <w:sz w:val="24"/>
          <w:highlight w:val="none"/>
        </w:rPr>
        <w:t>-找到本项目-点击“申请获取</w:t>
      </w:r>
      <w:r>
        <w:rPr>
          <w:rFonts w:hint="eastAsia" w:ascii="宋体" w:hAnsi="宋体" w:cs="宋体"/>
          <w:color w:val="auto"/>
          <w:sz w:val="24"/>
          <w:highlight w:val="none"/>
          <w:lang w:eastAsia="zh-CN"/>
        </w:rPr>
        <w:t>招标文件</w:t>
      </w:r>
      <w:r>
        <w:rPr>
          <w:rFonts w:hint="eastAsia" w:ascii="宋体" w:hAnsi="宋体" w:cs="宋体"/>
          <w:color w:val="auto"/>
          <w:sz w:val="24"/>
          <w:highlight w:val="none"/>
        </w:rPr>
        <w:t>”），电子</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制作需要基于“政采云”平台（http：//www.zcygov.cn）获取的</w:t>
      </w:r>
      <w:r>
        <w:rPr>
          <w:rFonts w:hint="eastAsia" w:ascii="宋体" w:hAnsi="宋体" w:cs="宋体"/>
          <w:color w:val="auto"/>
          <w:sz w:val="24"/>
          <w:highlight w:val="none"/>
          <w:lang w:eastAsia="zh-CN"/>
        </w:rPr>
        <w:t>招标文件</w:t>
      </w:r>
      <w:r>
        <w:rPr>
          <w:rFonts w:hint="eastAsia" w:ascii="宋体" w:hAnsi="宋体" w:cs="宋体"/>
          <w:color w:val="auto"/>
          <w:sz w:val="24"/>
          <w:highlight w:val="none"/>
        </w:rPr>
        <w:t>编制。</w:t>
      </w:r>
    </w:p>
    <w:p w14:paraId="660B408C">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3.方式：凡有意参加投标者，须在政采云平台办理数字证书（CA），并在政采云绑定数字证书（CA）后线上获取</w:t>
      </w:r>
      <w:r>
        <w:rPr>
          <w:rFonts w:hint="eastAsia" w:ascii="宋体" w:hAnsi="宋体" w:cs="宋体"/>
          <w:color w:val="auto"/>
          <w:kern w:val="2"/>
          <w:sz w:val="24"/>
          <w:szCs w:val="24"/>
          <w:highlight w:val="none"/>
          <w:lang w:eastAsia="zh-CN" w:bidi="ar"/>
        </w:rPr>
        <w:t>招标文件</w:t>
      </w:r>
      <w:r>
        <w:rPr>
          <w:rFonts w:hint="eastAsia" w:ascii="宋体" w:hAnsi="宋体" w:cs="宋体"/>
          <w:color w:val="auto"/>
          <w:kern w:val="2"/>
          <w:sz w:val="24"/>
          <w:szCs w:val="24"/>
          <w:highlight w:val="none"/>
          <w:lang w:bidi="ar"/>
        </w:rPr>
        <w:t>及其它</w:t>
      </w:r>
      <w:r>
        <w:rPr>
          <w:rFonts w:hint="eastAsia" w:ascii="宋体" w:hAnsi="宋体" w:cs="宋体"/>
          <w:color w:val="auto"/>
          <w:kern w:val="2"/>
          <w:sz w:val="24"/>
          <w:szCs w:val="24"/>
          <w:highlight w:val="none"/>
          <w:lang w:eastAsia="zh-CN" w:bidi="ar"/>
        </w:rPr>
        <w:t>招标资料</w:t>
      </w:r>
      <w:r>
        <w:rPr>
          <w:rFonts w:hint="eastAsia" w:ascii="宋体" w:hAnsi="宋体" w:cs="宋体"/>
          <w:color w:val="auto"/>
          <w:kern w:val="2"/>
          <w:sz w:val="24"/>
          <w:szCs w:val="24"/>
          <w:highlight w:val="none"/>
          <w:lang w:bidi="ar"/>
        </w:rPr>
        <w:t>。CA申领链接：https://middle.zcygov.cn/ca/apply/list?_app_=zcy.sys，CA申领后需登陆政采云平台完成数字证书（CA）绑定才可以使用，数字证书（CA）详见其办理流程。如有问题可拨打政采云客户服务热线95763进行咨询，数字证书（CA）问题可咨询24小时技术支持热线400-004-0628（紧急办理可拨：19988166369）</w:t>
      </w:r>
    </w:p>
    <w:p w14:paraId="3D3ECEE3">
      <w:pPr>
        <w:pStyle w:val="12"/>
        <w:tabs>
          <w:tab w:val="left" w:pos="2412"/>
          <w:tab w:val="left" w:pos="2812"/>
          <w:tab w:val="left" w:pos="3472"/>
          <w:tab w:val="left" w:pos="6667"/>
          <w:tab w:val="left" w:pos="7270"/>
        </w:tabs>
        <w:ind w:firstLine="480" w:firstLineChars="200"/>
        <w:jc w:val="both"/>
        <w:rPr>
          <w:rFonts w:ascii="宋体" w:hAnsi="宋体"/>
          <w:color w:val="auto"/>
          <w:sz w:val="24"/>
          <w:highlight w:val="none"/>
        </w:rPr>
      </w:pPr>
      <w:r>
        <w:rPr>
          <w:rFonts w:hint="eastAsia" w:ascii="宋体" w:hAnsi="宋体" w:cs="宋体"/>
          <w:color w:val="auto"/>
          <w:sz w:val="24"/>
          <w:highlight w:val="none"/>
          <w:lang w:bidi="ar"/>
        </w:rPr>
        <w:t>4.售价：</w:t>
      </w:r>
      <w:r>
        <w:rPr>
          <w:rFonts w:ascii="宋体" w:hAnsi="宋体"/>
          <w:color w:val="auto"/>
          <w:sz w:val="24"/>
          <w:highlight w:val="none"/>
        </w:rPr>
        <w:t>0元</w:t>
      </w:r>
    </w:p>
    <w:p w14:paraId="71782473">
      <w:pPr>
        <w:pStyle w:val="5"/>
        <w:widowControl/>
        <w:spacing w:before="0" w:after="0" w:line="360" w:lineRule="auto"/>
        <w:rPr>
          <w:rFonts w:ascii="宋体" w:hAnsi="宋体" w:eastAsia="宋体" w:cs="宋体"/>
          <w:b/>
          <w:bCs w:val="0"/>
          <w:color w:val="auto"/>
          <w:sz w:val="24"/>
          <w:szCs w:val="24"/>
          <w:highlight w:val="none"/>
        </w:rPr>
      </w:pPr>
      <w:bookmarkStart w:id="34" w:name="_Toc28359082"/>
      <w:bookmarkStart w:id="35" w:name="_Toc28359005"/>
      <w:bookmarkStart w:id="36" w:name="_Toc10287"/>
      <w:bookmarkStart w:id="37" w:name="_Toc35393624"/>
      <w:bookmarkStart w:id="38" w:name="_Toc19541"/>
      <w:bookmarkStart w:id="39" w:name="_Toc35393793"/>
      <w:bookmarkStart w:id="40" w:name="_Toc30026"/>
      <w:bookmarkStart w:id="41" w:name="_Toc18361"/>
      <w:r>
        <w:rPr>
          <w:rFonts w:hint="eastAsia" w:ascii="宋体" w:hAnsi="宋体" w:eastAsia="宋体" w:cs="宋体"/>
          <w:b/>
          <w:bCs w:val="0"/>
          <w:color w:val="auto"/>
          <w:sz w:val="24"/>
          <w:szCs w:val="24"/>
          <w:highlight w:val="none"/>
        </w:rPr>
        <w:t>四、提交投标文件</w:t>
      </w:r>
      <w:bookmarkEnd w:id="34"/>
      <w:bookmarkEnd w:id="35"/>
      <w:r>
        <w:rPr>
          <w:rFonts w:hint="eastAsia" w:ascii="宋体" w:hAnsi="宋体" w:eastAsia="宋体" w:cs="宋体"/>
          <w:b/>
          <w:bCs w:val="0"/>
          <w:color w:val="auto"/>
          <w:sz w:val="24"/>
          <w:szCs w:val="24"/>
          <w:highlight w:val="none"/>
        </w:rPr>
        <w:t>截止时间、开标时间和地点</w:t>
      </w:r>
      <w:bookmarkEnd w:id="36"/>
      <w:bookmarkEnd w:id="37"/>
      <w:bookmarkEnd w:id="38"/>
      <w:bookmarkEnd w:id="39"/>
      <w:bookmarkEnd w:id="40"/>
      <w:bookmarkEnd w:id="41"/>
    </w:p>
    <w:p w14:paraId="2BE72FB5">
      <w:pPr>
        <w:widowControl w:val="0"/>
        <w:spacing w:line="360" w:lineRule="auto"/>
        <w:ind w:firstLine="480" w:firstLineChars="200"/>
        <w:jc w:val="both"/>
        <w:rPr>
          <w:rFonts w:hint="eastAsia" w:ascii="宋体" w:hAnsi="宋体" w:eastAsia="宋体" w:cs="宋体"/>
          <w:bCs/>
          <w:color w:val="auto"/>
          <w:kern w:val="2"/>
          <w:sz w:val="24"/>
          <w:szCs w:val="24"/>
          <w:highlight w:val="none"/>
          <w:lang w:eastAsia="zh-CN" w:bidi="ar"/>
        </w:rPr>
      </w:pPr>
      <w:r>
        <w:rPr>
          <w:rFonts w:hint="eastAsia" w:ascii="宋体" w:hAnsi="宋体" w:cs="宋体"/>
          <w:color w:val="auto"/>
          <w:sz w:val="24"/>
          <w:szCs w:val="24"/>
          <w:highlight w:val="none"/>
        </w:rPr>
        <w:t>1.提交投标文件截止时间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开标时间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5</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u w:val="single"/>
          <w:lang w:val="en-US" w:eastAsia="zh-CN"/>
        </w:rPr>
        <w:t>25</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u w:val="single"/>
          <w:lang w:val="en-US" w:eastAsia="zh-CN"/>
        </w:rPr>
        <w:t>10</w:t>
      </w:r>
      <w:r>
        <w:rPr>
          <w:rFonts w:hint="eastAsia" w:ascii="宋体" w:hAnsi="宋体" w:cs="宋体"/>
          <w:color w:val="auto"/>
          <w:sz w:val="24"/>
          <w:szCs w:val="24"/>
          <w:highlight w:val="none"/>
          <w:lang w:eastAsia="zh-CN"/>
        </w:rPr>
        <w:t>时</w:t>
      </w:r>
      <w:r>
        <w:rPr>
          <w:rFonts w:hint="eastAsia" w:ascii="宋体" w:hAnsi="宋体" w:cs="宋体"/>
          <w:color w:val="auto"/>
          <w:sz w:val="24"/>
          <w:szCs w:val="24"/>
          <w:highlight w:val="none"/>
          <w:u w:val="single"/>
          <w:lang w:eastAsia="zh-CN"/>
        </w:rPr>
        <w:t>00</w:t>
      </w:r>
      <w:r>
        <w:rPr>
          <w:rFonts w:hint="eastAsia" w:ascii="宋体" w:hAnsi="宋体" w:cs="宋体"/>
          <w:color w:val="auto"/>
          <w:sz w:val="24"/>
          <w:szCs w:val="24"/>
          <w:highlight w:val="none"/>
          <w:lang w:eastAsia="zh-CN"/>
        </w:rPr>
        <w:t>分</w:t>
      </w:r>
      <w:r>
        <w:rPr>
          <w:rFonts w:hint="eastAsia" w:ascii="宋体" w:hAnsi="宋体" w:cs="宋体"/>
          <w:bCs/>
          <w:color w:val="auto"/>
          <w:kern w:val="2"/>
          <w:sz w:val="24"/>
          <w:szCs w:val="24"/>
          <w:highlight w:val="none"/>
          <w:lang w:bidi="ar"/>
        </w:rPr>
        <w:t>（北京时间）</w:t>
      </w:r>
      <w:r>
        <w:rPr>
          <w:rFonts w:hint="eastAsia" w:ascii="宋体" w:hAnsi="宋体" w:cs="宋体"/>
          <w:bCs/>
          <w:color w:val="auto"/>
          <w:kern w:val="2"/>
          <w:sz w:val="24"/>
          <w:szCs w:val="24"/>
          <w:highlight w:val="none"/>
          <w:lang w:eastAsia="zh-CN" w:bidi="ar"/>
        </w:rPr>
        <w:t>。</w:t>
      </w:r>
    </w:p>
    <w:p w14:paraId="450EA6F9">
      <w:pPr>
        <w:widowControl w:val="0"/>
        <w:spacing w:line="360" w:lineRule="auto"/>
        <w:ind w:firstLine="480" w:firstLineChars="200"/>
        <w:jc w:val="both"/>
        <w:rPr>
          <w:rFonts w:ascii="宋体" w:hAnsi="宋体" w:cs="宋体"/>
          <w:bCs/>
          <w:color w:val="auto"/>
          <w:sz w:val="24"/>
          <w:szCs w:val="24"/>
          <w:highlight w:val="none"/>
          <w:u w:val="single"/>
        </w:rPr>
      </w:pPr>
      <w:r>
        <w:rPr>
          <w:rFonts w:hint="eastAsia" w:ascii="宋体" w:hAnsi="宋体" w:cs="宋体"/>
          <w:color w:val="auto"/>
          <w:kern w:val="2"/>
          <w:sz w:val="24"/>
          <w:szCs w:val="24"/>
          <w:highlight w:val="none"/>
          <w:lang w:bidi="ar"/>
        </w:rPr>
        <w:t>2.地点：</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应按照本项目</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rPr>
        <w:t>文件和“政采云”平台的要求编制、加密后在投标文件提交截止时间前上传至“政采云”平台，投标文件提交截止时间前未完成投标文件上传的，视为撤回投标文件。</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在“政采云”平台提交电子版</w:t>
      </w:r>
      <w:r>
        <w:rPr>
          <w:rFonts w:hint="eastAsia" w:ascii="宋体" w:hAnsi="宋体" w:cs="宋体"/>
          <w:color w:val="auto"/>
          <w:sz w:val="24"/>
          <w:szCs w:val="24"/>
          <w:highlight w:val="none"/>
          <w:lang w:eastAsia="zh-CN"/>
        </w:rPr>
        <w:t>投标文件</w:t>
      </w:r>
      <w:r>
        <w:rPr>
          <w:rFonts w:hint="eastAsia" w:ascii="宋体" w:hAnsi="宋体" w:cs="宋体"/>
          <w:color w:val="auto"/>
          <w:sz w:val="24"/>
          <w:szCs w:val="24"/>
          <w:highlight w:val="none"/>
        </w:rPr>
        <w:t>时，请填写参加远程采购活动经办人联系方式。开标地点：“政采云”平台开标大厅。</w:t>
      </w:r>
    </w:p>
    <w:p w14:paraId="601BD487">
      <w:pPr>
        <w:pStyle w:val="5"/>
        <w:widowControl/>
        <w:spacing w:before="0" w:after="0" w:line="360" w:lineRule="auto"/>
        <w:rPr>
          <w:rFonts w:ascii="宋体" w:hAnsi="宋体" w:eastAsia="宋体" w:cs="宋体"/>
          <w:b/>
          <w:bCs w:val="0"/>
          <w:color w:val="auto"/>
          <w:sz w:val="24"/>
          <w:szCs w:val="24"/>
          <w:highlight w:val="none"/>
        </w:rPr>
      </w:pPr>
      <w:bookmarkStart w:id="42" w:name="_Toc10913"/>
      <w:bookmarkStart w:id="43" w:name="_Toc35393625"/>
      <w:bookmarkStart w:id="44" w:name="_Toc16991"/>
      <w:bookmarkStart w:id="45" w:name="_Toc28359007"/>
      <w:bookmarkStart w:id="46" w:name="_Toc4093"/>
      <w:bookmarkStart w:id="47" w:name="_Toc28359084"/>
      <w:bookmarkStart w:id="48" w:name="_Toc35393794"/>
      <w:bookmarkStart w:id="49" w:name="_Toc10527"/>
      <w:r>
        <w:rPr>
          <w:rFonts w:hint="eastAsia" w:ascii="宋体" w:hAnsi="宋体" w:eastAsia="宋体" w:cs="宋体"/>
          <w:b/>
          <w:bCs w:val="0"/>
          <w:color w:val="auto"/>
          <w:sz w:val="24"/>
          <w:szCs w:val="24"/>
          <w:highlight w:val="none"/>
        </w:rPr>
        <w:t>五、公告期限</w:t>
      </w:r>
      <w:bookmarkEnd w:id="42"/>
      <w:bookmarkEnd w:id="43"/>
      <w:bookmarkEnd w:id="44"/>
      <w:bookmarkEnd w:id="45"/>
      <w:bookmarkEnd w:id="46"/>
      <w:bookmarkEnd w:id="47"/>
      <w:bookmarkEnd w:id="48"/>
      <w:bookmarkEnd w:id="49"/>
    </w:p>
    <w:p w14:paraId="0BD8124C">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自本公告发布之日起5个工作日。</w:t>
      </w:r>
    </w:p>
    <w:p w14:paraId="58773BF4">
      <w:pPr>
        <w:pStyle w:val="5"/>
        <w:widowControl/>
        <w:spacing w:before="0" w:after="0" w:line="360" w:lineRule="auto"/>
        <w:rPr>
          <w:rFonts w:ascii="宋体" w:hAnsi="宋体" w:eastAsia="宋体" w:cs="宋体"/>
          <w:b/>
          <w:bCs w:val="0"/>
          <w:color w:val="auto"/>
          <w:sz w:val="24"/>
          <w:szCs w:val="24"/>
          <w:highlight w:val="none"/>
        </w:rPr>
      </w:pPr>
      <w:bookmarkStart w:id="50" w:name="_Toc1017"/>
      <w:bookmarkStart w:id="51" w:name="_Toc26698"/>
      <w:bookmarkStart w:id="52" w:name="_Toc1383"/>
      <w:bookmarkStart w:id="53" w:name="_Toc35393626"/>
      <w:bookmarkStart w:id="54" w:name="_Toc9215"/>
      <w:bookmarkStart w:id="55" w:name="_Toc35393795"/>
      <w:r>
        <w:rPr>
          <w:rFonts w:hint="eastAsia" w:ascii="宋体" w:hAnsi="宋体" w:eastAsia="宋体" w:cs="宋体"/>
          <w:b/>
          <w:bCs w:val="0"/>
          <w:color w:val="auto"/>
          <w:sz w:val="24"/>
          <w:szCs w:val="24"/>
          <w:highlight w:val="none"/>
        </w:rPr>
        <w:t>六、其他补充事宜</w:t>
      </w:r>
      <w:bookmarkEnd w:id="50"/>
      <w:bookmarkEnd w:id="51"/>
      <w:bookmarkEnd w:id="52"/>
      <w:bookmarkEnd w:id="53"/>
      <w:bookmarkEnd w:id="54"/>
      <w:bookmarkEnd w:id="55"/>
    </w:p>
    <w:p w14:paraId="03606046">
      <w:pPr>
        <w:widowControl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1.开标方式：</w:t>
      </w:r>
      <w:r>
        <w:rPr>
          <w:rFonts w:hint="eastAsia" w:ascii="宋体" w:hAnsi="宋体" w:eastAsia="宋体" w:cs="宋体"/>
          <w:color w:val="auto"/>
          <w:sz w:val="24"/>
          <w:szCs w:val="24"/>
          <w:highlight w:val="none"/>
          <w:u w:val="single"/>
          <w:lang w:val="en-US" w:eastAsia="zh-CN"/>
        </w:rPr>
        <w:t>网上</w:t>
      </w:r>
      <w:r>
        <w:rPr>
          <w:rFonts w:hint="eastAsia" w:ascii="宋体" w:hAnsi="宋体" w:eastAsia="宋体" w:cs="宋体"/>
          <w:color w:val="auto"/>
          <w:sz w:val="24"/>
          <w:szCs w:val="24"/>
          <w:highlight w:val="none"/>
          <w:u w:val="single"/>
        </w:rPr>
        <w:t>开标</w:t>
      </w:r>
    </w:p>
    <w:p w14:paraId="630F2F64">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2.是否需要缴纳投标保证金：</w:t>
      </w:r>
      <w:r>
        <w:rPr>
          <w:rFonts w:hint="eastAsia" w:ascii="宋体" w:hAnsi="宋体" w:cs="宋体"/>
          <w:color w:val="auto"/>
          <w:sz w:val="24"/>
          <w:szCs w:val="24"/>
          <w:highlight w:val="none"/>
          <w:u w:val="single"/>
        </w:rPr>
        <w:t>是</w:t>
      </w:r>
    </w:p>
    <w:p w14:paraId="1F935AD7">
      <w:pPr>
        <w:pStyle w:val="12"/>
        <w:rPr>
          <w:rFonts w:ascii="宋体" w:hAnsi="宋体" w:cs="宋体"/>
          <w:color w:val="auto"/>
          <w:kern w:val="0"/>
          <w:sz w:val="24"/>
          <w:highlight w:val="none"/>
        </w:rPr>
      </w:pPr>
      <w:r>
        <w:rPr>
          <w:rFonts w:hint="eastAsia"/>
          <w:color w:val="auto"/>
          <w:highlight w:val="none"/>
        </w:rPr>
        <w:t xml:space="preserve">    </w:t>
      </w:r>
      <w:r>
        <w:rPr>
          <w:rFonts w:hint="eastAsia" w:ascii="宋体" w:hAnsi="宋体" w:cs="宋体"/>
          <w:color w:val="auto"/>
          <w:kern w:val="0"/>
          <w:sz w:val="24"/>
          <w:highlight w:val="none"/>
          <w:lang w:eastAsia="zh-CN"/>
        </w:rPr>
        <w:t>云南省建水监狱2025年—2026年罪犯蛋类、蔬菜类生活物资采购项目</w:t>
      </w:r>
      <w:r>
        <w:rPr>
          <w:rFonts w:hint="eastAsia" w:ascii="宋体" w:hAnsi="宋体" w:cs="宋体"/>
          <w:color w:val="auto"/>
          <w:kern w:val="0"/>
          <w:sz w:val="24"/>
          <w:highlight w:val="none"/>
        </w:rPr>
        <w:t>：</w:t>
      </w:r>
    </w:p>
    <w:p w14:paraId="1CA14AF3">
      <w:pPr>
        <w:widowControl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rPr>
        <w:t>保证金缴纳金额</w:t>
      </w:r>
      <w:r>
        <w:rPr>
          <w:rFonts w:hint="eastAsia" w:ascii="宋体" w:hAnsi="宋体" w:cs="宋体"/>
          <w:color w:val="auto"/>
          <w:sz w:val="24"/>
          <w:szCs w:val="24"/>
          <w:highlight w:val="none"/>
        </w:rPr>
        <w:t>：</w:t>
      </w:r>
      <w:r>
        <w:rPr>
          <w:rFonts w:hint="eastAsia" w:ascii="宋体" w:hAnsi="宋体" w:cs="宋体"/>
          <w:bCs/>
          <w:color w:val="auto"/>
          <w:sz w:val="24"/>
          <w:szCs w:val="24"/>
          <w:highlight w:val="none"/>
          <w:lang w:eastAsia="zh-CN" w:bidi="ar"/>
        </w:rPr>
        <w:t>20000.00</w:t>
      </w:r>
      <w:r>
        <w:rPr>
          <w:rFonts w:hint="eastAsia" w:ascii="宋体" w:hAnsi="宋体" w:cs="宋体"/>
          <w:bCs/>
          <w:color w:val="auto"/>
          <w:sz w:val="24"/>
          <w:szCs w:val="24"/>
          <w:highlight w:val="none"/>
          <w:lang w:bidi="ar"/>
        </w:rPr>
        <w:t>（元）</w:t>
      </w:r>
    </w:p>
    <w:p w14:paraId="60A26C1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保证金缴纳方式：支票、汇票、本票、保函、保险或者网银转账、电汇等形式。</w:t>
      </w:r>
    </w:p>
    <w:p w14:paraId="31F9510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保证金缴纳截止时间：同投标文件截止时间。</w:t>
      </w:r>
    </w:p>
    <w:p w14:paraId="2AC2EB6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保证金缴纳账户名称: 山标工程项目管理咨询 (云南) 有限公司</w:t>
      </w:r>
    </w:p>
    <w:p w14:paraId="2C4A53C2">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账户号码: 531899991013000560519</w:t>
      </w:r>
    </w:p>
    <w:p w14:paraId="4085C93C">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开户银行: 交通银行股份有限公司昆明北区支行</w:t>
      </w:r>
    </w:p>
    <w:p w14:paraId="6B0E9BA0">
      <w:pPr>
        <w:widowControl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sz w:val="24"/>
          <w:szCs w:val="24"/>
          <w:highlight w:val="none"/>
        </w:rPr>
        <w:t>保证金转账时需注明（</w:t>
      </w:r>
      <w:r>
        <w:rPr>
          <w:rFonts w:hint="eastAsia" w:ascii="宋体" w:hAnsi="宋体" w:cs="宋体"/>
          <w:color w:val="auto"/>
          <w:sz w:val="24"/>
          <w:szCs w:val="24"/>
          <w:highlight w:val="none"/>
          <w:lang w:eastAsia="zh-CN"/>
        </w:rPr>
        <w:t>云南省建水监狱2025年—2026年罪犯蛋类、蔬菜类生活物资采购项目</w:t>
      </w:r>
      <w:r>
        <w:rPr>
          <w:rFonts w:hint="eastAsia" w:ascii="宋体" w:hAnsi="宋体" w:cs="宋体"/>
          <w:color w:val="auto"/>
          <w:sz w:val="24"/>
          <w:szCs w:val="24"/>
          <w:highlight w:val="none"/>
        </w:rPr>
        <w:t>投标保证金</w:t>
      </w:r>
      <w:r>
        <w:rPr>
          <w:rFonts w:hint="eastAsia" w:ascii="宋体" w:hAnsi="宋体" w:cs="宋体"/>
          <w:color w:val="auto"/>
          <w:sz w:val="24"/>
          <w:szCs w:val="24"/>
          <w:highlight w:val="none"/>
          <w:lang w:val="en-US" w:eastAsia="zh-CN"/>
        </w:rPr>
        <w:t>或简写</w:t>
      </w:r>
      <w:r>
        <w:rPr>
          <w:rFonts w:hint="eastAsia" w:ascii="宋体" w:hAnsi="宋体" w:cs="宋体"/>
          <w:color w:val="auto"/>
          <w:sz w:val="24"/>
          <w:szCs w:val="24"/>
          <w:highlight w:val="none"/>
          <w:lang w:eastAsia="zh-CN"/>
        </w:rPr>
        <w:t>建水监狱罪犯生活物资采购项目</w:t>
      </w:r>
      <w:r>
        <w:rPr>
          <w:rFonts w:hint="eastAsia" w:ascii="宋体" w:hAnsi="宋体" w:cs="宋体"/>
          <w:color w:val="auto"/>
          <w:sz w:val="24"/>
          <w:szCs w:val="24"/>
          <w:highlight w:val="none"/>
        </w:rPr>
        <w:t>投标保证金）。</w:t>
      </w:r>
    </w:p>
    <w:p w14:paraId="2D677C1C">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3.其他：</w:t>
      </w:r>
    </w:p>
    <w:p w14:paraId="32E46D28">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3.1本次招标公告在《云南省政府采购网》（http：//www.yngp.com/）上发布，公告内容和时间以云南省政府采购网发布的信息为准。</w:t>
      </w:r>
    </w:p>
    <w:p w14:paraId="3B45706F">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3.2本项目执行政府采购促进中小企业发展、支持监狱企业、促进残疾人就业、强制采购和优先采购节能、环保产品等政府采购政策。</w:t>
      </w:r>
    </w:p>
    <w:p w14:paraId="05BA731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3.3方式：有意参加投标的</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需要在政采云平台办理数字证书（CA）。完成数字证书（CA）办理后，</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需要在政采云平台绑定数字证书(CA)，并在平台上获取</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和其他相关</w:t>
      </w:r>
      <w:r>
        <w:rPr>
          <w:rFonts w:hint="eastAsia" w:ascii="宋体" w:hAnsi="宋体" w:cs="宋体"/>
          <w:color w:val="auto"/>
          <w:sz w:val="24"/>
          <w:szCs w:val="24"/>
          <w:highlight w:val="none"/>
          <w:lang w:eastAsia="zh-CN"/>
        </w:rPr>
        <w:t>招标资料</w:t>
      </w:r>
      <w:r>
        <w:rPr>
          <w:rFonts w:hint="eastAsia" w:ascii="宋体" w:hAnsi="宋体" w:cs="宋体"/>
          <w:color w:val="auto"/>
          <w:sz w:val="24"/>
          <w:szCs w:val="24"/>
          <w:highlight w:val="none"/>
        </w:rPr>
        <w:t>。</w:t>
      </w:r>
    </w:p>
    <w:p w14:paraId="4F52347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注：CA办理链接：http://yzt.ynsmartcert.cn/cms/yztmdkj.html或者https://middle.zcygov.cn/ca/apply/list?_app_=zcy.sys</w:t>
      </w:r>
    </w:p>
    <w:p w14:paraId="4775DABA">
      <w:pPr>
        <w:widowControl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需要注意的是，如果</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之前已经在云南CA在线数字证书办理网注册并办理了企业数字证书（CA），则可以直接进行绑定，无需重复办理。此外，</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在政采云平台办理的其他CA也可以直接使用，无需重复办理。如有问题可拨打政采云客户服务热线95763进行咨询，数字证书问题可咨询云南壹证通CA：0871-67276028（紧急可拨19988166369）。</w:t>
      </w:r>
    </w:p>
    <w:p w14:paraId="2BE95FB7">
      <w:pPr>
        <w:pStyle w:val="5"/>
        <w:widowControl/>
        <w:spacing w:before="0" w:after="0" w:line="360" w:lineRule="auto"/>
        <w:rPr>
          <w:rFonts w:ascii="宋体" w:hAnsi="宋体" w:eastAsia="宋体" w:cs="宋体"/>
          <w:b w:val="0"/>
          <w:color w:val="auto"/>
          <w:sz w:val="24"/>
          <w:szCs w:val="24"/>
          <w:highlight w:val="none"/>
        </w:rPr>
      </w:pPr>
      <w:bookmarkStart w:id="56" w:name="_Toc28359085"/>
      <w:bookmarkStart w:id="57" w:name="_Toc35393796"/>
      <w:bookmarkStart w:id="58" w:name="_Toc28359008"/>
      <w:bookmarkStart w:id="59" w:name="_Toc5865"/>
      <w:bookmarkStart w:id="60" w:name="_Toc35393627"/>
      <w:bookmarkStart w:id="61" w:name="_Toc26230"/>
      <w:bookmarkStart w:id="62" w:name="_Toc16135"/>
      <w:bookmarkStart w:id="63" w:name="_Toc7100"/>
      <w:r>
        <w:rPr>
          <w:rFonts w:hint="eastAsia" w:ascii="宋体" w:hAnsi="宋体" w:eastAsia="宋体" w:cs="宋体"/>
          <w:b w:val="0"/>
          <w:color w:val="auto"/>
          <w:sz w:val="24"/>
          <w:szCs w:val="24"/>
          <w:highlight w:val="none"/>
        </w:rPr>
        <w:t>七、对本次招标提出询问，请按以下方式联系</w:t>
      </w:r>
      <w:bookmarkEnd w:id="56"/>
      <w:bookmarkEnd w:id="57"/>
      <w:bookmarkEnd w:id="58"/>
      <w:bookmarkEnd w:id="59"/>
      <w:bookmarkEnd w:id="60"/>
      <w:bookmarkEnd w:id="61"/>
      <w:bookmarkEnd w:id="62"/>
      <w:bookmarkEnd w:id="63"/>
    </w:p>
    <w:p w14:paraId="64B72D9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1E197F08">
      <w:pPr>
        <w:widowControl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云南省建水监狱</w:t>
      </w:r>
    </w:p>
    <w:p w14:paraId="6474F1CF">
      <w:pPr>
        <w:widowControl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建水县工业大道466号</w:t>
      </w:r>
    </w:p>
    <w:p w14:paraId="25858A26">
      <w:pPr>
        <w:widowControl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联系人：</w:t>
      </w:r>
      <w:bookmarkStart w:id="64" w:name="_Toc28359009"/>
      <w:bookmarkStart w:id="65" w:name="_Toc28359086"/>
      <w:r>
        <w:rPr>
          <w:rFonts w:hint="eastAsia" w:ascii="宋体" w:hAnsi="宋体" w:cs="宋体"/>
          <w:color w:val="auto"/>
          <w:sz w:val="24"/>
          <w:szCs w:val="24"/>
          <w:highlight w:val="none"/>
          <w:lang w:val="en-US" w:eastAsia="zh-CN"/>
        </w:rPr>
        <w:t xml:space="preserve">徐警官 </w:t>
      </w:r>
    </w:p>
    <w:p w14:paraId="04605C0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0873-3182367</w:t>
      </w:r>
    </w:p>
    <w:p w14:paraId="3D7CFDFB">
      <w:pPr>
        <w:widowControl w:val="0"/>
        <w:spacing w:line="360" w:lineRule="auto"/>
        <w:ind w:firstLine="480" w:firstLineChars="200"/>
        <w:rPr>
          <w:rFonts w:ascii="宋体" w:hAnsi="宋体" w:cs="宋体"/>
          <w:color w:val="auto"/>
          <w:sz w:val="24"/>
          <w:szCs w:val="24"/>
          <w:highlight w:val="none"/>
        </w:rPr>
      </w:pPr>
    </w:p>
    <w:p w14:paraId="784D5596">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64"/>
      <w:bookmarkEnd w:id="65"/>
    </w:p>
    <w:p w14:paraId="6CD6DAF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名  称：山标工程项目管理咨询（云南）有限公司</w:t>
      </w:r>
    </w:p>
    <w:p w14:paraId="2FD538AC">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　址：云南省昆明市五华区教场东路与学府路交叉口莲花池财富中心八楼</w:t>
      </w:r>
    </w:p>
    <w:p w14:paraId="6AA73697">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66" w:name="_Toc28359087"/>
      <w:bookmarkStart w:id="67" w:name="_Toc28359010"/>
      <w:r>
        <w:rPr>
          <w:rFonts w:hint="eastAsia" w:ascii="宋体" w:hAnsi="宋体" w:cs="宋体"/>
          <w:color w:val="auto"/>
          <w:sz w:val="24"/>
          <w:szCs w:val="24"/>
          <w:highlight w:val="none"/>
        </w:rPr>
        <w:t>0871-63522591</w:t>
      </w:r>
    </w:p>
    <w:p w14:paraId="00B2CED1">
      <w:pPr>
        <w:widowControl w:val="0"/>
        <w:spacing w:line="360" w:lineRule="auto"/>
        <w:ind w:firstLine="480" w:firstLineChars="200"/>
        <w:rPr>
          <w:rFonts w:ascii="宋体" w:hAnsi="宋体" w:cs="宋体"/>
          <w:color w:val="auto"/>
          <w:sz w:val="24"/>
          <w:szCs w:val="24"/>
          <w:highlight w:val="none"/>
        </w:rPr>
      </w:pPr>
    </w:p>
    <w:p w14:paraId="7F3D5F0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bookmarkEnd w:id="66"/>
      <w:bookmarkEnd w:id="67"/>
    </w:p>
    <w:p w14:paraId="0AA6C111">
      <w:pPr>
        <w:widowControl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项目联系人：王佳俊、周焕萍、</w:t>
      </w:r>
      <w:r>
        <w:rPr>
          <w:rFonts w:hint="eastAsia" w:ascii="宋体" w:hAnsi="宋体" w:cs="宋体"/>
          <w:color w:val="auto"/>
          <w:sz w:val="24"/>
          <w:szCs w:val="24"/>
          <w:highlight w:val="none"/>
          <w:lang w:val="en-US" w:eastAsia="zh-CN"/>
        </w:rPr>
        <w:t>吴学玉、吴俊</w:t>
      </w:r>
    </w:p>
    <w:p w14:paraId="5524EC75">
      <w:pPr>
        <w:widowControl w:val="0"/>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rPr>
        <w:t>电　话：0871-63522591</w:t>
      </w:r>
    </w:p>
    <w:p w14:paraId="65669F0F">
      <w:pPr>
        <w:pStyle w:val="4"/>
        <w:spacing w:before="0" w:after="0" w:line="360" w:lineRule="auto"/>
        <w:jc w:val="center"/>
        <w:rPr>
          <w:rStyle w:val="26"/>
          <w:rFonts w:ascii="宋体" w:hAnsi="宋体" w:cs="宋体"/>
          <w:b/>
          <w:bCs/>
          <w:color w:val="auto"/>
          <w:highlight w:val="none"/>
        </w:rPr>
      </w:pPr>
      <w:bookmarkStart w:id="68" w:name="_Toc32657"/>
      <w:r>
        <w:rPr>
          <w:rStyle w:val="26"/>
          <w:rFonts w:ascii="宋体" w:hAnsi="宋体" w:cs="宋体"/>
          <w:b/>
          <w:bCs/>
          <w:color w:val="auto"/>
          <w:highlight w:val="none"/>
        </w:rPr>
        <w:br w:type="page"/>
      </w:r>
      <w:bookmarkStart w:id="69" w:name="_Toc11058"/>
      <w:bookmarkStart w:id="70" w:name="_Toc1606"/>
      <w:r>
        <w:rPr>
          <w:rStyle w:val="26"/>
          <w:rFonts w:hint="eastAsia" w:ascii="宋体" w:hAnsi="宋体" w:cs="宋体"/>
          <w:b/>
          <w:bCs/>
          <w:color w:val="auto"/>
          <w:highlight w:val="none"/>
        </w:rPr>
        <w:t>第二章 投标人须知</w:t>
      </w:r>
      <w:bookmarkEnd w:id="8"/>
      <w:bookmarkEnd w:id="68"/>
      <w:bookmarkEnd w:id="69"/>
      <w:bookmarkEnd w:id="70"/>
    </w:p>
    <w:p w14:paraId="48B17689">
      <w:pPr>
        <w:pStyle w:val="5"/>
        <w:spacing w:before="0" w:after="0" w:line="360" w:lineRule="auto"/>
        <w:ind w:firstLine="420"/>
        <w:jc w:val="center"/>
        <w:rPr>
          <w:rFonts w:hint="eastAsia" w:ascii="宋体" w:hAnsi="宋体" w:eastAsia="宋体" w:cs="宋体"/>
          <w:color w:val="auto"/>
          <w:sz w:val="28"/>
          <w:szCs w:val="28"/>
          <w:highlight w:val="none"/>
        </w:rPr>
      </w:pPr>
      <w:bookmarkStart w:id="71" w:name="_Toc13590"/>
      <w:bookmarkEnd w:id="71"/>
      <w:bookmarkStart w:id="72" w:name="_Toc21714"/>
      <w:bookmarkEnd w:id="72"/>
      <w:bookmarkStart w:id="73" w:name="_Toc1186"/>
      <w:bookmarkStart w:id="74" w:name="_Toc29041"/>
      <w:bookmarkStart w:id="75" w:name="_Toc18818"/>
      <w:bookmarkStart w:id="76" w:name="_Toc26144"/>
      <w:r>
        <w:rPr>
          <w:rFonts w:hint="eastAsia" w:ascii="宋体" w:hAnsi="宋体" w:eastAsia="宋体" w:cs="宋体"/>
          <w:color w:val="auto"/>
          <w:sz w:val="28"/>
          <w:szCs w:val="28"/>
          <w:highlight w:val="none"/>
        </w:rPr>
        <w:t>投标人须知前附表</w:t>
      </w:r>
      <w:bookmarkEnd w:id="73"/>
      <w:bookmarkEnd w:id="74"/>
      <w:bookmarkEnd w:id="75"/>
      <w:bookmarkEnd w:id="76"/>
    </w:p>
    <w:p w14:paraId="57D7B2C1">
      <w:pPr>
        <w:rPr>
          <w:color w:val="auto"/>
          <w:highlight w:val="none"/>
        </w:rPr>
      </w:pPr>
    </w:p>
    <w:tbl>
      <w:tblPr>
        <w:tblStyle w:val="22"/>
        <w:tblpPr w:leftFromText="180" w:rightFromText="180" w:vertAnchor="text" w:horzAnchor="page" w:tblpX="1013" w:tblpY="177"/>
        <w:tblOverlap w:val="never"/>
        <w:tblW w:w="9882" w:type="dxa"/>
        <w:tblInd w:w="0" w:type="dxa"/>
        <w:tblLayout w:type="fixed"/>
        <w:tblCellMar>
          <w:top w:w="0" w:type="dxa"/>
          <w:left w:w="0" w:type="dxa"/>
          <w:bottom w:w="0" w:type="dxa"/>
          <w:right w:w="0" w:type="dxa"/>
        </w:tblCellMar>
      </w:tblPr>
      <w:tblGrid>
        <w:gridCol w:w="891"/>
        <w:gridCol w:w="2058"/>
        <w:gridCol w:w="6933"/>
      </w:tblGrid>
      <w:tr w14:paraId="61B07ADC">
        <w:trPr>
          <w:trHeight w:val="450" w:hRule="atLeast"/>
        </w:trPr>
        <w:tc>
          <w:tcPr>
            <w:tcW w:w="891" w:type="dxa"/>
            <w:tcBorders>
              <w:top w:val="single" w:color="auto" w:sz="8" w:space="0"/>
              <w:left w:val="single" w:color="auto" w:sz="8" w:space="0"/>
              <w:bottom w:val="single" w:color="auto" w:sz="8" w:space="0"/>
              <w:right w:val="single" w:color="auto" w:sz="8" w:space="0"/>
            </w:tcBorders>
            <w:vAlign w:val="center"/>
          </w:tcPr>
          <w:p w14:paraId="104DC087">
            <w:pPr>
              <w:keepNext w:val="0"/>
              <w:keepLines w:val="0"/>
              <w:pageBreakBefore w:val="0"/>
              <w:kinsoku/>
              <w:wordWrap w:val="0"/>
              <w:overflowPunct/>
              <w:topLinePunct w:val="0"/>
              <w:bidi w:val="0"/>
              <w:spacing w:line="320" w:lineRule="exact"/>
              <w:ind w:left="0"/>
              <w:jc w:val="center"/>
              <w:textAlignment w:val="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条款号</w:t>
            </w:r>
          </w:p>
        </w:tc>
        <w:tc>
          <w:tcPr>
            <w:tcW w:w="2058" w:type="dxa"/>
            <w:tcBorders>
              <w:top w:val="single" w:color="auto" w:sz="8" w:space="0"/>
              <w:left w:val="nil"/>
              <w:bottom w:val="single" w:color="auto" w:sz="8" w:space="0"/>
              <w:right w:val="single" w:color="auto" w:sz="8" w:space="0"/>
            </w:tcBorders>
            <w:vAlign w:val="bottom"/>
          </w:tcPr>
          <w:p w14:paraId="0028BECC">
            <w:pPr>
              <w:keepNext w:val="0"/>
              <w:keepLines w:val="0"/>
              <w:pageBreakBefore w:val="0"/>
              <w:kinsoku/>
              <w:wordWrap w:val="0"/>
              <w:overflowPunct/>
              <w:topLinePunct w:val="0"/>
              <w:bidi w:val="0"/>
              <w:spacing w:line="320" w:lineRule="exact"/>
              <w:ind w:left="0"/>
              <w:jc w:val="center"/>
              <w:textAlignment w:val="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条 款 名 称</w:t>
            </w:r>
          </w:p>
        </w:tc>
        <w:tc>
          <w:tcPr>
            <w:tcW w:w="6933" w:type="dxa"/>
            <w:tcBorders>
              <w:top w:val="single" w:color="auto" w:sz="8" w:space="0"/>
              <w:left w:val="nil"/>
              <w:bottom w:val="single" w:color="auto" w:sz="8" w:space="0"/>
              <w:right w:val="single" w:color="auto" w:sz="8" w:space="0"/>
            </w:tcBorders>
            <w:vAlign w:val="bottom"/>
          </w:tcPr>
          <w:p w14:paraId="3725CC78">
            <w:pPr>
              <w:keepNext w:val="0"/>
              <w:keepLines w:val="0"/>
              <w:pageBreakBefore w:val="0"/>
              <w:kinsoku/>
              <w:wordWrap w:val="0"/>
              <w:overflowPunct/>
              <w:topLinePunct w:val="0"/>
              <w:bidi w:val="0"/>
              <w:spacing w:line="320" w:lineRule="exact"/>
              <w:ind w:left="0"/>
              <w:textAlignment w:val="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编 列 内 容</w:t>
            </w:r>
          </w:p>
        </w:tc>
      </w:tr>
      <w:tr w14:paraId="1E2318E3">
        <w:tblPrEx>
          <w:tblCellMar>
            <w:top w:w="0" w:type="dxa"/>
            <w:left w:w="0" w:type="dxa"/>
            <w:bottom w:w="0" w:type="dxa"/>
            <w:right w:w="0" w:type="dxa"/>
          </w:tblCellMar>
        </w:tblPrEx>
        <w:trPr>
          <w:trHeight w:val="1488" w:hRule="atLeast"/>
        </w:trPr>
        <w:tc>
          <w:tcPr>
            <w:tcW w:w="891" w:type="dxa"/>
            <w:tcBorders>
              <w:top w:val="single" w:color="auto" w:sz="8" w:space="0"/>
              <w:left w:val="single" w:color="auto" w:sz="8" w:space="0"/>
              <w:bottom w:val="single" w:color="auto" w:sz="8" w:space="0"/>
              <w:right w:val="single" w:color="auto" w:sz="8" w:space="0"/>
            </w:tcBorders>
            <w:vAlign w:val="center"/>
          </w:tcPr>
          <w:p w14:paraId="46A17AA0">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1.1.2</w:t>
            </w:r>
          </w:p>
        </w:tc>
        <w:tc>
          <w:tcPr>
            <w:tcW w:w="2058" w:type="dxa"/>
            <w:tcBorders>
              <w:top w:val="single" w:color="auto" w:sz="8" w:space="0"/>
              <w:left w:val="nil"/>
              <w:bottom w:val="single" w:color="auto" w:sz="8" w:space="0"/>
              <w:right w:val="single" w:color="auto" w:sz="8" w:space="0"/>
            </w:tcBorders>
            <w:vAlign w:val="center"/>
          </w:tcPr>
          <w:p w14:paraId="25DA35C0">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采购人</w:t>
            </w:r>
          </w:p>
        </w:tc>
        <w:tc>
          <w:tcPr>
            <w:tcW w:w="6933" w:type="dxa"/>
            <w:tcBorders>
              <w:top w:val="single" w:color="auto" w:sz="8" w:space="0"/>
              <w:left w:val="nil"/>
              <w:bottom w:val="single" w:color="auto" w:sz="8" w:space="0"/>
              <w:right w:val="single" w:color="auto" w:sz="8" w:space="0"/>
            </w:tcBorders>
            <w:vAlign w:val="center"/>
          </w:tcPr>
          <w:p w14:paraId="3A608EEF">
            <w:pPr>
              <w:keepNext w:val="0"/>
              <w:keepLines w:val="0"/>
              <w:pageBreakBefore w:val="0"/>
              <w:kinsoku/>
              <w:wordWrap w:val="0"/>
              <w:overflowPunct/>
              <w:topLinePunct w:val="0"/>
              <w:bidi w:val="0"/>
              <w:spacing w:line="320" w:lineRule="exact"/>
              <w:ind w:left="0"/>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名 称：</w:t>
            </w:r>
            <w:r>
              <w:rPr>
                <w:rFonts w:hint="eastAsia" w:ascii="宋体" w:hAnsi="宋体" w:cs="宋体"/>
                <w:color w:val="auto"/>
                <w:kern w:val="2"/>
                <w:sz w:val="24"/>
                <w:szCs w:val="24"/>
                <w:highlight w:val="none"/>
                <w:lang w:eastAsia="zh-CN"/>
              </w:rPr>
              <w:t>云南省建水监狱</w:t>
            </w:r>
          </w:p>
          <w:p w14:paraId="4487A361">
            <w:pPr>
              <w:keepNext w:val="0"/>
              <w:keepLines w:val="0"/>
              <w:pageBreakBefore w:val="0"/>
              <w:kinsoku/>
              <w:wordWrap w:val="0"/>
              <w:overflowPunct/>
              <w:topLinePunct w:val="0"/>
              <w:bidi w:val="0"/>
              <w:spacing w:line="320" w:lineRule="exact"/>
              <w:ind w:left="0"/>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地 址：</w:t>
            </w:r>
            <w:r>
              <w:rPr>
                <w:rFonts w:hint="eastAsia" w:ascii="宋体" w:hAnsi="宋体" w:cs="宋体"/>
                <w:color w:val="auto"/>
                <w:sz w:val="24"/>
                <w:szCs w:val="24"/>
                <w:highlight w:val="none"/>
                <w:lang w:eastAsia="zh-CN"/>
              </w:rPr>
              <w:t>建水县工业大道466号</w:t>
            </w:r>
          </w:p>
          <w:p w14:paraId="14359A0A">
            <w:pPr>
              <w:keepNext w:val="0"/>
              <w:keepLines w:val="0"/>
              <w:pageBreakBefore w:val="0"/>
              <w:kinsoku/>
              <w:wordWrap w:val="0"/>
              <w:overflowPunct/>
              <w:topLinePunct w:val="0"/>
              <w:bidi w:val="0"/>
              <w:spacing w:line="320" w:lineRule="exact"/>
              <w:ind w:left="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联系人：</w:t>
            </w:r>
            <w:r>
              <w:rPr>
                <w:rFonts w:hint="eastAsia" w:ascii="宋体" w:hAnsi="宋体" w:cs="宋体"/>
                <w:color w:val="auto"/>
                <w:sz w:val="24"/>
                <w:szCs w:val="24"/>
                <w:highlight w:val="none"/>
                <w:lang w:val="en-US" w:eastAsia="zh-CN"/>
              </w:rPr>
              <w:t xml:space="preserve">徐警官 </w:t>
            </w:r>
          </w:p>
          <w:p w14:paraId="4F375E22">
            <w:pPr>
              <w:keepNext w:val="0"/>
              <w:keepLines w:val="0"/>
              <w:pageBreakBefore w:val="0"/>
              <w:kinsoku/>
              <w:wordWrap w:val="0"/>
              <w:overflowPunct/>
              <w:topLinePunct w:val="0"/>
              <w:bidi w:val="0"/>
              <w:spacing w:line="320" w:lineRule="exact"/>
              <w:ind w:left="0"/>
              <w:textAlignment w:val="auto"/>
              <w:rPr>
                <w:rFonts w:hint="eastAsia" w:eastAsia="宋体"/>
                <w:color w:val="auto"/>
                <w:highlight w:val="none"/>
                <w:lang w:eastAsia="zh-CN"/>
              </w:rPr>
            </w:pPr>
            <w:r>
              <w:rPr>
                <w:rFonts w:hint="eastAsia" w:ascii="宋体" w:hAnsi="宋体" w:cs="宋体"/>
                <w:color w:val="auto"/>
                <w:sz w:val="24"/>
                <w:szCs w:val="24"/>
                <w:highlight w:val="none"/>
                <w:lang w:eastAsia="zh-CN"/>
              </w:rPr>
              <w:t>联系电话：0873-3182367</w:t>
            </w:r>
          </w:p>
        </w:tc>
      </w:tr>
      <w:tr w14:paraId="3E9D73F8">
        <w:tblPrEx>
          <w:tblCellMar>
            <w:top w:w="0" w:type="dxa"/>
            <w:left w:w="0" w:type="dxa"/>
            <w:bottom w:w="0" w:type="dxa"/>
            <w:right w:w="0" w:type="dxa"/>
          </w:tblCellMar>
        </w:tblPrEx>
        <w:trPr>
          <w:trHeight w:val="1726" w:hRule="atLeast"/>
        </w:trPr>
        <w:tc>
          <w:tcPr>
            <w:tcW w:w="891" w:type="dxa"/>
            <w:tcBorders>
              <w:top w:val="single" w:color="auto" w:sz="8" w:space="0"/>
              <w:left w:val="single" w:color="auto" w:sz="8" w:space="0"/>
              <w:bottom w:val="single" w:color="auto" w:sz="8" w:space="0"/>
              <w:right w:val="single" w:color="auto" w:sz="8" w:space="0"/>
            </w:tcBorders>
            <w:vAlign w:val="center"/>
          </w:tcPr>
          <w:p w14:paraId="313A2350">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1.1.3</w:t>
            </w:r>
          </w:p>
        </w:tc>
        <w:tc>
          <w:tcPr>
            <w:tcW w:w="2058" w:type="dxa"/>
            <w:tcBorders>
              <w:top w:val="single" w:color="auto" w:sz="8" w:space="0"/>
              <w:left w:val="nil"/>
              <w:bottom w:val="single" w:color="auto" w:sz="8" w:space="0"/>
              <w:right w:val="single" w:color="auto" w:sz="8" w:space="0"/>
            </w:tcBorders>
            <w:vAlign w:val="center"/>
          </w:tcPr>
          <w:p w14:paraId="14330A00">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采购代理机构</w:t>
            </w:r>
          </w:p>
        </w:tc>
        <w:tc>
          <w:tcPr>
            <w:tcW w:w="6933" w:type="dxa"/>
            <w:tcBorders>
              <w:top w:val="single" w:color="auto" w:sz="8" w:space="0"/>
              <w:left w:val="nil"/>
              <w:bottom w:val="single" w:color="auto" w:sz="8" w:space="0"/>
              <w:right w:val="single" w:color="auto" w:sz="8" w:space="0"/>
            </w:tcBorders>
            <w:vAlign w:val="center"/>
          </w:tcPr>
          <w:p w14:paraId="25401D80">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名 称：山标工程项目管理咨询（云南）有限公司</w:t>
            </w:r>
          </w:p>
          <w:p w14:paraId="63926FCE">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地　址：云南省昆明市五华区教场东路与学府路交叉口莲花池财富中心八楼</w:t>
            </w:r>
          </w:p>
          <w:p w14:paraId="7CD21878">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kern w:val="2"/>
                <w:sz w:val="24"/>
                <w:szCs w:val="24"/>
                <w:highlight w:val="none"/>
              </w:rPr>
              <w:t>联系方式：王佳俊、周焕萍、</w:t>
            </w:r>
            <w:r>
              <w:rPr>
                <w:rFonts w:hint="eastAsia" w:ascii="宋体" w:hAnsi="宋体" w:cs="宋体"/>
                <w:color w:val="auto"/>
                <w:kern w:val="2"/>
                <w:sz w:val="24"/>
                <w:szCs w:val="24"/>
                <w:highlight w:val="none"/>
                <w:lang w:val="en-US" w:eastAsia="zh-CN"/>
              </w:rPr>
              <w:t>吴学玉、吴俊</w:t>
            </w:r>
          </w:p>
          <w:p w14:paraId="5C90F861">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sz w:val="24"/>
                <w:szCs w:val="24"/>
                <w:highlight w:val="none"/>
              </w:rPr>
              <w:t>联系电话：0871-63522591</w:t>
            </w:r>
          </w:p>
        </w:tc>
      </w:tr>
      <w:tr w14:paraId="747CB810">
        <w:tblPrEx>
          <w:tblCellMar>
            <w:top w:w="0" w:type="dxa"/>
            <w:left w:w="0" w:type="dxa"/>
            <w:bottom w:w="0" w:type="dxa"/>
            <w:right w:w="0" w:type="dxa"/>
          </w:tblCellMar>
        </w:tblPrEx>
        <w:trPr>
          <w:trHeight w:val="716" w:hRule="atLeast"/>
        </w:trPr>
        <w:tc>
          <w:tcPr>
            <w:tcW w:w="891" w:type="dxa"/>
            <w:tcBorders>
              <w:top w:val="single" w:color="auto" w:sz="8" w:space="0"/>
              <w:left w:val="single" w:color="auto" w:sz="8" w:space="0"/>
              <w:bottom w:val="single" w:color="auto" w:sz="8" w:space="0"/>
              <w:right w:val="single" w:color="auto" w:sz="8" w:space="0"/>
            </w:tcBorders>
            <w:vAlign w:val="center"/>
          </w:tcPr>
          <w:p w14:paraId="2155B155">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1.1.4</w:t>
            </w:r>
          </w:p>
        </w:tc>
        <w:tc>
          <w:tcPr>
            <w:tcW w:w="2058" w:type="dxa"/>
            <w:tcBorders>
              <w:top w:val="single" w:color="auto" w:sz="8" w:space="0"/>
              <w:left w:val="nil"/>
              <w:bottom w:val="single" w:color="auto" w:sz="8" w:space="0"/>
              <w:right w:val="single" w:color="auto" w:sz="8" w:space="0"/>
            </w:tcBorders>
            <w:vAlign w:val="center"/>
          </w:tcPr>
          <w:p w14:paraId="3E065391">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项目名称</w:t>
            </w:r>
          </w:p>
        </w:tc>
        <w:tc>
          <w:tcPr>
            <w:tcW w:w="6933" w:type="dxa"/>
            <w:tcBorders>
              <w:top w:val="single" w:color="auto" w:sz="8" w:space="0"/>
              <w:left w:val="nil"/>
              <w:bottom w:val="single" w:color="auto" w:sz="8" w:space="0"/>
              <w:right w:val="single" w:color="auto" w:sz="8" w:space="0"/>
            </w:tcBorders>
            <w:vAlign w:val="center"/>
          </w:tcPr>
          <w:p w14:paraId="5BED9B15">
            <w:pPr>
              <w:keepNext w:val="0"/>
              <w:keepLines w:val="0"/>
              <w:pageBreakBefore w:val="0"/>
              <w:kinsoku/>
              <w:wordWrap w:val="0"/>
              <w:overflowPunct/>
              <w:topLinePunct w:val="0"/>
              <w:bidi w:val="0"/>
              <w:spacing w:line="320" w:lineRule="exact"/>
              <w:ind w:left="0"/>
              <w:jc w:val="both"/>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lang w:eastAsia="zh-CN" w:bidi="ar"/>
              </w:rPr>
              <w:t>云南省建水监狱2025年—2026年罪犯蛋类、蔬菜类生活物资采购项目</w:t>
            </w:r>
          </w:p>
        </w:tc>
      </w:tr>
      <w:tr w14:paraId="73F46087">
        <w:tblPrEx>
          <w:tblCellMar>
            <w:top w:w="0" w:type="dxa"/>
            <w:left w:w="0" w:type="dxa"/>
            <w:bottom w:w="0" w:type="dxa"/>
            <w:right w:w="0" w:type="dxa"/>
          </w:tblCellMar>
        </w:tblPrEx>
        <w:trPr>
          <w:trHeight w:val="677" w:hRule="atLeast"/>
        </w:trPr>
        <w:tc>
          <w:tcPr>
            <w:tcW w:w="891" w:type="dxa"/>
            <w:tcBorders>
              <w:top w:val="single" w:color="auto" w:sz="8" w:space="0"/>
              <w:left w:val="single" w:color="auto" w:sz="8" w:space="0"/>
              <w:bottom w:val="single" w:color="auto" w:sz="8" w:space="0"/>
              <w:right w:val="single" w:color="auto" w:sz="8" w:space="0"/>
            </w:tcBorders>
            <w:vAlign w:val="center"/>
          </w:tcPr>
          <w:p w14:paraId="3C7D349C">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1.2.1</w:t>
            </w:r>
          </w:p>
        </w:tc>
        <w:tc>
          <w:tcPr>
            <w:tcW w:w="2058" w:type="dxa"/>
            <w:tcBorders>
              <w:top w:val="single" w:color="auto" w:sz="8" w:space="0"/>
              <w:left w:val="nil"/>
              <w:bottom w:val="single" w:color="auto" w:sz="8" w:space="0"/>
              <w:right w:val="single" w:color="auto" w:sz="8" w:space="0"/>
            </w:tcBorders>
            <w:vAlign w:val="center"/>
          </w:tcPr>
          <w:p w14:paraId="47BC6027">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资金落实情况</w:t>
            </w:r>
          </w:p>
        </w:tc>
        <w:tc>
          <w:tcPr>
            <w:tcW w:w="6933" w:type="dxa"/>
            <w:tcBorders>
              <w:top w:val="single" w:color="auto" w:sz="8" w:space="0"/>
              <w:left w:val="nil"/>
              <w:bottom w:val="single" w:color="auto" w:sz="8" w:space="0"/>
              <w:right w:val="single" w:color="auto" w:sz="8" w:space="0"/>
            </w:tcBorders>
            <w:vAlign w:val="center"/>
          </w:tcPr>
          <w:p w14:paraId="5F189ACE">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olor w:val="auto"/>
                <w:kern w:val="2"/>
                <w:sz w:val="24"/>
                <w:szCs w:val="24"/>
                <w:highlight w:val="none"/>
                <w:lang w:val="en-US" w:eastAsia="zh-CN"/>
              </w:rPr>
              <w:t>财政资金</w:t>
            </w:r>
            <w:r>
              <w:rPr>
                <w:rFonts w:hint="eastAsia" w:ascii="宋体" w:hAnsi="宋体"/>
                <w:color w:val="auto"/>
                <w:kern w:val="2"/>
                <w:sz w:val="24"/>
                <w:szCs w:val="24"/>
                <w:highlight w:val="none"/>
              </w:rPr>
              <w:t>，已落实</w:t>
            </w:r>
          </w:p>
        </w:tc>
      </w:tr>
      <w:tr w14:paraId="6EC9A0B8">
        <w:tblPrEx>
          <w:tblCellMar>
            <w:top w:w="0" w:type="dxa"/>
            <w:left w:w="0" w:type="dxa"/>
            <w:bottom w:w="0" w:type="dxa"/>
            <w:right w:w="0" w:type="dxa"/>
          </w:tblCellMar>
        </w:tblPrEx>
        <w:trPr>
          <w:trHeight w:val="585" w:hRule="atLeast"/>
        </w:trPr>
        <w:tc>
          <w:tcPr>
            <w:tcW w:w="891" w:type="dxa"/>
            <w:tcBorders>
              <w:top w:val="single" w:color="auto" w:sz="8" w:space="0"/>
              <w:left w:val="single" w:color="auto" w:sz="8" w:space="0"/>
              <w:bottom w:val="single" w:color="auto" w:sz="8" w:space="0"/>
              <w:right w:val="single" w:color="auto" w:sz="8" w:space="0"/>
            </w:tcBorders>
            <w:vAlign w:val="center"/>
          </w:tcPr>
          <w:p w14:paraId="36332A5E">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1.2.2</w:t>
            </w:r>
          </w:p>
        </w:tc>
        <w:tc>
          <w:tcPr>
            <w:tcW w:w="2058" w:type="dxa"/>
            <w:tcBorders>
              <w:top w:val="single" w:color="auto" w:sz="8" w:space="0"/>
              <w:left w:val="nil"/>
              <w:bottom w:val="single" w:color="auto" w:sz="8" w:space="0"/>
              <w:right w:val="single" w:color="auto" w:sz="8" w:space="0"/>
            </w:tcBorders>
            <w:vAlign w:val="center"/>
          </w:tcPr>
          <w:p w14:paraId="2FBB35FF">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kern w:val="2"/>
                <w:sz w:val="24"/>
                <w:szCs w:val="24"/>
                <w:highlight w:val="none"/>
              </w:rPr>
              <w:t>预算金额</w:t>
            </w:r>
          </w:p>
        </w:tc>
        <w:tc>
          <w:tcPr>
            <w:tcW w:w="6933" w:type="dxa"/>
            <w:tcBorders>
              <w:top w:val="single" w:color="auto" w:sz="8" w:space="0"/>
              <w:left w:val="nil"/>
              <w:bottom w:val="single" w:color="auto" w:sz="8" w:space="0"/>
              <w:right w:val="single" w:color="auto" w:sz="8" w:space="0"/>
            </w:tcBorders>
            <w:vAlign w:val="center"/>
          </w:tcPr>
          <w:p w14:paraId="15147CDB">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u w:val="none"/>
              </w:rPr>
              <w:t>详见</w:t>
            </w:r>
            <w:r>
              <w:rPr>
                <w:rFonts w:hint="eastAsia" w:ascii="宋体" w:hAnsi="宋体" w:cs="宋体"/>
                <w:color w:val="auto"/>
                <w:kern w:val="2"/>
                <w:sz w:val="24"/>
                <w:szCs w:val="24"/>
                <w:highlight w:val="none"/>
                <w:u w:val="none"/>
                <w:lang w:eastAsia="zh-CN"/>
              </w:rPr>
              <w:t>“</w:t>
            </w:r>
            <w:r>
              <w:rPr>
                <w:rFonts w:hint="eastAsia" w:ascii="宋体" w:hAnsi="宋体" w:cs="宋体"/>
                <w:color w:val="auto"/>
                <w:kern w:val="2"/>
                <w:sz w:val="24"/>
                <w:szCs w:val="24"/>
                <w:highlight w:val="none"/>
                <w:u w:val="none"/>
              </w:rPr>
              <w:t>第一章 招标公告</w:t>
            </w:r>
            <w:r>
              <w:rPr>
                <w:rFonts w:hint="eastAsia" w:ascii="宋体" w:hAnsi="宋体" w:cs="宋体"/>
                <w:color w:val="auto"/>
                <w:kern w:val="2"/>
                <w:sz w:val="24"/>
                <w:szCs w:val="24"/>
                <w:highlight w:val="none"/>
                <w:u w:val="none"/>
                <w:lang w:eastAsia="zh-CN"/>
              </w:rPr>
              <w:t>”。</w:t>
            </w:r>
          </w:p>
        </w:tc>
      </w:tr>
      <w:tr w14:paraId="01D5E7E3">
        <w:tblPrEx>
          <w:tblCellMar>
            <w:top w:w="0" w:type="dxa"/>
            <w:left w:w="0" w:type="dxa"/>
            <w:bottom w:w="0" w:type="dxa"/>
            <w:right w:w="0" w:type="dxa"/>
          </w:tblCellMar>
        </w:tblPrEx>
        <w:trPr>
          <w:trHeight w:val="660" w:hRule="atLeast"/>
        </w:trPr>
        <w:tc>
          <w:tcPr>
            <w:tcW w:w="891" w:type="dxa"/>
            <w:tcBorders>
              <w:top w:val="single" w:color="auto" w:sz="8" w:space="0"/>
              <w:left w:val="single" w:color="auto" w:sz="8" w:space="0"/>
              <w:bottom w:val="single" w:color="auto" w:sz="8" w:space="0"/>
              <w:right w:val="single" w:color="auto" w:sz="8" w:space="0"/>
            </w:tcBorders>
            <w:vAlign w:val="center"/>
          </w:tcPr>
          <w:p w14:paraId="3732416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1.3.1</w:t>
            </w:r>
          </w:p>
        </w:tc>
        <w:tc>
          <w:tcPr>
            <w:tcW w:w="2058" w:type="dxa"/>
            <w:tcBorders>
              <w:top w:val="single" w:color="auto" w:sz="8" w:space="0"/>
              <w:left w:val="nil"/>
              <w:bottom w:val="single" w:color="auto" w:sz="8" w:space="0"/>
              <w:right w:val="single" w:color="auto" w:sz="8" w:space="0"/>
            </w:tcBorders>
            <w:vAlign w:val="center"/>
          </w:tcPr>
          <w:p w14:paraId="14A7733C">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采购需求</w:t>
            </w:r>
          </w:p>
        </w:tc>
        <w:tc>
          <w:tcPr>
            <w:tcW w:w="6933" w:type="dxa"/>
            <w:tcBorders>
              <w:top w:val="single" w:color="auto" w:sz="8" w:space="0"/>
              <w:left w:val="nil"/>
              <w:bottom w:val="single" w:color="auto" w:sz="8" w:space="0"/>
              <w:right w:val="single" w:color="auto" w:sz="8" w:space="0"/>
            </w:tcBorders>
            <w:vAlign w:val="center"/>
          </w:tcPr>
          <w:p w14:paraId="2A09A706">
            <w:pPr>
              <w:keepNext w:val="0"/>
              <w:keepLines w:val="0"/>
              <w:pageBreakBefore w:val="0"/>
              <w:kinsoku/>
              <w:wordWrap w:val="0"/>
              <w:overflowPunct/>
              <w:topLinePunct w:val="0"/>
              <w:bidi w:val="0"/>
              <w:spacing w:line="320" w:lineRule="exact"/>
              <w:ind w:left="0"/>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详见第六章“采购需求”</w:t>
            </w:r>
            <w:r>
              <w:rPr>
                <w:rFonts w:hint="eastAsia" w:ascii="宋体" w:hAnsi="宋体" w:cs="宋体"/>
                <w:color w:val="auto"/>
                <w:kern w:val="2"/>
                <w:sz w:val="24"/>
                <w:szCs w:val="24"/>
                <w:highlight w:val="none"/>
                <w:lang w:eastAsia="zh-CN"/>
              </w:rPr>
              <w:t>。</w:t>
            </w:r>
          </w:p>
        </w:tc>
      </w:tr>
      <w:tr w14:paraId="45ABAF6D">
        <w:tblPrEx>
          <w:tblCellMar>
            <w:top w:w="0" w:type="dxa"/>
            <w:left w:w="0" w:type="dxa"/>
            <w:bottom w:w="0" w:type="dxa"/>
            <w:right w:w="0" w:type="dxa"/>
          </w:tblCellMar>
        </w:tblPrEx>
        <w:trPr>
          <w:trHeight w:val="665" w:hRule="atLeast"/>
        </w:trPr>
        <w:tc>
          <w:tcPr>
            <w:tcW w:w="891" w:type="dxa"/>
            <w:tcBorders>
              <w:top w:val="single" w:color="auto" w:sz="8" w:space="0"/>
              <w:left w:val="single" w:color="auto" w:sz="8" w:space="0"/>
              <w:bottom w:val="single" w:color="auto" w:sz="8" w:space="0"/>
              <w:right w:val="single" w:color="auto" w:sz="8" w:space="0"/>
            </w:tcBorders>
            <w:vAlign w:val="center"/>
          </w:tcPr>
          <w:p w14:paraId="18994A4D">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1.3.2</w:t>
            </w:r>
          </w:p>
        </w:tc>
        <w:tc>
          <w:tcPr>
            <w:tcW w:w="2058" w:type="dxa"/>
            <w:tcBorders>
              <w:top w:val="single" w:color="auto" w:sz="8" w:space="0"/>
              <w:left w:val="nil"/>
              <w:bottom w:val="single" w:color="auto" w:sz="8" w:space="0"/>
              <w:right w:val="single" w:color="auto" w:sz="8" w:space="0"/>
            </w:tcBorders>
            <w:vAlign w:val="center"/>
          </w:tcPr>
          <w:p w14:paraId="2DB6FC78">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kern w:val="2"/>
                <w:sz w:val="24"/>
                <w:szCs w:val="24"/>
                <w:highlight w:val="none"/>
              </w:rPr>
              <w:t>合同履行期限</w:t>
            </w:r>
          </w:p>
        </w:tc>
        <w:tc>
          <w:tcPr>
            <w:tcW w:w="6933" w:type="dxa"/>
            <w:tcBorders>
              <w:top w:val="single" w:color="auto" w:sz="8" w:space="0"/>
              <w:left w:val="nil"/>
              <w:bottom w:val="single" w:color="auto" w:sz="8" w:space="0"/>
              <w:right w:val="single" w:color="auto" w:sz="8" w:space="0"/>
            </w:tcBorders>
            <w:vAlign w:val="center"/>
          </w:tcPr>
          <w:p w14:paraId="654AD5EC">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eastAsia="zh-CN" w:bidi="ar"/>
              </w:rPr>
              <w:t>自合同签订之日起1年</w:t>
            </w:r>
            <w:r>
              <w:rPr>
                <w:rFonts w:hint="eastAsia" w:ascii="宋体" w:hAnsi="宋体" w:cs="宋体"/>
                <w:color w:val="auto"/>
                <w:kern w:val="2"/>
                <w:sz w:val="24"/>
                <w:szCs w:val="24"/>
                <w:highlight w:val="none"/>
                <w:lang w:bidi="ar"/>
              </w:rPr>
              <w:t>。</w:t>
            </w:r>
          </w:p>
        </w:tc>
      </w:tr>
      <w:tr w14:paraId="7E929C71">
        <w:tblPrEx>
          <w:tblCellMar>
            <w:top w:w="0" w:type="dxa"/>
            <w:left w:w="0" w:type="dxa"/>
            <w:bottom w:w="0" w:type="dxa"/>
            <w:right w:w="0" w:type="dxa"/>
          </w:tblCellMar>
        </w:tblPrEx>
        <w:trPr>
          <w:trHeight w:val="1008" w:hRule="atLeast"/>
        </w:trPr>
        <w:tc>
          <w:tcPr>
            <w:tcW w:w="891" w:type="dxa"/>
            <w:tcBorders>
              <w:top w:val="single" w:color="auto" w:sz="8" w:space="0"/>
              <w:left w:val="single" w:color="auto" w:sz="8" w:space="0"/>
              <w:bottom w:val="single" w:color="auto" w:sz="8" w:space="0"/>
              <w:right w:val="single" w:color="auto" w:sz="8" w:space="0"/>
            </w:tcBorders>
            <w:vAlign w:val="center"/>
          </w:tcPr>
          <w:p w14:paraId="6C1304F9">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1.3.3</w:t>
            </w:r>
          </w:p>
        </w:tc>
        <w:tc>
          <w:tcPr>
            <w:tcW w:w="2058" w:type="dxa"/>
            <w:tcBorders>
              <w:top w:val="single" w:color="auto" w:sz="8" w:space="0"/>
              <w:left w:val="nil"/>
              <w:bottom w:val="single" w:color="auto" w:sz="8" w:space="0"/>
              <w:right w:val="single" w:color="auto" w:sz="8" w:space="0"/>
            </w:tcBorders>
            <w:vAlign w:val="center"/>
          </w:tcPr>
          <w:p w14:paraId="4B63E901">
            <w:pPr>
              <w:keepNext w:val="0"/>
              <w:keepLines w:val="0"/>
              <w:pageBreakBefore w:val="0"/>
              <w:suppressLineNumbers w:val="0"/>
              <w:kinsoku/>
              <w:wordWrap w:val="0"/>
              <w:overflowPunct/>
              <w:topLinePunct w:val="0"/>
              <w:bidi w:val="0"/>
              <w:spacing w:before="0" w:beforeAutospacing="0" w:after="0" w:afterAutospacing="0" w:line="320" w:lineRule="exact"/>
              <w:ind w:left="0" w:leftChars="0" w:right="0" w:rightChars="0"/>
              <w:jc w:val="center"/>
              <w:textAlignment w:val="auto"/>
              <w:rPr>
                <w:rFonts w:ascii="宋体" w:hAnsi="宋体" w:cs="宋体"/>
                <w:color w:val="auto"/>
                <w:kern w:val="2"/>
                <w:sz w:val="24"/>
                <w:szCs w:val="24"/>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4"/>
                <w:szCs w:val="24"/>
                <w:highlight w:val="none"/>
                <w:lang w:eastAsia="zh-CN"/>
              </w:rPr>
              <w:t>交货方式</w:t>
            </w:r>
            <w:r>
              <w:rPr>
                <w:rFonts w:hint="eastAsia" w:ascii="宋体" w:hAnsi="宋体" w:eastAsia="宋体" w:cs="宋体"/>
                <w:color w:val="auto"/>
                <w:sz w:val="24"/>
                <w:szCs w:val="24"/>
                <w:highlight w:val="none"/>
              </w:rPr>
              <w:t>及地点</w:t>
            </w:r>
          </w:p>
        </w:tc>
        <w:tc>
          <w:tcPr>
            <w:tcW w:w="6933" w:type="dxa"/>
            <w:tcBorders>
              <w:top w:val="single" w:color="auto" w:sz="8" w:space="0"/>
              <w:left w:val="nil"/>
              <w:bottom w:val="single" w:color="auto" w:sz="8" w:space="0"/>
              <w:right w:val="single" w:color="auto" w:sz="8" w:space="0"/>
            </w:tcBorders>
            <w:vAlign w:val="center"/>
          </w:tcPr>
          <w:p w14:paraId="31C4588D">
            <w:pPr>
              <w:keepNext w:val="0"/>
              <w:keepLines w:val="0"/>
              <w:pageBreakBefore w:val="0"/>
              <w:suppressLineNumbers w:val="0"/>
              <w:kinsoku/>
              <w:wordWrap w:val="0"/>
              <w:overflowPunct/>
              <w:topLinePunct w:val="0"/>
              <w:bidi w:val="0"/>
              <w:spacing w:before="0" w:beforeAutospacing="0" w:after="0" w:afterAutospacing="0" w:line="320" w:lineRule="exact"/>
              <w:ind w:left="0" w:right="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交货方式：按照采购人日常所需计划采购清单数量及要求分批次配送。</w:t>
            </w:r>
          </w:p>
          <w:p w14:paraId="0CDE5DC0">
            <w:pPr>
              <w:keepNext w:val="0"/>
              <w:keepLines w:val="0"/>
              <w:pageBreakBefore w:val="0"/>
              <w:suppressLineNumbers w:val="0"/>
              <w:kinsoku/>
              <w:wordWrap w:val="0"/>
              <w:overflowPunct/>
              <w:topLinePunct w:val="0"/>
              <w:bidi w:val="0"/>
              <w:spacing w:before="0" w:beforeAutospacing="0" w:after="0" w:afterAutospacing="0" w:line="320" w:lineRule="exact"/>
              <w:ind w:left="0" w:leftChars="0" w:right="0" w:rightChars="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eastAsia="zh-CN"/>
              </w:rPr>
              <w:t>交货地点：云南省建水监狱（采购人指定地点）</w:t>
            </w:r>
            <w:r>
              <w:rPr>
                <w:rFonts w:hint="eastAsia" w:ascii="宋体" w:hAnsi="宋体" w:eastAsia="宋体" w:cs="宋体"/>
                <w:color w:val="auto"/>
                <w:kern w:val="0"/>
                <w:sz w:val="24"/>
                <w:szCs w:val="24"/>
                <w:highlight w:val="none"/>
              </w:rPr>
              <w:t>。</w:t>
            </w:r>
          </w:p>
        </w:tc>
      </w:tr>
      <w:tr w14:paraId="6B7EB42C">
        <w:tblPrEx>
          <w:tblCellMar>
            <w:top w:w="0" w:type="dxa"/>
            <w:left w:w="0" w:type="dxa"/>
            <w:bottom w:w="0" w:type="dxa"/>
            <w:right w:w="0" w:type="dxa"/>
          </w:tblCellMar>
        </w:tblPrEx>
        <w:trPr>
          <w:trHeight w:val="626" w:hRule="atLeast"/>
        </w:trPr>
        <w:tc>
          <w:tcPr>
            <w:tcW w:w="891" w:type="dxa"/>
            <w:tcBorders>
              <w:top w:val="single" w:color="auto" w:sz="8" w:space="0"/>
              <w:left w:val="single" w:color="auto" w:sz="8" w:space="0"/>
              <w:bottom w:val="single" w:color="auto" w:sz="8" w:space="0"/>
              <w:right w:val="single" w:color="auto" w:sz="8" w:space="0"/>
            </w:tcBorders>
            <w:vAlign w:val="center"/>
          </w:tcPr>
          <w:p w14:paraId="04EA6462">
            <w:pPr>
              <w:keepNext w:val="0"/>
              <w:keepLines w:val="0"/>
              <w:pageBreakBefore w:val="0"/>
              <w:suppressLineNumbers w:val="0"/>
              <w:kinsoku/>
              <w:wordWrap w:val="0"/>
              <w:overflowPunct/>
              <w:topLinePunct w:val="0"/>
              <w:bidi w:val="0"/>
              <w:spacing w:before="0" w:beforeAutospacing="0" w:after="0" w:afterAutospacing="0" w:line="320" w:lineRule="exact"/>
              <w:ind w:left="0" w:leftChars="0" w:right="0" w:rightChars="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1.3.4</w:t>
            </w:r>
          </w:p>
        </w:tc>
        <w:tc>
          <w:tcPr>
            <w:tcW w:w="2058" w:type="dxa"/>
            <w:tcBorders>
              <w:top w:val="single" w:color="auto" w:sz="8" w:space="0"/>
              <w:left w:val="nil"/>
              <w:bottom w:val="single" w:color="auto" w:sz="8" w:space="0"/>
              <w:right w:val="single" w:color="auto" w:sz="8" w:space="0"/>
            </w:tcBorders>
            <w:vAlign w:val="center"/>
          </w:tcPr>
          <w:p w14:paraId="7BF601F4">
            <w:pPr>
              <w:keepNext w:val="0"/>
              <w:keepLines w:val="0"/>
              <w:pageBreakBefore w:val="0"/>
              <w:suppressLineNumbers w:val="0"/>
              <w:kinsoku/>
              <w:wordWrap w:val="0"/>
              <w:overflowPunct/>
              <w:topLinePunct w:val="0"/>
              <w:bidi w:val="0"/>
              <w:spacing w:before="0" w:beforeAutospacing="0" w:after="0" w:afterAutospacing="0" w:line="320" w:lineRule="exact"/>
              <w:ind w:left="0" w:leftChars="0"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质量要求</w:t>
            </w:r>
          </w:p>
        </w:tc>
        <w:tc>
          <w:tcPr>
            <w:tcW w:w="6933" w:type="dxa"/>
            <w:tcBorders>
              <w:top w:val="single" w:color="auto" w:sz="8" w:space="0"/>
              <w:left w:val="nil"/>
              <w:bottom w:val="single" w:color="auto" w:sz="8" w:space="0"/>
              <w:right w:val="single" w:color="auto" w:sz="8" w:space="0"/>
            </w:tcBorders>
            <w:vAlign w:val="center"/>
          </w:tcPr>
          <w:p w14:paraId="46AB747F">
            <w:pPr>
              <w:keepNext w:val="0"/>
              <w:keepLines w:val="0"/>
              <w:pageBreakBefore w:val="0"/>
              <w:numPr>
                <w:ilvl w:val="0"/>
                <w:numId w:val="0"/>
              </w:numPr>
              <w:suppressLineNumbers w:val="0"/>
              <w:kinsoku/>
              <w:wordWrap w:val="0"/>
              <w:overflowPunct/>
              <w:topLinePunct w:val="0"/>
              <w:bidi w:val="0"/>
              <w:spacing w:before="0" w:beforeAutospacing="0" w:after="0" w:afterAutospacing="0" w:line="320" w:lineRule="exact"/>
              <w:ind w:left="0" w:leftChars="0" w:right="0" w:rightChars="0"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详见</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第一章 招标公告</w:t>
            </w:r>
            <w:r>
              <w:rPr>
                <w:rFonts w:hint="eastAsia" w:ascii="宋体" w:hAnsi="宋体" w:cs="宋体"/>
                <w:color w:val="auto"/>
                <w:sz w:val="24"/>
                <w:szCs w:val="24"/>
                <w:highlight w:val="none"/>
                <w:lang w:eastAsia="zh-CN" w:bidi="ar"/>
              </w:rPr>
              <w:t>”、“第六章</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eastAsia="zh-CN" w:bidi="ar"/>
              </w:rPr>
              <w:t>采购需求”</w:t>
            </w:r>
          </w:p>
        </w:tc>
      </w:tr>
      <w:tr w14:paraId="35496037">
        <w:tblPrEx>
          <w:tblCellMar>
            <w:top w:w="0" w:type="dxa"/>
            <w:left w:w="0" w:type="dxa"/>
            <w:bottom w:w="0" w:type="dxa"/>
            <w:right w:w="0" w:type="dxa"/>
          </w:tblCellMar>
        </w:tblPrEx>
        <w:trPr>
          <w:trHeight w:val="651" w:hRule="atLeast"/>
        </w:trPr>
        <w:tc>
          <w:tcPr>
            <w:tcW w:w="891" w:type="dxa"/>
            <w:tcBorders>
              <w:top w:val="single" w:color="auto" w:sz="8" w:space="0"/>
              <w:left w:val="single" w:color="auto" w:sz="8" w:space="0"/>
              <w:bottom w:val="single" w:color="auto" w:sz="8" w:space="0"/>
              <w:right w:val="single" w:color="auto" w:sz="8" w:space="0"/>
            </w:tcBorders>
            <w:vAlign w:val="center"/>
          </w:tcPr>
          <w:p w14:paraId="2A4823D4">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1.4.1</w:t>
            </w:r>
          </w:p>
        </w:tc>
        <w:tc>
          <w:tcPr>
            <w:tcW w:w="2058" w:type="dxa"/>
            <w:tcBorders>
              <w:top w:val="single" w:color="auto" w:sz="8" w:space="0"/>
              <w:left w:val="nil"/>
              <w:bottom w:val="single" w:color="auto" w:sz="8" w:space="0"/>
              <w:right w:val="single" w:color="auto" w:sz="8" w:space="0"/>
            </w:tcBorders>
            <w:vAlign w:val="center"/>
          </w:tcPr>
          <w:p w14:paraId="02B0F484">
            <w:pPr>
              <w:keepNext w:val="0"/>
              <w:keepLines w:val="0"/>
              <w:pageBreakBefore w:val="0"/>
              <w:kinsoku/>
              <w:wordWrap w:val="0"/>
              <w:overflowPunct/>
              <w:topLinePunct w:val="0"/>
              <w:bidi w:val="0"/>
              <w:spacing w:line="320" w:lineRule="exact"/>
              <w:ind w:left="0"/>
              <w:jc w:val="center"/>
              <w:textAlignment w:val="auto"/>
              <w:rPr>
                <w:rFonts w:hint="eastAsia" w:ascii="宋体" w:hAnsi="宋体" w:cs="宋体"/>
                <w:color w:val="auto"/>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kern w:val="2"/>
                <w:sz w:val="24"/>
                <w:szCs w:val="24"/>
                <w:highlight w:val="none"/>
              </w:rPr>
              <w:t>投标人资格</w:t>
            </w:r>
          </w:p>
          <w:p w14:paraId="1E24F10C">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要求</w:t>
            </w:r>
          </w:p>
        </w:tc>
        <w:tc>
          <w:tcPr>
            <w:tcW w:w="6933" w:type="dxa"/>
            <w:tcBorders>
              <w:top w:val="single" w:color="auto" w:sz="8" w:space="0"/>
              <w:left w:val="nil"/>
              <w:bottom w:val="single" w:color="auto" w:sz="8" w:space="0"/>
              <w:right w:val="single" w:color="auto" w:sz="8" w:space="0"/>
            </w:tcBorders>
            <w:vAlign w:val="center"/>
          </w:tcPr>
          <w:p w14:paraId="7F88D669">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lang w:val="en-US" w:eastAsia="zh-CN"/>
              </w:rPr>
              <w:t>详</w:t>
            </w:r>
            <w:r>
              <w:rPr>
                <w:rFonts w:hint="eastAsia" w:ascii="宋体" w:hAnsi="宋体" w:cs="宋体"/>
                <w:color w:val="auto"/>
                <w:kern w:val="2"/>
                <w:sz w:val="24"/>
                <w:szCs w:val="24"/>
                <w:highlight w:val="none"/>
              </w:rPr>
              <w:t xml:space="preserve">见“第一章 招标公告 </w:t>
            </w:r>
            <w:r>
              <w:rPr>
                <w:rFonts w:hint="eastAsia" w:ascii="宋体" w:hAnsi="宋体" w:cs="宋体"/>
                <w:b/>
                <w:bCs/>
                <w:color w:val="auto"/>
                <w:kern w:val="2"/>
                <w:sz w:val="24"/>
                <w:szCs w:val="24"/>
                <w:highlight w:val="none"/>
              </w:rPr>
              <w:t>二、投标人的资格要求</w:t>
            </w:r>
            <w:r>
              <w:rPr>
                <w:rFonts w:hint="eastAsia" w:ascii="宋体" w:hAnsi="宋体" w:cs="宋体"/>
                <w:color w:val="auto"/>
                <w:kern w:val="2"/>
                <w:sz w:val="24"/>
                <w:szCs w:val="24"/>
                <w:highlight w:val="none"/>
              </w:rPr>
              <w:t>”</w:t>
            </w:r>
          </w:p>
        </w:tc>
      </w:tr>
      <w:tr w14:paraId="01018A1F">
        <w:tblPrEx>
          <w:tblCellMar>
            <w:top w:w="0" w:type="dxa"/>
            <w:left w:w="0" w:type="dxa"/>
            <w:bottom w:w="0" w:type="dxa"/>
            <w:right w:w="0" w:type="dxa"/>
          </w:tblCellMar>
        </w:tblPrEx>
        <w:trPr>
          <w:trHeight w:val="918" w:hRule="atLeast"/>
        </w:trPr>
        <w:tc>
          <w:tcPr>
            <w:tcW w:w="891" w:type="dxa"/>
            <w:tcBorders>
              <w:top w:val="single" w:color="auto" w:sz="8" w:space="0"/>
              <w:left w:val="single" w:color="auto" w:sz="8" w:space="0"/>
              <w:bottom w:val="single" w:color="auto" w:sz="8" w:space="0"/>
              <w:right w:val="single" w:color="auto" w:sz="8" w:space="0"/>
            </w:tcBorders>
            <w:vAlign w:val="center"/>
          </w:tcPr>
          <w:p w14:paraId="37B264EB">
            <w:pPr>
              <w:keepNext w:val="0"/>
              <w:keepLines w:val="0"/>
              <w:pageBreakBefore w:val="0"/>
              <w:widowControl/>
              <w:kinsoku/>
              <w:wordWrap w:val="0"/>
              <w:overflowPunct/>
              <w:topLinePunct w:val="0"/>
              <w:autoSpaceDE/>
              <w:autoSpaceDN/>
              <w:bidi w:val="0"/>
              <w:adjustRightInd/>
              <w:snapToGrid/>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1.4.2</w:t>
            </w:r>
          </w:p>
        </w:tc>
        <w:tc>
          <w:tcPr>
            <w:tcW w:w="2058" w:type="dxa"/>
            <w:tcBorders>
              <w:top w:val="single" w:color="auto" w:sz="8" w:space="0"/>
              <w:left w:val="nil"/>
              <w:bottom w:val="single" w:color="auto" w:sz="8" w:space="0"/>
              <w:right w:val="single" w:color="auto" w:sz="8" w:space="0"/>
            </w:tcBorders>
            <w:vAlign w:val="center"/>
          </w:tcPr>
          <w:p w14:paraId="53ADDA3D">
            <w:pPr>
              <w:keepNext w:val="0"/>
              <w:keepLines w:val="0"/>
              <w:pageBreakBefore w:val="0"/>
              <w:widowControl/>
              <w:kinsoku/>
              <w:wordWrap w:val="0"/>
              <w:overflowPunct/>
              <w:topLinePunct w:val="0"/>
              <w:autoSpaceDE/>
              <w:autoSpaceDN/>
              <w:bidi w:val="0"/>
              <w:adjustRightInd/>
              <w:snapToGrid/>
              <w:spacing w:line="320" w:lineRule="exact"/>
              <w:ind w:left="0"/>
              <w:jc w:val="center"/>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是否接受联合体</w:t>
            </w:r>
          </w:p>
          <w:p w14:paraId="26F24232">
            <w:pPr>
              <w:keepNext w:val="0"/>
              <w:keepLines w:val="0"/>
              <w:pageBreakBefore w:val="0"/>
              <w:widowControl/>
              <w:kinsoku/>
              <w:wordWrap w:val="0"/>
              <w:overflowPunct/>
              <w:topLinePunct w:val="0"/>
              <w:autoSpaceDE/>
              <w:autoSpaceDN/>
              <w:bidi w:val="0"/>
              <w:adjustRightInd/>
              <w:snapToGrid/>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w:t>
            </w:r>
          </w:p>
        </w:tc>
        <w:tc>
          <w:tcPr>
            <w:tcW w:w="6933" w:type="dxa"/>
            <w:tcBorders>
              <w:top w:val="single" w:color="auto" w:sz="8" w:space="0"/>
              <w:left w:val="nil"/>
              <w:bottom w:val="single" w:color="auto" w:sz="8" w:space="0"/>
              <w:right w:val="single" w:color="auto" w:sz="8" w:space="0"/>
            </w:tcBorders>
            <w:vAlign w:val="center"/>
          </w:tcPr>
          <w:p w14:paraId="59E83227">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MS Gothic" w:hAnsi="MS Gothic" w:eastAsia="MS Gothic" w:cs="MS Gothic"/>
                <w:color w:val="auto"/>
                <w:kern w:val="2"/>
                <w:highlight w:val="none"/>
              </w:rPr>
              <w:t>☑</w:t>
            </w:r>
            <w:r>
              <w:rPr>
                <w:rFonts w:hint="eastAsia" w:ascii="宋体" w:hAnsi="宋体" w:cs="宋体"/>
                <w:color w:val="auto"/>
                <w:sz w:val="24"/>
                <w:szCs w:val="24"/>
                <w:highlight w:val="none"/>
              </w:rPr>
              <w:t>不</w:t>
            </w:r>
            <w:r>
              <w:rPr>
                <w:rFonts w:hint="eastAsia" w:ascii="宋体" w:hAnsi="宋体"/>
                <w:color w:val="auto"/>
                <w:kern w:val="2"/>
                <w:sz w:val="24"/>
                <w:szCs w:val="24"/>
                <w:highlight w:val="none"/>
              </w:rPr>
              <w:t>接受</w:t>
            </w:r>
          </w:p>
          <w:p w14:paraId="5AC4481E">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highlight w:val="none"/>
              </w:rPr>
            </w:pPr>
            <w:r>
              <w:rPr>
                <w:rFonts w:hint="eastAsia" w:ascii="宋体" w:hAnsi="宋体" w:cs="宋体"/>
                <w:color w:val="auto"/>
                <w:sz w:val="24"/>
                <w:szCs w:val="24"/>
                <w:highlight w:val="none"/>
              </w:rPr>
              <w:t>□接受，应满足下列要求：</w:t>
            </w:r>
          </w:p>
        </w:tc>
      </w:tr>
      <w:tr w14:paraId="297B2B62">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1B198EB0">
            <w:pPr>
              <w:keepNext w:val="0"/>
              <w:keepLines w:val="0"/>
              <w:pageBreakBefore w:val="0"/>
              <w:widowControl/>
              <w:kinsoku/>
              <w:wordWrap w:val="0"/>
              <w:overflowPunct/>
              <w:topLinePunct w:val="0"/>
              <w:autoSpaceDE/>
              <w:autoSpaceDN/>
              <w:bidi w:val="0"/>
              <w:adjustRightInd/>
              <w:snapToGrid/>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1.5.1</w:t>
            </w:r>
          </w:p>
        </w:tc>
        <w:tc>
          <w:tcPr>
            <w:tcW w:w="2058" w:type="dxa"/>
            <w:tcBorders>
              <w:top w:val="single" w:color="auto" w:sz="8" w:space="0"/>
              <w:left w:val="nil"/>
              <w:bottom w:val="single" w:color="auto" w:sz="8" w:space="0"/>
              <w:right w:val="single" w:color="auto" w:sz="8" w:space="0"/>
            </w:tcBorders>
            <w:vAlign w:val="center"/>
          </w:tcPr>
          <w:p w14:paraId="034D67DA">
            <w:pPr>
              <w:keepNext w:val="0"/>
              <w:keepLines w:val="0"/>
              <w:pageBreakBefore w:val="0"/>
              <w:widowControl/>
              <w:kinsoku/>
              <w:wordWrap w:val="0"/>
              <w:overflowPunct/>
              <w:topLinePunct w:val="0"/>
              <w:autoSpaceDE/>
              <w:autoSpaceDN/>
              <w:bidi w:val="0"/>
              <w:adjustRightInd/>
              <w:snapToGrid/>
              <w:spacing w:line="320" w:lineRule="exact"/>
              <w:ind w:left="0"/>
              <w:jc w:val="center"/>
              <w:textAlignment w:val="auto"/>
              <w:rPr>
                <w:rFonts w:ascii="宋体" w:hAnsi="宋体" w:cs="宋体"/>
                <w:color w:val="auto"/>
                <w:kern w:val="2"/>
                <w:sz w:val="24"/>
                <w:szCs w:val="24"/>
                <w:highlight w:val="none"/>
              </w:rPr>
            </w:pPr>
            <w:r>
              <w:rPr>
                <w:rFonts w:hint="eastAsia" w:cs="黑体"/>
                <w:color w:val="auto"/>
                <w:sz w:val="24"/>
                <w:szCs w:val="24"/>
                <w:highlight w:val="none"/>
                <w:lang w:val="en-US" w:eastAsia="zh-CN"/>
              </w:rPr>
              <w:t>委托</w:t>
            </w:r>
            <w:r>
              <w:rPr>
                <w:rFonts w:hint="eastAsia" w:cs="黑体"/>
                <w:color w:val="auto"/>
                <w:sz w:val="24"/>
                <w:szCs w:val="24"/>
                <w:highlight w:val="none"/>
              </w:rPr>
              <w:t>代理服务费</w:t>
            </w:r>
          </w:p>
        </w:tc>
        <w:tc>
          <w:tcPr>
            <w:tcW w:w="6933" w:type="dxa"/>
            <w:tcBorders>
              <w:top w:val="single" w:color="auto" w:sz="8" w:space="0"/>
              <w:left w:val="nil"/>
              <w:bottom w:val="single" w:color="auto" w:sz="8" w:space="0"/>
              <w:right w:val="single" w:color="auto" w:sz="8" w:space="0"/>
            </w:tcBorders>
            <w:vAlign w:val="top"/>
          </w:tcPr>
          <w:p w14:paraId="63C4369A">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按云南省建设工程招标投标行业协会关于印发《云南省建设工程招标代理服务收费参考意见》的通知云建招协(2024)58号文件中关于服务收费标准下浮25.00 %计算向采购人收取</w:t>
            </w:r>
            <w:r>
              <w:rPr>
                <w:rFonts w:hint="eastAsia" w:ascii="宋体" w:hAnsi="宋体" w:cs="宋体"/>
                <w:color w:val="auto"/>
                <w:sz w:val="24"/>
                <w:szCs w:val="24"/>
                <w:highlight w:val="none"/>
                <w:lang w:eastAsia="zh-CN"/>
              </w:rPr>
              <w:t>。</w:t>
            </w:r>
          </w:p>
          <w:p w14:paraId="4BED5938">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缴纳方式为：现金、银行转账、电汇。</w:t>
            </w:r>
          </w:p>
          <w:p w14:paraId="62718B65">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中标服务费缴费账户信息如下：</w:t>
            </w:r>
          </w:p>
          <w:p w14:paraId="545CE5C3">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账户名称：山标工程项目管理咨询（云南）有限公司</w:t>
            </w:r>
          </w:p>
          <w:p w14:paraId="36215384">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账户号码: 531899991013000560519</w:t>
            </w:r>
          </w:p>
          <w:p w14:paraId="021DC5BB">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开户银行: 交通银行股份有限公司昆明北区支行</w:t>
            </w:r>
          </w:p>
          <w:p w14:paraId="5B67C859">
            <w:pPr>
              <w:keepNext w:val="0"/>
              <w:keepLines w:val="0"/>
              <w:pageBreakBefore w:val="0"/>
              <w:widowControl/>
              <w:kinsoku/>
              <w:wordWrap w:val="0"/>
              <w:overflowPunct/>
              <w:topLinePunct w:val="0"/>
              <w:autoSpaceDE/>
              <w:autoSpaceDN/>
              <w:bidi w:val="0"/>
              <w:adjustRightInd/>
              <w:snapToGrid/>
              <w:spacing w:line="320" w:lineRule="exact"/>
              <w:ind w:left="0"/>
              <w:jc w:val="both"/>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sz w:val="24"/>
                <w:szCs w:val="24"/>
                <w:highlight w:val="none"/>
              </w:rPr>
              <w:t>代理服务费转账时需注明（</w:t>
            </w:r>
            <w:r>
              <w:rPr>
                <w:rFonts w:hint="eastAsia" w:ascii="宋体" w:hAnsi="宋体" w:cs="宋体"/>
                <w:color w:val="auto"/>
                <w:sz w:val="24"/>
                <w:szCs w:val="24"/>
                <w:highlight w:val="none"/>
                <w:lang w:eastAsia="zh-CN"/>
              </w:rPr>
              <w:t>云南省建水监狱2025年—2026年罪犯蛋类、蔬菜类生活物资采购项目</w:t>
            </w:r>
            <w:r>
              <w:rPr>
                <w:rFonts w:hint="eastAsia" w:ascii="宋体" w:hAnsi="宋体" w:cs="宋体"/>
                <w:color w:val="auto"/>
                <w:sz w:val="24"/>
                <w:szCs w:val="24"/>
                <w:highlight w:val="none"/>
                <w:lang w:val="en-US" w:eastAsia="zh-CN"/>
              </w:rPr>
              <w:t>委托代理</w:t>
            </w:r>
            <w:r>
              <w:rPr>
                <w:rFonts w:hint="eastAsia" w:ascii="宋体" w:hAnsi="宋体" w:cs="宋体"/>
                <w:color w:val="auto"/>
                <w:sz w:val="24"/>
                <w:szCs w:val="24"/>
                <w:highlight w:val="none"/>
              </w:rPr>
              <w:t>服务费）。</w:t>
            </w:r>
          </w:p>
        </w:tc>
      </w:tr>
      <w:tr w14:paraId="79A0D649">
        <w:tblPrEx>
          <w:tblCellMar>
            <w:top w:w="0" w:type="dxa"/>
            <w:left w:w="0" w:type="dxa"/>
            <w:bottom w:w="0" w:type="dxa"/>
            <w:right w:w="0" w:type="dxa"/>
          </w:tblCellMar>
        </w:tblPrEx>
        <w:trPr>
          <w:trHeight w:val="1453" w:hRule="atLeast"/>
        </w:trPr>
        <w:tc>
          <w:tcPr>
            <w:tcW w:w="891" w:type="dxa"/>
            <w:tcBorders>
              <w:top w:val="single" w:color="auto" w:sz="8" w:space="0"/>
              <w:left w:val="single" w:color="auto" w:sz="8" w:space="0"/>
              <w:bottom w:val="single" w:color="auto" w:sz="8" w:space="0"/>
              <w:right w:val="single" w:color="auto" w:sz="8" w:space="0"/>
            </w:tcBorders>
            <w:vAlign w:val="center"/>
          </w:tcPr>
          <w:p w14:paraId="7D50897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1.9.1</w:t>
            </w:r>
          </w:p>
        </w:tc>
        <w:tc>
          <w:tcPr>
            <w:tcW w:w="2058" w:type="dxa"/>
            <w:tcBorders>
              <w:top w:val="single" w:color="auto" w:sz="8" w:space="0"/>
              <w:left w:val="nil"/>
              <w:bottom w:val="single" w:color="auto" w:sz="8" w:space="0"/>
              <w:right w:val="single" w:color="auto" w:sz="8" w:space="0"/>
            </w:tcBorders>
            <w:vAlign w:val="center"/>
          </w:tcPr>
          <w:p w14:paraId="4F3CE025">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现场考察</w:t>
            </w:r>
          </w:p>
        </w:tc>
        <w:tc>
          <w:tcPr>
            <w:tcW w:w="6933" w:type="dxa"/>
            <w:tcBorders>
              <w:top w:val="single" w:color="auto" w:sz="8" w:space="0"/>
              <w:left w:val="nil"/>
              <w:bottom w:val="single" w:color="auto" w:sz="8" w:space="0"/>
              <w:right w:val="single" w:color="auto" w:sz="8" w:space="0"/>
            </w:tcBorders>
            <w:vAlign w:val="center"/>
          </w:tcPr>
          <w:p w14:paraId="19DDEEAE">
            <w:pPr>
              <w:keepNext w:val="0"/>
              <w:keepLines w:val="0"/>
              <w:pageBreakBefore w:val="0"/>
              <w:kinsoku/>
              <w:wordWrap w:val="0"/>
              <w:overflowPunct/>
              <w:topLinePunct w:val="0"/>
              <w:bidi w:val="0"/>
              <w:spacing w:line="320" w:lineRule="exact"/>
              <w:ind w:left="0"/>
              <w:textAlignment w:val="auto"/>
              <w:rPr>
                <w:rFonts w:hAnsi="宋体" w:cs="宋体"/>
                <w:color w:val="auto"/>
                <w:kern w:val="2"/>
                <w:highlight w:val="none"/>
              </w:rPr>
            </w:pPr>
            <w:r>
              <w:rPr>
                <w:rFonts w:hint="eastAsia" w:hAnsi="宋体" w:cs="宋体"/>
                <w:color w:val="auto"/>
                <w:kern w:val="2"/>
                <w:highlight w:val="none"/>
                <w:lang w:eastAsia="zh-CN"/>
              </w:rPr>
              <w:t>☑</w:t>
            </w:r>
            <w:r>
              <w:rPr>
                <w:rFonts w:hint="eastAsia" w:hAnsi="宋体" w:cs="宋体"/>
                <w:color w:val="auto"/>
                <w:kern w:val="2"/>
                <w:highlight w:val="none"/>
              </w:rPr>
              <w:t>不</w:t>
            </w:r>
            <w:r>
              <w:rPr>
                <w:rFonts w:hint="eastAsia" w:ascii="宋体" w:hAnsi="宋体"/>
                <w:color w:val="auto"/>
                <w:kern w:val="2"/>
                <w:sz w:val="24"/>
                <w:szCs w:val="24"/>
                <w:highlight w:val="none"/>
              </w:rPr>
              <w:t>组织</w:t>
            </w:r>
          </w:p>
          <w:p w14:paraId="2B8A9D9C">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w:t>
            </w:r>
            <w:r>
              <w:rPr>
                <w:rFonts w:hint="eastAsia" w:ascii="宋体" w:hAnsi="宋体"/>
                <w:color w:val="auto"/>
                <w:kern w:val="2"/>
                <w:sz w:val="24"/>
                <w:szCs w:val="24"/>
                <w:highlight w:val="none"/>
              </w:rPr>
              <w:t>组织</w:t>
            </w:r>
            <w:r>
              <w:rPr>
                <w:rFonts w:hint="eastAsia" w:ascii="宋体" w:hAnsi="宋体" w:cs="宋体"/>
                <w:color w:val="auto"/>
                <w:kern w:val="2"/>
                <w:sz w:val="24"/>
                <w:szCs w:val="24"/>
                <w:highlight w:val="none"/>
              </w:rPr>
              <w:t>，考察时间：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r>
              <w:rPr>
                <w:rFonts w:hint="eastAsia" w:ascii="宋体" w:hAnsi="宋体" w:cs="宋体"/>
                <w:color w:val="auto"/>
                <w:kern w:val="2"/>
                <w:sz w:val="24"/>
                <w:szCs w:val="24"/>
                <w:highlight w:val="none"/>
                <w:u w:val="single"/>
              </w:rPr>
              <w:t>(在招标文件提供期限截止后，开标前)</w:t>
            </w:r>
          </w:p>
          <w:p w14:paraId="43299FE7">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 考察</w:t>
            </w:r>
            <w:r>
              <w:rPr>
                <w:rFonts w:hint="eastAsia" w:ascii="宋体" w:hAnsi="宋体"/>
                <w:color w:val="auto"/>
                <w:kern w:val="2"/>
                <w:sz w:val="24"/>
                <w:szCs w:val="24"/>
                <w:highlight w:val="none"/>
              </w:rPr>
              <w:t>集中</w:t>
            </w:r>
            <w:r>
              <w:rPr>
                <w:rFonts w:hint="eastAsia" w:ascii="宋体" w:hAnsi="宋体" w:cs="宋体"/>
                <w:color w:val="auto"/>
                <w:kern w:val="2"/>
                <w:sz w:val="24"/>
                <w:szCs w:val="24"/>
                <w:highlight w:val="none"/>
              </w:rPr>
              <w:t>地点：</w:t>
            </w:r>
            <w:r>
              <w:rPr>
                <w:rFonts w:hint="eastAsia" w:ascii="宋体" w:hAnsi="宋体" w:cs="宋体"/>
                <w:color w:val="auto"/>
                <w:kern w:val="2"/>
                <w:sz w:val="24"/>
                <w:szCs w:val="24"/>
                <w:highlight w:val="none"/>
                <w:u w:val="single"/>
              </w:rPr>
              <w:t xml:space="preserve">                 </w:t>
            </w:r>
          </w:p>
        </w:tc>
      </w:tr>
      <w:tr w14:paraId="29CC04C8">
        <w:tblPrEx>
          <w:tblCellMar>
            <w:top w:w="0" w:type="dxa"/>
            <w:left w:w="0" w:type="dxa"/>
            <w:bottom w:w="0" w:type="dxa"/>
            <w:right w:w="0" w:type="dxa"/>
          </w:tblCellMar>
        </w:tblPrEx>
        <w:trPr>
          <w:trHeight w:val="1238" w:hRule="atLeast"/>
        </w:trPr>
        <w:tc>
          <w:tcPr>
            <w:tcW w:w="891" w:type="dxa"/>
            <w:tcBorders>
              <w:top w:val="single" w:color="auto" w:sz="8" w:space="0"/>
              <w:left w:val="single" w:color="auto" w:sz="8" w:space="0"/>
              <w:bottom w:val="single" w:color="auto" w:sz="8" w:space="0"/>
              <w:right w:val="single" w:color="auto" w:sz="8" w:space="0"/>
            </w:tcBorders>
            <w:vAlign w:val="center"/>
          </w:tcPr>
          <w:p w14:paraId="1CFC31D5">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highlight w:val="none"/>
              </w:rPr>
              <w:t>1.10.1</w:t>
            </w:r>
          </w:p>
        </w:tc>
        <w:tc>
          <w:tcPr>
            <w:tcW w:w="2058" w:type="dxa"/>
            <w:tcBorders>
              <w:top w:val="single" w:color="auto" w:sz="8" w:space="0"/>
              <w:left w:val="nil"/>
              <w:bottom w:val="single" w:color="auto" w:sz="8" w:space="0"/>
              <w:right w:val="single" w:color="auto" w:sz="8" w:space="0"/>
            </w:tcBorders>
            <w:vAlign w:val="center"/>
          </w:tcPr>
          <w:p w14:paraId="75C97527">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采购人是否允许</w:t>
            </w:r>
          </w:p>
          <w:p w14:paraId="570DA7FD">
            <w:pPr>
              <w:keepNext w:val="0"/>
              <w:keepLines w:val="0"/>
              <w:pageBreakBefore w:val="0"/>
              <w:kinsoku/>
              <w:wordWrap w:val="0"/>
              <w:overflowPunct/>
              <w:topLinePunct w:val="0"/>
              <w:bidi w:val="0"/>
              <w:spacing w:line="320" w:lineRule="exact"/>
              <w:ind w:left="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sz w:val="24"/>
                <w:szCs w:val="24"/>
                <w:highlight w:val="none"/>
              </w:rPr>
              <w:t>分包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转包</w:t>
            </w:r>
          </w:p>
        </w:tc>
        <w:tc>
          <w:tcPr>
            <w:tcW w:w="6933" w:type="dxa"/>
            <w:tcBorders>
              <w:top w:val="single" w:color="auto" w:sz="8" w:space="0"/>
              <w:left w:val="nil"/>
              <w:bottom w:val="single" w:color="auto" w:sz="8" w:space="0"/>
              <w:right w:val="single" w:color="auto" w:sz="8" w:space="0"/>
            </w:tcBorders>
            <w:vAlign w:val="center"/>
          </w:tcPr>
          <w:p w14:paraId="36A48F3B">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MS Gothic" w:hAnsi="MS Gothic" w:eastAsia="MS Gothic" w:cs="MS Gothic"/>
                <w:color w:val="auto"/>
                <w:kern w:val="2"/>
                <w:sz w:val="24"/>
                <w:szCs w:val="24"/>
                <w:highlight w:val="none"/>
              </w:rPr>
              <w:t>☑</w:t>
            </w:r>
            <w:r>
              <w:rPr>
                <w:rFonts w:hint="eastAsia" w:ascii="宋体" w:hAnsi="宋体" w:cs="宋体"/>
                <w:color w:val="auto"/>
                <w:sz w:val="24"/>
                <w:szCs w:val="24"/>
                <w:highlight w:val="none"/>
              </w:rPr>
              <w:t>不允许</w:t>
            </w:r>
          </w:p>
          <w:p w14:paraId="7BEDCB83">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□允许：</w:t>
            </w:r>
          </w:p>
          <w:p w14:paraId="7CA3C465">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sz w:val="24"/>
                <w:szCs w:val="24"/>
                <w:highlight w:val="none"/>
              </w:rPr>
              <w:t>非主体、非关键性工作内容包括：</w:t>
            </w:r>
            <w:r>
              <w:rPr>
                <w:rFonts w:hint="eastAsia" w:ascii="宋体" w:hAnsi="宋体" w:cs="宋体"/>
                <w:color w:val="auto"/>
                <w:sz w:val="24"/>
                <w:szCs w:val="24"/>
                <w:highlight w:val="none"/>
                <w:u w:val="single"/>
              </w:rPr>
              <w:t>/</w:t>
            </w:r>
          </w:p>
        </w:tc>
      </w:tr>
      <w:tr w14:paraId="0F4EFD9C">
        <w:tblPrEx>
          <w:tblCellMar>
            <w:top w:w="0" w:type="dxa"/>
            <w:left w:w="0" w:type="dxa"/>
            <w:bottom w:w="0" w:type="dxa"/>
            <w:right w:w="0" w:type="dxa"/>
          </w:tblCellMar>
        </w:tblPrEx>
        <w:trPr>
          <w:trHeight w:val="968" w:hRule="atLeast"/>
        </w:trPr>
        <w:tc>
          <w:tcPr>
            <w:tcW w:w="891" w:type="dxa"/>
            <w:tcBorders>
              <w:top w:val="single" w:color="auto" w:sz="8" w:space="0"/>
              <w:left w:val="single" w:color="auto" w:sz="8" w:space="0"/>
              <w:bottom w:val="single" w:color="auto" w:sz="8" w:space="0"/>
              <w:right w:val="single" w:color="auto" w:sz="8" w:space="0"/>
            </w:tcBorders>
            <w:vAlign w:val="center"/>
          </w:tcPr>
          <w:p w14:paraId="099D5D56">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jc w:val="center"/>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1.11</w:t>
            </w:r>
          </w:p>
        </w:tc>
        <w:tc>
          <w:tcPr>
            <w:tcW w:w="2058" w:type="dxa"/>
            <w:tcBorders>
              <w:top w:val="single" w:color="auto" w:sz="8" w:space="0"/>
              <w:left w:val="nil"/>
              <w:bottom w:val="single" w:color="auto" w:sz="8" w:space="0"/>
              <w:right w:val="single" w:color="auto" w:sz="8" w:space="0"/>
            </w:tcBorders>
            <w:vAlign w:val="center"/>
          </w:tcPr>
          <w:p w14:paraId="0CFFB7B3">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jc w:val="center"/>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偏离</w:t>
            </w:r>
          </w:p>
        </w:tc>
        <w:tc>
          <w:tcPr>
            <w:tcW w:w="6933" w:type="dxa"/>
            <w:tcBorders>
              <w:top w:val="single" w:color="auto" w:sz="8" w:space="0"/>
              <w:left w:val="nil"/>
              <w:bottom w:val="single" w:color="auto" w:sz="8" w:space="0"/>
              <w:right w:val="single" w:color="auto" w:sz="8" w:space="0"/>
            </w:tcBorders>
            <w:vAlign w:val="center"/>
          </w:tcPr>
          <w:p w14:paraId="26A772DC">
            <w:pPr>
              <w:keepNext w:val="0"/>
              <w:keepLines w:val="0"/>
              <w:pageBreakBefore w:val="0"/>
              <w:suppressLineNumbers w:val="0"/>
              <w:kinsoku/>
              <w:overflowPunct/>
              <w:topLinePunct w:val="0"/>
              <w:bidi w:val="0"/>
              <w:spacing w:before="0" w:beforeAutospacing="0" w:after="0" w:afterAutospacing="0" w:line="32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不允许</w:t>
            </w:r>
          </w:p>
          <w:p w14:paraId="48D5A0D3">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jc w:val="left"/>
              <w:textAlignment w:val="auto"/>
              <w:rPr>
                <w:rFonts w:hint="eastAsia" w:ascii="宋体" w:hAnsi="宋体" w:cs="宋体"/>
                <w:color w:val="auto"/>
                <w:sz w:val="24"/>
                <w:szCs w:val="24"/>
                <w:highlight w:val="none"/>
              </w:rPr>
            </w:pPr>
            <w:r>
              <w:rPr>
                <w:rFonts w:hint="eastAsia" w:ascii="MS Gothic" w:hAnsi="MS Gothic" w:eastAsia="MS Gothic" w:cs="MS Gothic"/>
                <w:color w:val="auto"/>
                <w:kern w:val="2"/>
                <w:sz w:val="24"/>
                <w:szCs w:val="24"/>
                <w:highlight w:val="none"/>
              </w:rPr>
              <w:t>☑</w:t>
            </w:r>
            <w:r>
              <w:rPr>
                <w:rFonts w:hint="eastAsia" w:ascii="宋体" w:hAnsi="宋体" w:eastAsia="宋体" w:cs="宋体"/>
                <w:color w:val="auto"/>
                <w:sz w:val="24"/>
                <w:szCs w:val="24"/>
                <w:highlight w:val="none"/>
              </w:rPr>
              <w:t>允许：</w:t>
            </w:r>
            <w:r>
              <w:rPr>
                <w:rFonts w:hint="eastAsia" w:ascii="宋体" w:hAnsi="宋体" w:eastAsia="宋体" w:cs="宋体"/>
                <w:color w:val="auto"/>
                <w:sz w:val="24"/>
                <w:szCs w:val="24"/>
                <w:highlight w:val="none"/>
                <w:lang w:val="en-US" w:eastAsia="zh-CN"/>
              </w:rPr>
              <w:t>本项目允许正偏离或不偏离，不允许负偏离。如质量要求提高、合同履行期限减少、参数的正偏离，处罚额度增大等有利于招标人的条款。</w:t>
            </w:r>
          </w:p>
        </w:tc>
      </w:tr>
      <w:tr w14:paraId="04C2ACD2">
        <w:tblPrEx>
          <w:tblCellMar>
            <w:top w:w="0" w:type="dxa"/>
            <w:left w:w="0" w:type="dxa"/>
            <w:bottom w:w="0" w:type="dxa"/>
            <w:right w:w="0" w:type="dxa"/>
          </w:tblCellMar>
        </w:tblPrEx>
        <w:trPr>
          <w:trHeight w:val="968" w:hRule="atLeast"/>
        </w:trPr>
        <w:tc>
          <w:tcPr>
            <w:tcW w:w="891" w:type="dxa"/>
            <w:tcBorders>
              <w:top w:val="single" w:color="auto" w:sz="8" w:space="0"/>
              <w:left w:val="single" w:color="auto" w:sz="8" w:space="0"/>
              <w:bottom w:val="single" w:color="auto" w:sz="8" w:space="0"/>
              <w:right w:val="single" w:color="auto" w:sz="8" w:space="0"/>
            </w:tcBorders>
            <w:vAlign w:val="center"/>
          </w:tcPr>
          <w:p w14:paraId="459DD8FD">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1.12.1</w:t>
            </w:r>
          </w:p>
        </w:tc>
        <w:tc>
          <w:tcPr>
            <w:tcW w:w="2058" w:type="dxa"/>
            <w:tcBorders>
              <w:top w:val="single" w:color="auto" w:sz="8" w:space="0"/>
              <w:left w:val="nil"/>
              <w:bottom w:val="single" w:color="auto" w:sz="8" w:space="0"/>
              <w:right w:val="single" w:color="auto" w:sz="8" w:space="0"/>
            </w:tcBorders>
            <w:vAlign w:val="center"/>
          </w:tcPr>
          <w:p w14:paraId="410975FA">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样品要求</w:t>
            </w:r>
          </w:p>
        </w:tc>
        <w:tc>
          <w:tcPr>
            <w:tcW w:w="6933" w:type="dxa"/>
            <w:tcBorders>
              <w:top w:val="single" w:color="auto" w:sz="8" w:space="0"/>
              <w:left w:val="nil"/>
              <w:bottom w:val="single" w:color="auto" w:sz="8" w:space="0"/>
              <w:right w:val="single" w:color="auto" w:sz="8" w:space="0"/>
            </w:tcBorders>
            <w:vAlign w:val="center"/>
          </w:tcPr>
          <w:p w14:paraId="2E580FA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是否要求提交样品：</w:t>
            </w:r>
          </w:p>
          <w:p w14:paraId="2CFFCF4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不要求</w:t>
            </w:r>
          </w:p>
          <w:p w14:paraId="2E9C97E0">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14:paraId="1E83AD21">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样品递交相关事宜：</w:t>
            </w:r>
          </w:p>
          <w:p w14:paraId="341236FD">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1.样品递交截止时间：同提交投标文件截止时间；</w:t>
            </w:r>
          </w:p>
          <w:p w14:paraId="660437C5">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2.样品递交地点：云南省昆明市五华区教场东路与学府路交叉口莲花池财富中心八楼；</w:t>
            </w:r>
          </w:p>
          <w:p w14:paraId="7ED6C347">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3.样品要求：见招标文件第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章“采购需求”要求；</w:t>
            </w:r>
          </w:p>
          <w:p w14:paraId="4EE09117">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4.样品的评审方法以及评审标准：见招标文件“第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 评标办法”；</w:t>
            </w:r>
          </w:p>
          <w:p w14:paraId="5BB8E814">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5.样品递交要求：</w:t>
            </w:r>
          </w:p>
          <w:p w14:paraId="37C61F76">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按招标文件“第</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采购需求”的要求提供</w:t>
            </w:r>
            <w:r>
              <w:rPr>
                <w:rFonts w:hint="eastAsia" w:ascii="宋体" w:hAnsi="宋体" w:eastAsia="宋体" w:cs="宋体"/>
                <w:b/>
                <w:color w:val="auto"/>
                <w:sz w:val="24"/>
                <w:szCs w:val="24"/>
                <w:highlight w:val="none"/>
                <w:u w:val="single"/>
                <w:lang w:val="en-US" w:eastAsia="zh-CN"/>
              </w:rPr>
              <w:t>样品</w:t>
            </w:r>
            <w:r>
              <w:rPr>
                <w:rFonts w:hint="eastAsia" w:ascii="宋体" w:hAnsi="宋体" w:eastAsia="宋体" w:cs="宋体"/>
                <w:b/>
                <w:color w:val="auto"/>
                <w:sz w:val="24"/>
                <w:szCs w:val="24"/>
                <w:highlight w:val="none"/>
                <w:u w:val="single"/>
              </w:rPr>
              <w:t>。</w:t>
            </w:r>
          </w:p>
          <w:p w14:paraId="00A28C4E">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投标人必须在递交样品时提供</w:t>
            </w:r>
            <w:r>
              <w:rPr>
                <w:rFonts w:hint="eastAsia" w:ascii="宋体" w:hAnsi="宋体" w:eastAsia="宋体" w:cs="宋体"/>
                <w:color w:val="auto"/>
                <w:sz w:val="24"/>
                <w:szCs w:val="24"/>
                <w:highlight w:val="none"/>
                <w:lang w:val="en-US" w:eastAsia="zh-CN"/>
              </w:rPr>
              <w:t>对应的</w:t>
            </w:r>
            <w:r>
              <w:rPr>
                <w:rFonts w:hint="eastAsia" w:ascii="宋体" w:hAnsi="宋体" w:eastAsia="宋体" w:cs="宋体"/>
                <w:color w:val="auto"/>
                <w:sz w:val="24"/>
                <w:szCs w:val="24"/>
                <w:highlight w:val="none"/>
              </w:rPr>
              <w:t>样品清单，且所提供的样品上应标明产品名称、所属单位。</w:t>
            </w:r>
          </w:p>
          <w:p w14:paraId="51F3CC99">
            <w:pPr>
              <w:keepNext w:val="0"/>
              <w:keepLines w:val="0"/>
              <w:numPr>
                <w:ilvl w:val="0"/>
                <w:numId w:val="1"/>
              </w:numPr>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中标人的样品保管、封存后，作为履约验收的参考，非中标人样品退还时间另行通知。</w:t>
            </w:r>
          </w:p>
          <w:p w14:paraId="720F62C9">
            <w:pPr>
              <w:keepNext w:val="0"/>
              <w:keepLines w:val="0"/>
              <w:numPr>
                <w:ilvl w:val="0"/>
                <w:numId w:val="1"/>
              </w:numPr>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密封要求：</w:t>
            </w:r>
            <w:r>
              <w:rPr>
                <w:rFonts w:hint="eastAsia" w:ascii="宋体" w:hAnsi="宋体" w:eastAsia="宋体" w:cs="宋体"/>
                <w:color w:val="auto"/>
                <w:sz w:val="24"/>
                <w:szCs w:val="24"/>
                <w:highlight w:val="none"/>
              </w:rPr>
              <w:t>样品须统一装入纸箱后密封，封口处加贴封条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正中位置粘贴加盖有清晰公章的单位名称标贴</w:t>
            </w:r>
            <w:r>
              <w:rPr>
                <w:rFonts w:hint="eastAsia" w:ascii="宋体" w:hAnsi="宋体" w:cs="宋体"/>
                <w:color w:val="auto"/>
                <w:sz w:val="24"/>
                <w:szCs w:val="24"/>
                <w:highlight w:val="none"/>
                <w:lang w:eastAsia="zh-CN"/>
              </w:rPr>
              <w:t>。</w:t>
            </w:r>
          </w:p>
          <w:p w14:paraId="0498D742">
            <w:pPr>
              <w:pStyle w:val="8"/>
              <w:rPr>
                <w:rFonts w:hint="default"/>
                <w:b/>
                <w:bCs/>
                <w:color w:val="auto"/>
                <w:sz w:val="24"/>
                <w:szCs w:val="24"/>
                <w:highlight w:val="none"/>
                <w:lang w:val="en-US"/>
              </w:rPr>
            </w:pPr>
            <w:r>
              <w:rPr>
                <w:rFonts w:hint="eastAsia" w:ascii="宋体" w:hAnsi="宋体" w:cs="宋体"/>
                <w:b/>
                <w:bCs/>
                <w:color w:val="auto"/>
                <w:sz w:val="24"/>
                <w:szCs w:val="24"/>
                <w:highlight w:val="none"/>
                <w:lang w:val="en-US" w:eastAsia="zh-CN"/>
              </w:rPr>
              <w:t>8.提交样品时须携带授权委托书原件。</w:t>
            </w:r>
          </w:p>
          <w:p w14:paraId="313B2E7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是否要求随样品提交检测报告：</w:t>
            </w:r>
          </w:p>
          <w:p w14:paraId="4F3166E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14:paraId="5D7C402F">
            <w:pPr>
              <w:keepNext w:val="0"/>
              <w:keepLines w:val="0"/>
              <w:suppressLineNumbers w:val="0"/>
              <w:spacing w:before="0" w:beforeAutospacing="0" w:after="0" w:afterAutospacing="0" w:line="240" w:lineRule="auto"/>
              <w:ind w:left="0" w:leftChars="0" w:right="0" w:rightChars="0"/>
              <w:jc w:val="left"/>
              <w:rPr>
                <w:rFonts w:hint="eastAsia" w:ascii="MS Gothic" w:hAnsi="MS Gothic" w:eastAsia="MS Gothic" w:cs="MS Gothic"/>
                <w:color w:val="auto"/>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w:t>
            </w:r>
          </w:p>
        </w:tc>
      </w:tr>
      <w:tr w14:paraId="7DF3059F">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30BBC5D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2.1</w:t>
            </w:r>
          </w:p>
        </w:tc>
        <w:tc>
          <w:tcPr>
            <w:tcW w:w="2058" w:type="dxa"/>
            <w:tcBorders>
              <w:top w:val="single" w:color="auto" w:sz="8" w:space="0"/>
              <w:left w:val="nil"/>
              <w:bottom w:val="single" w:color="auto" w:sz="8" w:space="0"/>
              <w:right w:val="single" w:color="auto" w:sz="8" w:space="0"/>
            </w:tcBorders>
            <w:vAlign w:val="center"/>
          </w:tcPr>
          <w:p w14:paraId="2EB94A7F">
            <w:pPr>
              <w:pStyle w:val="27"/>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构成招标文件的其他资料</w:t>
            </w:r>
          </w:p>
        </w:tc>
        <w:tc>
          <w:tcPr>
            <w:tcW w:w="6933" w:type="dxa"/>
            <w:tcBorders>
              <w:top w:val="single" w:color="auto" w:sz="8" w:space="0"/>
              <w:left w:val="nil"/>
              <w:bottom w:val="single" w:color="auto" w:sz="8" w:space="0"/>
              <w:right w:val="single" w:color="auto" w:sz="8" w:space="0"/>
            </w:tcBorders>
            <w:vAlign w:val="center"/>
          </w:tcPr>
          <w:p w14:paraId="564D1C7A">
            <w:pPr>
              <w:pStyle w:val="27"/>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澄清、修改等内容</w:t>
            </w:r>
          </w:p>
        </w:tc>
      </w:tr>
      <w:tr w14:paraId="1E0F9E5B">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1D271A04">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2.2.2</w:t>
            </w:r>
          </w:p>
        </w:tc>
        <w:tc>
          <w:tcPr>
            <w:tcW w:w="2058" w:type="dxa"/>
            <w:tcBorders>
              <w:top w:val="single" w:color="auto" w:sz="8" w:space="0"/>
              <w:left w:val="nil"/>
              <w:bottom w:val="single" w:color="auto" w:sz="8" w:space="0"/>
              <w:right w:val="single" w:color="auto" w:sz="8" w:space="0"/>
            </w:tcBorders>
            <w:vAlign w:val="center"/>
          </w:tcPr>
          <w:p w14:paraId="38590E30">
            <w:pPr>
              <w:pStyle w:val="27"/>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招标文件澄清发出的形式</w:t>
            </w:r>
          </w:p>
        </w:tc>
        <w:tc>
          <w:tcPr>
            <w:tcW w:w="6933" w:type="dxa"/>
            <w:tcBorders>
              <w:top w:val="single" w:color="auto" w:sz="8" w:space="0"/>
              <w:left w:val="nil"/>
              <w:bottom w:val="single" w:color="auto" w:sz="8" w:space="0"/>
              <w:right w:val="single" w:color="auto" w:sz="8" w:space="0"/>
            </w:tcBorders>
            <w:vAlign w:val="center"/>
          </w:tcPr>
          <w:p w14:paraId="0B7630E6">
            <w:pPr>
              <w:pStyle w:val="27"/>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在公告发布媒介上发布澄清公告</w:t>
            </w:r>
          </w:p>
        </w:tc>
      </w:tr>
      <w:tr w14:paraId="6F1CD17E">
        <w:tblPrEx>
          <w:tblCellMar>
            <w:top w:w="0" w:type="dxa"/>
            <w:left w:w="0" w:type="dxa"/>
            <w:bottom w:w="0" w:type="dxa"/>
            <w:right w:w="0" w:type="dxa"/>
          </w:tblCellMar>
        </w:tblPrEx>
        <w:trPr>
          <w:trHeight w:val="835" w:hRule="atLeast"/>
        </w:trPr>
        <w:tc>
          <w:tcPr>
            <w:tcW w:w="891" w:type="dxa"/>
            <w:tcBorders>
              <w:top w:val="nil"/>
              <w:left w:val="single" w:color="auto" w:sz="8" w:space="0"/>
              <w:bottom w:val="single" w:color="auto" w:sz="8" w:space="0"/>
              <w:right w:val="single" w:color="auto" w:sz="8" w:space="0"/>
            </w:tcBorders>
            <w:vAlign w:val="center"/>
          </w:tcPr>
          <w:p w14:paraId="38672591">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2.2.3</w:t>
            </w:r>
          </w:p>
        </w:tc>
        <w:tc>
          <w:tcPr>
            <w:tcW w:w="2058" w:type="dxa"/>
            <w:tcBorders>
              <w:top w:val="nil"/>
              <w:left w:val="nil"/>
              <w:bottom w:val="single" w:color="auto" w:sz="8" w:space="0"/>
              <w:right w:val="single" w:color="auto" w:sz="8" w:space="0"/>
            </w:tcBorders>
            <w:vAlign w:val="center"/>
          </w:tcPr>
          <w:p w14:paraId="59D8F1E6">
            <w:pPr>
              <w:pStyle w:val="27"/>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投标人确认收到招标文件澄清</w:t>
            </w:r>
          </w:p>
        </w:tc>
        <w:tc>
          <w:tcPr>
            <w:tcW w:w="6933" w:type="dxa"/>
            <w:tcBorders>
              <w:top w:val="single" w:color="auto" w:sz="8" w:space="0"/>
              <w:left w:val="nil"/>
              <w:bottom w:val="single" w:color="auto" w:sz="8" w:space="0"/>
              <w:right w:val="single" w:color="auto" w:sz="8" w:space="0"/>
            </w:tcBorders>
            <w:vAlign w:val="center"/>
          </w:tcPr>
          <w:p w14:paraId="416F796D">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62497BAB">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形式：</w:t>
            </w:r>
            <w:r>
              <w:rPr>
                <w:rFonts w:hint="eastAsia" w:ascii="宋体" w:hAnsi="宋体" w:cs="宋体"/>
                <w:color w:val="auto"/>
                <w:sz w:val="24"/>
                <w:szCs w:val="24"/>
                <w:highlight w:val="none"/>
              </w:rPr>
              <w:t>电子形式</w:t>
            </w:r>
          </w:p>
        </w:tc>
      </w:tr>
      <w:tr w14:paraId="735066A1">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62E4A009">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2.3.1</w:t>
            </w:r>
          </w:p>
        </w:tc>
        <w:tc>
          <w:tcPr>
            <w:tcW w:w="2058" w:type="dxa"/>
            <w:tcBorders>
              <w:top w:val="single" w:color="auto" w:sz="8" w:space="0"/>
              <w:left w:val="nil"/>
              <w:bottom w:val="single" w:color="auto" w:sz="8" w:space="0"/>
              <w:right w:val="single" w:color="auto" w:sz="8" w:space="0"/>
            </w:tcBorders>
            <w:vAlign w:val="center"/>
          </w:tcPr>
          <w:p w14:paraId="3CEE654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招标文件修改发出的形式</w:t>
            </w:r>
          </w:p>
        </w:tc>
        <w:tc>
          <w:tcPr>
            <w:tcW w:w="6933" w:type="dxa"/>
            <w:tcBorders>
              <w:top w:val="single" w:color="auto" w:sz="8" w:space="0"/>
              <w:left w:val="nil"/>
              <w:bottom w:val="single" w:color="auto" w:sz="8" w:space="0"/>
              <w:right w:val="single" w:color="auto" w:sz="8" w:space="0"/>
            </w:tcBorders>
            <w:vAlign w:val="center"/>
          </w:tcPr>
          <w:p w14:paraId="7274F8C5">
            <w:pPr>
              <w:pStyle w:val="27"/>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在公告发布媒介上发布澄清公告</w:t>
            </w:r>
          </w:p>
        </w:tc>
      </w:tr>
      <w:tr w14:paraId="6C5D04E3">
        <w:tblPrEx>
          <w:tblCellMar>
            <w:top w:w="0" w:type="dxa"/>
            <w:left w:w="0" w:type="dxa"/>
            <w:bottom w:w="0" w:type="dxa"/>
            <w:right w:w="0" w:type="dxa"/>
          </w:tblCellMar>
        </w:tblPrEx>
        <w:trPr>
          <w:trHeight w:val="910" w:hRule="atLeast"/>
        </w:trPr>
        <w:tc>
          <w:tcPr>
            <w:tcW w:w="891" w:type="dxa"/>
            <w:tcBorders>
              <w:top w:val="nil"/>
              <w:left w:val="single" w:color="auto" w:sz="8" w:space="0"/>
              <w:bottom w:val="single" w:color="auto" w:sz="8" w:space="0"/>
              <w:right w:val="single" w:color="auto" w:sz="8" w:space="0"/>
            </w:tcBorders>
            <w:vAlign w:val="center"/>
          </w:tcPr>
          <w:p w14:paraId="61787F24">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2.3.2</w:t>
            </w:r>
          </w:p>
        </w:tc>
        <w:tc>
          <w:tcPr>
            <w:tcW w:w="2058" w:type="dxa"/>
            <w:tcBorders>
              <w:top w:val="nil"/>
              <w:left w:val="nil"/>
              <w:bottom w:val="single" w:color="auto" w:sz="8" w:space="0"/>
              <w:right w:val="single" w:color="auto" w:sz="8" w:space="0"/>
            </w:tcBorders>
            <w:vAlign w:val="center"/>
          </w:tcPr>
          <w:p w14:paraId="42683D3F">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投标人确认收到招标文件修改</w:t>
            </w:r>
          </w:p>
        </w:tc>
        <w:tc>
          <w:tcPr>
            <w:tcW w:w="6933" w:type="dxa"/>
            <w:tcBorders>
              <w:top w:val="single" w:color="auto" w:sz="8" w:space="0"/>
              <w:left w:val="nil"/>
              <w:bottom w:val="single" w:color="auto" w:sz="8" w:space="0"/>
              <w:right w:val="single" w:color="auto" w:sz="8" w:space="0"/>
            </w:tcBorders>
            <w:vAlign w:val="center"/>
          </w:tcPr>
          <w:p w14:paraId="6363C258">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时间：24</w:t>
            </w:r>
            <w:r>
              <w:rPr>
                <w:rFonts w:hint="eastAsia" w:ascii="宋体" w:hAnsi="宋体"/>
                <w:color w:val="auto"/>
                <w:kern w:val="2"/>
                <w:sz w:val="24"/>
                <w:szCs w:val="24"/>
                <w:highlight w:val="none"/>
              </w:rPr>
              <w:t>小时</w:t>
            </w:r>
            <w:r>
              <w:rPr>
                <w:rFonts w:hint="eastAsia" w:ascii="宋体" w:hAnsi="宋体" w:cs="宋体"/>
                <w:color w:val="auto"/>
                <w:kern w:val="2"/>
                <w:sz w:val="24"/>
                <w:szCs w:val="24"/>
                <w:highlight w:val="none"/>
              </w:rPr>
              <w:t>内</w:t>
            </w:r>
          </w:p>
          <w:p w14:paraId="00A1340A">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w:t>
            </w:r>
            <w:r>
              <w:rPr>
                <w:rFonts w:hint="eastAsia" w:ascii="宋体" w:hAnsi="宋体" w:cs="宋体"/>
                <w:color w:val="auto"/>
                <w:sz w:val="24"/>
                <w:szCs w:val="24"/>
                <w:highlight w:val="none"/>
              </w:rPr>
              <w:t>电子形式</w:t>
            </w:r>
          </w:p>
        </w:tc>
      </w:tr>
      <w:tr w14:paraId="4BD6EC6B">
        <w:tblPrEx>
          <w:tblCellMar>
            <w:top w:w="0" w:type="dxa"/>
            <w:left w:w="0" w:type="dxa"/>
            <w:bottom w:w="0" w:type="dxa"/>
            <w:right w:w="0" w:type="dxa"/>
          </w:tblCellMar>
        </w:tblPrEx>
        <w:trPr>
          <w:trHeight w:val="910" w:hRule="atLeast"/>
        </w:trPr>
        <w:tc>
          <w:tcPr>
            <w:tcW w:w="891" w:type="dxa"/>
            <w:tcBorders>
              <w:top w:val="nil"/>
              <w:left w:val="single" w:color="auto" w:sz="8" w:space="0"/>
              <w:bottom w:val="single" w:color="auto" w:sz="8" w:space="0"/>
              <w:right w:val="single" w:color="auto" w:sz="8" w:space="0"/>
            </w:tcBorders>
            <w:vAlign w:val="center"/>
          </w:tcPr>
          <w:p w14:paraId="5124457B">
            <w:pPr>
              <w:keepNext w:val="0"/>
              <w:keepLines w:val="0"/>
              <w:pageBreakBefore w:val="0"/>
              <w:kinsoku/>
              <w:wordWrap w:val="0"/>
              <w:overflowPunct/>
              <w:topLinePunct w:val="0"/>
              <w:bidi w:val="0"/>
              <w:spacing w:line="320" w:lineRule="exact"/>
              <w:ind w:left="0"/>
              <w:jc w:val="center"/>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3.1</w:t>
            </w:r>
          </w:p>
        </w:tc>
        <w:tc>
          <w:tcPr>
            <w:tcW w:w="2058" w:type="dxa"/>
            <w:tcBorders>
              <w:top w:val="nil"/>
              <w:left w:val="nil"/>
              <w:bottom w:val="single" w:color="auto" w:sz="8" w:space="0"/>
              <w:right w:val="single" w:color="auto" w:sz="8" w:space="0"/>
            </w:tcBorders>
            <w:vAlign w:val="center"/>
          </w:tcPr>
          <w:p w14:paraId="796B1909">
            <w:pPr>
              <w:keepNext w:val="0"/>
              <w:keepLines w:val="0"/>
              <w:pageBreakBefore w:val="0"/>
              <w:kinsoku/>
              <w:wordWrap w:val="0"/>
              <w:overflowPunct/>
              <w:topLinePunct w:val="0"/>
              <w:bidi w:val="0"/>
              <w:spacing w:line="320" w:lineRule="exact"/>
              <w:ind w:left="0"/>
              <w:jc w:val="center"/>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构成投标文件的其他材料</w:t>
            </w:r>
          </w:p>
        </w:tc>
        <w:tc>
          <w:tcPr>
            <w:tcW w:w="6933" w:type="dxa"/>
            <w:tcBorders>
              <w:top w:val="single" w:color="auto" w:sz="8" w:space="0"/>
              <w:left w:val="nil"/>
              <w:bottom w:val="single" w:color="auto" w:sz="8" w:space="0"/>
              <w:right w:val="single" w:color="auto" w:sz="8" w:space="0"/>
            </w:tcBorders>
            <w:vAlign w:val="center"/>
          </w:tcPr>
          <w:p w14:paraId="01F4699D">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sz w:val="24"/>
                <w:szCs w:val="24"/>
                <w:highlight w:val="none"/>
              </w:rPr>
              <w:t>投标人在评标过程中作出的符合法律法规和招标文件规定的澄清、说明或者补正</w:t>
            </w:r>
          </w:p>
        </w:tc>
      </w:tr>
      <w:tr w14:paraId="6A4EA2D5">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7015AFB4">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3.2.3</w:t>
            </w:r>
          </w:p>
        </w:tc>
        <w:tc>
          <w:tcPr>
            <w:tcW w:w="2058" w:type="dxa"/>
            <w:tcBorders>
              <w:top w:val="single" w:color="auto" w:sz="8" w:space="0"/>
              <w:left w:val="nil"/>
              <w:bottom w:val="single" w:color="auto" w:sz="8" w:space="0"/>
              <w:right w:val="single" w:color="auto" w:sz="8" w:space="0"/>
            </w:tcBorders>
            <w:vAlign w:val="center"/>
          </w:tcPr>
          <w:p w14:paraId="5078BF24">
            <w:pPr>
              <w:keepNext w:val="0"/>
              <w:keepLines w:val="0"/>
              <w:pageBreakBefore w:val="0"/>
              <w:kinsoku/>
              <w:wordWrap w:val="0"/>
              <w:overflowPunct/>
              <w:topLinePunct w:val="0"/>
              <w:bidi w:val="0"/>
              <w:spacing w:line="320" w:lineRule="exact"/>
              <w:ind w:left="0"/>
              <w:jc w:val="center"/>
              <w:textAlignment w:val="auto"/>
              <w:rPr>
                <w:rFonts w:hint="eastAsia" w:ascii="宋体" w:hAnsi="宋体" w:eastAsia="宋体" w:cs="宋体"/>
                <w:b/>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cs="宋体"/>
                <w:b/>
                <w:color w:val="auto"/>
                <w:kern w:val="2"/>
                <w:sz w:val="24"/>
                <w:szCs w:val="24"/>
                <w:highlight w:val="none"/>
                <w:lang w:eastAsia="zh-CN"/>
              </w:rPr>
              <w:t>单价最高限价</w:t>
            </w:r>
          </w:p>
        </w:tc>
        <w:tc>
          <w:tcPr>
            <w:tcW w:w="6933" w:type="dxa"/>
            <w:tcBorders>
              <w:top w:val="single" w:color="auto" w:sz="8" w:space="0"/>
              <w:left w:val="nil"/>
              <w:bottom w:val="single" w:color="auto" w:sz="8" w:space="0"/>
              <w:right w:val="single" w:color="auto" w:sz="8" w:space="0"/>
            </w:tcBorders>
            <w:vAlign w:val="center"/>
          </w:tcPr>
          <w:p w14:paraId="79AC901A">
            <w:pPr>
              <w:pStyle w:val="27"/>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□无</w:t>
            </w:r>
          </w:p>
          <w:p w14:paraId="4FC3E0D3">
            <w:pPr>
              <w:pStyle w:val="27"/>
              <w:keepNext w:val="0"/>
              <w:keepLines w:val="0"/>
              <w:pageBreakBefore w:val="0"/>
              <w:kinsoku/>
              <w:wordWrap w:val="0"/>
              <w:overflowPunct/>
              <w:topLinePunct w:val="0"/>
              <w:bidi w:val="0"/>
              <w:spacing w:line="320" w:lineRule="exact"/>
              <w:ind w:left="0"/>
              <w:textAlignment w:val="auto"/>
              <w:rPr>
                <w:rFonts w:hint="eastAsia" w:ascii="宋体" w:hAnsi="宋体" w:eastAsia="宋体" w:cs="宋体"/>
                <w:color w:val="auto"/>
                <w:kern w:val="2"/>
                <w:sz w:val="24"/>
                <w:szCs w:val="24"/>
                <w:highlight w:val="none"/>
                <w:lang w:val="en-US" w:eastAsia="zh-CN"/>
              </w:rPr>
            </w:pPr>
            <w:r>
              <w:rPr>
                <w:rFonts w:hint="eastAsia" w:ascii="MS Gothic" w:hAnsi="MS Gothic" w:eastAsia="MS Gothic" w:cs="MS Gothic"/>
                <w:color w:val="auto"/>
                <w:kern w:val="2"/>
                <w:highlight w:val="none"/>
              </w:rPr>
              <w:t>☑</w:t>
            </w:r>
            <w:r>
              <w:rPr>
                <w:rFonts w:hint="eastAsia" w:ascii="宋体" w:hAnsi="宋体" w:cs="宋体"/>
                <w:b/>
                <w:color w:val="auto"/>
                <w:kern w:val="2"/>
                <w:sz w:val="24"/>
                <w:szCs w:val="24"/>
                <w:highlight w:val="none"/>
              </w:rPr>
              <w:t>有，</w:t>
            </w:r>
            <w:r>
              <w:rPr>
                <w:rFonts w:hint="eastAsia" w:ascii="宋体" w:hAnsi="宋体" w:cs="宋体"/>
                <w:b/>
                <w:bCs/>
                <w:color w:val="auto"/>
                <w:kern w:val="2"/>
                <w:sz w:val="24"/>
                <w:szCs w:val="24"/>
                <w:highlight w:val="none"/>
              </w:rPr>
              <w:t>详见第六章“采购需求”</w:t>
            </w:r>
            <w:r>
              <w:rPr>
                <w:rFonts w:hint="eastAsia" w:ascii="宋体" w:hAnsi="宋体" w:cs="宋体"/>
                <w:b/>
                <w:color w:val="auto"/>
                <w:kern w:val="2"/>
                <w:sz w:val="24"/>
                <w:szCs w:val="24"/>
                <w:highlight w:val="none"/>
                <w:lang w:bidi="ar"/>
              </w:rPr>
              <w:t>，投标人所报</w:t>
            </w:r>
            <w:r>
              <w:rPr>
                <w:rFonts w:hint="eastAsia" w:ascii="宋体" w:hAnsi="宋体" w:cs="宋体"/>
                <w:b/>
                <w:color w:val="auto"/>
                <w:kern w:val="2"/>
                <w:sz w:val="24"/>
                <w:szCs w:val="24"/>
                <w:highlight w:val="none"/>
                <w:lang w:val="en-US" w:eastAsia="zh-CN" w:bidi="ar"/>
              </w:rPr>
              <w:t>任一项</w:t>
            </w:r>
            <w:r>
              <w:rPr>
                <w:rFonts w:hint="eastAsia" w:ascii="宋体" w:hAnsi="宋体" w:cs="宋体"/>
                <w:b/>
                <w:color w:val="auto"/>
                <w:kern w:val="2"/>
                <w:sz w:val="24"/>
                <w:szCs w:val="24"/>
                <w:highlight w:val="none"/>
                <w:lang w:bidi="ar"/>
              </w:rPr>
              <w:t>投标</w:t>
            </w:r>
            <w:r>
              <w:rPr>
                <w:rFonts w:hint="eastAsia" w:ascii="宋体" w:hAnsi="宋体" w:cs="宋体"/>
                <w:b/>
                <w:color w:val="auto"/>
                <w:kern w:val="2"/>
                <w:sz w:val="24"/>
                <w:szCs w:val="24"/>
                <w:highlight w:val="none"/>
                <w:lang w:val="en-US" w:eastAsia="zh-CN" w:bidi="ar"/>
              </w:rPr>
              <w:t>单价</w:t>
            </w:r>
            <w:r>
              <w:rPr>
                <w:rFonts w:hint="eastAsia" w:ascii="宋体" w:hAnsi="宋体" w:cs="宋体"/>
                <w:b/>
                <w:color w:val="auto"/>
                <w:kern w:val="2"/>
                <w:sz w:val="24"/>
                <w:szCs w:val="24"/>
                <w:highlight w:val="none"/>
                <w:lang w:bidi="ar"/>
              </w:rPr>
              <w:t>不得高于</w:t>
            </w:r>
            <w:r>
              <w:rPr>
                <w:rFonts w:hint="eastAsia" w:ascii="宋体" w:hAnsi="宋体" w:cs="宋体"/>
                <w:b/>
                <w:color w:val="auto"/>
                <w:kern w:val="2"/>
                <w:sz w:val="24"/>
                <w:szCs w:val="24"/>
                <w:highlight w:val="none"/>
                <w:lang w:val="en-US" w:eastAsia="zh-CN" w:bidi="ar"/>
              </w:rPr>
              <w:t>对应货物单价最高限价</w:t>
            </w:r>
            <w:r>
              <w:rPr>
                <w:rFonts w:hint="eastAsia" w:ascii="宋体" w:hAnsi="宋体" w:cs="宋体"/>
                <w:b/>
                <w:color w:val="auto"/>
                <w:kern w:val="2"/>
                <w:sz w:val="24"/>
                <w:szCs w:val="24"/>
                <w:highlight w:val="none"/>
                <w:lang w:bidi="ar"/>
              </w:rPr>
              <w:t>，否则按否决投标处理。</w:t>
            </w:r>
          </w:p>
        </w:tc>
      </w:tr>
      <w:tr w14:paraId="723FA908">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06ABCB6D">
            <w:pPr>
              <w:keepNext w:val="0"/>
              <w:keepLines w:val="0"/>
              <w:pageBreakBefore w:val="0"/>
              <w:kinsoku/>
              <w:wordWrap w:val="0"/>
              <w:overflowPunct/>
              <w:topLinePunct w:val="0"/>
              <w:bidi w:val="0"/>
              <w:spacing w:line="320" w:lineRule="exact"/>
              <w:ind w:left="0"/>
              <w:jc w:val="center"/>
              <w:textAlignment w:val="auto"/>
              <w:rPr>
                <w:rFonts w:hint="eastAsia" w:ascii="宋体" w:hAnsi="宋体" w:cs="宋体"/>
                <w:color w:val="auto"/>
                <w:kern w:val="2"/>
                <w:sz w:val="24"/>
                <w:szCs w:val="24"/>
                <w:highlight w:val="none"/>
              </w:rPr>
            </w:pPr>
            <w:r>
              <w:rPr>
                <w:rFonts w:hint="eastAsia" w:ascii="宋体" w:hAnsi="宋体"/>
                <w:color w:val="auto"/>
                <w:kern w:val="2"/>
                <w:sz w:val="24"/>
                <w:szCs w:val="24"/>
                <w:highlight w:val="none"/>
              </w:rPr>
              <w:t>3.2.4</w:t>
            </w:r>
          </w:p>
        </w:tc>
        <w:tc>
          <w:tcPr>
            <w:tcW w:w="2058" w:type="dxa"/>
            <w:tcBorders>
              <w:top w:val="single" w:color="auto" w:sz="8" w:space="0"/>
              <w:left w:val="nil"/>
              <w:bottom w:val="single" w:color="auto" w:sz="8" w:space="0"/>
              <w:right w:val="single" w:color="auto" w:sz="8" w:space="0"/>
            </w:tcBorders>
            <w:vAlign w:val="center"/>
          </w:tcPr>
          <w:p w14:paraId="56DC3279">
            <w:pPr>
              <w:keepNext w:val="0"/>
              <w:keepLines w:val="0"/>
              <w:pageBreakBefore w:val="0"/>
              <w:kinsoku/>
              <w:wordWrap w:val="0"/>
              <w:overflowPunct/>
              <w:topLinePunct w:val="0"/>
              <w:bidi w:val="0"/>
              <w:spacing w:line="320" w:lineRule="exact"/>
              <w:ind w:left="0"/>
              <w:jc w:val="center"/>
              <w:textAlignment w:val="auto"/>
              <w:rPr>
                <w:rFonts w:hint="eastAsia" w:ascii="宋体" w:hAnsi="宋体" w:eastAsia="宋体" w:cs="宋体"/>
                <w:color w:val="auto"/>
                <w:sz w:val="24"/>
                <w:szCs w:val="24"/>
                <w:highlight w:val="none"/>
                <w:lang w:eastAsia="zh-CN"/>
              </w:rPr>
            </w:pPr>
            <w:r>
              <w:rPr>
                <w:rFonts w:hint="eastAsia" w:ascii="宋体" w:hAnsi="宋体"/>
                <w:color w:val="auto"/>
                <w:kern w:val="2"/>
                <w:sz w:val="24"/>
                <w:szCs w:val="24"/>
                <w:highlight w:val="none"/>
              </w:rPr>
              <w:t>投标报价要求</w:t>
            </w:r>
          </w:p>
        </w:tc>
        <w:tc>
          <w:tcPr>
            <w:tcW w:w="6933" w:type="dxa"/>
            <w:tcBorders>
              <w:top w:val="single" w:color="auto" w:sz="8" w:space="0"/>
              <w:left w:val="nil"/>
              <w:bottom w:val="single" w:color="auto" w:sz="8" w:space="0"/>
              <w:right w:val="single" w:color="auto" w:sz="8" w:space="0"/>
            </w:tcBorders>
            <w:vAlign w:val="center"/>
          </w:tcPr>
          <w:p w14:paraId="4BA70358">
            <w:pPr>
              <w:pStyle w:val="2"/>
              <w:keepNext w:val="0"/>
              <w:keepLines w:val="0"/>
              <w:pageBreakBefore w:val="0"/>
              <w:widowControl/>
              <w:kinsoku/>
              <w:wordWrap/>
              <w:overflowPunct/>
              <w:topLinePunct w:val="0"/>
              <w:autoSpaceDE/>
              <w:autoSpaceDN/>
              <w:bidi w:val="0"/>
              <w:adjustRightInd/>
              <w:snapToGrid/>
              <w:spacing w:line="320" w:lineRule="exact"/>
              <w:textAlignment w:val="auto"/>
              <w:rPr>
                <w:rFonts w:hint="eastAsia"/>
              </w:rPr>
            </w:pPr>
            <w:r>
              <w:rPr>
                <w:rFonts w:hint="eastAsia" w:ascii="宋体" w:hAnsi="宋体" w:eastAsia="宋体" w:cs="宋体"/>
                <w:b w:val="0"/>
                <w:bCs w:val="0"/>
                <w:color w:val="auto"/>
                <w:sz w:val="24"/>
                <w:szCs w:val="24"/>
                <w:highlight w:val="none"/>
              </w:rPr>
              <w:t>（1）</w:t>
            </w:r>
            <w:r>
              <w:rPr>
                <w:rFonts w:hint="eastAsia" w:ascii="宋体" w:hAnsi="宋体" w:cs="宋体"/>
                <w:color w:val="auto"/>
                <w:kern w:val="2"/>
                <w:sz w:val="24"/>
                <w:szCs w:val="24"/>
                <w:highlight w:val="none"/>
                <w:lang w:bidi="ar"/>
              </w:rPr>
              <w:t>各</w:t>
            </w:r>
            <w:r>
              <w:rPr>
                <w:rFonts w:hint="eastAsia" w:ascii="宋体" w:hAnsi="宋体" w:cs="宋体"/>
                <w:color w:val="auto"/>
                <w:kern w:val="2"/>
                <w:sz w:val="24"/>
                <w:szCs w:val="24"/>
                <w:highlight w:val="none"/>
                <w:lang w:val="en-US" w:eastAsia="zh-CN" w:bidi="ar"/>
              </w:rPr>
              <w:t>供应商</w:t>
            </w:r>
            <w:r>
              <w:rPr>
                <w:rFonts w:hint="eastAsia" w:ascii="宋体" w:hAnsi="宋体" w:cs="宋体"/>
                <w:color w:val="auto"/>
                <w:kern w:val="2"/>
                <w:sz w:val="24"/>
                <w:szCs w:val="24"/>
                <w:highlight w:val="none"/>
                <w:lang w:bidi="ar"/>
              </w:rPr>
              <w:t>须对所有内容进行</w:t>
            </w:r>
            <w:r>
              <w:rPr>
                <w:rFonts w:hint="eastAsia" w:ascii="宋体" w:hAnsi="宋体" w:cs="宋体"/>
                <w:color w:val="auto"/>
                <w:kern w:val="2"/>
                <w:sz w:val="24"/>
                <w:szCs w:val="24"/>
                <w:highlight w:val="none"/>
                <w:lang w:val="en-US" w:eastAsia="zh-CN" w:bidi="ar"/>
              </w:rPr>
              <w:t>分项报价、</w:t>
            </w:r>
            <w:r>
              <w:rPr>
                <w:rFonts w:hint="eastAsia" w:ascii="宋体" w:hAnsi="宋体" w:cs="宋体"/>
                <w:color w:val="auto"/>
                <w:kern w:val="2"/>
                <w:sz w:val="24"/>
                <w:szCs w:val="24"/>
                <w:highlight w:val="none"/>
                <w:lang w:bidi="ar"/>
              </w:rPr>
              <w:t>整体投标，不得缺项漏项，</w:t>
            </w:r>
            <w:r>
              <w:rPr>
                <w:rFonts w:hint="eastAsia" w:ascii="宋体" w:hAnsi="宋体" w:cs="宋体"/>
                <w:color w:val="auto"/>
                <w:kern w:val="2"/>
                <w:sz w:val="24"/>
                <w:szCs w:val="24"/>
                <w:highlight w:val="none"/>
                <w:lang w:val="en-US" w:eastAsia="zh-CN" w:bidi="ar"/>
              </w:rPr>
              <w:t>且每项分项报价均不得超过单价最高限价或投标总价不得超过预算金额，</w:t>
            </w:r>
            <w:r>
              <w:rPr>
                <w:rFonts w:hint="eastAsia" w:ascii="宋体" w:hAnsi="宋体" w:cs="宋体"/>
                <w:color w:val="auto"/>
                <w:kern w:val="2"/>
                <w:sz w:val="24"/>
                <w:szCs w:val="24"/>
                <w:highlight w:val="none"/>
                <w:lang w:bidi="ar"/>
              </w:rPr>
              <w:t>否则作否决投标处理</w:t>
            </w:r>
            <w:r>
              <w:rPr>
                <w:rFonts w:hint="eastAsia" w:ascii="宋体" w:hAnsi="宋体" w:cs="宋体"/>
                <w:b/>
                <w:color w:val="auto"/>
                <w:kern w:val="2"/>
                <w:sz w:val="21"/>
                <w:szCs w:val="21"/>
                <w:highlight w:val="none"/>
                <w:lang w:eastAsia="zh-CN" w:bidi="ar"/>
              </w:rPr>
              <w:t>。</w:t>
            </w:r>
          </w:p>
          <w:p w14:paraId="4B86A7F7">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320" w:lineRule="exact"/>
              <w:ind w:left="0" w:right="0" w:firstLine="240"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各投标人应根据自身综合实力、类似供货经验等</w:t>
            </w:r>
            <w:r>
              <w:rPr>
                <w:rFonts w:hint="eastAsia" w:ascii="宋体" w:hAnsi="宋体" w:cs="宋体"/>
                <w:b w:val="0"/>
                <w:bCs w:val="0"/>
                <w:color w:val="auto"/>
                <w:sz w:val="24"/>
                <w:szCs w:val="24"/>
                <w:highlight w:val="none"/>
                <w:lang w:val="en-US" w:eastAsia="zh-CN"/>
              </w:rPr>
              <w:t>进行</w:t>
            </w:r>
            <w:r>
              <w:rPr>
                <w:rFonts w:hint="eastAsia" w:ascii="宋体" w:hAnsi="宋体" w:eastAsia="宋体" w:cs="宋体"/>
                <w:b w:val="0"/>
                <w:bCs w:val="0"/>
                <w:color w:val="auto"/>
                <w:sz w:val="24"/>
                <w:szCs w:val="24"/>
                <w:highlight w:val="none"/>
              </w:rPr>
              <w:t>单价</w:t>
            </w:r>
            <w:r>
              <w:rPr>
                <w:rFonts w:hint="eastAsia" w:ascii="宋体" w:hAnsi="宋体" w:cs="宋体"/>
                <w:b w:val="0"/>
                <w:bCs w:val="0"/>
                <w:color w:val="auto"/>
                <w:sz w:val="24"/>
                <w:szCs w:val="24"/>
                <w:highlight w:val="none"/>
                <w:lang w:val="en-US" w:eastAsia="zh-CN"/>
              </w:rPr>
              <w:t>及总价</w:t>
            </w:r>
            <w:r>
              <w:rPr>
                <w:rFonts w:hint="eastAsia" w:ascii="宋体" w:hAnsi="宋体" w:eastAsia="宋体" w:cs="宋体"/>
                <w:b w:val="0"/>
                <w:bCs w:val="0"/>
                <w:color w:val="auto"/>
                <w:sz w:val="24"/>
                <w:szCs w:val="24"/>
                <w:highlight w:val="none"/>
              </w:rPr>
              <w:t>报价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val="en-US" w:eastAsia="zh-CN"/>
              </w:rPr>
              <w:t>投标人应</w:t>
            </w:r>
            <w:r>
              <w:rPr>
                <w:rFonts w:hint="eastAsia" w:ascii="宋体" w:hAnsi="宋体" w:eastAsia="宋体" w:cs="宋体"/>
                <w:color w:val="auto"/>
                <w:sz w:val="24"/>
                <w:szCs w:val="24"/>
                <w:highlight w:val="none"/>
                <w:lang w:val="zh-CN"/>
              </w:rPr>
              <w:t>高度重视采购人属于监狱单位的特殊情况，并对供货的方案风险有足够了解及重视</w:t>
            </w:r>
            <w:r>
              <w:rPr>
                <w:rFonts w:hint="eastAsia" w:ascii="Times New Roman" w:hAnsi="Times New Roman" w:cs="Times New Roman"/>
                <w:color w:val="auto"/>
                <w:sz w:val="24"/>
                <w:szCs w:val="24"/>
                <w:highlight w:val="none"/>
                <w:lang w:val="en-US" w:eastAsia="zh-CN"/>
              </w:rPr>
              <w:t>&lt;</w:t>
            </w:r>
            <w:r>
              <w:rPr>
                <w:rFonts w:hint="default" w:ascii="Times New Roman" w:hAnsi="Times New Roman" w:eastAsia="宋体" w:cs="Times New Roman"/>
                <w:color w:val="auto"/>
                <w:sz w:val="24"/>
                <w:szCs w:val="24"/>
                <w:highlight w:val="none"/>
                <w:lang w:val="zh-CN"/>
              </w:rPr>
              <w:t>特别是</w:t>
            </w:r>
            <w:r>
              <w:rPr>
                <w:rFonts w:hint="eastAsia" w:cs="Times New Roman"/>
                <w:color w:val="auto"/>
                <w:sz w:val="24"/>
                <w:szCs w:val="24"/>
                <w:highlight w:val="none"/>
                <w:lang w:val="en-US" w:eastAsia="zh-CN"/>
              </w:rPr>
              <w:t>采购人对</w:t>
            </w:r>
            <w:r>
              <w:rPr>
                <w:rFonts w:hint="default" w:ascii="Times New Roman" w:hAnsi="Times New Roman" w:eastAsia="宋体" w:cs="Times New Roman"/>
                <w:color w:val="auto"/>
                <w:sz w:val="24"/>
                <w:szCs w:val="24"/>
                <w:highlight w:val="none"/>
                <w:lang w:val="zh-CN"/>
              </w:rPr>
              <w:t>食品安全、监管区进出管理及检查等</w:t>
            </w:r>
            <w:r>
              <w:rPr>
                <w:rFonts w:hint="eastAsia" w:cs="Times New Roman"/>
                <w:color w:val="auto"/>
                <w:sz w:val="24"/>
                <w:szCs w:val="24"/>
                <w:highlight w:val="none"/>
                <w:lang w:val="en-US" w:eastAsia="zh-CN"/>
              </w:rPr>
              <w:t>有特殊要求的情况</w:t>
            </w:r>
            <w:r>
              <w:rPr>
                <w:rFonts w:hint="eastAsia" w:ascii="Times New Roman" w:hAnsi="Times New Roman" w:cs="Times New Roman"/>
                <w:color w:val="auto"/>
                <w:sz w:val="24"/>
                <w:szCs w:val="24"/>
                <w:highlight w:val="none"/>
                <w:lang w:val="en-US" w:eastAsia="zh-CN"/>
              </w:rPr>
              <w:t>&gt;</w:t>
            </w:r>
            <w:r>
              <w:rPr>
                <w:rFonts w:hint="eastAsia" w:ascii="宋体" w:hAnsi="宋体" w:eastAsia="宋体" w:cs="宋体"/>
                <w:color w:val="auto"/>
                <w:sz w:val="24"/>
                <w:szCs w:val="24"/>
                <w:highlight w:val="none"/>
                <w:lang w:val="en-US" w:eastAsia="zh-CN"/>
              </w:rPr>
              <w:t>）,该</w:t>
            </w:r>
            <w:r>
              <w:rPr>
                <w:rFonts w:hint="eastAsia" w:ascii="宋体" w:hAnsi="宋体" w:eastAsia="宋体" w:cs="宋体"/>
                <w:b w:val="0"/>
                <w:bCs w:val="0"/>
                <w:color w:val="auto"/>
                <w:sz w:val="24"/>
                <w:szCs w:val="24"/>
                <w:highlight w:val="none"/>
              </w:rPr>
              <w:t>报价</w:t>
            </w:r>
            <w:r>
              <w:rPr>
                <w:rFonts w:hint="eastAsia" w:ascii="宋体" w:hAnsi="宋体" w:eastAsia="宋体" w:cs="宋体"/>
                <w:color w:val="auto"/>
                <w:sz w:val="24"/>
                <w:szCs w:val="24"/>
                <w:highlight w:val="none"/>
                <w:lang w:val="zh-CN"/>
              </w:rPr>
              <w:t>已经包含采购人因监管区门禁管理及其他为保证监管安全而采用的一切措施，</w:t>
            </w:r>
            <w:r>
              <w:rPr>
                <w:rFonts w:hint="eastAsia" w:ascii="宋体" w:hAnsi="宋体" w:eastAsia="宋体" w:cs="宋体"/>
                <w:b w:val="0"/>
                <w:bCs w:val="0"/>
                <w:color w:val="auto"/>
                <w:sz w:val="24"/>
                <w:szCs w:val="24"/>
                <w:highlight w:val="none"/>
              </w:rPr>
              <w:t>是投标人综合考虑本项目所采购</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货物的市场价格、人工费、配送车辆的使用费、</w:t>
            </w:r>
            <w:r>
              <w:rPr>
                <w:rFonts w:hint="eastAsia" w:ascii="宋体" w:hAnsi="宋体" w:eastAsia="宋体" w:cs="宋体"/>
                <w:b w:val="0"/>
                <w:bCs w:val="0"/>
                <w:color w:val="auto"/>
                <w:sz w:val="24"/>
                <w:szCs w:val="24"/>
                <w:highlight w:val="none"/>
                <w:lang w:eastAsia="zh-CN"/>
              </w:rPr>
              <w:t>运杂费、堆放食材的仓库使用费、二次装卸费</w:t>
            </w:r>
            <w:r>
              <w:rPr>
                <w:rFonts w:hint="eastAsia" w:ascii="宋体" w:hAnsi="宋体" w:cs="宋体"/>
                <w:b w:val="0"/>
                <w:bCs w:val="0"/>
                <w:color w:val="auto"/>
                <w:sz w:val="24"/>
                <w:szCs w:val="24"/>
                <w:highlight w:val="none"/>
                <w:lang w:val="en-US" w:eastAsia="zh-CN"/>
              </w:rPr>
              <w:t>&lt;</w:t>
            </w:r>
            <w:r>
              <w:rPr>
                <w:rFonts w:hint="eastAsia" w:ascii="宋体" w:hAnsi="宋体" w:eastAsia="宋体" w:cs="宋体"/>
                <w:b w:val="0"/>
                <w:bCs w:val="0"/>
                <w:color w:val="auto"/>
                <w:sz w:val="24"/>
                <w:szCs w:val="24"/>
                <w:highlight w:val="none"/>
              </w:rPr>
              <w:t>如遇疫情等特殊情况，可能会产生二次装卸人工费</w:t>
            </w:r>
            <w:r>
              <w:rPr>
                <w:rFonts w:hint="eastAsia" w:ascii="宋体" w:hAnsi="宋体" w:cs="宋体"/>
                <w:b w:val="0"/>
                <w:bCs w:val="0"/>
                <w:color w:val="auto"/>
                <w:sz w:val="24"/>
                <w:szCs w:val="24"/>
                <w:highlight w:val="none"/>
                <w:lang w:val="en-US" w:eastAsia="zh-CN"/>
              </w:rPr>
              <w:t>&gt;</w:t>
            </w:r>
            <w:r>
              <w:rPr>
                <w:rFonts w:hint="eastAsia" w:ascii="宋体" w:hAnsi="宋体" w:eastAsia="宋体" w:cs="宋体"/>
                <w:b w:val="0"/>
                <w:bCs w:val="0"/>
                <w:color w:val="auto"/>
                <w:sz w:val="24"/>
                <w:szCs w:val="24"/>
                <w:highlight w:val="none"/>
              </w:rPr>
              <w:t>、堆放食材的仓库使用费、食品安全质量必备检测费、疫情防控费用、利润、税金等完成履行合同所需的全部费用</w:t>
            </w:r>
            <w:r>
              <w:rPr>
                <w:rFonts w:hint="eastAsia" w:ascii="宋体" w:hAnsi="宋体" w:eastAsia="宋体" w:cs="宋体"/>
                <w:b w:val="0"/>
                <w:bCs w:val="0"/>
                <w:color w:val="auto"/>
                <w:sz w:val="24"/>
                <w:szCs w:val="24"/>
                <w:highlight w:val="none"/>
                <w:lang w:val="en-US" w:eastAsia="zh-CN"/>
              </w:rPr>
              <w:t>。</w:t>
            </w:r>
          </w:p>
          <w:p w14:paraId="7AE9FA30">
            <w:pPr>
              <w:pStyle w:val="27"/>
              <w:keepNext w:val="0"/>
              <w:keepLines w:val="0"/>
              <w:pageBreakBefore w:val="0"/>
              <w:kinsoku/>
              <w:wordWrap w:val="0"/>
              <w:overflowPunct/>
              <w:topLinePunct w:val="0"/>
              <w:autoSpaceDE/>
              <w:autoSpaceDN/>
              <w:bidi w:val="0"/>
              <w:adjustRightInd/>
              <w:snapToGrid/>
              <w:spacing w:line="320" w:lineRule="exact"/>
              <w:ind w:left="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其他要求：</w:t>
            </w:r>
            <w:r>
              <w:rPr>
                <w:rFonts w:hint="eastAsia" w:ascii="宋体" w:hAnsi="宋体" w:eastAsia="宋体" w:cs="宋体"/>
                <w:b w:val="0"/>
                <w:bCs w:val="0"/>
                <w:color w:val="auto"/>
                <w:sz w:val="24"/>
                <w:szCs w:val="24"/>
                <w:highlight w:val="none"/>
                <w:lang w:val="en-US" w:eastAsia="zh-CN"/>
              </w:rPr>
              <w:t>因为各种因素的影响，罪犯生活物资采购资金和数量以实际采购发生实际为准。</w:t>
            </w:r>
          </w:p>
          <w:p w14:paraId="7F154B9A">
            <w:pPr>
              <w:pStyle w:val="27"/>
              <w:keepNext w:val="0"/>
              <w:keepLines w:val="0"/>
              <w:pageBreakBefore w:val="0"/>
              <w:kinsoku/>
              <w:wordWrap w:val="0"/>
              <w:overflowPunct/>
              <w:topLinePunct w:val="0"/>
              <w:autoSpaceDE/>
              <w:autoSpaceDN/>
              <w:bidi w:val="0"/>
              <w:adjustRightInd/>
              <w:snapToGrid/>
              <w:spacing w:line="320" w:lineRule="exact"/>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合同履行期间，价格按中标价格执行，单价不做调整。</w:t>
            </w:r>
          </w:p>
          <w:p w14:paraId="73A4268D">
            <w:pPr>
              <w:pStyle w:val="27"/>
              <w:keepNext w:val="0"/>
              <w:keepLines w:val="0"/>
              <w:pageBreakBefore w:val="0"/>
              <w:kinsoku/>
              <w:wordWrap w:val="0"/>
              <w:overflowPunct/>
              <w:topLinePunct w:val="0"/>
              <w:autoSpaceDE/>
              <w:autoSpaceDN/>
              <w:bidi w:val="0"/>
              <w:adjustRightInd/>
              <w:snapToGrid/>
              <w:spacing w:line="320" w:lineRule="exact"/>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付款以每月实际采购发生配送（验收合格）的数量和单价结算。全年采购数量以实际采购发生为准</w:t>
            </w:r>
            <w:r>
              <w:rPr>
                <w:rFonts w:hint="eastAsia" w:ascii="宋体" w:hAnsi="宋体" w:eastAsia="宋体" w:cs="宋体"/>
                <w:color w:val="auto"/>
                <w:sz w:val="24"/>
                <w:szCs w:val="24"/>
                <w:highlight w:val="none"/>
                <w:lang w:val="zh-CN"/>
              </w:rPr>
              <w:t>。</w:t>
            </w:r>
          </w:p>
        </w:tc>
      </w:tr>
      <w:tr w14:paraId="65FECD9C">
        <w:tblPrEx>
          <w:tblCellMar>
            <w:top w:w="0" w:type="dxa"/>
            <w:left w:w="0" w:type="dxa"/>
            <w:bottom w:w="0" w:type="dxa"/>
            <w:right w:w="0" w:type="dxa"/>
          </w:tblCellMar>
        </w:tblPrEx>
        <w:trPr>
          <w:trHeight w:val="400" w:hRule="atLeast"/>
        </w:trPr>
        <w:tc>
          <w:tcPr>
            <w:tcW w:w="891" w:type="dxa"/>
            <w:tcBorders>
              <w:top w:val="single" w:color="auto" w:sz="8" w:space="0"/>
              <w:left w:val="single" w:color="auto" w:sz="8" w:space="0"/>
              <w:bottom w:val="single" w:color="auto" w:sz="8" w:space="0"/>
              <w:right w:val="single" w:color="auto" w:sz="8" w:space="0"/>
            </w:tcBorders>
            <w:vAlign w:val="center"/>
          </w:tcPr>
          <w:p w14:paraId="47E33EEC">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3.3.1</w:t>
            </w:r>
          </w:p>
        </w:tc>
        <w:tc>
          <w:tcPr>
            <w:tcW w:w="2058" w:type="dxa"/>
            <w:tcBorders>
              <w:top w:val="single" w:color="auto" w:sz="8" w:space="0"/>
              <w:left w:val="nil"/>
              <w:bottom w:val="single" w:color="auto" w:sz="8" w:space="0"/>
              <w:right w:val="single" w:color="auto" w:sz="8" w:space="0"/>
            </w:tcBorders>
            <w:vAlign w:val="center"/>
          </w:tcPr>
          <w:p w14:paraId="7A84E189">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kern w:val="2"/>
                <w:sz w:val="24"/>
                <w:szCs w:val="24"/>
                <w:highlight w:val="none"/>
              </w:rPr>
              <w:t>投标有效期</w:t>
            </w:r>
          </w:p>
        </w:tc>
        <w:tc>
          <w:tcPr>
            <w:tcW w:w="6933" w:type="dxa"/>
            <w:tcBorders>
              <w:top w:val="single" w:color="auto" w:sz="8" w:space="0"/>
              <w:left w:val="nil"/>
              <w:bottom w:val="single" w:color="auto" w:sz="8" w:space="0"/>
              <w:right w:val="single" w:color="auto" w:sz="8" w:space="0"/>
            </w:tcBorders>
            <w:vAlign w:val="center"/>
          </w:tcPr>
          <w:p w14:paraId="12A8AB30">
            <w:pPr>
              <w:pStyle w:val="27"/>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投标有效期为90日历天(从投标截止之日算起)。</w:t>
            </w:r>
          </w:p>
        </w:tc>
      </w:tr>
      <w:tr w14:paraId="2AD5ACAF">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0540BD93">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3.4.1</w:t>
            </w:r>
          </w:p>
        </w:tc>
        <w:tc>
          <w:tcPr>
            <w:tcW w:w="2058" w:type="dxa"/>
            <w:tcBorders>
              <w:top w:val="single" w:color="auto" w:sz="8" w:space="0"/>
              <w:left w:val="nil"/>
              <w:bottom w:val="single" w:color="auto" w:sz="8" w:space="0"/>
              <w:right w:val="single" w:color="auto" w:sz="8" w:space="0"/>
            </w:tcBorders>
            <w:vAlign w:val="center"/>
          </w:tcPr>
          <w:p w14:paraId="41C3FF91">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kern w:val="2"/>
                <w:sz w:val="24"/>
                <w:szCs w:val="24"/>
                <w:highlight w:val="none"/>
              </w:rPr>
              <w:t>投标保证金</w:t>
            </w:r>
          </w:p>
        </w:tc>
        <w:tc>
          <w:tcPr>
            <w:tcW w:w="6933" w:type="dxa"/>
            <w:tcBorders>
              <w:top w:val="single" w:color="auto" w:sz="8" w:space="0"/>
              <w:left w:val="nil"/>
              <w:bottom w:val="single" w:color="auto" w:sz="8" w:space="0"/>
              <w:right w:val="single" w:color="auto" w:sz="8" w:space="0"/>
            </w:tcBorders>
            <w:vAlign w:val="center"/>
          </w:tcPr>
          <w:p w14:paraId="3296660E">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rPr>
              <w:t>投标保证金按</w:t>
            </w:r>
            <w:r>
              <w:rPr>
                <w:rFonts w:hint="eastAsia" w:ascii="宋体" w:hAnsi="宋体" w:cs="宋体"/>
                <w:color w:val="auto"/>
                <w:sz w:val="24"/>
                <w:szCs w:val="24"/>
                <w:highlight w:val="none"/>
              </w:rPr>
              <w:t>如下要求提交：</w:t>
            </w:r>
          </w:p>
          <w:p w14:paraId="3BC64141">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bCs/>
                <w:color w:val="auto"/>
                <w:sz w:val="24"/>
                <w:szCs w:val="24"/>
                <w:highlight w:val="none"/>
                <w:lang w:bidi="ar"/>
              </w:rPr>
              <w:t>投标保证金必须从投标人的基本账户划出。</w:t>
            </w:r>
          </w:p>
          <w:p w14:paraId="26957426">
            <w:pPr>
              <w:keepNext w:val="0"/>
              <w:keepLines w:val="0"/>
              <w:pageBreakBefore w:val="0"/>
              <w:widowControl w:val="0"/>
              <w:kinsoku/>
              <w:wordWrap/>
              <w:overflowPunct/>
              <w:topLinePunct w:val="0"/>
              <w:autoSpaceDE/>
              <w:autoSpaceDN/>
              <w:bidi w:val="0"/>
              <w:adjustRightInd/>
              <w:snapToGrid/>
              <w:spacing w:line="320" w:lineRule="exact"/>
              <w:ind w:left="0"/>
              <w:textAlignment w:val="auto"/>
              <w:rPr>
                <w:rFonts w:hint="eastAsia" w:ascii="宋体" w:hAnsi="宋体" w:eastAsia="宋体" w:cs="宋体"/>
                <w:b w:val="0"/>
                <w:bCs/>
                <w:color w:val="auto"/>
                <w:sz w:val="24"/>
                <w:szCs w:val="24"/>
                <w:highlight w:val="none"/>
                <w:lang w:eastAsia="zh-CN" w:bidi="ar"/>
              </w:rPr>
            </w:pPr>
            <w:r>
              <w:rPr>
                <w:rFonts w:hint="eastAsia" w:ascii="宋体" w:hAnsi="宋体" w:cs="宋体"/>
                <w:b w:val="0"/>
                <w:bCs/>
                <w:color w:val="auto"/>
                <w:sz w:val="24"/>
                <w:szCs w:val="24"/>
                <w:highlight w:val="none"/>
                <w:lang w:bidi="ar"/>
              </w:rPr>
              <w:t>保证金金额：</w:t>
            </w:r>
            <w:r>
              <w:rPr>
                <w:rFonts w:hint="eastAsia" w:ascii="宋体" w:hAnsi="宋体" w:cs="宋体"/>
                <w:b w:val="0"/>
                <w:bCs/>
                <w:color w:val="auto"/>
                <w:sz w:val="24"/>
                <w:szCs w:val="24"/>
                <w:highlight w:val="none"/>
                <w:lang w:eastAsia="zh-CN" w:bidi="ar"/>
              </w:rPr>
              <w:t>20000.00</w:t>
            </w:r>
            <w:r>
              <w:rPr>
                <w:rFonts w:hint="eastAsia" w:ascii="宋体" w:hAnsi="宋体" w:cs="宋体"/>
                <w:b w:val="0"/>
                <w:bCs/>
                <w:color w:val="auto"/>
                <w:sz w:val="24"/>
                <w:szCs w:val="24"/>
                <w:highlight w:val="none"/>
                <w:lang w:bidi="ar"/>
              </w:rPr>
              <w:t>（元）</w:t>
            </w:r>
          </w:p>
          <w:p w14:paraId="13BC071C">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保证金递交截止时间同投标文件递交截止时间。到账时间以项目专项账户实际到账时间为准，未按时到账的保证金视为未提交。</w:t>
            </w:r>
          </w:p>
          <w:p w14:paraId="5C077515">
            <w:pPr>
              <w:keepNext w:val="0"/>
              <w:keepLines w:val="0"/>
              <w:pageBreakBefore w:val="0"/>
              <w:kinsoku/>
              <w:wordWrap w:val="0"/>
              <w:overflowPunct/>
              <w:topLinePunct w:val="0"/>
              <w:bidi w:val="0"/>
              <w:spacing w:line="320" w:lineRule="exact"/>
              <w:ind w:left="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（一）网银、电汇转账</w:t>
            </w:r>
          </w:p>
          <w:p w14:paraId="4BA91921">
            <w:pPr>
              <w:pStyle w:val="37"/>
              <w:keepNext w:val="0"/>
              <w:keepLines w:val="0"/>
              <w:pageBreakBefore w:val="0"/>
              <w:kinsoku/>
              <w:wordWrap w:val="0"/>
              <w:overflowPunct/>
              <w:topLinePunct w:val="0"/>
              <w:bidi w:val="0"/>
              <w:spacing w:line="320" w:lineRule="exact"/>
              <w:ind w:left="0"/>
              <w:textAlignment w:val="auto"/>
              <w:rPr>
                <w:rFonts w:hint="eastAsia" w:hAnsi="宋体"/>
                <w:b/>
                <w:bCs/>
                <w:color w:val="auto"/>
                <w:highlight w:val="none"/>
              </w:rPr>
            </w:pPr>
            <w:r>
              <w:rPr>
                <w:rFonts w:hint="eastAsia" w:hAnsi="宋体"/>
                <w:b/>
                <w:bCs/>
                <w:color w:val="auto"/>
                <w:highlight w:val="none"/>
              </w:rPr>
              <w:t>保证金缴纳账户名称: 山标工程项目管理咨询 (云南) 有限公司</w:t>
            </w:r>
          </w:p>
          <w:p w14:paraId="7CF23AAB">
            <w:pPr>
              <w:pStyle w:val="37"/>
              <w:keepNext w:val="0"/>
              <w:keepLines w:val="0"/>
              <w:pageBreakBefore w:val="0"/>
              <w:kinsoku/>
              <w:wordWrap w:val="0"/>
              <w:overflowPunct/>
              <w:topLinePunct w:val="0"/>
              <w:bidi w:val="0"/>
              <w:spacing w:line="320" w:lineRule="exact"/>
              <w:ind w:left="0"/>
              <w:textAlignment w:val="auto"/>
              <w:rPr>
                <w:rFonts w:hint="eastAsia" w:hAnsi="宋体"/>
                <w:b/>
                <w:bCs/>
                <w:color w:val="auto"/>
                <w:highlight w:val="none"/>
              </w:rPr>
            </w:pPr>
            <w:r>
              <w:rPr>
                <w:rFonts w:hint="eastAsia" w:hAnsi="宋体"/>
                <w:b/>
                <w:bCs/>
                <w:color w:val="auto"/>
                <w:highlight w:val="none"/>
              </w:rPr>
              <w:t>账户号码: 531899991013000560519</w:t>
            </w:r>
          </w:p>
          <w:p w14:paraId="2B57116B">
            <w:pPr>
              <w:pStyle w:val="37"/>
              <w:keepNext w:val="0"/>
              <w:keepLines w:val="0"/>
              <w:pageBreakBefore w:val="0"/>
              <w:kinsoku/>
              <w:wordWrap w:val="0"/>
              <w:overflowPunct/>
              <w:topLinePunct w:val="0"/>
              <w:bidi w:val="0"/>
              <w:spacing w:line="320" w:lineRule="exact"/>
              <w:ind w:left="0"/>
              <w:textAlignment w:val="auto"/>
              <w:rPr>
                <w:rFonts w:hint="eastAsia" w:hAnsi="宋体"/>
                <w:b/>
                <w:bCs/>
                <w:color w:val="auto"/>
                <w:highlight w:val="none"/>
              </w:rPr>
            </w:pPr>
            <w:r>
              <w:rPr>
                <w:rFonts w:hint="eastAsia" w:hAnsi="宋体"/>
                <w:b/>
                <w:bCs/>
                <w:color w:val="auto"/>
                <w:highlight w:val="none"/>
              </w:rPr>
              <w:t>开户银行: 交通银行股份有限公司昆明北区支行</w:t>
            </w:r>
          </w:p>
          <w:p w14:paraId="469DFAC3">
            <w:pPr>
              <w:pStyle w:val="37"/>
              <w:keepNext w:val="0"/>
              <w:keepLines w:val="0"/>
              <w:pageBreakBefore w:val="0"/>
              <w:kinsoku/>
              <w:wordWrap w:val="0"/>
              <w:overflowPunct/>
              <w:topLinePunct w:val="0"/>
              <w:bidi w:val="0"/>
              <w:spacing w:line="320" w:lineRule="exact"/>
              <w:ind w:left="0"/>
              <w:textAlignment w:val="auto"/>
              <w:rPr>
                <w:rFonts w:hAnsi="宋体"/>
                <w:color w:val="auto"/>
                <w:highlight w:val="none"/>
              </w:rPr>
            </w:pPr>
            <w:r>
              <w:rPr>
                <w:rFonts w:hint="eastAsia" w:hAnsi="宋体"/>
                <w:b/>
                <w:bCs/>
                <w:color w:val="auto"/>
                <w:highlight w:val="none"/>
              </w:rPr>
              <w:t>（二）采用支票、汇票、本票、保函、保险等非现金形式缴纳或提交保证金，到账截止时间应当与投标（响应）截止时间一致</w:t>
            </w:r>
            <w:r>
              <w:rPr>
                <w:rFonts w:hint="eastAsia" w:hAnsi="宋体"/>
                <w:color w:val="auto"/>
                <w:highlight w:val="none"/>
              </w:rPr>
              <w:t>，投标人应将相关资料扫描件附于投标文件中。</w:t>
            </w:r>
          </w:p>
          <w:p w14:paraId="68C25205">
            <w:pPr>
              <w:keepNext w:val="0"/>
              <w:keepLines w:val="0"/>
              <w:pageBreakBefore w:val="0"/>
              <w:kinsoku/>
              <w:wordWrap w:val="0"/>
              <w:overflowPunct/>
              <w:topLinePunct w:val="0"/>
              <w:bidi w:val="0"/>
              <w:adjustRightInd w:val="0"/>
              <w:snapToGrid w:val="0"/>
              <w:spacing w:line="320" w:lineRule="exact"/>
              <w:ind w:left="0"/>
              <w:textAlignment w:val="auto"/>
              <w:rPr>
                <w:rFonts w:ascii="宋体" w:hAnsi="宋体" w:cs="Arial"/>
                <w:color w:val="auto"/>
                <w:sz w:val="24"/>
                <w:szCs w:val="24"/>
                <w:highlight w:val="none"/>
              </w:rPr>
            </w:pPr>
            <w:r>
              <w:rPr>
                <w:rFonts w:hint="eastAsia" w:ascii="宋体" w:hAnsi="宋体" w:cs="Arial"/>
                <w:color w:val="auto"/>
                <w:sz w:val="24"/>
                <w:szCs w:val="24"/>
                <w:highlight w:val="none"/>
              </w:rPr>
              <w:t>1.以支票方式提交的，出票人必须是供应商，支票收款人必须是采购人，支票必须正确填写收款人信息，用途须注明用于本项目（项目名称）的投标保证金。供应商必须保证支票有效，否则一切后果自负；</w:t>
            </w:r>
          </w:p>
          <w:p w14:paraId="0B510472">
            <w:pPr>
              <w:keepNext w:val="0"/>
              <w:keepLines w:val="0"/>
              <w:pageBreakBefore w:val="0"/>
              <w:kinsoku/>
              <w:wordWrap w:val="0"/>
              <w:overflowPunct/>
              <w:topLinePunct w:val="0"/>
              <w:bidi w:val="0"/>
              <w:adjustRightInd w:val="0"/>
              <w:snapToGrid w:val="0"/>
              <w:spacing w:line="320" w:lineRule="exact"/>
              <w:ind w:left="0"/>
              <w:textAlignment w:val="auto"/>
              <w:rPr>
                <w:rFonts w:ascii="宋体" w:hAnsi="宋体" w:cs="Arial"/>
                <w:color w:val="auto"/>
                <w:sz w:val="24"/>
                <w:szCs w:val="24"/>
                <w:highlight w:val="none"/>
              </w:rPr>
            </w:pPr>
            <w:r>
              <w:rPr>
                <w:rFonts w:hint="eastAsia" w:ascii="宋体" w:hAnsi="宋体" w:cs="Arial"/>
                <w:color w:val="auto"/>
                <w:sz w:val="24"/>
                <w:szCs w:val="24"/>
                <w:highlight w:val="none"/>
              </w:rPr>
              <w:t>2.以汇票方式提交的，出票人必须是供应商，收款人必须是采购人。备注内必须注明用于本项目（项目名称）的投标保证金，供应商必须保证汇票有效，否则一切后果自负；</w:t>
            </w:r>
          </w:p>
          <w:p w14:paraId="21A357A2">
            <w:pPr>
              <w:keepNext w:val="0"/>
              <w:keepLines w:val="0"/>
              <w:pageBreakBefore w:val="0"/>
              <w:kinsoku/>
              <w:wordWrap w:val="0"/>
              <w:overflowPunct/>
              <w:topLinePunct w:val="0"/>
              <w:bidi w:val="0"/>
              <w:adjustRightInd w:val="0"/>
              <w:snapToGrid w:val="0"/>
              <w:spacing w:line="320" w:lineRule="exact"/>
              <w:ind w:left="0"/>
              <w:textAlignment w:val="auto"/>
              <w:rPr>
                <w:rFonts w:ascii="宋体" w:hAnsi="宋体" w:cs="Arial"/>
                <w:color w:val="auto"/>
                <w:sz w:val="24"/>
                <w:szCs w:val="24"/>
                <w:highlight w:val="none"/>
              </w:rPr>
            </w:pPr>
            <w:r>
              <w:rPr>
                <w:rFonts w:hint="eastAsia" w:ascii="宋体" w:hAnsi="宋体" w:cs="Arial"/>
                <w:color w:val="auto"/>
                <w:sz w:val="24"/>
                <w:szCs w:val="24"/>
                <w:highlight w:val="none"/>
              </w:rPr>
              <w:t>3.以本票提交的，出票人必须是供应商，收款人必须是采购人。备注内必须注明用于本项目（项目名称）的投标保证金，供应商必须保证本票有效，否则一切后果自负；</w:t>
            </w:r>
          </w:p>
          <w:p w14:paraId="0CE98865">
            <w:pPr>
              <w:keepNext w:val="0"/>
              <w:keepLines w:val="0"/>
              <w:pageBreakBefore w:val="0"/>
              <w:kinsoku/>
              <w:wordWrap w:val="0"/>
              <w:overflowPunct/>
              <w:topLinePunct w:val="0"/>
              <w:bidi w:val="0"/>
              <w:spacing w:line="320" w:lineRule="exact"/>
              <w:ind w:left="0"/>
              <w:textAlignment w:val="auto"/>
              <w:rPr>
                <w:rFonts w:hAnsi="宋体"/>
                <w:color w:val="auto"/>
                <w:highlight w:val="none"/>
              </w:rPr>
            </w:pPr>
            <w:r>
              <w:rPr>
                <w:rFonts w:hint="eastAsia" w:ascii="宋体" w:hAnsi="宋体" w:cs="Arial"/>
                <w:color w:val="auto"/>
                <w:sz w:val="24"/>
                <w:szCs w:val="24"/>
                <w:highlight w:val="none"/>
              </w:rPr>
              <w:t>4.以银行保函或者保证保险方式提交的，申请人必须是供应商，受益人必须是采购人；必须正确填写受益人和申请人的全称，并与招标文件规定的名称相一致。有效期应当不小于投标有效期，以免造成投标无效。</w:t>
            </w:r>
          </w:p>
          <w:p w14:paraId="1AF5CEF2">
            <w:pPr>
              <w:keepNext w:val="0"/>
              <w:keepLines w:val="0"/>
              <w:pageBreakBefore w:val="0"/>
              <w:kinsoku/>
              <w:wordWrap w:val="0"/>
              <w:overflowPunct/>
              <w:topLinePunct w:val="0"/>
              <w:bidi w:val="0"/>
              <w:spacing w:line="320" w:lineRule="exact"/>
              <w:ind w:left="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注：</w:t>
            </w:r>
          </w:p>
          <w:p w14:paraId="048EEDF0">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保证金退还方式：保证金退还时，不退现金。以网上银行的方式将保证金退还至投标人原提交账户，未中标人的投标保证金在中标通知书发出之日起5个工作日内退还，中标人的投标保证金在合同签订之日起5个工作日内退还。请投标人准确提供公司账户信息。</w:t>
            </w:r>
          </w:p>
          <w:p w14:paraId="552390BC">
            <w:pPr>
              <w:keepNext w:val="0"/>
              <w:keepLines w:val="0"/>
              <w:pageBreakBefore w:val="0"/>
              <w:kinsoku/>
              <w:wordWrap w:val="0"/>
              <w:overflowPunct/>
              <w:topLinePunct w:val="0"/>
              <w:autoSpaceDE w:val="0"/>
              <w:autoSpaceDN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（2）保证金缴纳后可联系</w:t>
            </w:r>
            <w:r>
              <w:rPr>
                <w:rFonts w:hint="eastAsia" w:ascii="宋体" w:hAnsi="宋体" w:cs="宋体"/>
                <w:color w:val="auto"/>
                <w:sz w:val="24"/>
                <w:szCs w:val="24"/>
                <w:highlight w:val="none"/>
                <w:lang w:val="en-US" w:eastAsia="zh-CN"/>
              </w:rPr>
              <w:t>采购代理机构</w:t>
            </w:r>
            <w:r>
              <w:rPr>
                <w:rFonts w:hint="eastAsia" w:ascii="宋体" w:hAnsi="宋体" w:cs="宋体"/>
                <w:color w:val="auto"/>
                <w:sz w:val="24"/>
                <w:szCs w:val="24"/>
                <w:highlight w:val="none"/>
              </w:rPr>
              <w:t>财务确认到账情况，财务电话：0871-63522591。</w:t>
            </w:r>
          </w:p>
          <w:p w14:paraId="32736A8D">
            <w:pPr>
              <w:keepNext w:val="0"/>
              <w:keepLines w:val="0"/>
              <w:pageBreakBefore w:val="0"/>
              <w:kinsoku/>
              <w:wordWrap w:val="0"/>
              <w:overflowPunct/>
              <w:topLinePunct w:val="0"/>
              <w:autoSpaceDE w:val="0"/>
              <w:autoSpaceDN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（3）保证金转账时需注明（</w:t>
            </w:r>
            <w:r>
              <w:rPr>
                <w:rFonts w:hint="eastAsia" w:ascii="宋体" w:hAnsi="宋体" w:cs="宋体"/>
                <w:color w:val="auto"/>
                <w:sz w:val="24"/>
                <w:szCs w:val="24"/>
                <w:highlight w:val="none"/>
                <w:lang w:eastAsia="zh-CN"/>
              </w:rPr>
              <w:t>云南省建水监狱2025年—2026年罪犯蛋类、蔬菜类生活物资采购项目</w:t>
            </w:r>
            <w:r>
              <w:rPr>
                <w:rFonts w:hint="eastAsia" w:ascii="宋体" w:hAnsi="宋体" w:cs="宋体"/>
                <w:color w:val="auto"/>
                <w:sz w:val="24"/>
                <w:szCs w:val="24"/>
                <w:highlight w:val="none"/>
              </w:rPr>
              <w:t>投标保证金）。</w:t>
            </w:r>
          </w:p>
        </w:tc>
      </w:tr>
      <w:tr w14:paraId="1D76372E">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2EC7DD53">
            <w:pPr>
              <w:keepNext w:val="0"/>
              <w:keepLines w:val="0"/>
              <w:pageBreakBefore w:val="0"/>
              <w:kinsoku/>
              <w:wordWrap w:val="0"/>
              <w:overflowPunct/>
              <w:topLinePunct w:val="0"/>
              <w:bidi w:val="0"/>
              <w:spacing w:line="320" w:lineRule="exact"/>
              <w:ind w:left="0"/>
              <w:jc w:val="center"/>
              <w:textAlignment w:val="auto"/>
              <w:rPr>
                <w:rFonts w:ascii="宋体" w:hAnsi="宋体"/>
                <w:color w:val="auto"/>
                <w:kern w:val="2"/>
                <w:sz w:val="24"/>
                <w:szCs w:val="24"/>
                <w:highlight w:val="none"/>
              </w:rPr>
            </w:pPr>
            <w:r>
              <w:rPr>
                <w:rFonts w:hint="eastAsia" w:ascii="宋体" w:hAnsi="宋体" w:cs="宋体"/>
                <w:color w:val="auto"/>
                <w:kern w:val="2"/>
                <w:sz w:val="24"/>
                <w:szCs w:val="24"/>
                <w:highlight w:val="none"/>
              </w:rPr>
              <w:t>3.5.3</w:t>
            </w:r>
          </w:p>
        </w:tc>
        <w:tc>
          <w:tcPr>
            <w:tcW w:w="2058" w:type="dxa"/>
            <w:tcBorders>
              <w:top w:val="single" w:color="auto" w:sz="8" w:space="0"/>
              <w:left w:val="nil"/>
              <w:bottom w:val="single" w:color="auto" w:sz="8" w:space="0"/>
              <w:right w:val="single" w:color="auto" w:sz="8" w:space="0"/>
            </w:tcBorders>
            <w:vAlign w:val="center"/>
          </w:tcPr>
          <w:p w14:paraId="7B15E2CF">
            <w:pPr>
              <w:keepNext w:val="0"/>
              <w:keepLines w:val="0"/>
              <w:pageBreakBefore w:val="0"/>
              <w:kinsoku/>
              <w:wordWrap w:val="0"/>
              <w:overflowPunct/>
              <w:topLinePunct w:val="0"/>
              <w:bidi w:val="0"/>
              <w:spacing w:line="320" w:lineRule="exact"/>
              <w:ind w:left="0"/>
              <w:jc w:val="center"/>
              <w:textAlignment w:val="auto"/>
              <w:rPr>
                <w:rFonts w:ascii="宋体" w:hAnsi="宋体"/>
                <w:color w:val="auto"/>
                <w:kern w:val="2"/>
                <w:sz w:val="24"/>
                <w:szCs w:val="24"/>
                <w:highlight w:val="none"/>
              </w:rPr>
            </w:pPr>
            <w:r>
              <w:rPr>
                <w:rFonts w:hint="eastAsia" w:ascii="宋体" w:hAnsi="宋体" w:cs="宋体"/>
                <w:color w:val="auto"/>
                <w:kern w:val="2"/>
                <w:sz w:val="24"/>
                <w:szCs w:val="24"/>
                <w:highlight w:val="none"/>
              </w:rPr>
              <w:t>投标文件所附证书证件要求、投标文件签字或盖章要求</w:t>
            </w:r>
          </w:p>
        </w:tc>
        <w:tc>
          <w:tcPr>
            <w:tcW w:w="6933" w:type="dxa"/>
            <w:tcBorders>
              <w:top w:val="single" w:color="auto" w:sz="8" w:space="0"/>
              <w:left w:val="nil"/>
              <w:bottom w:val="single" w:color="auto" w:sz="8" w:space="0"/>
              <w:right w:val="single" w:color="auto" w:sz="8" w:space="0"/>
            </w:tcBorders>
            <w:vAlign w:val="center"/>
          </w:tcPr>
          <w:p w14:paraId="46532338">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投标文件所附证书证件要求：原件扫描件</w:t>
            </w:r>
          </w:p>
          <w:p w14:paraId="4B363C49">
            <w:pPr>
              <w:keepNext w:val="0"/>
              <w:keepLines w:val="0"/>
              <w:pageBreakBefore w:val="0"/>
              <w:kinsoku/>
              <w:wordWrap w:val="0"/>
              <w:overflowPunct/>
              <w:topLinePunct w:val="0"/>
              <w:bidi w:val="0"/>
              <w:spacing w:line="320" w:lineRule="exact"/>
              <w:ind w:left="0"/>
              <w:textAlignment w:val="auto"/>
              <w:rPr>
                <w:rFonts w:hAnsi="宋体"/>
                <w:color w:val="auto"/>
                <w:sz w:val="24"/>
                <w:szCs w:val="24"/>
                <w:highlight w:val="none"/>
              </w:rPr>
            </w:pPr>
            <w:r>
              <w:rPr>
                <w:rFonts w:hint="eastAsia" w:ascii="宋体" w:hAnsi="宋体" w:cs="宋体"/>
                <w:color w:val="auto"/>
                <w:kern w:val="2"/>
                <w:sz w:val="24"/>
                <w:szCs w:val="24"/>
                <w:highlight w:val="none"/>
              </w:rPr>
              <w:t>投标文件签字或盖章要求：签字或加盖</w:t>
            </w:r>
            <w:r>
              <w:rPr>
                <w:rFonts w:hint="eastAsia" w:ascii="宋体" w:hAnsi="宋体"/>
                <w:color w:val="auto"/>
                <w:sz w:val="24"/>
                <w:highlight w:val="none"/>
              </w:rPr>
              <w:t>电子签章</w:t>
            </w:r>
          </w:p>
        </w:tc>
      </w:tr>
      <w:tr w14:paraId="3B175D1E">
        <w:tblPrEx>
          <w:tblCellMar>
            <w:top w:w="0" w:type="dxa"/>
            <w:left w:w="0" w:type="dxa"/>
            <w:bottom w:w="0" w:type="dxa"/>
            <w:right w:w="0" w:type="dxa"/>
          </w:tblCellMar>
        </w:tblPrEx>
        <w:trPr>
          <w:trHeight w:val="2320" w:hRule="atLeast"/>
        </w:trPr>
        <w:tc>
          <w:tcPr>
            <w:tcW w:w="891" w:type="dxa"/>
            <w:tcBorders>
              <w:top w:val="single" w:color="auto" w:sz="8" w:space="0"/>
              <w:left w:val="single" w:color="auto" w:sz="8" w:space="0"/>
              <w:bottom w:val="single" w:color="auto" w:sz="8" w:space="0"/>
              <w:right w:val="single" w:color="auto" w:sz="8" w:space="0"/>
            </w:tcBorders>
            <w:vAlign w:val="center"/>
          </w:tcPr>
          <w:p w14:paraId="48C92901">
            <w:pPr>
              <w:keepNext w:val="0"/>
              <w:keepLines w:val="0"/>
              <w:pageBreakBefore w:val="0"/>
              <w:kinsoku/>
              <w:wordWrap w:val="0"/>
              <w:overflowPunct/>
              <w:topLinePunct w:val="0"/>
              <w:bidi w:val="0"/>
              <w:spacing w:line="320" w:lineRule="exact"/>
              <w:ind w:left="0"/>
              <w:jc w:val="center"/>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3.5.4</w:t>
            </w:r>
          </w:p>
        </w:tc>
        <w:tc>
          <w:tcPr>
            <w:tcW w:w="2058" w:type="dxa"/>
            <w:tcBorders>
              <w:top w:val="single" w:color="auto" w:sz="8" w:space="0"/>
              <w:left w:val="nil"/>
              <w:bottom w:val="single" w:color="auto" w:sz="8" w:space="0"/>
              <w:right w:val="single" w:color="auto" w:sz="8" w:space="0"/>
            </w:tcBorders>
            <w:vAlign w:val="center"/>
          </w:tcPr>
          <w:p w14:paraId="7C143F86">
            <w:pPr>
              <w:keepNext w:val="0"/>
              <w:keepLines w:val="0"/>
              <w:pageBreakBefore w:val="0"/>
              <w:kinsoku/>
              <w:wordWrap w:val="0"/>
              <w:overflowPunct/>
              <w:topLinePunct w:val="0"/>
              <w:bidi w:val="0"/>
              <w:spacing w:line="320" w:lineRule="exact"/>
              <w:ind w:left="0"/>
              <w:jc w:val="center"/>
              <w:textAlignment w:val="auto"/>
              <w:rPr>
                <w:rFonts w:ascii="宋体" w:hAnsi="宋体"/>
                <w:color w:val="auto"/>
                <w:kern w:val="2"/>
                <w:sz w:val="24"/>
                <w:szCs w:val="24"/>
                <w:highlight w:val="none"/>
              </w:rPr>
            </w:pPr>
            <w:r>
              <w:rPr>
                <w:rFonts w:hint="eastAsia" w:ascii="宋体" w:hAnsi="宋体" w:cs="宋体"/>
                <w:color w:val="auto"/>
                <w:sz w:val="24"/>
                <w:szCs w:val="24"/>
                <w:highlight w:val="none"/>
              </w:rPr>
              <w:t>投标文件编制的其他要求</w:t>
            </w:r>
          </w:p>
        </w:tc>
        <w:tc>
          <w:tcPr>
            <w:tcW w:w="6933" w:type="dxa"/>
            <w:tcBorders>
              <w:top w:val="single" w:color="auto" w:sz="8" w:space="0"/>
              <w:left w:val="nil"/>
              <w:bottom w:val="single" w:color="auto" w:sz="8" w:space="0"/>
              <w:right w:val="single" w:color="auto" w:sz="8" w:space="0"/>
            </w:tcBorders>
            <w:vAlign w:val="center"/>
          </w:tcPr>
          <w:p w14:paraId="34382F1E">
            <w:pPr>
              <w:keepNext w:val="0"/>
              <w:keepLines w:val="0"/>
              <w:pageBreakBefore w:val="0"/>
              <w:kinsoku/>
              <w:wordWrap w:val="0"/>
              <w:overflowPunct/>
              <w:topLinePunct w:val="0"/>
              <w:bidi w:val="0"/>
              <w:spacing w:line="320" w:lineRule="exact"/>
              <w:ind w:left="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（1）投标文件全部采用电子文档，供应商应安装客户端软件—“政采云电子交易客户端”，并按照招标文件和政采云电子交易平台的要求编制，编制后应进行电子签章、签名及加密；</w:t>
            </w:r>
          </w:p>
          <w:p w14:paraId="17FFA1E0">
            <w:pPr>
              <w:keepNext w:val="0"/>
              <w:keepLines w:val="0"/>
              <w:pageBreakBefore w:val="0"/>
              <w:kinsoku/>
              <w:wordWrap w:val="0"/>
              <w:overflowPunct/>
              <w:topLinePunct w:val="0"/>
              <w:bidi w:val="0"/>
              <w:spacing w:line="320" w:lineRule="exact"/>
              <w:ind w:left="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 xml:space="preserve">（2）如投标文件提交的电子标书不满足招标文件要求或开标时无法读取导入或解密，其投标文件将不予受理； </w:t>
            </w:r>
          </w:p>
          <w:p w14:paraId="794F543E">
            <w:pPr>
              <w:keepNext w:val="0"/>
              <w:keepLines w:val="0"/>
              <w:pageBreakBefore w:val="0"/>
              <w:kinsoku/>
              <w:wordWrap w:val="0"/>
              <w:overflowPunct/>
              <w:topLinePunct w:val="0"/>
              <w:bidi w:val="0"/>
              <w:spacing w:line="320" w:lineRule="exact"/>
              <w:ind w:left="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（3）投标文件中提供的资料（扫描件），内容必须清晰可辨，若内容模糊，无法辨识，均视为未提供。</w:t>
            </w:r>
          </w:p>
        </w:tc>
      </w:tr>
      <w:tr w14:paraId="5D4FDBB9">
        <w:tblPrEx>
          <w:tblCellMar>
            <w:top w:w="0" w:type="dxa"/>
            <w:left w:w="0" w:type="dxa"/>
            <w:bottom w:w="0" w:type="dxa"/>
            <w:right w:w="0" w:type="dxa"/>
          </w:tblCellMar>
        </w:tblPrEx>
        <w:trPr>
          <w:trHeight w:val="673" w:hRule="atLeast"/>
        </w:trPr>
        <w:tc>
          <w:tcPr>
            <w:tcW w:w="891" w:type="dxa"/>
            <w:tcBorders>
              <w:top w:val="single" w:color="auto" w:sz="8" w:space="0"/>
              <w:left w:val="single" w:color="auto" w:sz="8" w:space="0"/>
              <w:bottom w:val="single" w:color="auto" w:sz="8" w:space="0"/>
              <w:right w:val="single" w:color="auto" w:sz="8" w:space="0"/>
            </w:tcBorders>
            <w:vAlign w:val="center"/>
          </w:tcPr>
          <w:p w14:paraId="4FF39583">
            <w:pPr>
              <w:keepNext w:val="0"/>
              <w:keepLines w:val="0"/>
              <w:pageBreakBefore w:val="0"/>
              <w:widowControl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4.1</w:t>
            </w:r>
          </w:p>
        </w:tc>
        <w:tc>
          <w:tcPr>
            <w:tcW w:w="2058" w:type="dxa"/>
            <w:tcBorders>
              <w:top w:val="single" w:color="auto" w:sz="8" w:space="0"/>
              <w:left w:val="nil"/>
              <w:bottom w:val="single" w:color="auto" w:sz="8" w:space="0"/>
              <w:right w:val="single" w:color="auto" w:sz="8" w:space="0"/>
            </w:tcBorders>
            <w:vAlign w:val="center"/>
          </w:tcPr>
          <w:p w14:paraId="5E864B7A">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投标文件的加密</w:t>
            </w:r>
          </w:p>
        </w:tc>
        <w:tc>
          <w:tcPr>
            <w:tcW w:w="6933" w:type="dxa"/>
            <w:tcBorders>
              <w:top w:val="single" w:color="auto" w:sz="8" w:space="0"/>
              <w:left w:val="nil"/>
              <w:bottom w:val="single" w:color="auto" w:sz="8" w:space="0"/>
              <w:right w:val="single" w:color="auto" w:sz="8" w:space="0"/>
            </w:tcBorders>
            <w:vAlign w:val="center"/>
          </w:tcPr>
          <w:p w14:paraId="779BD53F">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（1）投标人进行电子交易应安装客户端软件—“政采云电子交易客户端”，并按照招标文件和电子交易平台的要求编制并加密</w:t>
            </w:r>
            <w:r>
              <w:rPr>
                <w:rFonts w:hint="eastAsia" w:ascii="宋体" w:hAnsi="宋体" w:cs="宋体"/>
                <w:color w:val="auto"/>
                <w:kern w:val="2"/>
                <w:sz w:val="24"/>
                <w:szCs w:val="24"/>
                <w:highlight w:val="none"/>
                <w:lang w:eastAsia="zh-CN"/>
              </w:rPr>
              <w:t>投标文件</w:t>
            </w:r>
            <w:r>
              <w:rPr>
                <w:rFonts w:hint="eastAsia" w:ascii="宋体" w:hAnsi="宋体" w:cs="宋体"/>
                <w:color w:val="auto"/>
                <w:kern w:val="2"/>
                <w:sz w:val="24"/>
                <w:szCs w:val="24"/>
                <w:highlight w:val="none"/>
              </w:rPr>
              <w:t>。</w:t>
            </w:r>
            <w:r>
              <w:rPr>
                <w:rFonts w:hint="eastAsia" w:ascii="宋体" w:hAnsi="宋体" w:cs="宋体"/>
                <w:color w:val="auto"/>
                <w:kern w:val="2"/>
                <w:sz w:val="24"/>
                <w:szCs w:val="24"/>
                <w:highlight w:val="none"/>
                <w:lang w:val="en-US" w:eastAsia="zh-CN"/>
              </w:rPr>
              <w:t>投标人</w:t>
            </w:r>
            <w:r>
              <w:rPr>
                <w:rFonts w:hint="eastAsia" w:ascii="宋体" w:hAnsi="宋体" w:cs="宋体"/>
                <w:color w:val="auto"/>
                <w:kern w:val="2"/>
                <w:sz w:val="24"/>
                <w:szCs w:val="24"/>
                <w:highlight w:val="none"/>
              </w:rPr>
              <w:t>未按规定加密的</w:t>
            </w:r>
            <w:r>
              <w:rPr>
                <w:rFonts w:hint="eastAsia" w:ascii="宋体" w:hAnsi="宋体" w:cs="宋体"/>
                <w:color w:val="auto"/>
                <w:kern w:val="2"/>
                <w:sz w:val="24"/>
                <w:szCs w:val="24"/>
                <w:highlight w:val="none"/>
                <w:lang w:val="en-US" w:eastAsia="zh-CN"/>
              </w:rPr>
              <w:t>投标</w:t>
            </w:r>
            <w:r>
              <w:rPr>
                <w:rFonts w:hint="eastAsia" w:ascii="宋体" w:hAnsi="宋体" w:cs="宋体"/>
                <w:color w:val="auto"/>
                <w:kern w:val="2"/>
                <w:sz w:val="24"/>
                <w:szCs w:val="24"/>
                <w:highlight w:val="none"/>
              </w:rPr>
              <w:t xml:space="preserve">文件，电子交易平台将拒收并提示； </w:t>
            </w:r>
          </w:p>
          <w:p w14:paraId="5091773B">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（2）使用“政采云电子交易客户端”需要提前申领 CA 数字证书，申领流程见该项目</w:t>
            </w:r>
            <w:r>
              <w:rPr>
                <w:rFonts w:hint="eastAsia" w:ascii="宋体" w:hAnsi="宋体" w:cs="宋体"/>
                <w:color w:val="auto"/>
                <w:kern w:val="2"/>
                <w:sz w:val="24"/>
                <w:szCs w:val="24"/>
                <w:highlight w:val="none"/>
                <w:lang w:val="en-US" w:eastAsia="zh-CN"/>
              </w:rPr>
              <w:t>招标</w:t>
            </w:r>
            <w:r>
              <w:rPr>
                <w:rFonts w:hint="eastAsia" w:ascii="宋体" w:hAnsi="宋体" w:cs="宋体"/>
                <w:color w:val="auto"/>
                <w:kern w:val="2"/>
                <w:sz w:val="24"/>
                <w:szCs w:val="24"/>
                <w:highlight w:val="none"/>
              </w:rPr>
              <w:t xml:space="preserve">公告附件； </w:t>
            </w:r>
          </w:p>
          <w:p w14:paraId="6C331DF2">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（3）为确保网上操作合法、有效和安全，投标人应当在投标文件提交截止时间前完成在“政府采购云平台”的身份认证，确保在电子交易过程中能够对相关数据电文进行加密和使用电子签名。 </w:t>
            </w:r>
          </w:p>
        </w:tc>
      </w:tr>
      <w:tr w14:paraId="4AF3D108">
        <w:tblPrEx>
          <w:tblCellMar>
            <w:top w:w="0" w:type="dxa"/>
            <w:left w:w="0" w:type="dxa"/>
            <w:bottom w:w="0" w:type="dxa"/>
            <w:right w:w="0" w:type="dxa"/>
          </w:tblCellMar>
        </w:tblPrEx>
        <w:trPr>
          <w:trHeight w:val="400" w:hRule="atLeast"/>
        </w:trPr>
        <w:tc>
          <w:tcPr>
            <w:tcW w:w="891" w:type="dxa"/>
            <w:tcBorders>
              <w:top w:val="single" w:color="auto" w:sz="8" w:space="0"/>
              <w:left w:val="single" w:color="auto" w:sz="8" w:space="0"/>
              <w:bottom w:val="single" w:color="auto" w:sz="8" w:space="0"/>
              <w:right w:val="single" w:color="auto" w:sz="8" w:space="0"/>
            </w:tcBorders>
            <w:vAlign w:val="center"/>
          </w:tcPr>
          <w:p w14:paraId="55A60729">
            <w:pPr>
              <w:keepNext w:val="0"/>
              <w:keepLines w:val="0"/>
              <w:pageBreakBefore w:val="0"/>
              <w:widowControl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4.2.1</w:t>
            </w:r>
          </w:p>
        </w:tc>
        <w:tc>
          <w:tcPr>
            <w:tcW w:w="2058" w:type="dxa"/>
            <w:tcBorders>
              <w:top w:val="single" w:color="auto" w:sz="8" w:space="0"/>
              <w:left w:val="nil"/>
              <w:bottom w:val="single" w:color="auto" w:sz="8" w:space="0"/>
              <w:right w:val="single" w:color="auto" w:sz="8" w:space="0"/>
            </w:tcBorders>
            <w:vAlign w:val="center"/>
          </w:tcPr>
          <w:p w14:paraId="0A98F322">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投标截止时间</w:t>
            </w:r>
          </w:p>
        </w:tc>
        <w:tc>
          <w:tcPr>
            <w:tcW w:w="6933" w:type="dxa"/>
            <w:tcBorders>
              <w:top w:val="single" w:color="auto" w:sz="8" w:space="0"/>
              <w:left w:val="nil"/>
              <w:bottom w:val="single" w:color="auto" w:sz="8" w:space="0"/>
              <w:right w:val="single" w:color="auto" w:sz="8" w:space="0"/>
            </w:tcBorders>
            <w:vAlign w:val="center"/>
          </w:tcPr>
          <w:p w14:paraId="4331D6E5">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宋体" w:hAnsi="宋体" w:cs="宋体"/>
                <w:color w:val="auto"/>
                <w:sz w:val="24"/>
                <w:szCs w:val="24"/>
                <w:highlight w:val="none"/>
              </w:rPr>
              <w:t>见“第一章 招标公告”</w:t>
            </w:r>
          </w:p>
        </w:tc>
      </w:tr>
      <w:tr w14:paraId="3E27E5BE">
        <w:tblPrEx>
          <w:tblCellMar>
            <w:top w:w="0" w:type="dxa"/>
            <w:left w:w="0" w:type="dxa"/>
            <w:bottom w:w="0" w:type="dxa"/>
            <w:right w:w="0" w:type="dxa"/>
          </w:tblCellMar>
        </w:tblPrEx>
        <w:trPr>
          <w:trHeight w:val="786" w:hRule="atLeast"/>
        </w:trPr>
        <w:tc>
          <w:tcPr>
            <w:tcW w:w="891" w:type="dxa"/>
            <w:tcBorders>
              <w:top w:val="single" w:color="auto" w:sz="8" w:space="0"/>
              <w:left w:val="single" w:color="auto" w:sz="8" w:space="0"/>
              <w:bottom w:val="single" w:color="auto" w:sz="8" w:space="0"/>
              <w:right w:val="single" w:color="auto" w:sz="8" w:space="0"/>
            </w:tcBorders>
            <w:vAlign w:val="center"/>
          </w:tcPr>
          <w:p w14:paraId="29C1DA0D">
            <w:pPr>
              <w:keepNext w:val="0"/>
              <w:keepLines w:val="0"/>
              <w:pageBreakBefore w:val="0"/>
              <w:widowControl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4.2.2</w:t>
            </w:r>
          </w:p>
        </w:tc>
        <w:tc>
          <w:tcPr>
            <w:tcW w:w="2058" w:type="dxa"/>
            <w:tcBorders>
              <w:top w:val="single" w:color="auto" w:sz="8" w:space="0"/>
              <w:left w:val="nil"/>
              <w:bottom w:val="single" w:color="auto" w:sz="8" w:space="0"/>
              <w:right w:val="single" w:color="auto" w:sz="8" w:space="0"/>
            </w:tcBorders>
            <w:vAlign w:val="center"/>
          </w:tcPr>
          <w:p w14:paraId="61ACA517">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投标文件上传时间和地点</w:t>
            </w:r>
          </w:p>
        </w:tc>
        <w:tc>
          <w:tcPr>
            <w:tcW w:w="6933" w:type="dxa"/>
            <w:tcBorders>
              <w:top w:val="single" w:color="auto" w:sz="8" w:space="0"/>
              <w:left w:val="nil"/>
              <w:bottom w:val="single" w:color="auto" w:sz="8" w:space="0"/>
              <w:right w:val="single" w:color="auto" w:sz="8" w:space="0"/>
            </w:tcBorders>
            <w:vAlign w:val="center"/>
          </w:tcPr>
          <w:p w14:paraId="106F26DE">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投标文件上传时间：详见“第一章 招标公告”</w:t>
            </w:r>
          </w:p>
          <w:p w14:paraId="0DE7FAF5">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投标文件上传地点：</w:t>
            </w:r>
            <w:r>
              <w:rPr>
                <w:rFonts w:hint="eastAsia" w:ascii="宋体" w:hAnsi="宋体" w:cs="宋体"/>
                <w:color w:val="auto"/>
                <w:sz w:val="24"/>
                <w:szCs w:val="24"/>
                <w:highlight w:val="none"/>
                <w:u w:val="single"/>
              </w:rPr>
              <w:t>“政采云”平台开标大厅</w:t>
            </w:r>
          </w:p>
        </w:tc>
      </w:tr>
      <w:tr w14:paraId="104B18CE">
        <w:tblPrEx>
          <w:tblCellMar>
            <w:top w:w="0" w:type="dxa"/>
            <w:left w:w="0" w:type="dxa"/>
            <w:bottom w:w="0" w:type="dxa"/>
            <w:right w:w="0" w:type="dxa"/>
          </w:tblCellMar>
        </w:tblPrEx>
        <w:trPr>
          <w:trHeight w:val="653" w:hRule="atLeast"/>
        </w:trPr>
        <w:tc>
          <w:tcPr>
            <w:tcW w:w="891" w:type="dxa"/>
            <w:tcBorders>
              <w:top w:val="single" w:color="auto" w:sz="8" w:space="0"/>
              <w:left w:val="single" w:color="auto" w:sz="8" w:space="0"/>
              <w:bottom w:val="single" w:color="auto" w:sz="8" w:space="0"/>
              <w:right w:val="single" w:color="auto" w:sz="8" w:space="0"/>
            </w:tcBorders>
            <w:vAlign w:val="center"/>
          </w:tcPr>
          <w:p w14:paraId="333F5AE7">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5.1</w:t>
            </w:r>
          </w:p>
        </w:tc>
        <w:tc>
          <w:tcPr>
            <w:tcW w:w="2058" w:type="dxa"/>
            <w:tcBorders>
              <w:top w:val="single" w:color="auto" w:sz="8" w:space="0"/>
              <w:left w:val="nil"/>
              <w:bottom w:val="single" w:color="auto" w:sz="8" w:space="0"/>
              <w:right w:val="single" w:color="auto" w:sz="8" w:space="0"/>
            </w:tcBorders>
            <w:vAlign w:val="center"/>
          </w:tcPr>
          <w:p w14:paraId="620C56E3">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开标时间和地点</w:t>
            </w:r>
          </w:p>
        </w:tc>
        <w:tc>
          <w:tcPr>
            <w:tcW w:w="6933" w:type="dxa"/>
            <w:tcBorders>
              <w:top w:val="single" w:color="auto" w:sz="8" w:space="0"/>
              <w:left w:val="nil"/>
              <w:bottom w:val="single" w:color="auto" w:sz="8" w:space="0"/>
              <w:right w:val="single" w:color="auto" w:sz="8" w:space="0"/>
            </w:tcBorders>
            <w:vAlign w:val="center"/>
          </w:tcPr>
          <w:p w14:paraId="6E80AF65">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开标时间：同投标截止时间</w:t>
            </w:r>
          </w:p>
          <w:p w14:paraId="79C2D43C">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开标地点：同投标文件上传地点</w:t>
            </w:r>
          </w:p>
        </w:tc>
      </w:tr>
      <w:tr w14:paraId="2B19F305">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37DA90B3">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7.1.1</w:t>
            </w:r>
          </w:p>
        </w:tc>
        <w:tc>
          <w:tcPr>
            <w:tcW w:w="2058" w:type="dxa"/>
            <w:tcBorders>
              <w:top w:val="single" w:color="auto" w:sz="8" w:space="0"/>
              <w:left w:val="nil"/>
              <w:bottom w:val="single" w:color="auto" w:sz="8" w:space="0"/>
              <w:right w:val="single" w:color="auto" w:sz="8" w:space="0"/>
            </w:tcBorders>
            <w:vAlign w:val="center"/>
          </w:tcPr>
          <w:p w14:paraId="59F01018">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评标委员会的组成</w:t>
            </w:r>
          </w:p>
        </w:tc>
        <w:tc>
          <w:tcPr>
            <w:tcW w:w="6933" w:type="dxa"/>
            <w:tcBorders>
              <w:top w:val="single" w:color="auto" w:sz="8" w:space="0"/>
              <w:left w:val="nil"/>
              <w:bottom w:val="single" w:color="auto" w:sz="8" w:space="0"/>
              <w:right w:val="single" w:color="auto" w:sz="8" w:space="0"/>
            </w:tcBorders>
            <w:vAlign w:val="center"/>
          </w:tcPr>
          <w:p w14:paraId="6B401776">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评标委员会构成：评标委员会由采购人代表和评审专家组成，成员人数为5人及以上单数，其中评审专家不得少于成员总数的三分之二。</w:t>
            </w:r>
          </w:p>
          <w:p w14:paraId="6A95B878">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评标专家确定方式：云南省政府采购专家管理系统随机抽取。</w:t>
            </w:r>
          </w:p>
        </w:tc>
      </w:tr>
      <w:tr w14:paraId="6C1F0692">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2B0BFF7D">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7.3.2</w:t>
            </w:r>
          </w:p>
        </w:tc>
        <w:tc>
          <w:tcPr>
            <w:tcW w:w="2058" w:type="dxa"/>
            <w:tcBorders>
              <w:top w:val="single" w:color="auto" w:sz="8" w:space="0"/>
              <w:left w:val="nil"/>
              <w:bottom w:val="single" w:color="auto" w:sz="8" w:space="0"/>
              <w:right w:val="single" w:color="auto" w:sz="8" w:space="0"/>
            </w:tcBorders>
            <w:vAlign w:val="center"/>
          </w:tcPr>
          <w:p w14:paraId="597F0AEA">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评标委员会推荐中标候选人的人数</w:t>
            </w:r>
          </w:p>
        </w:tc>
        <w:tc>
          <w:tcPr>
            <w:tcW w:w="6933" w:type="dxa"/>
            <w:tcBorders>
              <w:top w:val="single" w:color="auto" w:sz="8" w:space="0"/>
              <w:left w:val="nil"/>
              <w:bottom w:val="single" w:color="auto" w:sz="8" w:space="0"/>
              <w:right w:val="single" w:color="auto" w:sz="8" w:space="0"/>
            </w:tcBorders>
            <w:vAlign w:val="center"/>
          </w:tcPr>
          <w:p w14:paraId="0E3B02A1">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sz w:val="24"/>
                <w:szCs w:val="24"/>
                <w:highlight w:val="none"/>
              </w:rPr>
              <w:t>3家</w:t>
            </w:r>
          </w:p>
        </w:tc>
      </w:tr>
      <w:tr w14:paraId="62EA3716">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31F3AC9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8.1</w:t>
            </w:r>
          </w:p>
        </w:tc>
        <w:tc>
          <w:tcPr>
            <w:tcW w:w="2058" w:type="dxa"/>
            <w:tcBorders>
              <w:top w:val="single" w:color="auto" w:sz="8" w:space="0"/>
              <w:left w:val="nil"/>
              <w:bottom w:val="single" w:color="auto" w:sz="8" w:space="0"/>
              <w:right w:val="single" w:color="auto" w:sz="8" w:space="0"/>
            </w:tcBorders>
            <w:vAlign w:val="center"/>
          </w:tcPr>
          <w:p w14:paraId="7A1EB028">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是否授权评标委员会确定中标人</w:t>
            </w:r>
          </w:p>
        </w:tc>
        <w:tc>
          <w:tcPr>
            <w:tcW w:w="6933" w:type="dxa"/>
            <w:tcBorders>
              <w:top w:val="single" w:color="auto" w:sz="8" w:space="0"/>
              <w:left w:val="nil"/>
              <w:bottom w:val="single" w:color="auto" w:sz="8" w:space="0"/>
              <w:right w:val="single" w:color="auto" w:sz="8" w:space="0"/>
            </w:tcBorders>
            <w:vAlign w:val="center"/>
          </w:tcPr>
          <w:p w14:paraId="62D6D214">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□是</w:t>
            </w:r>
          </w:p>
          <w:p w14:paraId="3C538CE6">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MS Gothic" w:hAnsi="MS Gothic" w:eastAsia="MS Gothic" w:cs="MS Gothic"/>
                <w:color w:val="auto"/>
                <w:kern w:val="2"/>
                <w:highlight w:val="none"/>
              </w:rPr>
              <w:t>☑</w:t>
            </w:r>
            <w:r>
              <w:rPr>
                <w:rFonts w:hint="eastAsia" w:ascii="宋体" w:hAnsi="宋体" w:cs="宋体"/>
                <w:color w:val="auto"/>
                <w:kern w:val="2"/>
                <w:sz w:val="24"/>
                <w:szCs w:val="24"/>
                <w:highlight w:val="none"/>
              </w:rPr>
              <w:t>否</w:t>
            </w:r>
          </w:p>
        </w:tc>
      </w:tr>
      <w:tr w14:paraId="629C24FB">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37469AF0">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8.2</w:t>
            </w:r>
          </w:p>
        </w:tc>
        <w:tc>
          <w:tcPr>
            <w:tcW w:w="2058" w:type="dxa"/>
            <w:tcBorders>
              <w:top w:val="single" w:color="auto" w:sz="8" w:space="0"/>
              <w:left w:val="nil"/>
              <w:bottom w:val="single" w:color="auto" w:sz="8" w:space="0"/>
              <w:right w:val="single" w:color="auto" w:sz="8" w:space="0"/>
            </w:tcBorders>
            <w:vAlign w:val="center"/>
          </w:tcPr>
          <w:p w14:paraId="33D5E3D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中标公告媒介及期限</w:t>
            </w:r>
          </w:p>
        </w:tc>
        <w:tc>
          <w:tcPr>
            <w:tcW w:w="6933" w:type="dxa"/>
            <w:tcBorders>
              <w:top w:val="single" w:color="auto" w:sz="8" w:space="0"/>
              <w:left w:val="nil"/>
              <w:bottom w:val="single" w:color="auto" w:sz="8" w:space="0"/>
              <w:right w:val="single" w:color="auto" w:sz="8" w:space="0"/>
            </w:tcBorders>
            <w:vAlign w:val="center"/>
          </w:tcPr>
          <w:p w14:paraId="7E99848F">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公告媒介：同发布招标公告的媒介</w:t>
            </w:r>
          </w:p>
          <w:p w14:paraId="5B97811E">
            <w:pPr>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rPr>
              <w:t>公告期限：1个工作日</w:t>
            </w:r>
          </w:p>
        </w:tc>
      </w:tr>
      <w:tr w14:paraId="4207DA65">
        <w:tblPrEx>
          <w:tblCellMar>
            <w:top w:w="0" w:type="dxa"/>
            <w:left w:w="0" w:type="dxa"/>
            <w:bottom w:w="0" w:type="dxa"/>
            <w:right w:w="0" w:type="dxa"/>
          </w:tblCellMar>
        </w:tblPrEx>
        <w:trPr>
          <w:trHeight w:val="1736" w:hRule="atLeast"/>
        </w:trPr>
        <w:tc>
          <w:tcPr>
            <w:tcW w:w="891" w:type="dxa"/>
            <w:tcBorders>
              <w:top w:val="single" w:color="auto" w:sz="8" w:space="0"/>
              <w:left w:val="single" w:color="auto" w:sz="8" w:space="0"/>
              <w:bottom w:val="single" w:color="auto" w:sz="8" w:space="0"/>
              <w:right w:val="single" w:color="auto" w:sz="8" w:space="0"/>
            </w:tcBorders>
            <w:vAlign w:val="center"/>
          </w:tcPr>
          <w:p w14:paraId="4086D407">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8.5</w:t>
            </w:r>
          </w:p>
        </w:tc>
        <w:tc>
          <w:tcPr>
            <w:tcW w:w="2058" w:type="dxa"/>
            <w:tcBorders>
              <w:top w:val="single" w:color="auto" w:sz="8" w:space="0"/>
              <w:left w:val="nil"/>
              <w:bottom w:val="single" w:color="auto" w:sz="8" w:space="0"/>
              <w:right w:val="single" w:color="auto" w:sz="8" w:space="0"/>
            </w:tcBorders>
            <w:vAlign w:val="center"/>
          </w:tcPr>
          <w:p w14:paraId="2E52D74C">
            <w:pPr>
              <w:keepNext w:val="0"/>
              <w:keepLines w:val="0"/>
              <w:pageBreakBefore w:val="0"/>
              <w:widowControl/>
              <w:kinsoku/>
              <w:wordWrap w:val="0"/>
              <w:overflowPunct/>
              <w:topLinePunct w:val="0"/>
              <w:autoSpaceDE/>
              <w:autoSpaceDN/>
              <w:bidi w:val="0"/>
              <w:adjustRightInd/>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履约保证金</w:t>
            </w:r>
          </w:p>
        </w:tc>
        <w:tc>
          <w:tcPr>
            <w:tcW w:w="6933" w:type="dxa"/>
            <w:tcBorders>
              <w:top w:val="single" w:color="auto" w:sz="8" w:space="0"/>
              <w:left w:val="nil"/>
              <w:bottom w:val="single" w:color="auto" w:sz="8" w:space="0"/>
              <w:right w:val="single" w:color="auto" w:sz="8" w:space="0"/>
            </w:tcBorders>
            <w:vAlign w:val="center"/>
          </w:tcPr>
          <w:p w14:paraId="50397A78">
            <w:pPr>
              <w:pStyle w:val="38"/>
              <w:keepNext w:val="0"/>
              <w:keepLines w:val="0"/>
              <w:pageBreakBefore w:val="0"/>
              <w:widowControl/>
              <w:kinsoku/>
              <w:wordWrap w:val="0"/>
              <w:overflowPunct/>
              <w:topLinePunct w:val="0"/>
              <w:autoSpaceDE/>
              <w:autoSpaceDN/>
              <w:bidi w:val="0"/>
              <w:adjustRightInd/>
              <w:snapToGrid w:val="0"/>
              <w:spacing w:line="320" w:lineRule="exact"/>
              <w:ind w:left="0"/>
              <w:textAlignment w:val="auto"/>
              <w:rPr>
                <w:rFonts w:ascii="宋体" w:hAnsi="宋体" w:cs="宋体"/>
                <w:color w:val="auto"/>
                <w:spacing w:val="-2"/>
                <w:kern w:val="2"/>
                <w:sz w:val="24"/>
                <w:szCs w:val="24"/>
                <w:highlight w:val="none"/>
              </w:rPr>
            </w:pPr>
            <w:r>
              <w:rPr>
                <w:rFonts w:hint="eastAsia" w:ascii="宋体" w:hAnsi="宋体" w:cs="宋体"/>
                <w:color w:val="auto"/>
                <w:sz w:val="24"/>
                <w:szCs w:val="24"/>
                <w:highlight w:val="none"/>
              </w:rPr>
              <w:t>□</w:t>
            </w:r>
            <w:r>
              <w:rPr>
                <w:rFonts w:hint="eastAsia" w:ascii="宋体" w:hAnsi="宋体" w:cs="宋体"/>
                <w:color w:val="auto"/>
                <w:spacing w:val="-2"/>
                <w:kern w:val="2"/>
                <w:sz w:val="24"/>
                <w:szCs w:val="24"/>
                <w:highlight w:val="none"/>
              </w:rPr>
              <w:t>不要求</w:t>
            </w:r>
          </w:p>
          <w:p w14:paraId="5E75C5B2">
            <w:pPr>
              <w:pStyle w:val="38"/>
              <w:keepNext w:val="0"/>
              <w:keepLines w:val="0"/>
              <w:pageBreakBefore w:val="0"/>
              <w:widowControl/>
              <w:kinsoku/>
              <w:wordWrap w:val="0"/>
              <w:overflowPunct/>
              <w:topLinePunct w:val="0"/>
              <w:autoSpaceDE/>
              <w:autoSpaceDN/>
              <w:bidi w:val="0"/>
              <w:adjustRightInd/>
              <w:snapToGrid w:val="0"/>
              <w:spacing w:line="320" w:lineRule="exact"/>
              <w:ind w:left="0"/>
              <w:textAlignment w:val="auto"/>
              <w:rPr>
                <w:rFonts w:ascii="宋体" w:hAnsi="宋体" w:cs="宋体"/>
                <w:color w:val="auto"/>
                <w:spacing w:val="-2"/>
                <w:kern w:val="2"/>
                <w:sz w:val="24"/>
                <w:szCs w:val="24"/>
                <w:highlight w:val="none"/>
              </w:rPr>
            </w:pPr>
            <w:r>
              <w:rPr>
                <w:rFonts w:hint="eastAsia" w:ascii="MS Gothic" w:hAnsi="MS Gothic" w:eastAsia="MS Gothic" w:cs="MS Gothic"/>
                <w:color w:val="auto"/>
                <w:kern w:val="2"/>
                <w:sz w:val="24"/>
                <w:szCs w:val="24"/>
                <w:highlight w:val="none"/>
              </w:rPr>
              <w:t>☑</w:t>
            </w:r>
            <w:r>
              <w:rPr>
                <w:rFonts w:hint="eastAsia" w:ascii="宋体" w:hAnsi="宋体" w:cs="宋体"/>
                <w:color w:val="auto"/>
                <w:spacing w:val="-2"/>
                <w:kern w:val="2"/>
                <w:sz w:val="24"/>
                <w:szCs w:val="24"/>
                <w:highlight w:val="none"/>
              </w:rPr>
              <w:t>要求：</w:t>
            </w:r>
          </w:p>
          <w:p w14:paraId="142BD7AB">
            <w:pPr>
              <w:keepNext w:val="0"/>
              <w:keepLines w:val="0"/>
              <w:pageBreakBefore w:val="0"/>
              <w:widowControl/>
              <w:kinsoku/>
              <w:wordWrap w:val="0"/>
              <w:overflowPunct/>
              <w:topLinePunct w:val="0"/>
              <w:autoSpaceDE/>
              <w:autoSpaceDN/>
              <w:bidi w:val="0"/>
              <w:adjustRightInd/>
              <w:spacing w:line="320" w:lineRule="exact"/>
              <w:ind w:left="0"/>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1</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履约保证金的金额：</w:t>
            </w:r>
            <w:r>
              <w:rPr>
                <w:rFonts w:hint="eastAsia" w:ascii="宋体" w:hAnsi="宋体"/>
                <w:color w:val="auto"/>
                <w:kern w:val="2"/>
                <w:sz w:val="24"/>
                <w:szCs w:val="24"/>
                <w:highlight w:val="none"/>
                <w:u w:val="single"/>
                <w:lang w:val="en-US" w:eastAsia="zh-CN"/>
              </w:rPr>
              <w:t>采购合同金额</w:t>
            </w:r>
            <w:r>
              <w:rPr>
                <w:rFonts w:hint="eastAsia" w:ascii="宋体" w:hAnsi="宋体"/>
                <w:color w:val="auto"/>
                <w:kern w:val="2"/>
                <w:sz w:val="24"/>
                <w:szCs w:val="24"/>
                <w:highlight w:val="none"/>
                <w:u w:val="single"/>
                <w:lang w:eastAsia="zh-CN"/>
              </w:rPr>
              <w:t>的</w:t>
            </w:r>
            <w:r>
              <w:rPr>
                <w:rFonts w:hint="eastAsia" w:ascii="宋体" w:hAnsi="宋体"/>
                <w:color w:val="auto"/>
                <w:kern w:val="2"/>
                <w:sz w:val="24"/>
                <w:szCs w:val="24"/>
                <w:highlight w:val="none"/>
                <w:u w:val="single"/>
                <w:lang w:val="en-US" w:eastAsia="zh-CN"/>
              </w:rPr>
              <w:t>5</w:t>
            </w:r>
            <w:r>
              <w:rPr>
                <w:rFonts w:hint="eastAsia" w:ascii="宋体" w:hAnsi="宋体"/>
                <w:color w:val="auto"/>
                <w:kern w:val="2"/>
                <w:sz w:val="24"/>
                <w:szCs w:val="24"/>
                <w:highlight w:val="none"/>
                <w:u w:val="single"/>
              </w:rPr>
              <w:t>%</w:t>
            </w:r>
            <w:r>
              <w:rPr>
                <w:rFonts w:hint="eastAsia" w:ascii="宋体" w:hAnsi="宋体"/>
                <w:color w:val="auto"/>
                <w:kern w:val="2"/>
                <w:sz w:val="24"/>
                <w:szCs w:val="24"/>
                <w:highlight w:val="none"/>
                <w:u w:val="single"/>
                <w:lang w:eastAsia="zh-CN"/>
              </w:rPr>
              <w:t>，</w:t>
            </w:r>
            <w:r>
              <w:rPr>
                <w:rFonts w:hint="eastAsia" w:ascii="宋体" w:hAnsi="宋体"/>
                <w:color w:val="auto"/>
                <w:kern w:val="2"/>
                <w:sz w:val="24"/>
                <w:szCs w:val="24"/>
                <w:highlight w:val="none"/>
                <w:u w:val="single"/>
              </w:rPr>
              <w:t>根据中标单位的中标单价，结合</w:t>
            </w:r>
            <w:r>
              <w:rPr>
                <w:rFonts w:hint="eastAsia" w:ascii="宋体" w:hAnsi="宋体"/>
                <w:color w:val="auto"/>
                <w:kern w:val="2"/>
                <w:sz w:val="24"/>
                <w:szCs w:val="24"/>
                <w:highlight w:val="none"/>
                <w:u w:val="single"/>
                <w:lang w:val="en-US" w:eastAsia="zh-CN"/>
              </w:rPr>
              <w:t>采</w:t>
            </w:r>
            <w:r>
              <w:rPr>
                <w:rFonts w:hint="eastAsia" w:ascii="宋体" w:hAnsi="宋体"/>
                <w:color w:val="auto"/>
                <w:kern w:val="2"/>
                <w:sz w:val="24"/>
                <w:szCs w:val="24"/>
                <w:highlight w:val="none"/>
                <w:u w:val="single"/>
              </w:rPr>
              <w:t>购人</w:t>
            </w:r>
            <w:r>
              <w:rPr>
                <w:rFonts w:hint="eastAsia" w:ascii="宋体" w:hAnsi="宋体"/>
                <w:color w:val="auto"/>
                <w:kern w:val="2"/>
                <w:sz w:val="24"/>
                <w:szCs w:val="24"/>
                <w:highlight w:val="none"/>
                <w:u w:val="single"/>
                <w:lang w:val="en-US" w:eastAsia="zh-CN"/>
              </w:rPr>
              <w:t>预估</w:t>
            </w:r>
            <w:r>
              <w:rPr>
                <w:rFonts w:hint="eastAsia" w:ascii="宋体" w:hAnsi="宋体"/>
                <w:color w:val="auto"/>
                <w:kern w:val="2"/>
                <w:sz w:val="24"/>
                <w:szCs w:val="24"/>
                <w:highlight w:val="none"/>
                <w:u w:val="single"/>
              </w:rPr>
              <w:t>需</w:t>
            </w:r>
            <w:r>
              <w:rPr>
                <w:rFonts w:hint="eastAsia" w:ascii="宋体" w:hAnsi="宋体"/>
                <w:color w:val="auto"/>
                <w:kern w:val="2"/>
                <w:sz w:val="24"/>
                <w:szCs w:val="24"/>
                <w:highlight w:val="none"/>
                <w:u w:val="single"/>
                <w:lang w:val="en-US" w:eastAsia="zh-CN"/>
              </w:rPr>
              <w:t>求</w:t>
            </w:r>
            <w:r>
              <w:rPr>
                <w:rFonts w:hint="eastAsia" w:ascii="宋体" w:hAnsi="宋体"/>
                <w:color w:val="auto"/>
                <w:kern w:val="2"/>
                <w:sz w:val="24"/>
                <w:szCs w:val="24"/>
                <w:highlight w:val="none"/>
                <w:u w:val="single"/>
              </w:rPr>
              <w:t>数量</w:t>
            </w:r>
            <w:r>
              <w:rPr>
                <w:rFonts w:hint="eastAsia" w:ascii="宋体" w:hAnsi="宋体"/>
                <w:color w:val="auto"/>
                <w:kern w:val="2"/>
                <w:sz w:val="24"/>
                <w:szCs w:val="24"/>
                <w:highlight w:val="none"/>
                <w:u w:val="single"/>
                <w:lang w:val="en-US" w:eastAsia="zh-CN"/>
              </w:rPr>
              <w:t>计</w:t>
            </w:r>
            <w:r>
              <w:rPr>
                <w:rFonts w:hint="eastAsia" w:ascii="宋体" w:hAnsi="宋体"/>
                <w:color w:val="auto"/>
                <w:kern w:val="2"/>
                <w:sz w:val="24"/>
                <w:szCs w:val="24"/>
                <w:highlight w:val="none"/>
                <w:u w:val="single"/>
              </w:rPr>
              <w:t>算金额后收取</w:t>
            </w:r>
            <w:r>
              <w:rPr>
                <w:rFonts w:hint="eastAsia" w:ascii="宋体" w:hAnsi="宋体"/>
                <w:color w:val="auto"/>
                <w:kern w:val="2"/>
                <w:sz w:val="24"/>
                <w:szCs w:val="24"/>
                <w:highlight w:val="none"/>
                <w:u w:val="none"/>
                <w:lang w:eastAsia="zh-CN"/>
              </w:rPr>
              <w:t>。</w:t>
            </w:r>
            <w:r>
              <w:rPr>
                <w:rFonts w:hint="eastAsia" w:ascii="宋体" w:hAnsi="宋体"/>
                <w:color w:val="auto"/>
                <w:kern w:val="2"/>
                <w:sz w:val="24"/>
                <w:szCs w:val="24"/>
                <w:highlight w:val="none"/>
              </w:rPr>
              <w:br w:type="textWrapping"/>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2</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履约保证金的形式：</w:t>
            </w:r>
            <w:r>
              <w:rPr>
                <w:rFonts w:hint="eastAsia" w:ascii="宋体" w:hAnsi="宋体"/>
                <w:color w:val="auto"/>
                <w:kern w:val="2"/>
                <w:sz w:val="24"/>
                <w:szCs w:val="24"/>
                <w:highlight w:val="none"/>
                <w:u w:val="single"/>
              </w:rPr>
              <w:t>转账、电汇、支票、汇票、本</w:t>
            </w:r>
            <w:r>
              <w:rPr>
                <w:rFonts w:hint="eastAsia" w:ascii="宋体" w:hAnsi="宋体"/>
                <w:strike w:val="0"/>
                <w:dstrike w:val="0"/>
                <w:color w:val="auto"/>
                <w:kern w:val="2"/>
                <w:sz w:val="24"/>
                <w:szCs w:val="24"/>
                <w:highlight w:val="none"/>
                <w:u w:val="single"/>
              </w:rPr>
              <w:t>票等非现金形</w:t>
            </w:r>
            <w:r>
              <w:rPr>
                <w:rFonts w:hint="eastAsia" w:ascii="宋体" w:hAnsi="宋体"/>
                <w:color w:val="auto"/>
                <w:kern w:val="2"/>
                <w:sz w:val="24"/>
                <w:szCs w:val="24"/>
                <w:highlight w:val="none"/>
                <w:u w:val="single"/>
              </w:rPr>
              <w:t>式提交</w:t>
            </w:r>
            <w:r>
              <w:rPr>
                <w:rFonts w:hint="eastAsia" w:ascii="宋体" w:hAnsi="宋体"/>
                <w:color w:val="auto"/>
                <w:kern w:val="2"/>
                <w:sz w:val="24"/>
                <w:szCs w:val="24"/>
                <w:highlight w:val="none"/>
              </w:rPr>
              <w:t>；</w:t>
            </w:r>
          </w:p>
          <w:p w14:paraId="329CC82C">
            <w:pPr>
              <w:pStyle w:val="2"/>
              <w:keepNext w:val="0"/>
              <w:keepLines w:val="0"/>
              <w:pageBreakBefore w:val="0"/>
              <w:widowControl/>
              <w:kinsoku/>
              <w:overflowPunct/>
              <w:topLinePunct w:val="0"/>
              <w:autoSpaceDE/>
              <w:autoSpaceDN/>
              <w:bidi w:val="0"/>
              <w:adjustRightInd/>
              <w:spacing w:line="320" w:lineRule="exact"/>
              <w:ind w:left="0" w:leftChars="0" w:firstLine="0" w:firstLineChars="0"/>
              <w:textAlignment w:val="auto"/>
              <w:rPr>
                <w:rFonts w:hint="eastAsia"/>
                <w:lang w:val="en-US" w:eastAsia="zh-CN"/>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3</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履约保证金</w:t>
            </w:r>
            <w:r>
              <w:rPr>
                <w:rFonts w:hint="eastAsia"/>
                <w:sz w:val="24"/>
                <w:szCs w:val="24"/>
                <w:lang w:val="en-US" w:eastAsia="zh-CN"/>
              </w:rPr>
              <w:t>的收退。在合同签订前3日内，中标方需将</w:t>
            </w:r>
            <w:r>
              <w:rPr>
                <w:rFonts w:hint="eastAsia" w:ascii="宋体" w:hAnsi="宋体"/>
                <w:color w:val="auto"/>
                <w:kern w:val="2"/>
                <w:sz w:val="24"/>
                <w:szCs w:val="24"/>
                <w:highlight w:val="none"/>
              </w:rPr>
              <w:t>履约保证金</w:t>
            </w:r>
            <w:r>
              <w:rPr>
                <w:rFonts w:hint="eastAsia"/>
                <w:sz w:val="24"/>
                <w:szCs w:val="24"/>
                <w:lang w:val="en-US" w:eastAsia="zh-CN"/>
              </w:rPr>
              <w:t>缴纳至采购人指定账户。合同执行完成后未出现违约及质量问题，中标方凭合同、</w:t>
            </w:r>
            <w:r>
              <w:rPr>
                <w:rFonts w:hint="eastAsia" w:ascii="宋体" w:hAnsi="宋体"/>
                <w:color w:val="auto"/>
                <w:kern w:val="2"/>
                <w:sz w:val="24"/>
                <w:szCs w:val="24"/>
                <w:highlight w:val="none"/>
              </w:rPr>
              <w:t>履约保证金</w:t>
            </w:r>
            <w:r>
              <w:rPr>
                <w:rFonts w:hint="eastAsia"/>
                <w:sz w:val="24"/>
                <w:szCs w:val="24"/>
                <w:lang w:val="en-US" w:eastAsia="zh-CN"/>
              </w:rPr>
              <w:t>缴纳凭证原件向采购人申请无息退还。合回执行过程中出现中标方违反合同条款情形终止合同的，履约保证金不予退还。</w:t>
            </w:r>
          </w:p>
        </w:tc>
      </w:tr>
      <w:tr w14:paraId="38943A54">
        <w:tblPrEx>
          <w:tblCellMar>
            <w:top w:w="0" w:type="dxa"/>
            <w:left w:w="0" w:type="dxa"/>
            <w:bottom w:w="0" w:type="dxa"/>
            <w:right w:w="0" w:type="dxa"/>
          </w:tblCellMar>
        </w:tblPrEx>
        <w:trPr>
          <w:trHeight w:val="467" w:hRule="atLeast"/>
        </w:trPr>
        <w:tc>
          <w:tcPr>
            <w:tcW w:w="891" w:type="dxa"/>
            <w:tcBorders>
              <w:top w:val="single" w:color="auto" w:sz="8" w:space="0"/>
              <w:left w:val="single" w:color="auto" w:sz="8" w:space="0"/>
              <w:bottom w:val="single" w:color="auto" w:sz="8" w:space="0"/>
              <w:right w:val="single" w:color="auto" w:sz="8" w:space="0"/>
            </w:tcBorders>
            <w:vAlign w:val="center"/>
          </w:tcPr>
          <w:p w14:paraId="657FCA0B">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w:t>
            </w:r>
          </w:p>
        </w:tc>
        <w:tc>
          <w:tcPr>
            <w:tcW w:w="8991" w:type="dxa"/>
            <w:gridSpan w:val="2"/>
            <w:tcBorders>
              <w:top w:val="single" w:color="auto" w:sz="8" w:space="0"/>
              <w:left w:val="nil"/>
              <w:bottom w:val="single" w:color="auto" w:sz="8" w:space="0"/>
              <w:right w:val="single" w:color="auto" w:sz="8" w:space="0"/>
            </w:tcBorders>
            <w:vAlign w:val="center"/>
          </w:tcPr>
          <w:p w14:paraId="75C7CD9F">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需要补充的其他内容</w:t>
            </w:r>
          </w:p>
        </w:tc>
      </w:tr>
      <w:tr w14:paraId="520F5504">
        <w:tblPrEx>
          <w:tblCellMar>
            <w:top w:w="0" w:type="dxa"/>
            <w:left w:w="0" w:type="dxa"/>
            <w:bottom w:w="0" w:type="dxa"/>
            <w:right w:w="0" w:type="dxa"/>
          </w:tblCellMar>
        </w:tblPrEx>
        <w:trPr>
          <w:trHeight w:val="754" w:hRule="atLeast"/>
        </w:trPr>
        <w:tc>
          <w:tcPr>
            <w:tcW w:w="891" w:type="dxa"/>
            <w:tcBorders>
              <w:top w:val="single" w:color="auto" w:sz="8" w:space="0"/>
              <w:left w:val="single" w:color="auto" w:sz="8" w:space="0"/>
              <w:bottom w:val="single" w:color="auto" w:sz="8" w:space="0"/>
              <w:right w:val="single" w:color="auto" w:sz="8" w:space="0"/>
            </w:tcBorders>
            <w:vAlign w:val="center"/>
          </w:tcPr>
          <w:p w14:paraId="1444D004">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12.1</w:t>
            </w:r>
          </w:p>
        </w:tc>
        <w:tc>
          <w:tcPr>
            <w:tcW w:w="2058" w:type="dxa"/>
            <w:tcBorders>
              <w:top w:val="single" w:color="auto" w:sz="8" w:space="0"/>
              <w:left w:val="nil"/>
              <w:bottom w:val="single" w:color="auto" w:sz="8" w:space="0"/>
              <w:right w:val="single" w:color="auto" w:sz="8" w:space="0"/>
            </w:tcBorders>
            <w:vAlign w:val="center"/>
          </w:tcPr>
          <w:p w14:paraId="22E7F72A">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评标方法</w:t>
            </w:r>
          </w:p>
        </w:tc>
        <w:tc>
          <w:tcPr>
            <w:tcW w:w="6933" w:type="dxa"/>
            <w:tcBorders>
              <w:top w:val="single" w:color="auto" w:sz="8" w:space="0"/>
              <w:left w:val="nil"/>
              <w:bottom w:val="single" w:color="auto" w:sz="8" w:space="0"/>
              <w:right w:val="single" w:color="auto" w:sz="8" w:space="0"/>
            </w:tcBorders>
            <w:vAlign w:val="center"/>
          </w:tcPr>
          <w:p w14:paraId="7D5786AD">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MS Gothic" w:hAnsi="MS Gothic" w:eastAsia="MS Gothic" w:cs="MS Gothic"/>
                <w:color w:val="auto"/>
                <w:kern w:val="2"/>
                <w:highlight w:val="none"/>
              </w:rPr>
              <w:t>☑</w:t>
            </w:r>
            <w:r>
              <w:rPr>
                <w:rFonts w:hint="eastAsia" w:ascii="宋体" w:hAnsi="宋体" w:cs="宋体"/>
                <w:color w:val="auto"/>
                <w:kern w:val="2"/>
                <w:sz w:val="24"/>
                <w:szCs w:val="24"/>
                <w:highlight w:val="none"/>
              </w:rPr>
              <w:t>综合评分法</w:t>
            </w:r>
          </w:p>
          <w:p w14:paraId="1B6002CC">
            <w:pPr>
              <w:keepNext w:val="0"/>
              <w:keepLines w:val="0"/>
              <w:pageBreakBefore w:val="0"/>
              <w:kinsoku/>
              <w:wordWrap w:val="0"/>
              <w:overflowPunct/>
              <w:topLinePunct w:val="0"/>
              <w:bidi w:val="0"/>
              <w:spacing w:line="320" w:lineRule="exact"/>
              <w:ind w:left="0"/>
              <w:jc w:val="both"/>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□最低评标价法</w:t>
            </w:r>
          </w:p>
        </w:tc>
      </w:tr>
      <w:tr w14:paraId="4CE8D509">
        <w:tblPrEx>
          <w:tblCellMar>
            <w:top w:w="0" w:type="dxa"/>
            <w:left w:w="0" w:type="dxa"/>
            <w:bottom w:w="0" w:type="dxa"/>
            <w:right w:w="0" w:type="dxa"/>
          </w:tblCellMar>
        </w:tblPrEx>
        <w:trPr>
          <w:trHeight w:val="90" w:hRule="atLeast"/>
        </w:trPr>
        <w:tc>
          <w:tcPr>
            <w:tcW w:w="891" w:type="dxa"/>
            <w:tcBorders>
              <w:top w:val="single" w:color="auto" w:sz="8" w:space="0"/>
              <w:left w:val="single" w:color="auto" w:sz="8" w:space="0"/>
              <w:bottom w:val="single" w:color="auto" w:sz="8" w:space="0"/>
              <w:right w:val="single" w:color="auto" w:sz="8" w:space="0"/>
            </w:tcBorders>
            <w:vAlign w:val="center"/>
          </w:tcPr>
          <w:p w14:paraId="1FE85642">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12.2</w:t>
            </w:r>
          </w:p>
        </w:tc>
        <w:tc>
          <w:tcPr>
            <w:tcW w:w="2058" w:type="dxa"/>
            <w:tcBorders>
              <w:top w:val="single" w:color="auto" w:sz="8" w:space="0"/>
              <w:left w:val="nil"/>
              <w:bottom w:val="single" w:color="auto" w:sz="8" w:space="0"/>
              <w:right w:val="single" w:color="auto" w:sz="8" w:space="0"/>
            </w:tcBorders>
            <w:vAlign w:val="center"/>
          </w:tcPr>
          <w:p w14:paraId="0D78EE01">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信用查询具体要求</w:t>
            </w:r>
          </w:p>
        </w:tc>
        <w:tc>
          <w:tcPr>
            <w:tcW w:w="6933" w:type="dxa"/>
            <w:tcBorders>
              <w:top w:val="single" w:color="auto" w:sz="8" w:space="0"/>
              <w:left w:val="nil"/>
              <w:bottom w:val="single" w:color="auto" w:sz="8" w:space="0"/>
              <w:right w:val="single" w:color="auto" w:sz="8" w:space="0"/>
            </w:tcBorders>
            <w:vAlign w:val="center"/>
          </w:tcPr>
          <w:p w14:paraId="731F6B8C">
            <w:pPr>
              <w:keepNext w:val="0"/>
              <w:keepLines w:val="0"/>
              <w:pageBreakBefore w:val="0"/>
              <w:widowControl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本项目将执行在政府采购活动中查询及使用信用记录的规定，具体要求为：</w:t>
            </w:r>
          </w:p>
          <w:p w14:paraId="529F0BBC">
            <w:pPr>
              <w:keepNext w:val="0"/>
              <w:keepLines w:val="0"/>
              <w:pageBreakBefore w:val="0"/>
              <w:widowControl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szCs w:val="24"/>
                <w:highlight w:val="none"/>
              </w:rPr>
              <w:t>投标人应在“信用中国”网站(www.creditchina.gov.cn)未被列入失信被执行人记录、重大税收违法失信主体及中国政府采购网(www.ccgp.gov.cn)没有政府采购严重违法失信行为记录(被禁止在一定期限内参加政府采购活动但期限届满的除外)</w:t>
            </w:r>
            <w:r>
              <w:rPr>
                <w:rFonts w:hint="eastAsia" w:ascii="宋体" w:hAnsi="宋体" w:cs="宋体"/>
                <w:color w:val="auto"/>
                <w:sz w:val="24"/>
                <w:szCs w:val="24"/>
                <w:highlight w:val="none"/>
              </w:rPr>
              <w:t>；</w:t>
            </w:r>
          </w:p>
          <w:p w14:paraId="2A7990DD">
            <w:pPr>
              <w:keepNext w:val="0"/>
              <w:keepLines w:val="0"/>
              <w:pageBreakBefore w:val="0"/>
              <w:widowControl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（2）信用信息查询的截止时点：投标截止时间当天评标前；</w:t>
            </w:r>
          </w:p>
          <w:p w14:paraId="4D024EA6">
            <w:pPr>
              <w:keepNext w:val="0"/>
              <w:keepLines w:val="0"/>
              <w:pageBreakBefore w:val="0"/>
              <w:widowControl w:val="0"/>
              <w:kinsoku/>
              <w:wordWrap w:val="0"/>
              <w:overflowPunct/>
              <w:topLinePunct w:val="0"/>
              <w:bidi w:val="0"/>
              <w:spacing w:line="320" w:lineRule="exact"/>
              <w:ind w:left="0"/>
              <w:textAlignment w:val="auto"/>
              <w:rPr>
                <w:color w:val="auto"/>
                <w:sz w:val="24"/>
                <w:szCs w:val="24"/>
                <w:highlight w:val="none"/>
              </w:rPr>
            </w:pPr>
            <w:r>
              <w:rPr>
                <w:rFonts w:hint="eastAsia" w:ascii="宋体" w:hAnsi="宋体" w:cs="宋体"/>
                <w:color w:val="auto"/>
                <w:sz w:val="24"/>
                <w:szCs w:val="24"/>
                <w:highlight w:val="none"/>
              </w:rPr>
              <w:t>（3）信用信息查询渠道：“信用中国”、“中国政府采购网”；</w:t>
            </w:r>
          </w:p>
          <w:p w14:paraId="4B7385D3">
            <w:pPr>
              <w:keepNext w:val="0"/>
              <w:keepLines w:val="0"/>
              <w:pageBreakBefore w:val="0"/>
              <w:widowControl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（4）信用信息查询记录和证据留存具体方式：采购人、采购代理机构将经查询存在不良信用记录的潜在投标人查询结果证明材料作为查询记录和证据，与其他</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一并保存；</w:t>
            </w:r>
          </w:p>
          <w:p w14:paraId="38A19543">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29C6ECD1">
            <w:pPr>
              <w:pStyle w:val="12"/>
              <w:keepNext w:val="0"/>
              <w:keepLines w:val="0"/>
              <w:pageBreakBefore w:val="0"/>
              <w:kinsoku/>
              <w:wordWrap w:val="0"/>
              <w:overflowPunct/>
              <w:topLinePunct w:val="0"/>
              <w:bidi w:val="0"/>
              <w:spacing w:line="320" w:lineRule="exact"/>
              <w:ind w:left="0"/>
              <w:textAlignment w:val="auto"/>
              <w:rPr>
                <w:rFonts w:ascii="宋体" w:hAnsi="宋体" w:cs="宋体"/>
                <w:color w:val="auto"/>
                <w:kern w:val="2"/>
                <w:sz w:val="24"/>
                <w:szCs w:val="24"/>
                <w:highlight w:val="none"/>
              </w:rPr>
            </w:pPr>
            <w:r>
              <w:rPr>
                <w:rFonts w:hint="eastAsia" w:ascii="宋体" w:hAnsi="宋体" w:cs="宋体"/>
                <w:b/>
                <w:bCs/>
                <w:color w:val="auto"/>
                <w:sz w:val="24"/>
                <w:highlight w:val="none"/>
              </w:rPr>
              <w:t>(6)采购人、采购代理机构通过“信用中国”、“中国政府采购网”等渠道查询相关主体信用记录，若投标人存在被列入失信被执行人、重大税收违法失信主体、政府采购严重违法失信行为记录名单，则投标无效。</w:t>
            </w:r>
          </w:p>
        </w:tc>
      </w:tr>
      <w:tr w14:paraId="23FA71AA">
        <w:tblPrEx>
          <w:tblCellMar>
            <w:top w:w="0" w:type="dxa"/>
            <w:left w:w="0" w:type="dxa"/>
            <w:bottom w:w="0" w:type="dxa"/>
            <w:right w:w="0" w:type="dxa"/>
          </w:tblCellMar>
        </w:tblPrEx>
        <w:trPr>
          <w:trHeight w:val="364" w:hRule="atLeast"/>
        </w:trPr>
        <w:tc>
          <w:tcPr>
            <w:tcW w:w="891" w:type="dxa"/>
            <w:tcBorders>
              <w:top w:val="single" w:color="auto" w:sz="8" w:space="0"/>
              <w:left w:val="single" w:color="auto" w:sz="8" w:space="0"/>
              <w:bottom w:val="single" w:color="auto" w:sz="8" w:space="0"/>
              <w:right w:val="single" w:color="auto" w:sz="8" w:space="0"/>
            </w:tcBorders>
            <w:vAlign w:val="center"/>
          </w:tcPr>
          <w:p w14:paraId="641B0CAA">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olor w:val="auto"/>
                <w:kern w:val="2"/>
                <w:sz w:val="24"/>
                <w:szCs w:val="24"/>
                <w:highlight w:val="none"/>
              </w:rPr>
              <w:t>12.3</w:t>
            </w:r>
          </w:p>
        </w:tc>
        <w:tc>
          <w:tcPr>
            <w:tcW w:w="2058" w:type="dxa"/>
            <w:tcBorders>
              <w:top w:val="single" w:color="auto" w:sz="8" w:space="0"/>
              <w:left w:val="nil"/>
              <w:bottom w:val="single" w:color="auto" w:sz="8" w:space="0"/>
              <w:right w:val="single" w:color="auto" w:sz="8" w:space="0"/>
            </w:tcBorders>
            <w:vAlign w:val="center"/>
          </w:tcPr>
          <w:p w14:paraId="17AF96C6">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b/>
                <w:bCs/>
                <w:color w:val="auto"/>
                <w:kern w:val="2"/>
                <w:sz w:val="24"/>
                <w:szCs w:val="24"/>
                <w:highlight w:val="none"/>
              </w:rPr>
              <w:t>核心产品</w:t>
            </w:r>
          </w:p>
        </w:tc>
        <w:tc>
          <w:tcPr>
            <w:tcW w:w="6933" w:type="dxa"/>
            <w:tcBorders>
              <w:top w:val="single" w:color="auto" w:sz="8" w:space="0"/>
              <w:left w:val="nil"/>
              <w:bottom w:val="single" w:color="auto" w:sz="8" w:space="0"/>
              <w:right w:val="single" w:color="auto" w:sz="8" w:space="0"/>
            </w:tcBorders>
            <w:vAlign w:val="center"/>
          </w:tcPr>
          <w:p w14:paraId="4315167B">
            <w:pPr>
              <w:keepNext w:val="0"/>
              <w:keepLines w:val="0"/>
              <w:pageBreakBefore w:val="0"/>
              <w:kinsoku/>
              <w:wordWrap w:val="0"/>
              <w:overflowPunct/>
              <w:topLinePunct w:val="0"/>
              <w:bidi w:val="0"/>
              <w:spacing w:line="320" w:lineRule="exact"/>
              <w:ind w:left="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适用</w:t>
            </w:r>
          </w:p>
        </w:tc>
      </w:tr>
      <w:tr w14:paraId="2FD38B60">
        <w:tblPrEx>
          <w:tblCellMar>
            <w:top w:w="0" w:type="dxa"/>
            <w:left w:w="0" w:type="dxa"/>
            <w:bottom w:w="0" w:type="dxa"/>
            <w:right w:w="0" w:type="dxa"/>
          </w:tblCellMar>
        </w:tblPrEx>
        <w:trPr>
          <w:trHeight w:val="584" w:hRule="atLeast"/>
        </w:trPr>
        <w:tc>
          <w:tcPr>
            <w:tcW w:w="891" w:type="dxa"/>
            <w:tcBorders>
              <w:top w:val="single" w:color="auto" w:sz="8" w:space="0"/>
              <w:left w:val="single" w:color="auto" w:sz="8" w:space="0"/>
              <w:bottom w:val="single" w:color="auto" w:sz="8" w:space="0"/>
              <w:right w:val="single" w:color="auto" w:sz="8" w:space="0"/>
            </w:tcBorders>
            <w:vAlign w:val="center"/>
          </w:tcPr>
          <w:p w14:paraId="2E8703F3">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12.4</w:t>
            </w:r>
          </w:p>
        </w:tc>
        <w:tc>
          <w:tcPr>
            <w:tcW w:w="2058" w:type="dxa"/>
            <w:tcBorders>
              <w:top w:val="single" w:color="auto" w:sz="8" w:space="0"/>
              <w:left w:val="nil"/>
              <w:bottom w:val="single" w:color="auto" w:sz="8" w:space="0"/>
              <w:right w:val="single" w:color="auto" w:sz="8" w:space="0"/>
            </w:tcBorders>
            <w:vAlign w:val="center"/>
          </w:tcPr>
          <w:p w14:paraId="16DB260E">
            <w:pPr>
              <w:keepNext w:val="0"/>
              <w:keepLines w:val="0"/>
              <w:pageBreakBefore w:val="0"/>
              <w:kinsoku/>
              <w:wordWrap w:val="0"/>
              <w:overflowPunct/>
              <w:topLinePunct w:val="0"/>
              <w:bidi w:val="0"/>
              <w:spacing w:line="320" w:lineRule="exact"/>
              <w:ind w:left="0"/>
              <w:jc w:val="center"/>
              <w:textAlignment w:val="auto"/>
              <w:rPr>
                <w:b/>
                <w:bCs/>
                <w:color w:val="auto"/>
                <w:highlight w:val="none"/>
              </w:rPr>
            </w:pPr>
            <w:r>
              <w:rPr>
                <w:rFonts w:hint="eastAsia" w:ascii="宋体" w:hAnsi="宋体" w:eastAsia="宋体" w:cs="Times New Roman"/>
                <w:color w:val="auto"/>
                <w:kern w:val="2"/>
                <w:sz w:val="24"/>
                <w:szCs w:val="24"/>
                <w:highlight w:val="none"/>
              </w:rPr>
              <w:t>同品牌投标人中标候选资格推选方式</w:t>
            </w:r>
          </w:p>
        </w:tc>
        <w:tc>
          <w:tcPr>
            <w:tcW w:w="6933" w:type="dxa"/>
            <w:tcBorders>
              <w:top w:val="single" w:color="auto" w:sz="8" w:space="0"/>
              <w:left w:val="nil"/>
              <w:bottom w:val="single" w:color="auto" w:sz="8" w:space="0"/>
              <w:right w:val="single" w:color="auto" w:sz="8" w:space="0"/>
            </w:tcBorders>
            <w:vAlign w:val="center"/>
          </w:tcPr>
          <w:p w14:paraId="2FEC1154">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textAlignment w:val="auto"/>
              <w:rPr>
                <w:rFonts w:hint="eastAsia" w:ascii="宋体" w:hAnsi="宋体" w:eastAsia="宋体"/>
                <w:b/>
                <w:bCs/>
                <w:color w:val="auto"/>
                <w:sz w:val="24"/>
                <w:highlight w:val="none"/>
                <w:lang w:eastAsia="zh-CN" w:bidi="ar"/>
              </w:rPr>
            </w:pPr>
            <w:r>
              <w:rPr>
                <w:rFonts w:hint="eastAsia" w:ascii="宋体" w:hAnsi="宋体" w:eastAsia="宋体" w:cs="宋体"/>
                <w:color w:val="auto"/>
                <w:sz w:val="24"/>
                <w:szCs w:val="24"/>
                <w:highlight w:val="none"/>
              </w:rPr>
              <w:t>详见</w:t>
            </w:r>
            <w:r>
              <w:rPr>
                <w:rFonts w:hint="eastAsia" w:ascii="宋体" w:hAnsi="宋体" w:cs="宋体"/>
                <w:color w:val="auto"/>
                <w:sz w:val="24"/>
                <w:szCs w:val="24"/>
                <w:highlight w:val="none"/>
                <w:lang w:eastAsia="zh-CN"/>
              </w:rPr>
              <w:t>第四章“ 评标办法”</w:t>
            </w:r>
          </w:p>
        </w:tc>
      </w:tr>
      <w:tr w14:paraId="47BCBDAC">
        <w:tblPrEx>
          <w:tblCellMar>
            <w:top w:w="0" w:type="dxa"/>
            <w:left w:w="0" w:type="dxa"/>
            <w:bottom w:w="0" w:type="dxa"/>
            <w:right w:w="0" w:type="dxa"/>
          </w:tblCellMar>
        </w:tblPrEx>
        <w:trPr>
          <w:trHeight w:val="1257" w:hRule="atLeast"/>
        </w:trPr>
        <w:tc>
          <w:tcPr>
            <w:tcW w:w="891" w:type="dxa"/>
            <w:tcBorders>
              <w:top w:val="single" w:color="auto" w:sz="8" w:space="0"/>
              <w:left w:val="single" w:color="auto" w:sz="8" w:space="0"/>
              <w:bottom w:val="single" w:color="auto" w:sz="8" w:space="0"/>
              <w:right w:val="single" w:color="auto" w:sz="8" w:space="0"/>
            </w:tcBorders>
            <w:vAlign w:val="center"/>
          </w:tcPr>
          <w:p w14:paraId="3393FA80">
            <w:pPr>
              <w:keepNext w:val="0"/>
              <w:keepLines w:val="0"/>
              <w:pageBreakBefore w:val="0"/>
              <w:kinsoku/>
              <w:wordWrap w:val="0"/>
              <w:overflowPunct/>
              <w:topLinePunct w:val="0"/>
              <w:bidi w:val="0"/>
              <w:spacing w:line="320" w:lineRule="exact"/>
              <w:ind w:left="0"/>
              <w:jc w:val="center"/>
              <w:textAlignment w:val="auto"/>
              <w:rPr>
                <w:rFonts w:hint="default" w:ascii="宋体" w:hAnsi="宋体" w:eastAsia="宋体" w:cs="宋体"/>
                <w:color w:val="auto"/>
                <w:kern w:val="2"/>
                <w:sz w:val="24"/>
                <w:szCs w:val="24"/>
                <w:highlight w:val="none"/>
                <w:lang w:val="en-US" w:eastAsia="zh-CN"/>
              </w:rPr>
            </w:pPr>
            <w:bookmarkStart w:id="77" w:name="_Toc19039"/>
            <w:bookmarkStart w:id="78" w:name="_Toc8852"/>
            <w:r>
              <w:rPr>
                <w:rFonts w:hint="eastAsia" w:ascii="宋体" w:hAnsi="宋体" w:cs="宋体"/>
                <w:color w:val="auto"/>
                <w:kern w:val="2"/>
                <w:sz w:val="24"/>
                <w:szCs w:val="24"/>
                <w:highlight w:val="none"/>
                <w:lang w:val="en-US" w:eastAsia="zh-CN"/>
              </w:rPr>
              <w:t>12.5</w:t>
            </w:r>
          </w:p>
        </w:tc>
        <w:tc>
          <w:tcPr>
            <w:tcW w:w="2058" w:type="dxa"/>
            <w:tcBorders>
              <w:top w:val="single" w:color="auto" w:sz="8" w:space="0"/>
              <w:left w:val="nil"/>
              <w:bottom w:val="single" w:color="auto" w:sz="8" w:space="0"/>
              <w:right w:val="single" w:color="auto" w:sz="8" w:space="0"/>
            </w:tcBorders>
            <w:vAlign w:val="center"/>
          </w:tcPr>
          <w:p w14:paraId="277842FD">
            <w:pPr>
              <w:keepNext w:val="0"/>
              <w:keepLines w:val="0"/>
              <w:pageBreakBefore w:val="0"/>
              <w:kinsoku/>
              <w:wordWrap w:val="0"/>
              <w:overflowPunct/>
              <w:topLinePunct w:val="0"/>
              <w:bidi w:val="0"/>
              <w:spacing w:line="320" w:lineRule="exact"/>
              <w:ind w:left="0"/>
              <w:jc w:val="center"/>
              <w:textAlignment w:val="auto"/>
              <w:rPr>
                <w:rFonts w:hint="eastAsia" w:ascii="宋体" w:hAnsi="宋体"/>
                <w:color w:val="auto"/>
                <w:kern w:val="2"/>
                <w:sz w:val="24"/>
                <w:szCs w:val="24"/>
                <w:highlight w:val="none"/>
              </w:rPr>
            </w:pPr>
            <w:r>
              <w:rPr>
                <w:rFonts w:hint="eastAsia" w:ascii="宋体" w:hAnsi="宋体" w:eastAsia="宋体" w:cs="Times New Roman"/>
                <w:color w:val="auto"/>
                <w:kern w:val="2"/>
                <w:sz w:val="24"/>
                <w:szCs w:val="24"/>
                <w:highlight w:val="none"/>
              </w:rPr>
              <w:t>实质性要求和条件</w:t>
            </w:r>
          </w:p>
        </w:tc>
        <w:tc>
          <w:tcPr>
            <w:tcW w:w="6933" w:type="dxa"/>
            <w:tcBorders>
              <w:top w:val="single" w:color="auto" w:sz="8" w:space="0"/>
              <w:left w:val="nil"/>
              <w:bottom w:val="single" w:color="auto" w:sz="8" w:space="0"/>
              <w:right w:val="single" w:color="auto" w:sz="8" w:space="0"/>
            </w:tcBorders>
            <w:vAlign w:val="center"/>
          </w:tcPr>
          <w:p w14:paraId="24BEC7BA">
            <w:pPr>
              <w:keepNext w:val="0"/>
              <w:keepLines w:val="0"/>
              <w:pageBreakBefore w:val="0"/>
              <w:suppressLineNumbers w:val="0"/>
              <w:kinsoku/>
              <w:overflowPunct/>
              <w:topLinePunct w:val="0"/>
              <w:bidi w:val="0"/>
              <w:spacing w:before="0" w:beforeAutospacing="0" w:after="0" w:afterAutospacing="0" w:line="320" w:lineRule="exact"/>
              <w:ind w:left="0" w:leftChars="0" w:right="0" w:rightChars="0"/>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章“评标办法”符合性评审标准规定的内容及本招标文件中标注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号的其他条款为实质性要求和条件，不满足任何一条将导致投标无效。请各投标人仔细阅读符合性评审标准和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号条款。</w:t>
            </w:r>
          </w:p>
        </w:tc>
      </w:tr>
      <w:tr w14:paraId="5903ECE3">
        <w:tblPrEx>
          <w:tblCellMar>
            <w:top w:w="0" w:type="dxa"/>
            <w:left w:w="0" w:type="dxa"/>
            <w:bottom w:w="0" w:type="dxa"/>
            <w:right w:w="0" w:type="dxa"/>
          </w:tblCellMar>
        </w:tblPrEx>
        <w:trPr>
          <w:trHeight w:val="1257" w:hRule="atLeast"/>
        </w:trPr>
        <w:tc>
          <w:tcPr>
            <w:tcW w:w="891" w:type="dxa"/>
            <w:tcBorders>
              <w:top w:val="single" w:color="auto" w:sz="8" w:space="0"/>
              <w:left w:val="single" w:color="auto" w:sz="8" w:space="0"/>
              <w:bottom w:val="single" w:color="auto" w:sz="8" w:space="0"/>
              <w:right w:val="single" w:color="auto" w:sz="8" w:space="0"/>
            </w:tcBorders>
            <w:vAlign w:val="center"/>
          </w:tcPr>
          <w:p w14:paraId="63BB040B">
            <w:pPr>
              <w:keepNext w:val="0"/>
              <w:keepLines w:val="0"/>
              <w:pageBreakBefore w:val="0"/>
              <w:kinsoku/>
              <w:wordWrap w:val="0"/>
              <w:overflowPunct/>
              <w:topLinePunct w:val="0"/>
              <w:bidi w:val="0"/>
              <w:spacing w:line="320" w:lineRule="exact"/>
              <w:ind w:left="0"/>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12.6</w:t>
            </w:r>
          </w:p>
        </w:tc>
        <w:tc>
          <w:tcPr>
            <w:tcW w:w="2058" w:type="dxa"/>
            <w:tcBorders>
              <w:top w:val="single" w:color="auto" w:sz="8" w:space="0"/>
              <w:left w:val="nil"/>
              <w:bottom w:val="single" w:color="auto" w:sz="8" w:space="0"/>
              <w:right w:val="single" w:color="auto" w:sz="8" w:space="0"/>
            </w:tcBorders>
            <w:vAlign w:val="center"/>
          </w:tcPr>
          <w:p w14:paraId="0E71F0E9">
            <w:pPr>
              <w:keepNext w:val="0"/>
              <w:keepLines w:val="0"/>
              <w:pageBreakBefore w:val="0"/>
              <w:kinsoku/>
              <w:wordWrap w:val="0"/>
              <w:overflowPunct/>
              <w:topLinePunct w:val="0"/>
              <w:bidi w:val="0"/>
              <w:spacing w:line="320" w:lineRule="exact"/>
              <w:ind w:left="0"/>
              <w:jc w:val="center"/>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补充1</w:t>
            </w:r>
          </w:p>
        </w:tc>
        <w:tc>
          <w:tcPr>
            <w:tcW w:w="6933" w:type="dxa"/>
            <w:tcBorders>
              <w:top w:val="single" w:color="auto" w:sz="8" w:space="0"/>
              <w:left w:val="nil"/>
              <w:bottom w:val="single" w:color="auto" w:sz="8" w:space="0"/>
              <w:right w:val="single" w:color="auto" w:sz="8" w:space="0"/>
            </w:tcBorders>
            <w:vAlign w:val="center"/>
          </w:tcPr>
          <w:p w14:paraId="6A9000C3">
            <w:pPr>
              <w:keepNext w:val="0"/>
              <w:keepLines w:val="0"/>
              <w:pageBreakBefore w:val="0"/>
              <w:widowControl w:val="0"/>
              <w:kinsoku/>
              <w:wordWrap w:val="0"/>
              <w:overflowPunct/>
              <w:topLinePunct w:val="0"/>
              <w:bidi w:val="0"/>
              <w:spacing w:line="320" w:lineRule="exact"/>
              <w:ind w:left="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依据《政府采购促进中小企业发展管理办法》（财库〔2020〕46号）规定享受扶持政策获得政府采购合同的，小微企业不得将合同分包给大中型企业，中型企业不得将合同分包给大型企业。</w:t>
            </w:r>
          </w:p>
        </w:tc>
      </w:tr>
      <w:tr w14:paraId="7474E9AD">
        <w:tblPrEx>
          <w:tblCellMar>
            <w:top w:w="0" w:type="dxa"/>
            <w:left w:w="0" w:type="dxa"/>
            <w:bottom w:w="0" w:type="dxa"/>
            <w:right w:w="0" w:type="dxa"/>
          </w:tblCellMar>
        </w:tblPrEx>
        <w:trPr>
          <w:trHeight w:val="937" w:hRule="atLeast"/>
        </w:trPr>
        <w:tc>
          <w:tcPr>
            <w:tcW w:w="891" w:type="dxa"/>
            <w:tcBorders>
              <w:top w:val="single" w:color="auto" w:sz="8" w:space="0"/>
              <w:left w:val="single" w:color="auto" w:sz="8" w:space="0"/>
              <w:bottom w:val="single" w:color="auto" w:sz="8" w:space="0"/>
              <w:right w:val="single" w:color="auto" w:sz="8" w:space="0"/>
            </w:tcBorders>
            <w:vAlign w:val="center"/>
          </w:tcPr>
          <w:p w14:paraId="0C91BDFB">
            <w:pPr>
              <w:keepNext w:val="0"/>
              <w:keepLines w:val="0"/>
              <w:pageBreakBefore w:val="0"/>
              <w:kinsoku/>
              <w:wordWrap w:val="0"/>
              <w:overflowPunct/>
              <w:topLinePunct w:val="0"/>
              <w:bidi w:val="0"/>
              <w:spacing w:line="320" w:lineRule="exact"/>
              <w:ind w:left="0"/>
              <w:jc w:val="center"/>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12.</w:t>
            </w:r>
            <w:r>
              <w:rPr>
                <w:rFonts w:hint="eastAsia" w:ascii="宋体" w:hAnsi="宋体" w:cs="宋体"/>
                <w:color w:val="auto"/>
                <w:kern w:val="2"/>
                <w:sz w:val="24"/>
                <w:szCs w:val="24"/>
                <w:highlight w:val="none"/>
                <w:lang w:val="en-US" w:eastAsia="zh-CN"/>
              </w:rPr>
              <w:t>7</w:t>
            </w:r>
          </w:p>
        </w:tc>
        <w:tc>
          <w:tcPr>
            <w:tcW w:w="2058" w:type="dxa"/>
            <w:tcBorders>
              <w:top w:val="single" w:color="auto" w:sz="8" w:space="0"/>
              <w:left w:val="nil"/>
              <w:bottom w:val="single" w:color="auto" w:sz="8" w:space="0"/>
              <w:right w:val="single" w:color="auto" w:sz="8" w:space="0"/>
            </w:tcBorders>
            <w:vAlign w:val="center"/>
          </w:tcPr>
          <w:p w14:paraId="600AAA18">
            <w:pPr>
              <w:keepNext w:val="0"/>
              <w:keepLines w:val="0"/>
              <w:pageBreakBefore w:val="0"/>
              <w:kinsoku/>
              <w:wordWrap w:val="0"/>
              <w:overflowPunct/>
              <w:topLinePunct w:val="0"/>
              <w:bidi w:val="0"/>
              <w:spacing w:line="320" w:lineRule="exact"/>
              <w:ind w:left="0"/>
              <w:jc w:val="center"/>
              <w:textAlignment w:val="auto"/>
              <w:rPr>
                <w:rFonts w:hint="eastAsia" w:ascii="宋体" w:hAnsi="宋体" w:eastAsia="宋体" w:cs="Times New Roman"/>
                <w:color w:val="auto"/>
                <w:kern w:val="2"/>
                <w:sz w:val="24"/>
                <w:szCs w:val="24"/>
                <w:highlight w:val="none"/>
              </w:rPr>
            </w:pPr>
            <w:r>
              <w:rPr>
                <w:rFonts w:hint="eastAsia" w:ascii="宋体" w:hAnsi="宋体"/>
                <w:color w:val="auto"/>
                <w:kern w:val="2"/>
                <w:sz w:val="24"/>
                <w:szCs w:val="24"/>
                <w:highlight w:val="none"/>
              </w:rPr>
              <w:t>补充</w:t>
            </w:r>
            <w:r>
              <w:rPr>
                <w:rFonts w:hint="eastAsia" w:ascii="宋体" w:hAnsi="宋体"/>
                <w:color w:val="auto"/>
                <w:kern w:val="2"/>
                <w:sz w:val="24"/>
                <w:szCs w:val="24"/>
                <w:highlight w:val="none"/>
                <w:lang w:val="en-US" w:eastAsia="zh-CN"/>
              </w:rPr>
              <w:t>2</w:t>
            </w:r>
          </w:p>
        </w:tc>
        <w:tc>
          <w:tcPr>
            <w:tcW w:w="6933" w:type="dxa"/>
            <w:tcBorders>
              <w:top w:val="single" w:color="auto" w:sz="8" w:space="0"/>
              <w:left w:val="nil"/>
              <w:bottom w:val="single" w:color="auto" w:sz="8" w:space="0"/>
              <w:right w:val="single" w:color="auto" w:sz="8" w:space="0"/>
            </w:tcBorders>
            <w:vAlign w:val="center"/>
          </w:tcPr>
          <w:p w14:paraId="14983C46">
            <w:pPr>
              <w:keepNext w:val="0"/>
              <w:keepLines w:val="0"/>
              <w:pageBreakBefore w:val="0"/>
              <w:widowControl w:val="0"/>
              <w:kinsoku/>
              <w:wordWrap w:val="0"/>
              <w:overflowPunct/>
              <w:topLinePunct w:val="0"/>
              <w:bidi w:val="0"/>
              <w:spacing w:line="320" w:lineRule="exact"/>
              <w:ind w:left="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投标人在中标后，需向采购人提供纸质投标文件壹份（与上传投标文件保持一致）。</w:t>
            </w:r>
          </w:p>
        </w:tc>
      </w:tr>
      <w:tr w14:paraId="44D19235">
        <w:tblPrEx>
          <w:tblCellMar>
            <w:top w:w="0" w:type="dxa"/>
            <w:left w:w="0" w:type="dxa"/>
            <w:bottom w:w="0" w:type="dxa"/>
            <w:right w:w="0" w:type="dxa"/>
          </w:tblCellMar>
        </w:tblPrEx>
        <w:trPr>
          <w:trHeight w:val="327" w:hRule="atLeast"/>
        </w:trPr>
        <w:tc>
          <w:tcPr>
            <w:tcW w:w="891" w:type="dxa"/>
            <w:tcBorders>
              <w:top w:val="single" w:color="auto" w:sz="8" w:space="0"/>
              <w:left w:val="single" w:color="auto" w:sz="8" w:space="0"/>
              <w:bottom w:val="single" w:color="auto" w:sz="8" w:space="0"/>
              <w:right w:val="single" w:color="auto" w:sz="8" w:space="0"/>
            </w:tcBorders>
            <w:vAlign w:val="center"/>
          </w:tcPr>
          <w:p w14:paraId="2AEB327E">
            <w:pPr>
              <w:keepNext w:val="0"/>
              <w:keepLines w:val="0"/>
              <w:pageBreakBefore w:val="0"/>
              <w:kinsoku/>
              <w:wordWrap w:val="0"/>
              <w:overflowPunct/>
              <w:topLinePunct w:val="0"/>
              <w:bidi w:val="0"/>
              <w:spacing w:line="320" w:lineRule="exact"/>
              <w:ind w:left="0"/>
              <w:jc w:val="center"/>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13</w:t>
            </w:r>
          </w:p>
        </w:tc>
        <w:tc>
          <w:tcPr>
            <w:tcW w:w="2058" w:type="dxa"/>
            <w:tcBorders>
              <w:top w:val="single" w:color="auto" w:sz="8" w:space="0"/>
              <w:left w:val="nil"/>
              <w:bottom w:val="single" w:color="auto" w:sz="8" w:space="0"/>
              <w:right w:val="single" w:color="auto" w:sz="8" w:space="0"/>
            </w:tcBorders>
            <w:vAlign w:val="center"/>
          </w:tcPr>
          <w:p w14:paraId="7C3F574C">
            <w:pPr>
              <w:keepNext w:val="0"/>
              <w:keepLines w:val="0"/>
              <w:pageBreakBefore w:val="0"/>
              <w:kinsoku/>
              <w:wordWrap w:val="0"/>
              <w:overflowPunct/>
              <w:topLinePunct w:val="0"/>
              <w:bidi w:val="0"/>
              <w:spacing w:line="320" w:lineRule="exact"/>
              <w:ind w:left="0"/>
              <w:jc w:val="center"/>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落实政府采购</w:t>
            </w:r>
          </w:p>
          <w:p w14:paraId="04FB66B0">
            <w:pPr>
              <w:keepNext w:val="0"/>
              <w:keepLines w:val="0"/>
              <w:pageBreakBefore w:val="0"/>
              <w:kinsoku/>
              <w:wordWrap w:val="0"/>
              <w:overflowPunct/>
              <w:topLinePunct w:val="0"/>
              <w:bidi w:val="0"/>
              <w:spacing w:line="320" w:lineRule="exact"/>
              <w:ind w:left="0"/>
              <w:jc w:val="center"/>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政策</w:t>
            </w:r>
          </w:p>
        </w:tc>
        <w:tc>
          <w:tcPr>
            <w:tcW w:w="6933" w:type="dxa"/>
            <w:tcBorders>
              <w:top w:val="single" w:color="auto" w:sz="8" w:space="0"/>
              <w:left w:val="nil"/>
              <w:bottom w:val="single" w:color="auto" w:sz="8" w:space="0"/>
              <w:right w:val="single" w:color="auto" w:sz="8" w:space="0"/>
            </w:tcBorders>
            <w:vAlign w:val="center"/>
          </w:tcPr>
          <w:p w14:paraId="09AD705C">
            <w:pPr>
              <w:keepNext w:val="0"/>
              <w:keepLines w:val="0"/>
              <w:pageBreakBefore w:val="0"/>
              <w:widowControl/>
              <w:kinsoku/>
              <w:wordWrap w:val="0"/>
              <w:overflowPunct/>
              <w:topLinePunct w:val="0"/>
              <w:autoSpaceDE/>
              <w:autoSpaceDN/>
              <w:bidi w:val="0"/>
              <w:adjustRightInd/>
              <w:snapToGrid/>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1、小型和微型企业价格扣除评分优惠政策</w:t>
            </w:r>
          </w:p>
          <w:p w14:paraId="2836D759">
            <w:pPr>
              <w:keepNext w:val="0"/>
              <w:keepLines w:val="0"/>
              <w:pageBreakBefore w:val="0"/>
              <w:widowControl/>
              <w:kinsoku/>
              <w:wordWrap w:val="0"/>
              <w:overflowPunct/>
              <w:topLinePunct w:val="0"/>
              <w:autoSpaceDE/>
              <w:autoSpaceDN/>
              <w:bidi w:val="0"/>
              <w:adjustRightInd/>
              <w:snapToGrid/>
              <w:spacing w:line="320" w:lineRule="exact"/>
              <w:ind w:left="0" w:firstLine="241" w:firstLineChars="1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本项目</w:t>
            </w:r>
            <w:r>
              <w:rPr>
                <w:rFonts w:hint="eastAsia" w:ascii="宋体" w:hAnsi="宋体" w:cs="宋体"/>
                <w:b/>
                <w:bCs/>
                <w:color w:val="auto"/>
                <w:sz w:val="24"/>
                <w:szCs w:val="24"/>
                <w:highlight w:val="none"/>
                <w:lang w:val="en-US" w:eastAsia="zh-CN"/>
              </w:rPr>
              <w:t>为专门面向中小企业采购；</w:t>
            </w:r>
            <w:r>
              <w:rPr>
                <w:rFonts w:hint="eastAsia" w:ascii="宋体" w:hAnsi="宋体" w:cs="宋体"/>
                <w:color w:val="auto"/>
                <w:sz w:val="24"/>
                <w:szCs w:val="24"/>
                <w:highlight w:val="none"/>
                <w:lang w:bidi="ar"/>
              </w:rPr>
              <w:t>残疾人企业和监狱企业视同为小微企业</w:t>
            </w:r>
            <w:r>
              <w:rPr>
                <w:rFonts w:hint="eastAsia" w:ascii="宋体" w:hAnsi="宋体" w:cs="宋体"/>
                <w:b/>
                <w:bCs/>
                <w:color w:val="auto"/>
                <w:sz w:val="24"/>
                <w:szCs w:val="24"/>
                <w:highlight w:val="none"/>
              </w:rPr>
              <w:t>。</w:t>
            </w:r>
          </w:p>
          <w:p w14:paraId="2DE54E90">
            <w:pPr>
              <w:keepNext w:val="0"/>
              <w:keepLines w:val="0"/>
              <w:pageBreakBefore w:val="0"/>
              <w:widowControl/>
              <w:kinsoku/>
              <w:wordWrap w:val="0"/>
              <w:overflowPunct/>
              <w:topLinePunct w:val="0"/>
              <w:autoSpaceDE/>
              <w:autoSpaceDN/>
              <w:bidi w:val="0"/>
              <w:adjustRightInd/>
              <w:snapToGrid/>
              <w:spacing w:line="320" w:lineRule="exact"/>
              <w:ind w:left="0" w:firstLine="240" w:firstLineChars="100"/>
              <w:textAlignment w:val="auto"/>
              <w:rPr>
                <w:rFonts w:ascii="宋体" w:hAnsi="宋体" w:cs="宋体"/>
                <w:color w:val="auto"/>
                <w:sz w:val="24"/>
                <w:szCs w:val="24"/>
                <w:highlight w:val="none"/>
              </w:rPr>
            </w:pPr>
            <w:r>
              <w:rPr>
                <w:rFonts w:hint="eastAsia" w:ascii="宋体" w:hAnsi="宋体" w:cs="宋体"/>
                <w:bCs/>
                <w:color w:val="auto"/>
                <w:sz w:val="24"/>
                <w:szCs w:val="24"/>
                <w:highlight w:val="none"/>
              </w:rPr>
              <w:t>根据《政府采购促进中小企业发展管理办法》（财库〔2020〕46号）、《关于进一步加大政府采购支持中小企业力度的通知》（财库〔2022〕19号）。残疾人福利性单位属于小型、微型企业的，不重复享受政策。</w:t>
            </w:r>
          </w:p>
          <w:p w14:paraId="340DC490">
            <w:pPr>
              <w:keepNext w:val="0"/>
              <w:keepLines w:val="0"/>
              <w:pageBreakBefore w:val="0"/>
              <w:kinsoku/>
              <w:wordWrap w:val="0"/>
              <w:overflowPunct/>
              <w:topLinePunct w:val="0"/>
              <w:bidi w:val="0"/>
              <w:spacing w:line="320" w:lineRule="exact"/>
              <w:ind w:left="0" w:firstLine="241" w:firstLineChars="100"/>
              <w:textAlignment w:val="auto"/>
              <w:rPr>
                <w:rFonts w:hint="eastAsia" w:ascii="宋体" w:hAnsi="宋体" w:cs="宋体"/>
                <w:b/>
                <w:color w:val="auto"/>
                <w:sz w:val="24"/>
                <w:szCs w:val="24"/>
                <w:highlight w:val="none"/>
              </w:rPr>
            </w:pPr>
          </w:p>
          <w:p w14:paraId="57E51778">
            <w:pPr>
              <w:keepNext w:val="0"/>
              <w:keepLines w:val="0"/>
              <w:pageBreakBefore w:val="0"/>
              <w:kinsoku/>
              <w:wordWrap w:val="0"/>
              <w:overflowPunct/>
              <w:topLinePunct w:val="0"/>
              <w:bidi w:val="0"/>
              <w:spacing w:line="320" w:lineRule="exact"/>
              <w:ind w:left="0" w:firstLine="241" w:firstLineChars="100"/>
              <w:textAlignment w:val="auto"/>
              <w:rPr>
                <w:rFonts w:hint="eastAsia" w:ascii="宋体" w:hAnsi="宋体" w:eastAsia="宋体" w:cs="宋体"/>
                <w:b/>
                <w:color w:val="auto"/>
                <w:sz w:val="24"/>
                <w:szCs w:val="24"/>
                <w:highlight w:val="none"/>
                <w:u w:val="single"/>
                <w:lang w:eastAsia="zh-CN"/>
              </w:rPr>
            </w:pPr>
            <w:r>
              <w:rPr>
                <w:rFonts w:hint="eastAsia" w:ascii="宋体" w:hAnsi="宋体" w:cs="宋体"/>
                <w:b/>
                <w:color w:val="auto"/>
                <w:sz w:val="24"/>
                <w:szCs w:val="24"/>
                <w:highlight w:val="none"/>
              </w:rPr>
              <w:t>本项目采购标的对应所属行业为：</w:t>
            </w:r>
            <w:r>
              <w:rPr>
                <w:rFonts w:hint="eastAsia" w:ascii="宋体" w:hAnsi="宋体" w:cs="宋体"/>
                <w:b/>
                <w:color w:val="auto"/>
                <w:sz w:val="24"/>
                <w:szCs w:val="24"/>
                <w:highlight w:val="none"/>
                <w:u w:val="single"/>
                <w:lang w:val="en-US" w:eastAsia="zh-CN"/>
              </w:rPr>
              <w:t>农、林、牧、渔业或批发或零售</w:t>
            </w:r>
            <w:r>
              <w:rPr>
                <w:rFonts w:hint="eastAsia" w:ascii="宋体" w:hAnsi="宋体" w:cs="宋体"/>
                <w:b/>
                <w:color w:val="auto"/>
                <w:sz w:val="24"/>
                <w:szCs w:val="24"/>
                <w:highlight w:val="none"/>
                <w:u w:val="single"/>
              </w:rPr>
              <w:t>。</w:t>
            </w:r>
          </w:p>
          <w:p w14:paraId="698C45CD">
            <w:pPr>
              <w:keepNext w:val="0"/>
              <w:keepLines w:val="0"/>
              <w:pageBreakBefore w:val="0"/>
              <w:kinsoku/>
              <w:wordWrap w:val="0"/>
              <w:overflowPunct/>
              <w:topLinePunct w:val="0"/>
              <w:bidi w:val="0"/>
              <w:spacing w:line="320" w:lineRule="exact"/>
              <w:ind w:left="0" w:firstLine="241" w:firstLineChars="100"/>
              <w:textAlignment w:val="auto"/>
              <w:rPr>
                <w:rFonts w:hint="default"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注：</w:t>
            </w:r>
          </w:p>
          <w:p w14:paraId="10C8D750">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①.投标人符合《政府采购促进中小企业发展管理办法》（财库﹝2020﹞46号）的规定，如实填写出具“中小企业声明函”，按第四章</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评标办法</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的规定执行。</w:t>
            </w:r>
          </w:p>
          <w:p w14:paraId="4489476E">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②.中小企业提供《中小企业声明函》时，标的名称须根据本次采购标的名称填写；</w:t>
            </w:r>
          </w:p>
          <w:p w14:paraId="65B5394A">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③.投标人提供声明函内容不实的，属于提供虚假材料谋取中标、成交，依照《中华人民共和国政府采购法》等国家有关规定追究相应责任。</w:t>
            </w:r>
          </w:p>
          <w:p w14:paraId="44E68A54">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④.中标人享受本办法（财库〔2020〕46号）规定的中小企业扶持政策的，采购代理机构随中标结果公开中标人的《中小企业声明函》，接受社会监督。</w:t>
            </w:r>
          </w:p>
          <w:p w14:paraId="50EBEFFD">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2、监狱企业价格扣除评分优惠政策</w:t>
            </w:r>
          </w:p>
          <w:p w14:paraId="7DFAD45A">
            <w:pPr>
              <w:keepNext w:val="0"/>
              <w:keepLines w:val="0"/>
              <w:pageBreakBefore w:val="0"/>
              <w:kinsoku/>
              <w:wordWrap w:val="0"/>
              <w:overflowPunct/>
              <w:topLinePunct w:val="0"/>
              <w:bidi w:val="0"/>
              <w:spacing w:line="320" w:lineRule="exact"/>
              <w:ind w:left="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根据《关于政府采购支持监狱企业发展有关问题的通知》（财库[2014]68号）的规定，监狱企业参与本项目投标时，视同小型、微型企业享受价格扣除等优惠政策。</w:t>
            </w:r>
          </w:p>
          <w:p w14:paraId="4C855B46">
            <w:pPr>
              <w:keepNext w:val="0"/>
              <w:keepLines w:val="0"/>
              <w:pageBreakBefore w:val="0"/>
              <w:kinsoku/>
              <w:wordWrap w:val="0"/>
              <w:overflowPunct/>
              <w:topLinePunct w:val="0"/>
              <w:bidi w:val="0"/>
              <w:spacing w:line="320" w:lineRule="exact"/>
              <w:ind w:left="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注：监狱企业参加政府采购活动时，应当提供由省级以上监狱管理局、戒毒管理局(含新疆生产建设兵团)出具的属于监狱企业的证明文件。</w:t>
            </w:r>
          </w:p>
          <w:p w14:paraId="54F16B85">
            <w:pPr>
              <w:keepNext w:val="0"/>
              <w:keepLines w:val="0"/>
              <w:pageBreakBefore w:val="0"/>
              <w:kinsoku/>
              <w:wordWrap w:val="0"/>
              <w:overflowPunct/>
              <w:topLinePunct w:val="0"/>
              <w:bidi w:val="0"/>
              <w:spacing w:line="320" w:lineRule="exact"/>
              <w:ind w:left="0"/>
              <w:textAlignment w:val="auto"/>
              <w:rPr>
                <w:rFonts w:ascii="宋体" w:hAnsi="宋体" w:cs="宋体"/>
                <w:bCs/>
                <w:color w:val="auto"/>
                <w:sz w:val="24"/>
                <w:szCs w:val="24"/>
                <w:highlight w:val="none"/>
              </w:rPr>
            </w:pPr>
            <w:r>
              <w:rPr>
                <w:rFonts w:hint="eastAsia" w:ascii="宋体" w:hAnsi="宋体" w:cs="宋体"/>
                <w:b/>
                <w:color w:val="auto"/>
                <w:sz w:val="24"/>
                <w:szCs w:val="24"/>
                <w:highlight w:val="none"/>
              </w:rPr>
              <w:t>3、残疾人福利性单位价格扣除优惠政策</w:t>
            </w:r>
          </w:p>
          <w:p w14:paraId="37108178">
            <w:pPr>
              <w:keepNext w:val="0"/>
              <w:keepLines w:val="0"/>
              <w:pageBreakBefore w:val="0"/>
              <w:kinsoku/>
              <w:wordWrap w:val="0"/>
              <w:overflowPunct/>
              <w:topLinePunct w:val="0"/>
              <w:bidi w:val="0"/>
              <w:spacing w:line="320" w:lineRule="exact"/>
              <w:ind w:left="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根据《关于促进残疾人就业政府采购政策的通知》（财库[2017]141号）的规定，残疾人福利性单位参与本项目投标时，视同小型、微型企业享受价格扣除等优惠政策。</w:t>
            </w:r>
          </w:p>
          <w:p w14:paraId="146AC8B9">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p>
          <w:p w14:paraId="083D9767">
            <w:pPr>
              <w:keepNext w:val="0"/>
              <w:keepLines w:val="0"/>
              <w:pageBreakBefore w:val="0"/>
              <w:kinsoku/>
              <w:wordWrap w:val="0"/>
              <w:overflowPunct/>
              <w:topLinePunct w:val="0"/>
              <w:bidi w:val="0"/>
              <w:spacing w:line="320" w:lineRule="exact"/>
              <w:ind w:left="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4、节能环保</w:t>
            </w:r>
          </w:p>
          <w:p w14:paraId="51F318D5">
            <w:pPr>
              <w:keepNext w:val="0"/>
              <w:keepLines w:val="0"/>
              <w:pageBreakBefore w:val="0"/>
              <w:kinsoku/>
              <w:wordWrap w:val="0"/>
              <w:overflowPunct/>
              <w:topLinePunct w:val="0"/>
              <w:bidi w:val="0"/>
              <w:spacing w:line="320" w:lineRule="exact"/>
              <w:ind w:left="0"/>
              <w:textAlignment w:val="auto"/>
              <w:rPr>
                <w:rFonts w:ascii="宋体" w:hAnsi="宋体" w:cs="宋体"/>
                <w:color w:val="auto"/>
                <w:sz w:val="24"/>
                <w:szCs w:val="24"/>
                <w:highlight w:val="none"/>
              </w:rPr>
            </w:pPr>
            <w:r>
              <w:rPr>
                <w:rFonts w:hint="eastAsia" w:ascii="宋体" w:hAnsi="宋体"/>
                <w:color w:val="auto"/>
                <w:sz w:val="24"/>
                <w:szCs w:val="24"/>
                <w:highlight w:val="none"/>
              </w:rPr>
              <w:t>按照</w:t>
            </w:r>
            <w:r>
              <w:rPr>
                <w:rFonts w:hint="eastAsia" w:ascii="宋体" w:hAnsi="宋体" w:cs="宋体"/>
                <w:color w:val="auto"/>
                <w:sz w:val="24"/>
                <w:szCs w:val="24"/>
                <w:highlight w:val="none"/>
              </w:rPr>
              <w:t>《关于印发节能产品政府采购品目清单的通知》（财库〔2019〕19 号）</w:t>
            </w:r>
            <w:r>
              <w:rPr>
                <w:rFonts w:hint="eastAsia" w:ascii="宋体" w:hAnsi="宋体"/>
                <w:color w:val="auto"/>
                <w:sz w:val="24"/>
                <w:szCs w:val="24"/>
                <w:highlight w:val="none"/>
              </w:rPr>
              <w:t>、《关于印发环境标志产品政府采购品目清单的通知》（财库〔2019〕18 号）的规定执行。</w:t>
            </w:r>
          </w:p>
        </w:tc>
      </w:tr>
    </w:tbl>
    <w:p w14:paraId="0E83068E">
      <w:pPr>
        <w:pStyle w:val="5"/>
        <w:spacing w:before="0" w:after="0" w:line="360" w:lineRule="auto"/>
        <w:rPr>
          <w:rFonts w:hint="eastAsia" w:ascii="宋体" w:hAnsi="宋体" w:eastAsia="宋体" w:cs="宋体"/>
          <w:color w:val="auto"/>
          <w:sz w:val="28"/>
          <w:szCs w:val="28"/>
          <w:highlight w:val="none"/>
        </w:rPr>
      </w:pPr>
      <w:bookmarkStart w:id="79" w:name="_Toc20589"/>
      <w:bookmarkEnd w:id="79"/>
      <w:bookmarkStart w:id="80" w:name="_Toc27064"/>
      <w:bookmarkEnd w:id="80"/>
      <w:bookmarkStart w:id="81" w:name="page17"/>
      <w:bookmarkEnd w:id="81"/>
      <w:bookmarkStart w:id="82" w:name="_Toc21931"/>
      <w:bookmarkStart w:id="83" w:name="_Toc21850"/>
      <w:r>
        <w:rPr>
          <w:rFonts w:hint="eastAsia" w:ascii="宋体" w:hAnsi="宋体" w:eastAsia="宋体" w:cs="宋体"/>
          <w:color w:val="auto"/>
          <w:sz w:val="28"/>
          <w:szCs w:val="28"/>
          <w:highlight w:val="none"/>
        </w:rPr>
        <w:t>1. 总则</w:t>
      </w:r>
      <w:bookmarkEnd w:id="77"/>
      <w:bookmarkEnd w:id="78"/>
      <w:bookmarkEnd w:id="82"/>
      <w:bookmarkEnd w:id="83"/>
    </w:p>
    <w:p w14:paraId="05A34783">
      <w:pPr>
        <w:spacing w:line="360" w:lineRule="auto"/>
        <w:rPr>
          <w:rFonts w:ascii="宋体" w:hAnsi="宋体" w:cs="宋体"/>
          <w:b/>
          <w:color w:val="auto"/>
          <w:sz w:val="24"/>
          <w:szCs w:val="24"/>
          <w:highlight w:val="none"/>
        </w:rPr>
      </w:pPr>
      <w:bookmarkStart w:id="84" w:name="_Toc31335"/>
      <w:bookmarkEnd w:id="84"/>
      <w:bookmarkStart w:id="85" w:name="_Toc700"/>
      <w:r>
        <w:rPr>
          <w:rFonts w:hint="eastAsia" w:ascii="宋体" w:hAnsi="宋体" w:cs="宋体"/>
          <w:b/>
          <w:color w:val="auto"/>
          <w:sz w:val="24"/>
          <w:szCs w:val="24"/>
          <w:highlight w:val="none"/>
        </w:rPr>
        <w:t>1.1 项目概况</w:t>
      </w:r>
      <w:bookmarkEnd w:id="85"/>
    </w:p>
    <w:p w14:paraId="4E440F7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根据《中华人民共和国政府采购法》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《中华人民共和国政府采购法实施条例》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《政府采购货物和服务招标投标管理办法》(财政部令第87号)的规定，本招标项目已具备招标条件，现对本项目进行招标。</w:t>
      </w:r>
    </w:p>
    <w:p w14:paraId="56DD7D5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采购人：见投标人须知前附表。</w:t>
      </w:r>
    </w:p>
    <w:p w14:paraId="55CA2B0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采购代理机构：见投标人须知前附表。</w:t>
      </w:r>
    </w:p>
    <w:p w14:paraId="6A25D97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1.1.4 项目名称：见投标人须知前附表。</w:t>
      </w:r>
    </w:p>
    <w:p w14:paraId="0347E83A">
      <w:pPr>
        <w:spacing w:line="360" w:lineRule="auto"/>
        <w:rPr>
          <w:rFonts w:ascii="宋体" w:hAnsi="宋体" w:cs="宋体"/>
          <w:b/>
          <w:color w:val="auto"/>
          <w:sz w:val="24"/>
          <w:szCs w:val="24"/>
          <w:highlight w:val="none"/>
        </w:rPr>
      </w:pPr>
      <w:bookmarkStart w:id="86" w:name="_Toc27395"/>
      <w:bookmarkEnd w:id="86"/>
      <w:bookmarkStart w:id="87" w:name="_Toc28747"/>
      <w:r>
        <w:rPr>
          <w:rFonts w:hint="eastAsia" w:ascii="宋体" w:hAnsi="宋体" w:cs="宋体"/>
          <w:b/>
          <w:color w:val="auto"/>
          <w:sz w:val="24"/>
          <w:szCs w:val="24"/>
          <w:highlight w:val="none"/>
        </w:rPr>
        <w:t>1.2 招标项目的资金情况</w:t>
      </w:r>
      <w:bookmarkEnd w:id="87"/>
    </w:p>
    <w:p w14:paraId="190C5C8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1.2.1 资金落实情况：见投标人须知前附表。</w:t>
      </w:r>
    </w:p>
    <w:p w14:paraId="1B3D03C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1.2.2 预算金额：见投标人须知前附表。</w:t>
      </w:r>
    </w:p>
    <w:p w14:paraId="582BF6B1">
      <w:pPr>
        <w:spacing w:line="360" w:lineRule="auto"/>
        <w:rPr>
          <w:rFonts w:ascii="宋体" w:hAnsi="宋体" w:cs="宋体"/>
          <w:b/>
          <w:color w:val="auto"/>
          <w:sz w:val="24"/>
          <w:szCs w:val="24"/>
          <w:highlight w:val="none"/>
        </w:rPr>
      </w:pPr>
      <w:bookmarkStart w:id="88" w:name="_Toc16064"/>
      <w:bookmarkEnd w:id="88"/>
      <w:bookmarkStart w:id="89" w:name="_Toc20957"/>
      <w:r>
        <w:rPr>
          <w:rFonts w:hint="eastAsia" w:ascii="宋体" w:hAnsi="宋体" w:cs="宋体"/>
          <w:b/>
          <w:color w:val="auto"/>
          <w:sz w:val="24"/>
          <w:szCs w:val="24"/>
          <w:highlight w:val="none"/>
        </w:rPr>
        <w:t>1.3采购需求、合同履行期限、交货地点</w:t>
      </w:r>
      <w:bookmarkEnd w:id="89"/>
    </w:p>
    <w:p w14:paraId="037D1549">
      <w:pPr>
        <w:spacing w:line="360" w:lineRule="auto"/>
        <w:ind w:firstLine="480" w:firstLineChars="200"/>
        <w:rPr>
          <w:rFonts w:ascii="宋体" w:hAnsi="宋体" w:cs="宋体"/>
          <w:color w:val="auto"/>
          <w:sz w:val="24"/>
          <w:szCs w:val="24"/>
          <w:highlight w:val="none"/>
        </w:rPr>
      </w:pPr>
      <w:bookmarkStart w:id="90" w:name="_Toc16202"/>
      <w:bookmarkEnd w:id="90"/>
      <w:r>
        <w:rPr>
          <w:rFonts w:hint="eastAsia" w:ascii="宋体" w:hAnsi="宋体" w:cs="宋体"/>
          <w:color w:val="auto"/>
          <w:sz w:val="24"/>
          <w:szCs w:val="24"/>
          <w:highlight w:val="none"/>
        </w:rPr>
        <w:t>1.3.1 采购需求：见投标人须知前附表。</w:t>
      </w:r>
    </w:p>
    <w:p w14:paraId="5A273F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 合同履行期限：见投标人须知前附表。</w:t>
      </w:r>
    </w:p>
    <w:p w14:paraId="41008A1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w:t>
      </w:r>
      <w:r>
        <w:rPr>
          <w:rFonts w:hint="eastAsia" w:ascii="宋体" w:hAnsi="宋体" w:cs="宋体"/>
          <w:color w:val="auto"/>
          <w:sz w:val="24"/>
          <w:szCs w:val="24"/>
          <w:highlight w:val="none"/>
          <w:lang w:eastAsia="zh-CN"/>
        </w:rPr>
        <w:t>交货方式</w:t>
      </w:r>
      <w:r>
        <w:rPr>
          <w:rFonts w:hint="eastAsia" w:ascii="宋体" w:hAnsi="宋体" w:cs="宋体"/>
          <w:color w:val="auto"/>
          <w:sz w:val="24"/>
          <w:szCs w:val="24"/>
          <w:highlight w:val="none"/>
        </w:rPr>
        <w:t>及地点：见投标人须知前附表。</w:t>
      </w:r>
    </w:p>
    <w:p w14:paraId="041FC987">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质量要求：见投标人须知前附表。</w:t>
      </w:r>
    </w:p>
    <w:p w14:paraId="54809A19">
      <w:pPr>
        <w:spacing w:line="360" w:lineRule="auto"/>
        <w:rPr>
          <w:rFonts w:ascii="宋体" w:hAnsi="宋体" w:cs="宋体"/>
          <w:b/>
          <w:color w:val="auto"/>
          <w:sz w:val="24"/>
          <w:szCs w:val="24"/>
          <w:highlight w:val="none"/>
        </w:rPr>
      </w:pPr>
      <w:bookmarkStart w:id="91" w:name="_Toc17694"/>
      <w:bookmarkEnd w:id="91"/>
      <w:bookmarkStart w:id="92" w:name="_Toc10611"/>
      <w:r>
        <w:rPr>
          <w:rFonts w:hint="eastAsia" w:ascii="宋体" w:hAnsi="宋体" w:cs="宋体"/>
          <w:b/>
          <w:color w:val="auto"/>
          <w:sz w:val="24"/>
          <w:szCs w:val="24"/>
          <w:highlight w:val="none"/>
        </w:rPr>
        <w:t>1.4 投标人资格要求</w:t>
      </w:r>
      <w:bookmarkEnd w:id="92"/>
    </w:p>
    <w:p w14:paraId="2CDEFF8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1.4.1 </w:t>
      </w:r>
      <w:r>
        <w:rPr>
          <w:rFonts w:hint="eastAsia" w:ascii="宋体" w:hAnsi="宋体" w:eastAsia="宋体" w:cs="宋体"/>
          <w:color w:val="auto"/>
          <w:sz w:val="24"/>
          <w:szCs w:val="24"/>
          <w:highlight w:val="none"/>
        </w:rPr>
        <w:t>投标人的资格条件：见投标人须知前附表</w:t>
      </w:r>
      <w:r>
        <w:rPr>
          <w:rFonts w:hint="eastAsia" w:ascii="宋体" w:hAnsi="宋体" w:cs="宋体"/>
          <w:color w:val="auto"/>
          <w:sz w:val="24"/>
          <w:szCs w:val="24"/>
          <w:highlight w:val="none"/>
        </w:rPr>
        <w:t>。</w:t>
      </w:r>
    </w:p>
    <w:p w14:paraId="0E3280D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投标人须知前附表规定接受联合体投标的，联合体除应符合本章第1.4.1 项和投标人须知前附表的要求外，还应遵守以下规定：</w:t>
      </w:r>
    </w:p>
    <w:p w14:paraId="1453E8F0">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(1)联合体各方应按招标文件提供的格式签订联合体协议书，明确联合体牵头人和各方权利义务，并承诺就中标项目向采购人承担连带责任；</w:t>
      </w:r>
    </w:p>
    <w:p w14:paraId="09B83CE5">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(2)联合体中有同类资质的投标人按照联合体分工承担相同工作的，应当按照资质等级较低的投标人确定资质等级；</w:t>
      </w:r>
    </w:p>
    <w:p w14:paraId="6AB0AC9E">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(3)以联合体形式参加政府采购活动的，联合体各方不得再单独参加或者与其他投标人另外组成联合体参加同一合同项下的政府采购活动。</w:t>
      </w:r>
    </w:p>
    <w:p w14:paraId="59CEB0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.3投标人不得存在下列情形之一：</w:t>
      </w:r>
    </w:p>
    <w:p w14:paraId="6F5ACC8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(1）为采购人不具有独立法人（或经授权的分公司）资格的附属机构（单位）；</w:t>
      </w:r>
    </w:p>
    <w:p w14:paraId="461CA11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(2）为本项目提供招标代理服务的；</w:t>
      </w:r>
    </w:p>
    <w:p w14:paraId="62B0858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(3）与本项目的采购代理机构同为一个法定代表人的；</w:t>
      </w:r>
    </w:p>
    <w:p w14:paraId="49775375">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(4）与本项目的采购代理机构相互控股或参股的；</w:t>
      </w:r>
    </w:p>
    <w:p w14:paraId="4EE1B59B">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(5）与本项目的采购代理机构相互任职或工作的；</w:t>
      </w:r>
    </w:p>
    <w:p w14:paraId="6992C73C">
      <w:pPr>
        <w:spacing w:line="460" w:lineRule="exact"/>
        <w:ind w:firstLine="480" w:firstLineChars="200"/>
        <w:rPr>
          <w:rFonts w:hint="eastAsia" w:ascii="宋体" w:hAnsi="宋体" w:eastAsia="宋体" w:cs="宋体"/>
          <w:color w:val="auto"/>
          <w:sz w:val="22"/>
          <w:highlight w:val="none"/>
        </w:rPr>
      </w:pPr>
      <w:r>
        <w:rPr>
          <w:rFonts w:hint="eastAsia" w:ascii="宋体" w:hAnsi="宋体" w:eastAsia="宋体" w:cs="宋体"/>
          <w:color w:val="auto"/>
          <w:sz w:val="24"/>
          <w:highlight w:val="none"/>
        </w:rPr>
        <w:t>(6）被责令停业的；</w:t>
      </w:r>
    </w:p>
    <w:p w14:paraId="3A73680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(7）被暂停或取消投标资格的；</w:t>
      </w:r>
    </w:p>
    <w:p w14:paraId="02E2B7A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(8）财产被接管或冻结的；</w:t>
      </w:r>
    </w:p>
    <w:p w14:paraId="5851B1E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(9）在最近三年内有骗取中标或严重违约或重大质量问题的。</w:t>
      </w:r>
    </w:p>
    <w:p w14:paraId="06402E16">
      <w:pPr>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.4与采购人存在利害关系可能影响招标公正性的法人、其他组织或者个人，不得参加投标。</w:t>
      </w:r>
    </w:p>
    <w:p w14:paraId="668FBD3D">
      <w:pPr>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1.4.</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投标人存在下列情况之一的，投标无效：</w:t>
      </w:r>
    </w:p>
    <w:p w14:paraId="3FADC4C9">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（1）未按照招标文件的规定提交投标保证金的；</w:t>
      </w:r>
    </w:p>
    <w:p w14:paraId="2DF0B7D9">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（2）投标文件未按招标文件要求签署、盖章的；</w:t>
      </w:r>
    </w:p>
    <w:p w14:paraId="2BC051F5">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（3）不具备招标文件中规定的资格要求的；</w:t>
      </w:r>
    </w:p>
    <w:p w14:paraId="5C0CBE6B">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（4）报价超过招标文件中规定的预算金额</w:t>
      </w:r>
      <w:r>
        <w:rPr>
          <w:rFonts w:hint="eastAsia" w:ascii="宋体" w:hAnsi="宋体" w:cs="宋体"/>
          <w:bCs/>
          <w:color w:val="auto"/>
          <w:sz w:val="24"/>
          <w:szCs w:val="24"/>
          <w:highlight w:val="none"/>
          <w:lang w:eastAsia="zh-CN"/>
        </w:rPr>
        <w:t>（最高投标限价）</w:t>
      </w:r>
      <w:r>
        <w:rPr>
          <w:rFonts w:hint="eastAsia" w:ascii="宋体" w:hAnsi="宋体" w:cs="宋体"/>
          <w:bCs/>
          <w:color w:val="auto"/>
          <w:sz w:val="24"/>
          <w:szCs w:val="24"/>
          <w:highlight w:val="none"/>
        </w:rPr>
        <w:t>或者</w:t>
      </w:r>
      <w:r>
        <w:rPr>
          <w:rFonts w:hint="eastAsia" w:ascii="宋体" w:hAnsi="宋体" w:cs="宋体"/>
          <w:bCs/>
          <w:color w:val="auto"/>
          <w:sz w:val="24"/>
          <w:szCs w:val="24"/>
          <w:highlight w:val="none"/>
          <w:lang w:val="en-US" w:eastAsia="zh-CN"/>
        </w:rPr>
        <w:t>预算单价</w:t>
      </w:r>
      <w:r>
        <w:rPr>
          <w:rFonts w:hint="eastAsia" w:ascii="宋体" w:hAnsi="宋体" w:cs="宋体"/>
          <w:bCs/>
          <w:color w:val="auto"/>
          <w:sz w:val="24"/>
          <w:szCs w:val="24"/>
          <w:highlight w:val="none"/>
        </w:rPr>
        <w:t>的；</w:t>
      </w:r>
    </w:p>
    <w:p w14:paraId="0BD93CA5">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（5）投标文件含有采购人不能接受的附加条件的；</w:t>
      </w:r>
    </w:p>
    <w:p w14:paraId="6C52F94D">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（6）法律、法规和招标文件规定的其他无效情形。</w:t>
      </w:r>
    </w:p>
    <w:p w14:paraId="420E8A2E">
      <w:pPr>
        <w:spacing w:line="360" w:lineRule="auto"/>
        <w:ind w:firstLine="480" w:firstLineChars="200"/>
        <w:rPr>
          <w:rFonts w:ascii="宋体" w:hAnsi="宋体" w:cs="宋体"/>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1.4.</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有下列情形之一的，视为投标人串通投标，其投标无效：</w:t>
      </w:r>
    </w:p>
    <w:p w14:paraId="355B79D0">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（1）不同投标人的投标文件由同一单位或者个人编制；</w:t>
      </w:r>
    </w:p>
    <w:p w14:paraId="0E55D3D5">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（2）不同投标人委托同一单位或者个人办理投标事宜；</w:t>
      </w:r>
    </w:p>
    <w:p w14:paraId="4A860590">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（3）不同投标人的投标文件载明的项目管理成员或者联系人员为同一人；</w:t>
      </w:r>
    </w:p>
    <w:p w14:paraId="1DCD6C58">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（4）不同投标人的投标文件异常一致或投标报价呈规律性差异；</w:t>
      </w:r>
    </w:p>
    <w:p w14:paraId="1E802FC8">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（5）不同投标人的投标文件相互混装；</w:t>
      </w:r>
    </w:p>
    <w:p w14:paraId="4AA6001F">
      <w:pPr>
        <w:spacing w:line="360" w:lineRule="auto"/>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（6）不同投标人的投标保证金从同一单位或者个人的账户转出。</w:t>
      </w:r>
    </w:p>
    <w:p w14:paraId="433F135F">
      <w:pPr>
        <w:spacing w:line="360" w:lineRule="auto"/>
        <w:rPr>
          <w:rFonts w:ascii="宋体" w:hAnsi="宋体" w:cs="宋体"/>
          <w:b/>
          <w:color w:val="auto"/>
          <w:sz w:val="24"/>
          <w:szCs w:val="24"/>
          <w:highlight w:val="none"/>
        </w:rPr>
      </w:pPr>
      <w:bookmarkStart w:id="93" w:name="_Toc27960"/>
      <w:bookmarkEnd w:id="93"/>
      <w:bookmarkStart w:id="94" w:name="_Toc18144"/>
      <w:r>
        <w:rPr>
          <w:rFonts w:hint="eastAsia" w:ascii="宋体" w:hAnsi="宋体" w:cs="宋体"/>
          <w:b/>
          <w:color w:val="auto"/>
          <w:sz w:val="24"/>
          <w:szCs w:val="24"/>
          <w:highlight w:val="none"/>
        </w:rPr>
        <w:t>1.5 费用承担</w:t>
      </w:r>
      <w:bookmarkEnd w:id="94"/>
    </w:p>
    <w:p w14:paraId="2EE929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1.5.1招标代理服务费：见投标人须知前附表。</w:t>
      </w:r>
    </w:p>
    <w:p w14:paraId="6AD952A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1.5.2投标人准备和参加投标活动发生的费用自理。</w:t>
      </w:r>
    </w:p>
    <w:p w14:paraId="49BFAB30">
      <w:pPr>
        <w:spacing w:line="360" w:lineRule="auto"/>
        <w:rPr>
          <w:rFonts w:ascii="宋体" w:hAnsi="宋体" w:cs="宋体"/>
          <w:b/>
          <w:color w:val="auto"/>
          <w:sz w:val="24"/>
          <w:szCs w:val="24"/>
          <w:highlight w:val="none"/>
        </w:rPr>
      </w:pPr>
      <w:bookmarkStart w:id="95" w:name="_Toc6230"/>
      <w:bookmarkEnd w:id="95"/>
      <w:bookmarkStart w:id="96" w:name="_Toc16680"/>
      <w:r>
        <w:rPr>
          <w:rFonts w:hint="eastAsia" w:ascii="宋体" w:hAnsi="宋体" w:cs="宋体"/>
          <w:b/>
          <w:color w:val="auto"/>
          <w:sz w:val="24"/>
          <w:szCs w:val="24"/>
          <w:highlight w:val="none"/>
        </w:rPr>
        <w:t>1.6 保密</w:t>
      </w:r>
      <w:bookmarkEnd w:id="96"/>
    </w:p>
    <w:p w14:paraId="3671F10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参与招标投标活动的各方应对招标文件和投标文件中的商业和技术等秘密保密，则应承担相应的法律责任。</w:t>
      </w:r>
    </w:p>
    <w:p w14:paraId="0ED01670">
      <w:pPr>
        <w:spacing w:line="360" w:lineRule="auto"/>
        <w:rPr>
          <w:rFonts w:ascii="宋体" w:hAnsi="宋体" w:cs="宋体"/>
          <w:b/>
          <w:color w:val="auto"/>
          <w:sz w:val="24"/>
          <w:szCs w:val="24"/>
          <w:highlight w:val="none"/>
        </w:rPr>
      </w:pPr>
      <w:bookmarkStart w:id="97" w:name="_Toc31781"/>
      <w:bookmarkEnd w:id="97"/>
      <w:bookmarkStart w:id="98" w:name="_Toc787"/>
      <w:r>
        <w:rPr>
          <w:rFonts w:hint="eastAsia" w:ascii="宋体" w:hAnsi="宋体" w:cs="宋体"/>
          <w:b/>
          <w:color w:val="auto"/>
          <w:sz w:val="24"/>
          <w:szCs w:val="24"/>
          <w:highlight w:val="none"/>
        </w:rPr>
        <w:t>1.7 语言文字</w:t>
      </w:r>
      <w:bookmarkEnd w:id="98"/>
    </w:p>
    <w:p w14:paraId="6DB68B9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招标投标文件使用的语言文字为中文。专用术语使用外文的，应附有中文注释。</w:t>
      </w:r>
    </w:p>
    <w:p w14:paraId="541C6E2B">
      <w:pPr>
        <w:spacing w:line="360" w:lineRule="auto"/>
        <w:rPr>
          <w:rFonts w:ascii="宋体" w:hAnsi="宋体" w:cs="宋体"/>
          <w:b/>
          <w:color w:val="auto"/>
          <w:sz w:val="24"/>
          <w:szCs w:val="24"/>
          <w:highlight w:val="none"/>
        </w:rPr>
      </w:pPr>
      <w:bookmarkStart w:id="99" w:name="_Toc29423"/>
      <w:bookmarkEnd w:id="99"/>
      <w:bookmarkStart w:id="100" w:name="_Toc29116"/>
      <w:r>
        <w:rPr>
          <w:rFonts w:hint="eastAsia" w:ascii="宋体" w:hAnsi="宋体" w:cs="宋体"/>
          <w:b/>
          <w:color w:val="auto"/>
          <w:sz w:val="24"/>
          <w:szCs w:val="24"/>
          <w:highlight w:val="none"/>
        </w:rPr>
        <w:t>1.8 计量单位</w:t>
      </w:r>
      <w:bookmarkEnd w:id="100"/>
    </w:p>
    <w:p w14:paraId="16B4CAE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所有计量均采用中华人民共和国法定计量单位。</w:t>
      </w:r>
    </w:p>
    <w:p w14:paraId="36078D32">
      <w:pPr>
        <w:spacing w:line="360" w:lineRule="auto"/>
        <w:rPr>
          <w:rFonts w:ascii="宋体" w:hAnsi="宋体" w:cs="宋体"/>
          <w:b/>
          <w:color w:val="auto"/>
          <w:sz w:val="24"/>
          <w:szCs w:val="24"/>
          <w:highlight w:val="none"/>
        </w:rPr>
      </w:pPr>
      <w:bookmarkStart w:id="101" w:name="_Toc247527563"/>
      <w:bookmarkEnd w:id="101"/>
      <w:bookmarkStart w:id="102" w:name="_Toc29812"/>
      <w:bookmarkEnd w:id="102"/>
      <w:bookmarkStart w:id="103" w:name="_Toc247513962"/>
      <w:bookmarkEnd w:id="103"/>
      <w:bookmarkStart w:id="104" w:name="_Toc152045539"/>
      <w:bookmarkEnd w:id="104"/>
      <w:bookmarkStart w:id="105" w:name="_Toc152042315"/>
      <w:bookmarkEnd w:id="105"/>
      <w:bookmarkStart w:id="106" w:name="_Toc144974507"/>
      <w:bookmarkEnd w:id="106"/>
      <w:bookmarkStart w:id="107" w:name="_Toc296602429"/>
      <w:bookmarkEnd w:id="107"/>
      <w:bookmarkStart w:id="108" w:name="_Toc247592876"/>
      <w:bookmarkEnd w:id="108"/>
      <w:bookmarkStart w:id="109" w:name="_Toc29408"/>
      <w:r>
        <w:rPr>
          <w:rFonts w:hint="eastAsia" w:ascii="宋体" w:hAnsi="宋体" w:cs="宋体"/>
          <w:b/>
          <w:color w:val="auto"/>
          <w:sz w:val="24"/>
          <w:szCs w:val="24"/>
          <w:highlight w:val="none"/>
        </w:rPr>
        <w:t>1.9 现场</w:t>
      </w:r>
      <w:bookmarkEnd w:id="109"/>
      <w:r>
        <w:rPr>
          <w:rFonts w:hint="eastAsia" w:ascii="宋体" w:hAnsi="宋体" w:cs="宋体"/>
          <w:b/>
          <w:color w:val="auto"/>
          <w:sz w:val="24"/>
          <w:szCs w:val="24"/>
          <w:highlight w:val="none"/>
        </w:rPr>
        <w:t>考察</w:t>
      </w:r>
    </w:p>
    <w:p w14:paraId="309630A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1.9.1 投标人须知前附表规定组织现场考察的，采购人按投标人须知前附表规定的时间、地点组织投标人考察项目现场。 </w:t>
      </w:r>
    </w:p>
    <w:p w14:paraId="3E8E7AE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1.9.2 投标人考察现场发生的费用自理。</w:t>
      </w:r>
    </w:p>
    <w:p w14:paraId="0B728DF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1.9.3 除采购人的原因外，投标人自行负责在考察现场中所发生的人员伤亡和财产损失。</w:t>
      </w:r>
    </w:p>
    <w:p w14:paraId="563E80A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1.9.4 采购人在考察现场中介绍的项目场地和相关的周边环境情况，供投标人在编制投标文件时参考，采购人不对投标人据此作出的判断和决策负责。</w:t>
      </w:r>
    </w:p>
    <w:p w14:paraId="0F5675E3">
      <w:pPr>
        <w:spacing w:line="360" w:lineRule="auto"/>
        <w:rPr>
          <w:rFonts w:ascii="宋体" w:hAnsi="宋体" w:cs="宋体"/>
          <w:b/>
          <w:color w:val="auto"/>
          <w:sz w:val="24"/>
          <w:szCs w:val="24"/>
          <w:highlight w:val="none"/>
        </w:rPr>
      </w:pPr>
      <w:bookmarkStart w:id="110" w:name="_Toc71734689"/>
      <w:bookmarkStart w:id="111" w:name="_Toc102136452"/>
      <w:bookmarkStart w:id="112" w:name="_Toc25703"/>
      <w:bookmarkStart w:id="113" w:name="_Toc6510"/>
      <w:r>
        <w:rPr>
          <w:rFonts w:hint="eastAsia" w:ascii="宋体" w:hAnsi="宋体" w:cs="宋体"/>
          <w:b/>
          <w:color w:val="auto"/>
          <w:sz w:val="24"/>
          <w:szCs w:val="24"/>
          <w:highlight w:val="none"/>
        </w:rPr>
        <w:t>1.10分包</w:t>
      </w:r>
      <w:bookmarkEnd w:id="110"/>
      <w:bookmarkEnd w:id="111"/>
      <w:bookmarkEnd w:id="112"/>
      <w:bookmarkEnd w:id="113"/>
    </w:p>
    <w:p w14:paraId="2044E5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1.10.1采购人是否允许分包：详见投标人须知前附表。如采购人允许分包的，投标人应遵守如下规定：</w:t>
      </w:r>
    </w:p>
    <w:p w14:paraId="1A45243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（1）投标人拟在中标后将中标项目的非主体、非关键性工作分包的，应当在投标文件中载明分包承担主体，分包承担主体应当具备相应资质条件且不得再次分包；</w:t>
      </w:r>
    </w:p>
    <w:p w14:paraId="767E125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（2）除投标人须知前附表规定的非主体、非关键性工作外的其他工作不得分包。</w:t>
      </w:r>
    </w:p>
    <w:p w14:paraId="54BBDF88">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偏离</w:t>
      </w:r>
    </w:p>
    <w:p w14:paraId="4D51FD9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见投标人须知前附表。</w:t>
      </w:r>
    </w:p>
    <w:p w14:paraId="700283F3">
      <w:pPr>
        <w:spacing w:line="360" w:lineRule="auto"/>
        <w:rPr>
          <w:rFonts w:hint="eastAsia" w:ascii="宋体" w:hAnsi="宋体" w:eastAsia="宋体" w:cs="宋体"/>
          <w:b/>
          <w:color w:val="auto"/>
          <w:sz w:val="24"/>
          <w:szCs w:val="24"/>
          <w:highlight w:val="none"/>
        </w:rPr>
      </w:pPr>
      <w:bookmarkStart w:id="114" w:name="_Toc2265"/>
      <w:bookmarkStart w:id="115" w:name="_Toc71734690"/>
      <w:bookmarkStart w:id="116" w:name="_Toc102136453"/>
      <w:r>
        <w:rPr>
          <w:rFonts w:hint="eastAsia" w:ascii="宋体" w:hAnsi="宋体" w:eastAsia="宋体" w:cs="宋体"/>
          <w:b/>
          <w:color w:val="auto"/>
          <w:sz w:val="24"/>
          <w:szCs w:val="24"/>
          <w:highlight w:val="none"/>
        </w:rPr>
        <w:t>1.1</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样品</w:t>
      </w:r>
      <w:bookmarkEnd w:id="114"/>
      <w:bookmarkEnd w:id="115"/>
      <w:bookmarkEnd w:id="116"/>
    </w:p>
    <w:p w14:paraId="2A085BE0">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.1采购人是否要求提供样品：详见投标人须知前附表。如采购人要求提供样品的，投标人应按投标人须知前附表要求提交。</w:t>
      </w:r>
    </w:p>
    <w:p w14:paraId="270911EC">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采购人是否要求随样品提交检测报告：详见投标人须知前附表。如采购人要求随样品提交检测报告的，投标人应按投标人须知前附表要求提交。</w:t>
      </w:r>
    </w:p>
    <w:p w14:paraId="72B43006">
      <w:pPr>
        <w:pStyle w:val="8"/>
        <w:rPr>
          <w:rFonts w:hint="eastAsia"/>
          <w:color w:val="auto"/>
          <w:highlight w:val="none"/>
        </w:rPr>
      </w:pPr>
    </w:p>
    <w:p w14:paraId="7D4408C1">
      <w:pPr>
        <w:pStyle w:val="5"/>
        <w:spacing w:before="0" w:after="0" w:line="360" w:lineRule="auto"/>
        <w:rPr>
          <w:rFonts w:ascii="宋体" w:hAnsi="宋体" w:eastAsia="宋体" w:cs="宋体"/>
          <w:color w:val="auto"/>
          <w:sz w:val="28"/>
          <w:szCs w:val="28"/>
          <w:highlight w:val="none"/>
        </w:rPr>
      </w:pPr>
      <w:bookmarkStart w:id="117" w:name="_Toc32012"/>
      <w:bookmarkEnd w:id="117"/>
      <w:bookmarkStart w:id="118" w:name="_Toc31848"/>
      <w:bookmarkEnd w:id="118"/>
      <w:bookmarkStart w:id="119" w:name="_Toc31795"/>
      <w:bookmarkEnd w:id="119"/>
      <w:bookmarkStart w:id="120" w:name="_Toc587"/>
      <w:bookmarkEnd w:id="120"/>
      <w:bookmarkStart w:id="121" w:name="_Toc31733"/>
      <w:bookmarkStart w:id="122" w:name="_Toc32193"/>
      <w:bookmarkStart w:id="123" w:name="_Toc1492"/>
      <w:bookmarkStart w:id="124" w:name="_Toc21583"/>
      <w:r>
        <w:rPr>
          <w:rFonts w:hint="eastAsia" w:ascii="宋体" w:hAnsi="宋体" w:eastAsia="宋体" w:cs="宋体"/>
          <w:color w:val="auto"/>
          <w:sz w:val="28"/>
          <w:szCs w:val="28"/>
          <w:highlight w:val="none"/>
        </w:rPr>
        <w:t>2. 招标文件</w:t>
      </w:r>
      <w:bookmarkEnd w:id="121"/>
      <w:bookmarkEnd w:id="122"/>
      <w:bookmarkEnd w:id="123"/>
      <w:bookmarkEnd w:id="124"/>
    </w:p>
    <w:p w14:paraId="63C50C12">
      <w:pPr>
        <w:spacing w:line="360" w:lineRule="auto"/>
        <w:rPr>
          <w:rFonts w:ascii="宋体" w:hAnsi="宋体" w:cs="宋体"/>
          <w:b/>
          <w:color w:val="auto"/>
          <w:sz w:val="24"/>
          <w:szCs w:val="24"/>
          <w:highlight w:val="none"/>
        </w:rPr>
      </w:pPr>
      <w:bookmarkStart w:id="125" w:name="_Toc21536"/>
      <w:bookmarkEnd w:id="125"/>
      <w:bookmarkStart w:id="126" w:name="_Toc16596"/>
      <w:r>
        <w:rPr>
          <w:rFonts w:hint="eastAsia" w:ascii="宋体" w:hAnsi="宋体" w:cs="宋体"/>
          <w:b/>
          <w:color w:val="auto"/>
          <w:sz w:val="24"/>
          <w:szCs w:val="24"/>
          <w:highlight w:val="none"/>
        </w:rPr>
        <w:t>2.1 招标文件的组成</w:t>
      </w:r>
      <w:bookmarkEnd w:id="126"/>
    </w:p>
    <w:p w14:paraId="28FD8E1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本招标文件包括：</w:t>
      </w:r>
    </w:p>
    <w:p w14:paraId="42120EB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(1)招标公告；</w:t>
      </w:r>
    </w:p>
    <w:p w14:paraId="6DE920C4">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6BC8A4CF">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(3)资格审查；</w:t>
      </w:r>
    </w:p>
    <w:p w14:paraId="0DEED259">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(4)评标办法；</w:t>
      </w:r>
    </w:p>
    <w:p w14:paraId="1101518A">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(5)合同条款及格式；</w:t>
      </w:r>
    </w:p>
    <w:p w14:paraId="7233C703">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(6)采购需求；</w:t>
      </w:r>
    </w:p>
    <w:p w14:paraId="04A7C66D">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(7)投标文件格式；</w:t>
      </w:r>
    </w:p>
    <w:p w14:paraId="6EDF577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根据本章第2.2 款和第2.3 款对招标文件所作的澄清、修改，构成招标文件的组成部分。</w:t>
      </w:r>
    </w:p>
    <w:p w14:paraId="16856D2D">
      <w:pPr>
        <w:spacing w:line="360" w:lineRule="auto"/>
        <w:rPr>
          <w:rFonts w:ascii="宋体" w:hAnsi="宋体" w:cs="宋体"/>
          <w:b/>
          <w:color w:val="auto"/>
          <w:sz w:val="24"/>
          <w:szCs w:val="24"/>
          <w:highlight w:val="none"/>
        </w:rPr>
      </w:pPr>
      <w:bookmarkStart w:id="127" w:name="_Toc23003"/>
      <w:bookmarkEnd w:id="127"/>
      <w:bookmarkStart w:id="128" w:name="_Toc1478"/>
      <w:bookmarkStart w:id="129" w:name="_Toc102136457"/>
      <w:bookmarkStart w:id="130" w:name="_Toc32548"/>
      <w:bookmarkStart w:id="131" w:name="_Toc71734694"/>
      <w:r>
        <w:rPr>
          <w:rFonts w:hint="eastAsia" w:ascii="宋体" w:hAnsi="宋体" w:cs="宋体"/>
          <w:b/>
          <w:color w:val="auto"/>
          <w:sz w:val="24"/>
          <w:szCs w:val="24"/>
          <w:highlight w:val="none"/>
        </w:rPr>
        <w:t>2.2招标文件的澄清</w:t>
      </w:r>
      <w:bookmarkEnd w:id="128"/>
      <w:bookmarkEnd w:id="129"/>
      <w:bookmarkEnd w:id="130"/>
      <w:bookmarkEnd w:id="131"/>
    </w:p>
    <w:p w14:paraId="1705BD7A">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2.2.1投标人应仔细阅读和检查招标文件的全部内容。如发现缺页或附件不全，应及时向采购人提出，以便补齐。如有疑问，应按照电子平台的要求将提出的问题送达采购人，要求采购人对招标文件予以澄清。</w:t>
      </w:r>
    </w:p>
    <w:p w14:paraId="6BDAB9D3">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2.2.2招标文件的澄清以投标人须知前附表规定的形式发给所有参与本项目的投标人，但不指明澄清问题的来源。澄清发出的时间距本章第4.2.1项规定的投标截止时间不足15日的，并且澄清内容可能影响投标文件编制的，将相应延长投标截止时间。</w:t>
      </w:r>
    </w:p>
    <w:p w14:paraId="44FB32E3">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2.2.3投标人收到澄清通知后，应按投标人须知前附表规定的时间和形式通知采购人，确认已收到该澄清。</w:t>
      </w:r>
    </w:p>
    <w:p w14:paraId="367101C7">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2.2.4除非采购人认为确有必要答复，否则，采购人有权拒绝回复投标人在本章第2.2.1项规定的时间后的任何澄清要求。</w:t>
      </w:r>
    </w:p>
    <w:p w14:paraId="7E0AD299">
      <w:pPr>
        <w:spacing w:line="360" w:lineRule="auto"/>
        <w:rPr>
          <w:rFonts w:ascii="宋体" w:hAnsi="宋体" w:cs="宋体"/>
          <w:b/>
          <w:color w:val="auto"/>
          <w:sz w:val="24"/>
          <w:szCs w:val="24"/>
          <w:highlight w:val="none"/>
        </w:rPr>
      </w:pPr>
      <w:bookmarkStart w:id="132" w:name="_Toc102136458"/>
      <w:bookmarkStart w:id="133" w:name="_Toc15945"/>
      <w:bookmarkStart w:id="134" w:name="_Toc71734695"/>
      <w:bookmarkStart w:id="135" w:name="_Toc6841"/>
      <w:r>
        <w:rPr>
          <w:rFonts w:hint="eastAsia" w:ascii="宋体" w:hAnsi="宋体" w:cs="宋体"/>
          <w:b/>
          <w:color w:val="auto"/>
          <w:sz w:val="24"/>
          <w:szCs w:val="24"/>
          <w:highlight w:val="none"/>
        </w:rPr>
        <w:t>2.3 招标文件的修改</w:t>
      </w:r>
      <w:bookmarkEnd w:id="132"/>
      <w:bookmarkEnd w:id="133"/>
      <w:bookmarkEnd w:id="134"/>
      <w:bookmarkEnd w:id="135"/>
    </w:p>
    <w:p w14:paraId="383A7CF6">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2.3.1采购人以投标人须知前附表规定的形式修改招标文件，并通知所有已购买招标文件的投标人。修改招标文件的时间距本章4.2.1项规定的投标截止时间不足15日的，并且修改内容可能影响投标文件编制的，将相应延长投标截止时间。</w:t>
      </w:r>
    </w:p>
    <w:p w14:paraId="6773320B">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2.3.2投标人收到修改内容后，应按投标人须知前附表规定的时间和形式通知采购人，确认已收到该修改。</w:t>
      </w:r>
    </w:p>
    <w:p w14:paraId="15BB182C">
      <w:pPr>
        <w:pStyle w:val="5"/>
        <w:spacing w:before="0" w:after="0" w:line="360" w:lineRule="auto"/>
        <w:rPr>
          <w:rFonts w:ascii="宋体" w:hAnsi="宋体" w:eastAsia="宋体" w:cs="宋体"/>
          <w:color w:val="auto"/>
          <w:sz w:val="28"/>
          <w:szCs w:val="28"/>
          <w:highlight w:val="none"/>
        </w:rPr>
      </w:pPr>
      <w:bookmarkStart w:id="136" w:name="_Toc29741"/>
      <w:bookmarkEnd w:id="136"/>
      <w:bookmarkStart w:id="137" w:name="_Toc16663"/>
      <w:bookmarkEnd w:id="137"/>
      <w:bookmarkStart w:id="138" w:name="_Toc24916"/>
      <w:bookmarkEnd w:id="138"/>
      <w:bookmarkStart w:id="139" w:name="_Toc24768"/>
      <w:bookmarkStart w:id="140" w:name="_Toc14963"/>
      <w:bookmarkStart w:id="141" w:name="_Toc22495"/>
      <w:bookmarkStart w:id="142" w:name="_Toc9656"/>
      <w:r>
        <w:rPr>
          <w:rFonts w:hint="eastAsia" w:ascii="宋体" w:hAnsi="宋体" w:eastAsia="宋体" w:cs="宋体"/>
          <w:color w:val="auto"/>
          <w:sz w:val="28"/>
          <w:szCs w:val="28"/>
          <w:highlight w:val="none"/>
        </w:rPr>
        <w:t>3. 投标文件</w:t>
      </w:r>
      <w:bookmarkEnd w:id="139"/>
      <w:bookmarkEnd w:id="140"/>
      <w:bookmarkEnd w:id="141"/>
      <w:bookmarkEnd w:id="142"/>
    </w:p>
    <w:p w14:paraId="1F2B79DD">
      <w:pPr>
        <w:spacing w:line="360" w:lineRule="auto"/>
        <w:rPr>
          <w:rFonts w:ascii="宋体" w:hAnsi="宋体" w:cs="宋体"/>
          <w:b/>
          <w:color w:val="auto"/>
          <w:sz w:val="24"/>
          <w:szCs w:val="24"/>
          <w:highlight w:val="none"/>
        </w:rPr>
      </w:pPr>
      <w:bookmarkStart w:id="143" w:name="_Toc2432"/>
      <w:bookmarkEnd w:id="143"/>
      <w:bookmarkStart w:id="144" w:name="_Toc4962"/>
      <w:r>
        <w:rPr>
          <w:rFonts w:hint="eastAsia" w:ascii="宋体" w:hAnsi="宋体" w:cs="宋体"/>
          <w:b/>
          <w:color w:val="auto"/>
          <w:sz w:val="24"/>
          <w:szCs w:val="24"/>
          <w:highlight w:val="none"/>
        </w:rPr>
        <w:t>3.1 投标文件的组成</w:t>
      </w:r>
      <w:bookmarkEnd w:id="144"/>
    </w:p>
    <w:p w14:paraId="02464941">
      <w:pPr>
        <w:spacing w:line="360" w:lineRule="auto"/>
        <w:ind w:firstLine="540" w:firstLineChars="225"/>
        <w:rPr>
          <w:rFonts w:ascii="宋体" w:hAnsi="宋体" w:cs="宋体"/>
          <w:color w:val="auto"/>
          <w:sz w:val="24"/>
          <w:szCs w:val="24"/>
          <w:highlight w:val="none"/>
        </w:rPr>
      </w:pPr>
      <w:bookmarkStart w:id="145" w:name="_Toc3252"/>
      <w:bookmarkEnd w:id="145"/>
      <w:bookmarkStart w:id="146" w:name="_Toc21369"/>
      <w:r>
        <w:rPr>
          <w:rFonts w:hint="eastAsia" w:ascii="宋体" w:hAnsi="宋体" w:cs="宋体"/>
          <w:color w:val="auto"/>
          <w:sz w:val="24"/>
          <w:szCs w:val="24"/>
          <w:highlight w:val="none"/>
        </w:rPr>
        <w:t>3.1.1投标人应按招标文件规定的内容和格式编制并提交投标文件，投标文件应包括以下内容：</w:t>
      </w:r>
    </w:p>
    <w:p w14:paraId="1E03B7E8">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一、资格审查部分，见投标文件格式资格审查部分；</w:t>
      </w:r>
    </w:p>
    <w:p w14:paraId="4265F3F7">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二、商务报价部分，见投标文件格式商务部分；</w:t>
      </w:r>
    </w:p>
    <w:p w14:paraId="0D85D2EB">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三、技术部分，见投标文件格式技术部分；</w:t>
      </w:r>
    </w:p>
    <w:p w14:paraId="2EC4EC2D">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投标人在评标过程中作出的符合法律法规和招标文件规定的澄清、说明或者补正属于投标文件的组成部分。</w:t>
      </w:r>
    </w:p>
    <w:p w14:paraId="043475EE">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3.2 投标报价</w:t>
      </w:r>
      <w:bookmarkEnd w:id="146"/>
    </w:p>
    <w:p w14:paraId="2786907B">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3.2.1 投标人应按第七章“投标文件格式”的要求进行报价。</w:t>
      </w:r>
    </w:p>
    <w:p w14:paraId="25BB5A57">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3.2.2 投标人应充分了解该项目的总体情况以及影响投标报价的其他要素。</w:t>
      </w:r>
    </w:p>
    <w:p w14:paraId="0BF46683">
      <w:pPr>
        <w:spacing w:line="360" w:lineRule="auto"/>
        <w:ind w:firstLine="540" w:firstLineChars="225"/>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3.2.3</w:t>
      </w:r>
      <w:r>
        <w:rPr>
          <w:rFonts w:hint="eastAsia" w:ascii="宋体" w:hAnsi="宋体" w:cs="宋体"/>
          <w:color w:val="auto"/>
          <w:sz w:val="24"/>
          <w:szCs w:val="24"/>
          <w:highlight w:val="none"/>
        </w:rPr>
        <w:t>投标人的投标报价不得超过预算金额，若采购人还设有</w:t>
      </w:r>
      <w:r>
        <w:rPr>
          <w:rFonts w:hint="eastAsia" w:ascii="宋体" w:hAnsi="宋体" w:cs="宋体"/>
          <w:color w:val="auto"/>
          <w:sz w:val="24"/>
          <w:szCs w:val="24"/>
          <w:highlight w:val="none"/>
          <w:lang w:eastAsia="zh-CN"/>
        </w:rPr>
        <w:t>单价最高限价</w:t>
      </w:r>
      <w:r>
        <w:rPr>
          <w:rFonts w:hint="eastAsia" w:ascii="宋体" w:hAnsi="宋体" w:cs="宋体"/>
          <w:color w:val="auto"/>
          <w:sz w:val="24"/>
          <w:szCs w:val="24"/>
          <w:highlight w:val="none"/>
        </w:rPr>
        <w:t>的，投标人的投标报价还应当不得超过</w:t>
      </w:r>
      <w:r>
        <w:rPr>
          <w:rFonts w:hint="eastAsia" w:ascii="宋体" w:hAnsi="宋体" w:cs="宋体"/>
          <w:color w:val="auto"/>
          <w:sz w:val="24"/>
          <w:szCs w:val="24"/>
          <w:highlight w:val="none"/>
          <w:lang w:eastAsia="zh-CN"/>
        </w:rPr>
        <w:t>单价最高限价</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单价最高限价</w:t>
      </w:r>
      <w:r>
        <w:rPr>
          <w:rFonts w:hint="eastAsia" w:ascii="宋体" w:hAnsi="宋体" w:cs="宋体"/>
          <w:color w:val="auto"/>
          <w:sz w:val="24"/>
          <w:szCs w:val="24"/>
          <w:highlight w:val="none"/>
        </w:rPr>
        <w:t>在投标人须知前附表中载明。</w:t>
      </w:r>
    </w:p>
    <w:p w14:paraId="5C4C4DBD">
      <w:pPr>
        <w:spacing w:line="360" w:lineRule="auto"/>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3.2.4</w:t>
      </w:r>
      <w:r>
        <w:rPr>
          <w:rFonts w:hint="eastAsia" w:ascii="宋体" w:hAnsi="宋体" w:cs="宋体"/>
          <w:color w:val="FF0000"/>
          <w:kern w:val="2"/>
          <w:sz w:val="24"/>
          <w:szCs w:val="24"/>
          <w:highlight w:val="none"/>
          <w:lang w:bidi="ar"/>
        </w:rPr>
        <w:t>各</w:t>
      </w:r>
      <w:r>
        <w:rPr>
          <w:rFonts w:hint="eastAsia" w:ascii="宋体" w:hAnsi="宋体" w:cs="宋体"/>
          <w:color w:val="FF0000"/>
          <w:kern w:val="2"/>
          <w:sz w:val="24"/>
          <w:szCs w:val="24"/>
          <w:highlight w:val="none"/>
          <w:lang w:val="en-US" w:eastAsia="zh-CN" w:bidi="ar"/>
        </w:rPr>
        <w:t>供应商</w:t>
      </w:r>
      <w:r>
        <w:rPr>
          <w:rFonts w:hint="eastAsia" w:ascii="宋体" w:hAnsi="宋体" w:cs="宋体"/>
          <w:color w:val="FF0000"/>
          <w:kern w:val="2"/>
          <w:sz w:val="24"/>
          <w:szCs w:val="24"/>
          <w:highlight w:val="none"/>
          <w:lang w:bidi="ar"/>
        </w:rPr>
        <w:t>须对所有内容进行</w:t>
      </w:r>
      <w:r>
        <w:rPr>
          <w:rFonts w:hint="eastAsia" w:ascii="宋体" w:hAnsi="宋体" w:cs="宋体"/>
          <w:color w:val="FF0000"/>
          <w:kern w:val="2"/>
          <w:sz w:val="24"/>
          <w:szCs w:val="24"/>
          <w:highlight w:val="none"/>
          <w:lang w:val="en-US" w:eastAsia="zh-CN" w:bidi="ar"/>
        </w:rPr>
        <w:t>分项报价、</w:t>
      </w:r>
      <w:r>
        <w:rPr>
          <w:rFonts w:hint="eastAsia" w:ascii="宋体" w:hAnsi="宋体" w:cs="宋体"/>
          <w:color w:val="FF0000"/>
          <w:kern w:val="2"/>
          <w:sz w:val="24"/>
          <w:szCs w:val="24"/>
          <w:highlight w:val="none"/>
          <w:lang w:bidi="ar"/>
        </w:rPr>
        <w:t>整体投标，不得缺项漏项，</w:t>
      </w:r>
      <w:r>
        <w:rPr>
          <w:rFonts w:hint="eastAsia" w:ascii="宋体" w:hAnsi="宋体" w:cs="宋体"/>
          <w:color w:val="FF0000"/>
          <w:kern w:val="2"/>
          <w:sz w:val="24"/>
          <w:szCs w:val="24"/>
          <w:highlight w:val="none"/>
          <w:lang w:val="en-US" w:eastAsia="zh-CN" w:bidi="ar"/>
        </w:rPr>
        <w:t>且每项分项报价均不得超过单价最高限价或投标总价不得超过预算金额，</w:t>
      </w:r>
      <w:r>
        <w:rPr>
          <w:rFonts w:hint="eastAsia" w:ascii="宋体" w:hAnsi="宋体" w:cs="宋体"/>
          <w:color w:val="auto"/>
          <w:kern w:val="2"/>
          <w:sz w:val="24"/>
          <w:szCs w:val="24"/>
          <w:highlight w:val="none"/>
          <w:lang w:bidi="ar"/>
        </w:rPr>
        <w:t>否则作否决投标处理</w:t>
      </w:r>
      <w:r>
        <w:rPr>
          <w:rFonts w:hint="eastAsia" w:ascii="宋体" w:hAnsi="宋体" w:cs="宋体"/>
          <w:color w:val="auto"/>
          <w:sz w:val="24"/>
          <w:szCs w:val="24"/>
          <w:highlight w:val="none"/>
          <w:lang w:val="en-US" w:eastAsia="zh-CN"/>
        </w:rPr>
        <w:t>。</w:t>
      </w:r>
    </w:p>
    <w:p w14:paraId="49A8A324">
      <w:pPr>
        <w:spacing w:line="360" w:lineRule="auto"/>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b w:val="0"/>
          <w:bCs w:val="0"/>
          <w:color w:val="auto"/>
          <w:sz w:val="24"/>
          <w:szCs w:val="24"/>
          <w:highlight w:val="none"/>
        </w:rPr>
        <w:t>各投标人应根据自身综合实力、类似供货经验等</w:t>
      </w:r>
      <w:r>
        <w:rPr>
          <w:rFonts w:hint="eastAsia" w:ascii="宋体" w:hAnsi="宋体" w:cs="宋体"/>
          <w:b w:val="0"/>
          <w:bCs w:val="0"/>
          <w:color w:val="auto"/>
          <w:sz w:val="24"/>
          <w:szCs w:val="24"/>
          <w:highlight w:val="none"/>
          <w:lang w:val="en-US" w:eastAsia="zh-CN"/>
        </w:rPr>
        <w:t>进行</w:t>
      </w:r>
      <w:r>
        <w:rPr>
          <w:rFonts w:hint="eastAsia" w:ascii="宋体" w:hAnsi="宋体" w:eastAsia="宋体" w:cs="宋体"/>
          <w:b w:val="0"/>
          <w:bCs w:val="0"/>
          <w:color w:val="auto"/>
          <w:sz w:val="24"/>
          <w:szCs w:val="24"/>
          <w:highlight w:val="none"/>
        </w:rPr>
        <w:t>单价</w:t>
      </w:r>
      <w:r>
        <w:rPr>
          <w:rFonts w:hint="eastAsia" w:ascii="宋体" w:hAnsi="宋体" w:cs="宋体"/>
          <w:b w:val="0"/>
          <w:bCs w:val="0"/>
          <w:color w:val="auto"/>
          <w:sz w:val="24"/>
          <w:szCs w:val="24"/>
          <w:highlight w:val="none"/>
          <w:lang w:val="en-US" w:eastAsia="zh-CN"/>
        </w:rPr>
        <w:t>及总价</w:t>
      </w:r>
      <w:r>
        <w:rPr>
          <w:rFonts w:hint="eastAsia" w:ascii="宋体" w:hAnsi="宋体" w:eastAsia="宋体" w:cs="宋体"/>
          <w:b w:val="0"/>
          <w:bCs w:val="0"/>
          <w:color w:val="auto"/>
          <w:sz w:val="24"/>
          <w:szCs w:val="24"/>
          <w:highlight w:val="none"/>
        </w:rPr>
        <w:t>报价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val="en-US" w:eastAsia="zh-CN"/>
        </w:rPr>
        <w:t>投标人应</w:t>
      </w:r>
      <w:r>
        <w:rPr>
          <w:rFonts w:hint="eastAsia" w:ascii="宋体" w:hAnsi="宋体" w:eastAsia="宋体" w:cs="宋体"/>
          <w:color w:val="auto"/>
          <w:sz w:val="24"/>
          <w:szCs w:val="24"/>
          <w:highlight w:val="none"/>
          <w:lang w:val="zh-CN"/>
        </w:rPr>
        <w:t>高度重视采购人属于监狱单位的特殊情况，并对供货的方案风险有足够了解及重视</w:t>
      </w:r>
      <w:r>
        <w:rPr>
          <w:rFonts w:hint="eastAsia" w:ascii="Times New Roman" w:hAnsi="Times New Roman" w:cs="Times New Roman"/>
          <w:color w:val="auto"/>
          <w:sz w:val="24"/>
          <w:szCs w:val="24"/>
          <w:highlight w:val="none"/>
          <w:lang w:val="en-US" w:eastAsia="zh-CN"/>
        </w:rPr>
        <w:t>&lt;</w:t>
      </w:r>
      <w:r>
        <w:rPr>
          <w:rFonts w:hint="default" w:ascii="Times New Roman" w:hAnsi="Times New Roman" w:eastAsia="宋体" w:cs="Times New Roman"/>
          <w:color w:val="auto"/>
          <w:sz w:val="24"/>
          <w:szCs w:val="24"/>
          <w:highlight w:val="none"/>
          <w:lang w:val="zh-CN"/>
        </w:rPr>
        <w:t>特别是</w:t>
      </w:r>
      <w:r>
        <w:rPr>
          <w:rFonts w:hint="eastAsia" w:cs="Times New Roman"/>
          <w:color w:val="auto"/>
          <w:sz w:val="24"/>
          <w:szCs w:val="24"/>
          <w:highlight w:val="none"/>
          <w:lang w:val="en-US" w:eastAsia="zh-CN"/>
        </w:rPr>
        <w:t>采购人对</w:t>
      </w:r>
      <w:r>
        <w:rPr>
          <w:rFonts w:hint="default" w:ascii="Times New Roman" w:hAnsi="Times New Roman" w:eastAsia="宋体" w:cs="Times New Roman"/>
          <w:color w:val="auto"/>
          <w:sz w:val="24"/>
          <w:szCs w:val="24"/>
          <w:highlight w:val="none"/>
          <w:lang w:val="zh-CN"/>
        </w:rPr>
        <w:t>食品安全、监管区进出管理及检查等</w:t>
      </w:r>
      <w:r>
        <w:rPr>
          <w:rFonts w:hint="eastAsia" w:cs="Times New Roman"/>
          <w:color w:val="auto"/>
          <w:sz w:val="24"/>
          <w:szCs w:val="24"/>
          <w:highlight w:val="none"/>
          <w:lang w:val="en-US" w:eastAsia="zh-CN"/>
        </w:rPr>
        <w:t>有特殊要求的情况</w:t>
      </w:r>
      <w:r>
        <w:rPr>
          <w:rFonts w:hint="eastAsia" w:ascii="Times New Roman" w:hAnsi="Times New Roman" w:cs="Times New Roman"/>
          <w:color w:val="auto"/>
          <w:sz w:val="24"/>
          <w:szCs w:val="24"/>
          <w:highlight w:val="none"/>
          <w:lang w:val="en-US" w:eastAsia="zh-CN"/>
        </w:rPr>
        <w:t>&gt;</w:t>
      </w:r>
      <w:r>
        <w:rPr>
          <w:rFonts w:hint="eastAsia" w:ascii="宋体" w:hAnsi="宋体" w:eastAsia="宋体" w:cs="宋体"/>
          <w:color w:val="auto"/>
          <w:sz w:val="24"/>
          <w:szCs w:val="24"/>
          <w:highlight w:val="none"/>
          <w:lang w:val="en-US" w:eastAsia="zh-CN"/>
        </w:rPr>
        <w:t>）,该</w:t>
      </w:r>
      <w:r>
        <w:rPr>
          <w:rFonts w:hint="eastAsia" w:ascii="宋体" w:hAnsi="宋体" w:eastAsia="宋体" w:cs="宋体"/>
          <w:b w:val="0"/>
          <w:bCs w:val="0"/>
          <w:color w:val="auto"/>
          <w:sz w:val="24"/>
          <w:szCs w:val="24"/>
          <w:highlight w:val="none"/>
        </w:rPr>
        <w:t>报价</w:t>
      </w:r>
      <w:r>
        <w:rPr>
          <w:rFonts w:hint="eastAsia" w:ascii="宋体" w:hAnsi="宋体" w:eastAsia="宋体" w:cs="宋体"/>
          <w:color w:val="auto"/>
          <w:sz w:val="24"/>
          <w:szCs w:val="24"/>
          <w:highlight w:val="none"/>
          <w:lang w:val="zh-CN"/>
        </w:rPr>
        <w:t>已经包含采购人因监管区门禁管理及其他为保证监管安全而采用的一切措施，</w:t>
      </w:r>
      <w:r>
        <w:rPr>
          <w:rFonts w:hint="eastAsia" w:ascii="宋体" w:hAnsi="宋体" w:eastAsia="宋体" w:cs="宋体"/>
          <w:b w:val="0"/>
          <w:bCs w:val="0"/>
          <w:color w:val="auto"/>
          <w:sz w:val="24"/>
          <w:szCs w:val="24"/>
          <w:highlight w:val="none"/>
        </w:rPr>
        <w:t>是投标人综合考虑本项目所采购</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货物的市场价格、人工费、配送车辆的使用费、</w:t>
      </w:r>
      <w:r>
        <w:rPr>
          <w:rFonts w:hint="eastAsia" w:ascii="宋体" w:hAnsi="宋体" w:eastAsia="宋体" w:cs="宋体"/>
          <w:b w:val="0"/>
          <w:bCs w:val="0"/>
          <w:color w:val="auto"/>
          <w:sz w:val="24"/>
          <w:szCs w:val="24"/>
          <w:highlight w:val="none"/>
          <w:lang w:eastAsia="zh-CN"/>
        </w:rPr>
        <w:t>运杂费、堆放食材的仓库使用费、二次装卸费</w:t>
      </w:r>
      <w:r>
        <w:rPr>
          <w:rFonts w:hint="eastAsia" w:ascii="宋体" w:hAnsi="宋体" w:cs="宋体"/>
          <w:b w:val="0"/>
          <w:bCs w:val="0"/>
          <w:color w:val="auto"/>
          <w:sz w:val="24"/>
          <w:szCs w:val="24"/>
          <w:highlight w:val="none"/>
          <w:lang w:val="en-US" w:eastAsia="zh-CN"/>
        </w:rPr>
        <w:t>&lt;</w:t>
      </w:r>
      <w:r>
        <w:rPr>
          <w:rFonts w:hint="eastAsia" w:ascii="宋体" w:hAnsi="宋体" w:eastAsia="宋体" w:cs="宋体"/>
          <w:b w:val="0"/>
          <w:bCs w:val="0"/>
          <w:color w:val="auto"/>
          <w:sz w:val="24"/>
          <w:szCs w:val="24"/>
          <w:highlight w:val="none"/>
        </w:rPr>
        <w:t>如遇疫情等特殊情况，可能会产生二次装卸人工费</w:t>
      </w:r>
      <w:r>
        <w:rPr>
          <w:rFonts w:hint="eastAsia" w:ascii="宋体" w:hAnsi="宋体" w:cs="宋体"/>
          <w:b w:val="0"/>
          <w:bCs w:val="0"/>
          <w:color w:val="auto"/>
          <w:sz w:val="24"/>
          <w:szCs w:val="24"/>
          <w:highlight w:val="none"/>
          <w:lang w:val="en-US" w:eastAsia="zh-CN"/>
        </w:rPr>
        <w:t>&gt;</w:t>
      </w:r>
      <w:r>
        <w:rPr>
          <w:rFonts w:hint="eastAsia" w:ascii="宋体" w:hAnsi="宋体" w:eastAsia="宋体" w:cs="宋体"/>
          <w:b w:val="0"/>
          <w:bCs w:val="0"/>
          <w:color w:val="auto"/>
          <w:sz w:val="24"/>
          <w:szCs w:val="24"/>
          <w:highlight w:val="none"/>
        </w:rPr>
        <w:t>、堆放食材的仓库使用费、食品安全质量必备检测费、疫情防控费用、利润、税金等完成履行合同所需的全部费用</w:t>
      </w:r>
      <w:r>
        <w:rPr>
          <w:rFonts w:hint="eastAsia" w:ascii="宋体" w:hAnsi="宋体" w:cs="宋体"/>
          <w:color w:val="auto"/>
          <w:sz w:val="24"/>
          <w:szCs w:val="24"/>
          <w:highlight w:val="none"/>
          <w:lang w:val="en-US" w:eastAsia="zh-CN"/>
        </w:rPr>
        <w:t>。</w:t>
      </w:r>
    </w:p>
    <w:p w14:paraId="4448CA33">
      <w:pPr>
        <w:spacing w:line="360" w:lineRule="auto"/>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（2）其他要求：因为各种因素的影响，罪犯生活物资采购资金和数量以实际采购发生实际为准。</w:t>
      </w:r>
    </w:p>
    <w:p w14:paraId="5FB6C6EA">
      <w:pPr>
        <w:spacing w:line="360" w:lineRule="auto"/>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合同履行期间，价格按中标价格执行，单价不做调整。</w:t>
      </w:r>
    </w:p>
    <w:p w14:paraId="55F25CB2">
      <w:pPr>
        <w:spacing w:line="360" w:lineRule="auto"/>
        <w:ind w:firstLine="540" w:firstLineChars="225"/>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付款以每月实际采购发生配送（验收合格）的数量和单价结算。全年采购数量以实际采购发生为准。</w:t>
      </w:r>
    </w:p>
    <w:p w14:paraId="4A72591E">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低报价不能作为中标的保证，投标人不得哄抬报价，也不应低于成本价(或进货价)报价。评标委员会认为投标人的投标报价或者某些分项报价明显不合理或者低于成本，有可能影响质量或不能诚信履约的，将要求其在规定的期限内提供书面文件予以解释说明，并提交相关证明材料；投标人不能证明其报价合理性的，评标委员会将认定投标人投标文件无效。</w:t>
      </w:r>
    </w:p>
    <w:p w14:paraId="3133B078">
      <w:pPr>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3.2.6</w:t>
      </w:r>
      <w:r>
        <w:rPr>
          <w:rFonts w:hint="eastAsia" w:ascii="宋体" w:hAnsi="宋体" w:eastAsia="宋体" w:cs="宋体"/>
          <w:color w:val="auto"/>
          <w:sz w:val="24"/>
          <w:szCs w:val="24"/>
          <w:highlight w:val="none"/>
        </w:rPr>
        <w:t>结算</w:t>
      </w:r>
      <w:r>
        <w:rPr>
          <w:rFonts w:hint="eastAsia" w:ascii="宋体" w:hAnsi="宋体" w:eastAsia="宋体" w:cs="宋体"/>
          <w:color w:val="auto"/>
          <w:sz w:val="24"/>
          <w:szCs w:val="24"/>
          <w:highlight w:val="none"/>
          <w:lang w:val="en-US" w:eastAsia="zh-CN"/>
        </w:rPr>
        <w:t>金额</w:t>
      </w:r>
      <w:r>
        <w:rPr>
          <w:rFonts w:hint="eastAsia" w:ascii="宋体" w:hAnsi="宋体" w:eastAsia="宋体" w:cs="宋体"/>
          <w:color w:val="auto"/>
          <w:sz w:val="24"/>
          <w:szCs w:val="24"/>
          <w:highlight w:val="none"/>
        </w:rPr>
        <w:t>以供货品种、数量及中标单价实际结算为准，执行金额不得超过合同预算总金额，采购人不保证执行金额必然达到合同预算总金额。</w:t>
      </w:r>
    </w:p>
    <w:p w14:paraId="74F60A5C">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报价货币为人民币。</w:t>
      </w:r>
    </w:p>
    <w:p w14:paraId="5A10FBF6">
      <w:pPr>
        <w:spacing w:line="360" w:lineRule="auto"/>
        <w:rPr>
          <w:rFonts w:ascii="宋体" w:hAnsi="宋体" w:cs="宋体"/>
          <w:b/>
          <w:color w:val="auto"/>
          <w:sz w:val="24"/>
          <w:szCs w:val="24"/>
          <w:highlight w:val="none"/>
        </w:rPr>
      </w:pPr>
      <w:bookmarkStart w:id="147" w:name="_Toc12995"/>
      <w:bookmarkEnd w:id="147"/>
      <w:bookmarkStart w:id="148" w:name="_Toc14190"/>
      <w:r>
        <w:rPr>
          <w:rFonts w:hint="eastAsia" w:ascii="宋体" w:hAnsi="宋体" w:cs="宋体"/>
          <w:b/>
          <w:color w:val="auto"/>
          <w:sz w:val="24"/>
          <w:szCs w:val="24"/>
          <w:highlight w:val="none"/>
        </w:rPr>
        <w:t>3.3 投标有效期</w:t>
      </w:r>
      <w:bookmarkEnd w:id="148"/>
    </w:p>
    <w:p w14:paraId="3C2AF3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3.3.1投标有效期见投标人须知前附表。</w:t>
      </w:r>
    </w:p>
    <w:p w14:paraId="2ABE024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3.3.2在投标有效期内，投标人撤销或修改其投标文件的，应承担招标文件和法律规定的责任。</w:t>
      </w:r>
    </w:p>
    <w:p w14:paraId="50C50F5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5AF5433">
      <w:pPr>
        <w:spacing w:line="360" w:lineRule="auto"/>
        <w:rPr>
          <w:rFonts w:ascii="宋体" w:hAnsi="宋体" w:cs="宋体"/>
          <w:b/>
          <w:color w:val="auto"/>
          <w:sz w:val="24"/>
          <w:szCs w:val="24"/>
          <w:highlight w:val="none"/>
        </w:rPr>
      </w:pPr>
      <w:bookmarkStart w:id="149" w:name="_Toc1543"/>
      <w:bookmarkEnd w:id="149"/>
      <w:bookmarkStart w:id="150" w:name="_Toc23125"/>
      <w:r>
        <w:rPr>
          <w:rFonts w:hint="eastAsia" w:ascii="宋体" w:hAnsi="宋体" w:cs="宋体"/>
          <w:b/>
          <w:color w:val="auto"/>
          <w:sz w:val="24"/>
          <w:szCs w:val="24"/>
          <w:highlight w:val="none"/>
        </w:rPr>
        <w:t>3.4 投标保证金</w:t>
      </w:r>
      <w:bookmarkEnd w:id="150"/>
    </w:p>
    <w:p w14:paraId="31C6EE05">
      <w:pPr>
        <w:spacing w:line="360" w:lineRule="auto"/>
        <w:ind w:firstLine="480" w:firstLineChars="200"/>
        <w:rPr>
          <w:rFonts w:ascii="宋体" w:hAnsi="宋体"/>
          <w:color w:val="auto"/>
          <w:sz w:val="24"/>
          <w:szCs w:val="24"/>
          <w:highlight w:val="none"/>
        </w:rPr>
      </w:pPr>
      <w:bookmarkStart w:id="151" w:name="_Toc32408"/>
      <w:bookmarkEnd w:id="151"/>
      <w:bookmarkStart w:id="152" w:name="_Toc4859"/>
      <w:r>
        <w:rPr>
          <w:rFonts w:hint="eastAsia" w:ascii="宋体" w:hAnsi="宋体"/>
          <w:color w:val="auto"/>
          <w:sz w:val="24"/>
          <w:szCs w:val="24"/>
          <w:highlight w:val="none"/>
        </w:rPr>
        <w:t>3.4.1投标人在递交投标文件的同时，应按投标人须知前附表规定的金额、形式递交投标保证金。联合体投标的，其投标保证金可以由牵头人递交，是否接受联合体投标详见投标人须知前附表。</w:t>
      </w:r>
    </w:p>
    <w:p w14:paraId="7AE04A6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3.4.2投标人不按本章第3.4.1项要求提交投标保证金的，其投标将被视为无效投标。</w:t>
      </w:r>
    </w:p>
    <w:p w14:paraId="11F64C9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3.4.3采购人或者采购代理机构应当自中标通知书发出之日起5个工作日内退还未中标人的投标保证金，自采购合同签订之日起5个工作日内退还中标人的投标保证金或者转为中标人的履约保证金。</w:t>
      </w:r>
    </w:p>
    <w:p w14:paraId="1D99EA7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3.4.4有下列情形之一的，投标保证金将不予退还：</w:t>
      </w:r>
    </w:p>
    <w:p w14:paraId="1B6774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（1）投标人在投标有效期内撤销投标文件；</w:t>
      </w:r>
    </w:p>
    <w:p w14:paraId="6156710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（2）中标人在收到中标通知书后，无正当理由不与采购人订立合同，在签订合同时向采购人提出附加条件，或者不按照招标文件要求提交履约保证金；</w:t>
      </w:r>
    </w:p>
    <w:p w14:paraId="1C5463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（3）发生投标人须知前附表规定的其他可以不予退还投标保证金的情形。</w:t>
      </w:r>
    </w:p>
    <w:p w14:paraId="1D7B6D2E">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3.5投标文件的编制</w:t>
      </w:r>
      <w:bookmarkEnd w:id="152"/>
    </w:p>
    <w:p w14:paraId="33A5EB61">
      <w:pPr>
        <w:spacing w:line="360" w:lineRule="auto"/>
        <w:ind w:firstLine="480" w:firstLineChars="200"/>
        <w:rPr>
          <w:rFonts w:ascii="宋体" w:hAnsi="宋体"/>
          <w:color w:val="auto"/>
          <w:sz w:val="24"/>
          <w:szCs w:val="24"/>
          <w:highlight w:val="none"/>
        </w:rPr>
      </w:pPr>
      <w:bookmarkStart w:id="153" w:name="_Toc13757"/>
      <w:bookmarkEnd w:id="153"/>
      <w:bookmarkStart w:id="154" w:name="_Toc1490"/>
      <w:bookmarkEnd w:id="154"/>
      <w:bookmarkStart w:id="155" w:name="_Toc9857"/>
      <w:bookmarkStart w:id="156" w:name="_Toc7149"/>
      <w:r>
        <w:rPr>
          <w:rFonts w:hint="eastAsia" w:ascii="宋体" w:hAnsi="宋体"/>
          <w:color w:val="auto"/>
          <w:sz w:val="24"/>
          <w:szCs w:val="24"/>
          <w:highlight w:val="none"/>
        </w:rPr>
        <w:t>3.5.1 投标文件应按第七章“投标文件格式”进行编写。</w:t>
      </w:r>
    </w:p>
    <w:p w14:paraId="7A15D0D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3.5.2投标文件全部采用电子文档，除投标人须知前附表另有规定外，投标文件所附证书证件均为原件扫描件，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15FD9CD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3.5.4投标文件编制的其他要求</w:t>
      </w:r>
      <w:r>
        <w:rPr>
          <w:rFonts w:hint="eastAsia" w:ascii="宋体" w:hAnsi="宋体"/>
          <w:color w:val="auto"/>
          <w:sz w:val="24"/>
          <w:szCs w:val="24"/>
          <w:highlight w:val="none"/>
        </w:rPr>
        <w:t>见投标人须知前附表</w:t>
      </w:r>
      <w:r>
        <w:rPr>
          <w:rFonts w:hint="eastAsia" w:ascii="宋体" w:hAnsi="宋体" w:cs="宋体"/>
          <w:color w:val="auto"/>
          <w:sz w:val="24"/>
          <w:szCs w:val="24"/>
          <w:highlight w:val="none"/>
        </w:rPr>
        <w:t>。</w:t>
      </w:r>
    </w:p>
    <w:p w14:paraId="17E02640">
      <w:pPr>
        <w:pStyle w:val="5"/>
        <w:spacing w:before="0" w:after="0" w:line="360" w:lineRule="auto"/>
        <w:rPr>
          <w:rFonts w:ascii="宋体" w:hAnsi="宋体" w:eastAsia="宋体" w:cs="宋体"/>
          <w:color w:val="auto"/>
          <w:sz w:val="28"/>
          <w:szCs w:val="28"/>
          <w:highlight w:val="none"/>
        </w:rPr>
      </w:pPr>
      <w:bookmarkStart w:id="157" w:name="_Toc25963"/>
      <w:bookmarkStart w:id="158" w:name="_Toc31331"/>
      <w:r>
        <w:rPr>
          <w:rFonts w:hint="eastAsia" w:ascii="宋体" w:hAnsi="宋体" w:eastAsia="宋体" w:cs="宋体"/>
          <w:color w:val="auto"/>
          <w:sz w:val="28"/>
          <w:szCs w:val="28"/>
          <w:highlight w:val="none"/>
        </w:rPr>
        <w:t>4. 投标</w:t>
      </w:r>
      <w:bookmarkEnd w:id="155"/>
      <w:bookmarkEnd w:id="156"/>
      <w:bookmarkEnd w:id="157"/>
      <w:bookmarkEnd w:id="158"/>
    </w:p>
    <w:p w14:paraId="475381ED">
      <w:pPr>
        <w:spacing w:line="360" w:lineRule="auto"/>
        <w:rPr>
          <w:rFonts w:ascii="宋体" w:hAnsi="宋体"/>
          <w:b/>
          <w:color w:val="auto"/>
          <w:sz w:val="24"/>
          <w:szCs w:val="24"/>
          <w:highlight w:val="none"/>
        </w:rPr>
      </w:pPr>
      <w:bookmarkStart w:id="159" w:name="_Toc1523"/>
      <w:bookmarkEnd w:id="159"/>
      <w:bookmarkStart w:id="160" w:name="_Toc25497"/>
      <w:bookmarkStart w:id="161" w:name="_Toc989"/>
      <w:bookmarkStart w:id="162" w:name="_Toc20324"/>
      <w:r>
        <w:rPr>
          <w:rFonts w:hint="eastAsia" w:ascii="宋体" w:hAnsi="宋体"/>
          <w:b/>
          <w:color w:val="auto"/>
          <w:sz w:val="24"/>
          <w:szCs w:val="24"/>
          <w:highlight w:val="none"/>
        </w:rPr>
        <w:t>4.1 投标文件的</w:t>
      </w:r>
      <w:bookmarkEnd w:id="160"/>
      <w:r>
        <w:rPr>
          <w:rFonts w:hint="eastAsia" w:ascii="宋体" w:hAnsi="宋体"/>
          <w:b/>
          <w:color w:val="auto"/>
          <w:sz w:val="24"/>
          <w:szCs w:val="24"/>
          <w:highlight w:val="none"/>
        </w:rPr>
        <w:t>加密</w:t>
      </w:r>
    </w:p>
    <w:p w14:paraId="3164FEF8">
      <w:pPr>
        <w:spacing w:line="360" w:lineRule="auto"/>
        <w:ind w:firstLine="480" w:firstLineChars="200"/>
        <w:rPr>
          <w:rFonts w:ascii="宋体" w:hAnsi="宋体"/>
          <w:color w:val="auto"/>
          <w:sz w:val="24"/>
          <w:szCs w:val="24"/>
          <w:highlight w:val="none"/>
        </w:rPr>
      </w:pPr>
      <w:bookmarkStart w:id="163" w:name="_Toc20611"/>
      <w:bookmarkEnd w:id="163"/>
      <w:bookmarkStart w:id="164" w:name="_Toc27596"/>
      <w:bookmarkEnd w:id="164"/>
      <w:bookmarkStart w:id="165" w:name="_Toc9134"/>
      <w:r>
        <w:rPr>
          <w:rFonts w:hint="eastAsia" w:ascii="宋体" w:hAnsi="宋体"/>
          <w:color w:val="auto"/>
          <w:sz w:val="24"/>
          <w:szCs w:val="24"/>
          <w:highlight w:val="none"/>
        </w:rPr>
        <w:t>4.1.1 投标人应当按照招标文件和电子招标投标交易平台的要求加密投标文件，具体要求见投标人须知前附表。</w:t>
      </w:r>
    </w:p>
    <w:p w14:paraId="3354045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4.1.2 未按本章第4.1.1 要求加密的投标文件，采购人将予以拒收。</w:t>
      </w:r>
    </w:p>
    <w:p w14:paraId="68EAED89">
      <w:pPr>
        <w:spacing w:line="360" w:lineRule="auto"/>
        <w:rPr>
          <w:rFonts w:ascii="宋体" w:hAnsi="宋体"/>
          <w:b/>
          <w:color w:val="auto"/>
          <w:sz w:val="24"/>
          <w:szCs w:val="24"/>
          <w:highlight w:val="none"/>
        </w:rPr>
      </w:pPr>
      <w:r>
        <w:rPr>
          <w:rFonts w:hint="eastAsia" w:ascii="宋体" w:hAnsi="宋体"/>
          <w:b/>
          <w:color w:val="auto"/>
          <w:sz w:val="24"/>
          <w:szCs w:val="24"/>
          <w:highlight w:val="none"/>
        </w:rPr>
        <w:t>4.2 投标文件的递交</w:t>
      </w:r>
      <w:bookmarkEnd w:id="165"/>
    </w:p>
    <w:p w14:paraId="60370803">
      <w:pPr>
        <w:pStyle w:val="12"/>
        <w:ind w:firstLine="480" w:firstLineChars="200"/>
        <w:rPr>
          <w:rFonts w:ascii="宋体" w:hAnsi="宋体"/>
          <w:color w:val="auto"/>
          <w:kern w:val="0"/>
          <w:sz w:val="24"/>
          <w:highlight w:val="none"/>
        </w:rPr>
      </w:pPr>
      <w:r>
        <w:rPr>
          <w:rFonts w:hint="eastAsia" w:ascii="宋体" w:hAnsi="宋体"/>
          <w:color w:val="auto"/>
          <w:kern w:val="0"/>
          <w:sz w:val="24"/>
          <w:highlight w:val="none"/>
        </w:rPr>
        <w:t>4.2.1投标人应在投标人须知前附表规定的投标截止时间前递交投标文件。</w:t>
      </w:r>
    </w:p>
    <w:p w14:paraId="20DDD7F2">
      <w:pPr>
        <w:pStyle w:val="12"/>
        <w:ind w:firstLine="480" w:firstLineChars="200"/>
        <w:rPr>
          <w:rFonts w:ascii="宋体" w:hAnsi="宋体"/>
          <w:color w:val="auto"/>
          <w:kern w:val="0"/>
          <w:sz w:val="24"/>
          <w:highlight w:val="none"/>
        </w:rPr>
      </w:pPr>
      <w:r>
        <w:rPr>
          <w:rFonts w:hint="eastAsia" w:ascii="宋体" w:hAnsi="宋体"/>
          <w:color w:val="auto"/>
          <w:kern w:val="0"/>
          <w:sz w:val="24"/>
          <w:highlight w:val="none"/>
        </w:rPr>
        <w:t>4.2.2</w:t>
      </w:r>
      <w:r>
        <w:rPr>
          <w:rFonts w:hint="eastAsia" w:ascii="宋体" w:hAnsi="宋体" w:cs="宋体"/>
          <w:color w:val="auto"/>
          <w:sz w:val="24"/>
          <w:highlight w:val="none"/>
        </w:rPr>
        <w:t>投标文件上传时间和地点</w:t>
      </w:r>
      <w:r>
        <w:rPr>
          <w:rFonts w:hint="eastAsia" w:ascii="宋体" w:hAnsi="宋体"/>
          <w:color w:val="auto"/>
          <w:sz w:val="24"/>
          <w:highlight w:val="none"/>
        </w:rPr>
        <w:t>见投标人须知前附表</w:t>
      </w:r>
      <w:r>
        <w:rPr>
          <w:rFonts w:hint="eastAsia" w:ascii="宋体" w:hAnsi="宋体"/>
          <w:color w:val="auto"/>
          <w:kern w:val="0"/>
          <w:sz w:val="24"/>
          <w:highlight w:val="none"/>
        </w:rPr>
        <w:t>。</w:t>
      </w:r>
    </w:p>
    <w:p w14:paraId="3497F1B8">
      <w:pPr>
        <w:pStyle w:val="12"/>
        <w:ind w:firstLine="480" w:firstLineChars="200"/>
        <w:rPr>
          <w:rFonts w:ascii="宋体" w:hAnsi="宋体"/>
          <w:color w:val="auto"/>
          <w:kern w:val="0"/>
          <w:sz w:val="24"/>
          <w:highlight w:val="none"/>
        </w:rPr>
      </w:pPr>
      <w:r>
        <w:rPr>
          <w:rFonts w:hint="eastAsia" w:ascii="宋体" w:hAnsi="宋体"/>
          <w:color w:val="auto"/>
          <w:kern w:val="0"/>
          <w:sz w:val="24"/>
          <w:highlight w:val="none"/>
        </w:rPr>
        <w:t>4.2.3除投标人须知前附表另有规定外，投标人所递交的投标文件不予退还。</w:t>
      </w:r>
    </w:p>
    <w:p w14:paraId="0D0E0BFA">
      <w:pPr>
        <w:spacing w:line="360" w:lineRule="auto"/>
        <w:rPr>
          <w:rFonts w:ascii="宋体" w:hAnsi="宋体"/>
          <w:b/>
          <w:color w:val="auto"/>
          <w:sz w:val="24"/>
          <w:szCs w:val="24"/>
          <w:highlight w:val="none"/>
        </w:rPr>
      </w:pPr>
      <w:bookmarkStart w:id="166" w:name="_Toc8975"/>
      <w:bookmarkEnd w:id="166"/>
      <w:bookmarkStart w:id="167" w:name="_Toc21133"/>
      <w:bookmarkEnd w:id="167"/>
      <w:bookmarkStart w:id="168" w:name="_Toc5071"/>
      <w:r>
        <w:rPr>
          <w:rFonts w:hint="eastAsia" w:ascii="宋体" w:hAnsi="宋体"/>
          <w:b/>
          <w:color w:val="auto"/>
          <w:sz w:val="24"/>
          <w:szCs w:val="24"/>
          <w:highlight w:val="none"/>
        </w:rPr>
        <w:t>4.3 投标文件的修改与撤回</w:t>
      </w:r>
      <w:bookmarkEnd w:id="168"/>
    </w:p>
    <w:p w14:paraId="7089C19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4.3.1在投标截止时间前，投标人可以撤回在网上已递交的投标文件，修改后重新递交，无须书面形式通知采购人。</w:t>
      </w:r>
    </w:p>
    <w:p w14:paraId="7E4AE8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4.3.2修改的投标文件应按照招标文件规定进行编制递交。</w:t>
      </w:r>
    </w:p>
    <w:bookmarkEnd w:id="161"/>
    <w:bookmarkEnd w:id="162"/>
    <w:p w14:paraId="0B07E8BB">
      <w:pPr>
        <w:pStyle w:val="5"/>
        <w:spacing w:before="0" w:after="0" w:line="360" w:lineRule="auto"/>
        <w:rPr>
          <w:rFonts w:ascii="宋体" w:hAnsi="宋体" w:eastAsia="宋体"/>
          <w:color w:val="auto"/>
          <w:sz w:val="28"/>
          <w:szCs w:val="28"/>
          <w:highlight w:val="none"/>
        </w:rPr>
      </w:pPr>
      <w:bookmarkStart w:id="169" w:name="_Toc30393"/>
      <w:bookmarkStart w:id="170" w:name="_Toc20826"/>
      <w:bookmarkStart w:id="171" w:name="_Toc2249"/>
      <w:r>
        <w:rPr>
          <w:rFonts w:hint="eastAsia" w:ascii="宋体" w:hAnsi="宋体" w:eastAsia="宋体"/>
          <w:color w:val="auto"/>
          <w:sz w:val="28"/>
          <w:szCs w:val="28"/>
          <w:highlight w:val="none"/>
        </w:rPr>
        <w:t>5. 开标</w:t>
      </w:r>
      <w:bookmarkEnd w:id="169"/>
      <w:bookmarkEnd w:id="170"/>
      <w:bookmarkEnd w:id="171"/>
    </w:p>
    <w:p w14:paraId="364A058D">
      <w:pPr>
        <w:spacing w:line="360" w:lineRule="auto"/>
        <w:rPr>
          <w:rFonts w:ascii="宋体" w:hAnsi="宋体"/>
          <w:b/>
          <w:color w:val="auto"/>
          <w:sz w:val="24"/>
          <w:szCs w:val="24"/>
          <w:highlight w:val="none"/>
        </w:rPr>
      </w:pPr>
      <w:bookmarkStart w:id="172" w:name="_Toc1527"/>
      <w:bookmarkEnd w:id="172"/>
      <w:bookmarkStart w:id="173" w:name="_Toc9143"/>
      <w:r>
        <w:rPr>
          <w:rFonts w:hint="eastAsia" w:ascii="宋体" w:hAnsi="宋体"/>
          <w:b/>
          <w:color w:val="auto"/>
          <w:sz w:val="24"/>
          <w:szCs w:val="24"/>
          <w:highlight w:val="none"/>
        </w:rPr>
        <w:t>5.1 开标时间和地点</w:t>
      </w:r>
      <w:bookmarkEnd w:id="173"/>
    </w:p>
    <w:p w14:paraId="6F609E7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采购人在本章第4.2.1款规定的投标截止时间(开标时间)和投标人须知前附表规定的地点公开开标。</w:t>
      </w:r>
    </w:p>
    <w:p w14:paraId="07856B6F">
      <w:pPr>
        <w:spacing w:line="360" w:lineRule="auto"/>
        <w:rPr>
          <w:rFonts w:ascii="宋体" w:hAnsi="宋体"/>
          <w:b/>
          <w:bCs/>
          <w:color w:val="auto"/>
          <w:sz w:val="24"/>
          <w:szCs w:val="24"/>
          <w:highlight w:val="none"/>
        </w:rPr>
      </w:pPr>
      <w:bookmarkStart w:id="174" w:name="_Toc27792"/>
      <w:bookmarkEnd w:id="174"/>
      <w:bookmarkStart w:id="175" w:name="_Toc21332"/>
      <w:bookmarkEnd w:id="175"/>
      <w:bookmarkStart w:id="176" w:name="_Toc24636"/>
      <w:r>
        <w:rPr>
          <w:rFonts w:hint="eastAsia" w:ascii="宋体" w:hAnsi="宋体"/>
          <w:b/>
          <w:color w:val="auto"/>
          <w:sz w:val="24"/>
          <w:szCs w:val="24"/>
          <w:highlight w:val="none"/>
        </w:rPr>
        <w:t>5.2</w:t>
      </w:r>
      <w:r>
        <w:rPr>
          <w:rFonts w:hint="eastAsia" w:ascii="宋体" w:hAnsi="宋体"/>
          <w:b/>
          <w:bCs/>
          <w:color w:val="auto"/>
          <w:sz w:val="24"/>
          <w:szCs w:val="24"/>
          <w:highlight w:val="none"/>
        </w:rPr>
        <w:t>投标截止后投标人不足3家的，不得开标。</w:t>
      </w:r>
    </w:p>
    <w:p w14:paraId="07F5BF81">
      <w:pPr>
        <w:spacing w:line="360" w:lineRule="auto"/>
        <w:rPr>
          <w:rFonts w:ascii="宋体" w:hAnsi="宋体"/>
          <w:b/>
          <w:color w:val="auto"/>
          <w:sz w:val="24"/>
          <w:szCs w:val="24"/>
          <w:highlight w:val="none"/>
        </w:rPr>
      </w:pPr>
      <w:r>
        <w:rPr>
          <w:rFonts w:hint="eastAsia" w:ascii="宋体" w:hAnsi="宋体"/>
          <w:b/>
          <w:color w:val="auto"/>
          <w:sz w:val="24"/>
          <w:szCs w:val="24"/>
          <w:highlight w:val="none"/>
        </w:rPr>
        <w:t>5.3 开标程序</w:t>
      </w:r>
      <w:bookmarkEnd w:id="176"/>
    </w:p>
    <w:p w14:paraId="1242F9DE">
      <w:pPr>
        <w:spacing w:line="360" w:lineRule="auto"/>
        <w:ind w:firstLine="480" w:firstLineChars="200"/>
        <w:rPr>
          <w:rFonts w:ascii="宋体" w:hAnsi="宋体"/>
          <w:color w:val="auto"/>
          <w:sz w:val="24"/>
          <w:szCs w:val="24"/>
          <w:highlight w:val="none"/>
        </w:rPr>
      </w:pPr>
      <w:bookmarkStart w:id="177" w:name="_Toc27216"/>
      <w:bookmarkEnd w:id="177"/>
      <w:bookmarkStart w:id="178" w:name="_Toc22860"/>
      <w:r>
        <w:rPr>
          <w:rFonts w:hint="eastAsia" w:ascii="宋体" w:hAnsi="宋体"/>
          <w:color w:val="auto"/>
          <w:sz w:val="24"/>
          <w:szCs w:val="24"/>
          <w:highlight w:val="none"/>
        </w:rPr>
        <w:t>(1)开标会由采购代理机构主持。</w:t>
      </w:r>
    </w:p>
    <w:p w14:paraId="7D0FDB2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(2)开标：顺序按照电子交易平台自动提取所有</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的顺序当众开标。</w:t>
      </w:r>
    </w:p>
    <w:p w14:paraId="3EFE2A2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(3)唱标：智能播报宣读投标人在其电子投标文件中投标价格和招标文件规定的需要宣布的其他内容。</w:t>
      </w:r>
    </w:p>
    <w:p w14:paraId="54F0DF1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 开标工作人员将做开标记录，参加开标的各相关工作人员须签字确认。</w:t>
      </w:r>
    </w:p>
    <w:p w14:paraId="4EC5C93B">
      <w:pPr>
        <w:spacing w:line="360" w:lineRule="auto"/>
        <w:rPr>
          <w:rFonts w:ascii="宋体" w:hAnsi="宋体"/>
          <w:b/>
          <w:color w:val="auto"/>
          <w:sz w:val="24"/>
          <w:szCs w:val="24"/>
          <w:highlight w:val="none"/>
        </w:rPr>
      </w:pPr>
      <w:r>
        <w:rPr>
          <w:rFonts w:hint="eastAsia" w:ascii="宋体" w:hAnsi="宋体"/>
          <w:b/>
          <w:color w:val="auto"/>
          <w:sz w:val="24"/>
          <w:szCs w:val="24"/>
          <w:highlight w:val="none"/>
        </w:rPr>
        <w:t>5.4 开标</w:t>
      </w:r>
      <w:bookmarkEnd w:id="178"/>
      <w:r>
        <w:rPr>
          <w:rFonts w:hint="eastAsia" w:ascii="宋体" w:hAnsi="宋体"/>
          <w:b/>
          <w:color w:val="auto"/>
          <w:sz w:val="24"/>
          <w:szCs w:val="24"/>
          <w:highlight w:val="none"/>
        </w:rPr>
        <w:t>异议</w:t>
      </w:r>
    </w:p>
    <w:p w14:paraId="5A2A0131">
      <w:pPr>
        <w:spacing w:line="360" w:lineRule="auto"/>
        <w:ind w:firstLine="540" w:firstLineChars="225"/>
        <w:rPr>
          <w:rFonts w:ascii="宋体" w:hAnsi="宋体" w:cs="宋体"/>
          <w:color w:val="auto"/>
          <w:sz w:val="24"/>
          <w:szCs w:val="24"/>
          <w:highlight w:val="none"/>
        </w:rPr>
      </w:pPr>
      <w:r>
        <w:rPr>
          <w:rFonts w:hint="eastAsia" w:ascii="宋体" w:hAnsi="宋体"/>
          <w:color w:val="auto"/>
          <w:sz w:val="24"/>
          <w:szCs w:val="24"/>
          <w:highlight w:val="none"/>
        </w:rPr>
        <w:t>开标过程中如有问题，可以在线提出异议，由代理机构给予回复。在规定的异议询问时间内未提出异议的，则视为对开标结果无异议。</w:t>
      </w:r>
    </w:p>
    <w:p w14:paraId="17E9E490">
      <w:pPr>
        <w:pStyle w:val="5"/>
        <w:spacing w:before="0" w:after="0" w:line="360" w:lineRule="auto"/>
        <w:rPr>
          <w:rFonts w:ascii="宋体" w:hAnsi="宋体" w:eastAsia="宋体" w:cs="宋体"/>
          <w:color w:val="auto"/>
          <w:sz w:val="28"/>
          <w:szCs w:val="28"/>
          <w:highlight w:val="none"/>
        </w:rPr>
      </w:pPr>
      <w:bookmarkStart w:id="179" w:name="_Toc27754"/>
      <w:bookmarkEnd w:id="179"/>
      <w:bookmarkStart w:id="180" w:name="_Toc26040"/>
      <w:bookmarkEnd w:id="180"/>
      <w:bookmarkStart w:id="181" w:name="_Toc12150"/>
      <w:bookmarkStart w:id="182" w:name="_Toc30133"/>
      <w:bookmarkStart w:id="183" w:name="_Toc14229"/>
      <w:bookmarkStart w:id="184" w:name="_Toc19719"/>
      <w:r>
        <w:rPr>
          <w:rFonts w:hint="eastAsia" w:ascii="宋体" w:hAnsi="宋体" w:eastAsia="宋体" w:cs="宋体"/>
          <w:color w:val="auto"/>
          <w:sz w:val="28"/>
          <w:szCs w:val="28"/>
          <w:highlight w:val="none"/>
        </w:rPr>
        <w:t>6. 资格审查</w:t>
      </w:r>
      <w:bookmarkEnd w:id="181"/>
      <w:bookmarkEnd w:id="182"/>
      <w:bookmarkEnd w:id="183"/>
      <w:bookmarkEnd w:id="184"/>
    </w:p>
    <w:p w14:paraId="09029206">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公开招标采购项目开标结束后，采购代理机构应当依法对投标人的资格进行审查。</w:t>
      </w:r>
    </w:p>
    <w:p w14:paraId="3CD00539">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合格投标人不足3家的，不得评标。</w:t>
      </w:r>
    </w:p>
    <w:p w14:paraId="12D8512C">
      <w:pPr>
        <w:pStyle w:val="5"/>
        <w:spacing w:before="0" w:after="0" w:line="360" w:lineRule="auto"/>
        <w:rPr>
          <w:rFonts w:ascii="宋体" w:hAnsi="宋体" w:eastAsia="宋体" w:cs="宋体"/>
          <w:color w:val="auto"/>
          <w:sz w:val="28"/>
          <w:szCs w:val="28"/>
          <w:highlight w:val="none"/>
        </w:rPr>
      </w:pPr>
      <w:bookmarkStart w:id="185" w:name="_Toc11518"/>
      <w:bookmarkEnd w:id="185"/>
      <w:bookmarkStart w:id="186" w:name="_Toc25563"/>
      <w:bookmarkEnd w:id="186"/>
      <w:bookmarkStart w:id="187" w:name="_Toc30001"/>
      <w:bookmarkStart w:id="188" w:name="_Toc29087"/>
      <w:bookmarkStart w:id="189" w:name="_Toc31015"/>
      <w:bookmarkStart w:id="190" w:name="_Toc17236"/>
      <w:r>
        <w:rPr>
          <w:rFonts w:hint="eastAsia" w:ascii="宋体" w:hAnsi="宋体" w:eastAsia="宋体" w:cs="宋体"/>
          <w:color w:val="auto"/>
          <w:sz w:val="28"/>
          <w:szCs w:val="28"/>
          <w:highlight w:val="none"/>
        </w:rPr>
        <w:t>7. 评标</w:t>
      </w:r>
      <w:bookmarkEnd w:id="187"/>
      <w:bookmarkEnd w:id="188"/>
      <w:bookmarkEnd w:id="189"/>
      <w:bookmarkEnd w:id="190"/>
    </w:p>
    <w:p w14:paraId="7744A385">
      <w:pPr>
        <w:spacing w:line="360" w:lineRule="auto"/>
        <w:rPr>
          <w:rFonts w:ascii="宋体" w:hAnsi="宋体" w:cs="宋体"/>
          <w:b/>
          <w:color w:val="auto"/>
          <w:sz w:val="24"/>
          <w:szCs w:val="24"/>
          <w:highlight w:val="none"/>
        </w:rPr>
      </w:pPr>
      <w:bookmarkStart w:id="191" w:name="_Toc11207"/>
      <w:bookmarkEnd w:id="191"/>
      <w:bookmarkStart w:id="192" w:name="_Toc4770"/>
      <w:r>
        <w:rPr>
          <w:rFonts w:hint="eastAsia" w:ascii="宋体" w:hAnsi="宋体" w:cs="宋体"/>
          <w:b/>
          <w:color w:val="auto"/>
          <w:sz w:val="24"/>
          <w:szCs w:val="24"/>
          <w:highlight w:val="none"/>
        </w:rPr>
        <w:t>7.1 评标委员会</w:t>
      </w:r>
      <w:bookmarkEnd w:id="192"/>
    </w:p>
    <w:p w14:paraId="6A087A50">
      <w:pPr>
        <w:spacing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7.1.1 评标由采购人依法组建的评标委员会负责。评标委员会成员人数见投标人须知前附表。</w:t>
      </w:r>
    </w:p>
    <w:p w14:paraId="72B65822">
      <w:pPr>
        <w:spacing w:line="360" w:lineRule="auto"/>
        <w:ind w:firstLine="540" w:firstLineChars="225"/>
        <w:rPr>
          <w:rFonts w:ascii="宋体" w:hAnsi="宋体" w:cs="宋体"/>
          <w:color w:val="auto"/>
          <w:sz w:val="24"/>
          <w:szCs w:val="24"/>
          <w:highlight w:val="none"/>
        </w:rPr>
      </w:pPr>
      <w:r>
        <w:rPr>
          <w:rFonts w:hint="eastAsia" w:ascii="宋体" w:hAnsi="宋体" w:cs="宋体"/>
          <w:color w:val="auto"/>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5143A872">
      <w:pPr>
        <w:spacing w:line="360" w:lineRule="auto"/>
        <w:rPr>
          <w:rFonts w:ascii="宋体" w:hAnsi="宋体" w:cs="宋体"/>
          <w:b/>
          <w:color w:val="auto"/>
          <w:sz w:val="24"/>
          <w:szCs w:val="24"/>
          <w:highlight w:val="none"/>
        </w:rPr>
      </w:pPr>
      <w:bookmarkStart w:id="193" w:name="_Toc28237"/>
      <w:bookmarkEnd w:id="193"/>
      <w:bookmarkStart w:id="194" w:name="_Toc6336"/>
      <w:r>
        <w:rPr>
          <w:rFonts w:hint="eastAsia" w:ascii="宋体" w:hAnsi="宋体" w:cs="宋体"/>
          <w:b/>
          <w:color w:val="auto"/>
          <w:sz w:val="24"/>
          <w:szCs w:val="24"/>
          <w:highlight w:val="none"/>
        </w:rPr>
        <w:t>7.2 评标原则</w:t>
      </w:r>
      <w:bookmarkEnd w:id="194"/>
    </w:p>
    <w:p w14:paraId="20356F5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评标活动遵循公平、公正、科学和择优的原则。</w:t>
      </w:r>
    </w:p>
    <w:p w14:paraId="66AE05D3">
      <w:pPr>
        <w:spacing w:line="360" w:lineRule="auto"/>
        <w:rPr>
          <w:rFonts w:ascii="宋体" w:hAnsi="宋体" w:cs="宋体"/>
          <w:b/>
          <w:color w:val="auto"/>
          <w:sz w:val="24"/>
          <w:szCs w:val="24"/>
          <w:highlight w:val="none"/>
        </w:rPr>
      </w:pPr>
      <w:bookmarkStart w:id="195" w:name="_Toc10442"/>
      <w:bookmarkEnd w:id="195"/>
      <w:bookmarkStart w:id="196" w:name="_Toc5282"/>
      <w:r>
        <w:rPr>
          <w:rFonts w:hint="eastAsia" w:ascii="宋体" w:hAnsi="宋体" w:cs="宋体"/>
          <w:b/>
          <w:color w:val="auto"/>
          <w:sz w:val="24"/>
          <w:szCs w:val="24"/>
          <w:highlight w:val="none"/>
        </w:rPr>
        <w:t>7.3 评标</w:t>
      </w:r>
      <w:bookmarkEnd w:id="196"/>
    </w:p>
    <w:p w14:paraId="6714732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7.3.1 评标委员会按照第四章“评标办法”规定的方法、评审因素、标准和程序对投标文件进行评审。第四章“评标办法”没有规定的方法、评审因素和标准，不作为评标依据。</w:t>
      </w:r>
    </w:p>
    <w:p w14:paraId="0A4763C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7.3.2 评标完成后，评标委员会应当向采购人提交书面评标报告和中标候选人名单。评标委员会推荐中标候选人的人数见投标人须知前附表。</w:t>
      </w:r>
    </w:p>
    <w:p w14:paraId="1DD8A086">
      <w:pPr>
        <w:pStyle w:val="5"/>
        <w:spacing w:before="0" w:after="0" w:line="360" w:lineRule="auto"/>
        <w:rPr>
          <w:rFonts w:ascii="宋体" w:hAnsi="宋体" w:eastAsia="宋体" w:cs="宋体"/>
          <w:color w:val="auto"/>
          <w:sz w:val="28"/>
          <w:szCs w:val="28"/>
          <w:highlight w:val="none"/>
        </w:rPr>
      </w:pPr>
      <w:bookmarkStart w:id="197" w:name="_Toc6003"/>
      <w:bookmarkEnd w:id="197"/>
      <w:bookmarkStart w:id="198" w:name="_Toc30483"/>
      <w:bookmarkEnd w:id="198"/>
      <w:bookmarkStart w:id="199" w:name="_Toc22840"/>
      <w:bookmarkStart w:id="200" w:name="_Toc24236"/>
      <w:bookmarkStart w:id="201" w:name="_Toc5732"/>
      <w:bookmarkStart w:id="202" w:name="_Toc16029"/>
      <w:r>
        <w:rPr>
          <w:rFonts w:hint="eastAsia" w:ascii="宋体" w:hAnsi="宋体" w:eastAsia="宋体" w:cs="宋体"/>
          <w:color w:val="auto"/>
          <w:sz w:val="28"/>
          <w:szCs w:val="28"/>
          <w:highlight w:val="none"/>
        </w:rPr>
        <w:t>8. 中标和合同</w:t>
      </w:r>
      <w:bookmarkEnd w:id="199"/>
      <w:bookmarkEnd w:id="200"/>
      <w:bookmarkEnd w:id="201"/>
      <w:bookmarkEnd w:id="202"/>
    </w:p>
    <w:p w14:paraId="1E55F718">
      <w:pPr>
        <w:spacing w:line="360" w:lineRule="auto"/>
        <w:rPr>
          <w:rFonts w:ascii="宋体" w:hAnsi="宋体" w:cs="宋体"/>
          <w:b/>
          <w:color w:val="auto"/>
          <w:sz w:val="24"/>
          <w:szCs w:val="24"/>
          <w:highlight w:val="none"/>
        </w:rPr>
      </w:pPr>
      <w:bookmarkStart w:id="203" w:name="_Toc18219"/>
      <w:bookmarkEnd w:id="203"/>
      <w:bookmarkStart w:id="204" w:name="_Toc31217"/>
      <w:r>
        <w:rPr>
          <w:rFonts w:hint="eastAsia" w:ascii="宋体" w:hAnsi="宋体" w:cs="宋体"/>
          <w:b/>
          <w:color w:val="auto"/>
          <w:sz w:val="24"/>
          <w:szCs w:val="24"/>
          <w:highlight w:val="none"/>
        </w:rPr>
        <w:t>8.1 定标</w:t>
      </w:r>
      <w:bookmarkEnd w:id="204"/>
    </w:p>
    <w:p w14:paraId="7134779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按照投标人须知前附表的规定，采购人或采购人授权的评标委员会依法确定中标人。</w:t>
      </w:r>
    </w:p>
    <w:p w14:paraId="5731A05F">
      <w:pPr>
        <w:spacing w:line="360" w:lineRule="auto"/>
        <w:rPr>
          <w:rFonts w:ascii="宋体" w:hAnsi="宋体" w:cs="宋体"/>
          <w:b/>
          <w:color w:val="auto"/>
          <w:sz w:val="24"/>
          <w:szCs w:val="24"/>
          <w:highlight w:val="none"/>
        </w:rPr>
      </w:pPr>
      <w:bookmarkStart w:id="205" w:name="_Toc18811"/>
      <w:bookmarkEnd w:id="205"/>
      <w:bookmarkStart w:id="206" w:name="_Toc18115"/>
      <w:r>
        <w:rPr>
          <w:rFonts w:hint="eastAsia" w:ascii="宋体" w:hAnsi="宋体" w:cs="宋体"/>
          <w:b/>
          <w:color w:val="auto"/>
          <w:sz w:val="24"/>
          <w:szCs w:val="24"/>
          <w:highlight w:val="none"/>
        </w:rPr>
        <w:t>8.2中标公告</w:t>
      </w:r>
      <w:bookmarkEnd w:id="206"/>
    </w:p>
    <w:p w14:paraId="27007FFC">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采购代理机构应当自中标人确定之日起2个工作日内，按照投标人须知前附表规定的媒介和期限公告中标结果，招标文件应当随中标结果同时公告。</w:t>
      </w:r>
    </w:p>
    <w:p w14:paraId="4B5FF0C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中标公告期限详见投标人须知前附表。</w:t>
      </w:r>
    </w:p>
    <w:p w14:paraId="39F90684">
      <w:pPr>
        <w:spacing w:line="360" w:lineRule="auto"/>
        <w:rPr>
          <w:rFonts w:ascii="宋体" w:hAnsi="宋体" w:cs="宋体"/>
          <w:b/>
          <w:color w:val="auto"/>
          <w:sz w:val="24"/>
          <w:szCs w:val="24"/>
          <w:highlight w:val="none"/>
        </w:rPr>
      </w:pPr>
      <w:bookmarkStart w:id="207" w:name="_Toc71734718"/>
      <w:bookmarkStart w:id="208" w:name="_Toc102136481"/>
      <w:bookmarkStart w:id="209" w:name="_Toc11650"/>
      <w:bookmarkStart w:id="210" w:name="_Toc24941"/>
      <w:r>
        <w:rPr>
          <w:rFonts w:hint="eastAsia" w:ascii="宋体" w:hAnsi="宋体" w:cs="宋体"/>
          <w:b/>
          <w:color w:val="auto"/>
          <w:sz w:val="24"/>
          <w:szCs w:val="24"/>
          <w:highlight w:val="none"/>
        </w:rPr>
        <w:t>8.3中标结果质疑</w:t>
      </w:r>
      <w:bookmarkEnd w:id="207"/>
      <w:bookmarkEnd w:id="208"/>
      <w:bookmarkEnd w:id="209"/>
      <w:bookmarkEnd w:id="210"/>
    </w:p>
    <w:p w14:paraId="3F57F5B7">
      <w:pPr>
        <w:spacing w:line="360" w:lineRule="auto"/>
        <w:ind w:firstLine="488"/>
        <w:rPr>
          <w:color w:val="auto"/>
          <w:highlight w:val="none"/>
        </w:rPr>
      </w:pPr>
      <w:r>
        <w:rPr>
          <w:rFonts w:hint="eastAsia" w:ascii="宋体" w:hAnsi="宋体" w:cs="宋体"/>
          <w:color w:val="auto"/>
          <w:sz w:val="24"/>
          <w:szCs w:val="24"/>
          <w:highlight w:val="none"/>
        </w:rPr>
        <w:t>投标人对中标结果有质疑的，应当在中标结果公告期限届满之日起七个工作日内提出。</w:t>
      </w:r>
      <w:r>
        <w:rPr>
          <w:rFonts w:hint="eastAsia" w:ascii="宋体" w:hAnsi="宋体" w:cs="宋体"/>
          <w:color w:val="auto"/>
          <w:sz w:val="24"/>
          <w:szCs w:val="24"/>
          <w:highlight w:val="none"/>
          <w:lang w:val="en-US" w:eastAsia="zh-CN"/>
        </w:rPr>
        <w:t>采购代理机构</w:t>
      </w:r>
      <w:r>
        <w:rPr>
          <w:rFonts w:hint="eastAsia" w:ascii="宋体" w:hAnsi="宋体" w:cs="宋体"/>
          <w:color w:val="auto"/>
          <w:sz w:val="24"/>
          <w:szCs w:val="24"/>
          <w:highlight w:val="none"/>
        </w:rPr>
        <w:t>应当在收到投标人的书面质疑后七个工作日内作出答复，并以书面形式通知质疑投标人，但答复的内容不得涉及商业秘密。</w:t>
      </w:r>
    </w:p>
    <w:p w14:paraId="777E7042">
      <w:pPr>
        <w:spacing w:line="360" w:lineRule="auto"/>
        <w:rPr>
          <w:rFonts w:ascii="宋体" w:hAnsi="宋体" w:cs="宋体"/>
          <w:b/>
          <w:color w:val="auto"/>
          <w:sz w:val="24"/>
          <w:szCs w:val="24"/>
          <w:highlight w:val="none"/>
        </w:rPr>
      </w:pPr>
      <w:bookmarkStart w:id="211" w:name="_Toc8411"/>
      <w:bookmarkEnd w:id="211"/>
      <w:bookmarkStart w:id="212" w:name="_Toc16495"/>
      <w:bookmarkEnd w:id="212"/>
      <w:bookmarkStart w:id="213" w:name="_Toc3833"/>
      <w:r>
        <w:rPr>
          <w:rFonts w:hint="eastAsia" w:ascii="宋体" w:hAnsi="宋体" w:cs="宋体"/>
          <w:b/>
          <w:color w:val="auto"/>
          <w:sz w:val="24"/>
          <w:szCs w:val="24"/>
          <w:highlight w:val="none"/>
        </w:rPr>
        <w:t>8.4中标通知</w:t>
      </w:r>
      <w:bookmarkEnd w:id="213"/>
    </w:p>
    <w:p w14:paraId="766E481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在本章第3.3 款规定的投标有效期内，在公告中标结果的同时，采购人或者采购代理机构应当向中标人发出中标通知书。</w:t>
      </w:r>
    </w:p>
    <w:p w14:paraId="5083E466">
      <w:pPr>
        <w:spacing w:line="360" w:lineRule="auto"/>
        <w:rPr>
          <w:rFonts w:ascii="宋体" w:hAnsi="宋体" w:cs="宋体"/>
          <w:b/>
          <w:color w:val="auto"/>
          <w:sz w:val="24"/>
          <w:szCs w:val="24"/>
          <w:highlight w:val="none"/>
        </w:rPr>
      </w:pPr>
      <w:bookmarkStart w:id="214" w:name="_Toc13042"/>
      <w:bookmarkEnd w:id="214"/>
      <w:bookmarkStart w:id="215" w:name="_Toc7193"/>
      <w:r>
        <w:rPr>
          <w:rFonts w:hint="eastAsia" w:ascii="宋体" w:hAnsi="宋体" w:cs="宋体"/>
          <w:b/>
          <w:color w:val="auto"/>
          <w:sz w:val="24"/>
          <w:szCs w:val="24"/>
          <w:highlight w:val="none"/>
        </w:rPr>
        <w:t>8.5 履约保证金</w:t>
      </w:r>
      <w:bookmarkEnd w:id="215"/>
    </w:p>
    <w:p w14:paraId="045D5BB7">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8.5.1 在签订合同</w:t>
      </w:r>
      <w:r>
        <w:rPr>
          <w:rFonts w:hint="eastAsia" w:ascii="宋体" w:hAnsi="宋体" w:cs="宋体"/>
          <w:color w:val="auto"/>
          <w:sz w:val="24"/>
          <w:szCs w:val="24"/>
          <w:highlight w:val="none"/>
          <w:lang w:val="en-US" w:eastAsia="zh-CN"/>
        </w:rPr>
        <w:t>前</w:t>
      </w:r>
      <w:r>
        <w:rPr>
          <w:rFonts w:hint="eastAsia" w:ascii="宋体" w:hAnsi="宋体" w:cs="宋体"/>
          <w:color w:val="auto"/>
          <w:sz w:val="24"/>
          <w:szCs w:val="24"/>
          <w:highlight w:val="none"/>
        </w:rPr>
        <w:t>，中标人应按投标人须知前附表规定的形式、金额向采购人提交履约保证金。</w:t>
      </w:r>
    </w:p>
    <w:p w14:paraId="4CC333FA">
      <w:pPr>
        <w:spacing w:line="360" w:lineRule="auto"/>
        <w:ind w:firstLine="488"/>
        <w:rPr>
          <w:rFonts w:ascii="宋体" w:hAnsi="宋体" w:cs="宋体"/>
          <w:color w:val="auto"/>
          <w:sz w:val="24"/>
          <w:szCs w:val="24"/>
          <w:highlight w:val="none"/>
        </w:rPr>
      </w:pPr>
      <w:r>
        <w:rPr>
          <w:rFonts w:hint="eastAsia" w:ascii="宋体" w:hAnsi="宋体" w:cs="宋体"/>
          <w:color w:val="auto"/>
          <w:sz w:val="24"/>
          <w:szCs w:val="24"/>
          <w:highlight w:val="none"/>
        </w:rPr>
        <w:t>8.5.2 中标人不能按本章第8.5.1项要求提交履约保证金，视为放弃中标，其投标保证金不予退还，给采购人造成的损失超过投标保证金数额的，中标人还应当对超过部分予以赔偿。</w:t>
      </w:r>
    </w:p>
    <w:p w14:paraId="29B2DF4B">
      <w:pPr>
        <w:spacing w:line="360" w:lineRule="auto"/>
        <w:rPr>
          <w:rFonts w:ascii="宋体" w:hAnsi="宋体" w:cs="宋体"/>
          <w:b/>
          <w:color w:val="auto"/>
          <w:sz w:val="24"/>
          <w:szCs w:val="24"/>
          <w:highlight w:val="none"/>
        </w:rPr>
      </w:pPr>
      <w:bookmarkStart w:id="216" w:name="_Toc6413"/>
      <w:bookmarkEnd w:id="216"/>
      <w:bookmarkStart w:id="217" w:name="_Toc18519"/>
      <w:r>
        <w:rPr>
          <w:rFonts w:hint="eastAsia" w:ascii="宋体" w:hAnsi="宋体" w:cs="宋体"/>
          <w:b/>
          <w:color w:val="auto"/>
          <w:sz w:val="24"/>
          <w:szCs w:val="24"/>
          <w:highlight w:val="none"/>
        </w:rPr>
        <w:t>8.6 签订合同</w:t>
      </w:r>
      <w:bookmarkEnd w:id="217"/>
    </w:p>
    <w:p w14:paraId="7C8DA2B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8.6.1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1A6ACA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8.6.2 中标通知书发出后，采购人不得违法改变中标结果，中标人无正当理由不得放弃中标。</w:t>
      </w:r>
    </w:p>
    <w:p w14:paraId="49481B4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8.6.3联合体中标的，联合体各方应当共同与采购人签订合同，就中标项目向采购人承担连带责任。</w:t>
      </w:r>
    </w:p>
    <w:p w14:paraId="1308B769">
      <w:pPr>
        <w:pStyle w:val="5"/>
        <w:spacing w:before="0" w:after="0" w:line="360" w:lineRule="auto"/>
        <w:rPr>
          <w:rFonts w:ascii="宋体" w:hAnsi="宋体" w:eastAsia="宋体" w:cs="宋体"/>
          <w:color w:val="auto"/>
          <w:sz w:val="28"/>
          <w:szCs w:val="28"/>
          <w:highlight w:val="none"/>
        </w:rPr>
      </w:pPr>
      <w:bookmarkStart w:id="218" w:name="_Toc19434"/>
      <w:bookmarkStart w:id="219" w:name="_Toc30462"/>
      <w:bookmarkStart w:id="220" w:name="_Toc25578"/>
      <w:r>
        <w:rPr>
          <w:rFonts w:hint="eastAsia" w:ascii="宋体" w:hAnsi="宋体" w:eastAsia="宋体" w:cs="宋体"/>
          <w:color w:val="auto"/>
          <w:sz w:val="28"/>
          <w:szCs w:val="28"/>
          <w:highlight w:val="none"/>
        </w:rPr>
        <w:t>9. 询问与答复</w:t>
      </w:r>
      <w:bookmarkEnd w:id="218"/>
      <w:bookmarkEnd w:id="219"/>
      <w:bookmarkEnd w:id="220"/>
    </w:p>
    <w:p w14:paraId="1B723D81">
      <w:pPr>
        <w:pStyle w:val="12"/>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凡对本次招标采购活动事项有疑问的，可以向采购代理机构提出询问，采购代理机构将及时作出答复，但答复的内容不得涉及商业秘密。</w:t>
      </w:r>
    </w:p>
    <w:p w14:paraId="54CBE228">
      <w:pPr>
        <w:pStyle w:val="5"/>
        <w:spacing w:before="0" w:after="0" w:line="360" w:lineRule="auto"/>
        <w:rPr>
          <w:rFonts w:ascii="宋体" w:hAnsi="宋体" w:eastAsia="宋体" w:cs="宋体"/>
          <w:color w:val="auto"/>
          <w:sz w:val="28"/>
          <w:szCs w:val="28"/>
          <w:highlight w:val="none"/>
        </w:rPr>
      </w:pPr>
      <w:bookmarkStart w:id="221" w:name="_Toc11854"/>
      <w:bookmarkEnd w:id="221"/>
      <w:bookmarkStart w:id="222" w:name="_Toc20692"/>
      <w:bookmarkEnd w:id="222"/>
      <w:bookmarkStart w:id="223" w:name="_Toc27246"/>
      <w:bookmarkStart w:id="224" w:name="_Toc6497"/>
      <w:bookmarkStart w:id="225" w:name="_Toc24937"/>
      <w:bookmarkStart w:id="226" w:name="_Toc20594"/>
      <w:r>
        <w:rPr>
          <w:rFonts w:hint="eastAsia" w:ascii="宋体" w:hAnsi="宋体" w:eastAsia="宋体" w:cs="宋体"/>
          <w:color w:val="auto"/>
          <w:sz w:val="28"/>
          <w:szCs w:val="28"/>
          <w:highlight w:val="none"/>
        </w:rPr>
        <w:t>10. 质疑接收、回复</w:t>
      </w:r>
      <w:bookmarkEnd w:id="223"/>
      <w:bookmarkEnd w:id="224"/>
      <w:bookmarkEnd w:id="225"/>
    </w:p>
    <w:p w14:paraId="47C94924">
      <w:pPr>
        <w:widowControl w:val="0"/>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10.1质疑接收</w:t>
      </w:r>
    </w:p>
    <w:p w14:paraId="78BECAD7">
      <w:pPr>
        <w:widowControl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17ADDC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10.1.2 质疑供应商应按照财政部制定的《政府采购质疑函范本》格式和《政府采购质疑和投诉办法》的要求，在法定质疑期内书面形式提出质疑，针对同一采购程序环节的质疑应一次性提出。</w:t>
      </w:r>
    </w:p>
    <w:p w14:paraId="18EB2C0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超出法定质疑期的、重复提出的、分次提出的或内容、形式不符合《政府采购质疑和投诉办法》的，质疑供应商将依法承担不利后果。</w:t>
      </w:r>
    </w:p>
    <w:p w14:paraId="10B668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10.1.3采购代理机构接收质疑函的方式、联系部门、联系电话和通讯地址。</w:t>
      </w:r>
    </w:p>
    <w:p w14:paraId="4653E13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接收质疑函的方式：质疑函采取书面递交形式。</w:t>
      </w:r>
    </w:p>
    <w:p w14:paraId="3DDBFDE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E4552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代理人提出质疑，应当提交供应商签署的授权委托书。</w:t>
      </w:r>
    </w:p>
    <w:p w14:paraId="289E14E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联系部门：</w:t>
      </w:r>
      <w:r>
        <w:rPr>
          <w:rFonts w:hint="eastAsia" w:ascii="宋体" w:hAnsi="宋体" w:cs="宋体"/>
          <w:color w:val="auto"/>
          <w:sz w:val="24"/>
          <w:szCs w:val="24"/>
          <w:highlight w:val="none"/>
        </w:rPr>
        <w:t>山标工程项目管理咨询（云南）有限公司</w:t>
      </w:r>
    </w:p>
    <w:p w14:paraId="0C4535D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联系电话：0871-63522591</w:t>
      </w:r>
    </w:p>
    <w:p w14:paraId="7005A819">
      <w:pPr>
        <w:pStyle w:val="12"/>
        <w:ind w:firstLine="480" w:firstLineChars="200"/>
        <w:rPr>
          <w:rFonts w:ascii="宋体" w:hAnsi="宋体" w:cs="宋体"/>
          <w:color w:val="auto"/>
          <w:sz w:val="24"/>
          <w:highlight w:val="none"/>
        </w:rPr>
      </w:pPr>
      <w:r>
        <w:rPr>
          <w:rFonts w:hint="eastAsia" w:ascii="宋体" w:hAnsi="宋体" w:cs="宋体"/>
          <w:color w:val="auto"/>
          <w:sz w:val="24"/>
          <w:highlight w:val="none"/>
        </w:rPr>
        <w:t>通讯地址：云南省昆明市五华区教场东路与学府路交叉口莲花池财富中心八楼</w:t>
      </w:r>
    </w:p>
    <w:p w14:paraId="3ADF8413">
      <w:pPr>
        <w:pStyle w:val="12"/>
        <w:ind w:firstLine="482" w:firstLineChars="200"/>
        <w:rPr>
          <w:rFonts w:ascii="宋体" w:hAnsi="宋体"/>
          <w:b/>
          <w:color w:val="auto"/>
          <w:kern w:val="0"/>
          <w:sz w:val="24"/>
          <w:highlight w:val="none"/>
        </w:rPr>
      </w:pPr>
      <w:r>
        <w:rPr>
          <w:rFonts w:hint="eastAsia" w:ascii="宋体" w:hAnsi="宋体"/>
          <w:b/>
          <w:color w:val="auto"/>
          <w:kern w:val="0"/>
          <w:sz w:val="24"/>
          <w:highlight w:val="none"/>
        </w:rPr>
        <w:t>10.1.4不按上述要求提出的，采购人和采购代理机构将不予受理。</w:t>
      </w:r>
    </w:p>
    <w:p w14:paraId="315E0F64">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10.2质疑回复</w:t>
      </w:r>
    </w:p>
    <w:p w14:paraId="18B27239">
      <w:pPr>
        <w:spacing w:line="360" w:lineRule="auto"/>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采购人或者</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代理机构应在</w:t>
      </w:r>
      <w:r>
        <w:rPr>
          <w:rFonts w:ascii="宋体" w:hAnsi="宋体"/>
          <w:color w:val="auto"/>
          <w:sz w:val="24"/>
          <w:szCs w:val="24"/>
          <w:highlight w:val="none"/>
        </w:rPr>
        <w:t>收到质疑函后7个工作日内作出答复</w:t>
      </w:r>
      <w:r>
        <w:rPr>
          <w:rFonts w:hint="eastAsia" w:ascii="宋体" w:hAnsi="宋体"/>
          <w:color w:val="auto"/>
          <w:sz w:val="24"/>
          <w:szCs w:val="24"/>
          <w:highlight w:val="none"/>
        </w:rPr>
        <w:t>，</w:t>
      </w:r>
      <w:r>
        <w:rPr>
          <w:rFonts w:ascii="宋体" w:hAnsi="宋体"/>
          <w:color w:val="auto"/>
          <w:sz w:val="24"/>
          <w:szCs w:val="24"/>
          <w:highlight w:val="none"/>
        </w:rPr>
        <w:t>并以书面形式通知质疑</w:t>
      </w:r>
      <w:r>
        <w:rPr>
          <w:rFonts w:hint="eastAsia" w:ascii="宋体" w:hAnsi="宋体"/>
          <w:color w:val="auto"/>
          <w:sz w:val="24"/>
          <w:szCs w:val="24"/>
          <w:highlight w:val="none"/>
          <w:lang w:val="en-US" w:eastAsia="zh-CN"/>
        </w:rPr>
        <w:t>供应商</w:t>
      </w:r>
      <w:r>
        <w:rPr>
          <w:rFonts w:ascii="宋体" w:hAnsi="宋体"/>
          <w:color w:val="auto"/>
          <w:sz w:val="24"/>
          <w:szCs w:val="24"/>
          <w:highlight w:val="none"/>
        </w:rPr>
        <w:t>和其他有关</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，质疑答复的内容不得涉及商业秘密。</w:t>
      </w:r>
    </w:p>
    <w:p w14:paraId="683CEC00">
      <w:pPr>
        <w:pStyle w:val="5"/>
        <w:spacing w:before="0" w:after="0" w:line="360" w:lineRule="auto"/>
        <w:rPr>
          <w:rFonts w:ascii="宋体" w:hAnsi="宋体" w:eastAsia="宋体" w:cs="宋体"/>
          <w:color w:val="auto"/>
          <w:sz w:val="28"/>
          <w:szCs w:val="28"/>
          <w:highlight w:val="none"/>
        </w:rPr>
      </w:pPr>
      <w:bookmarkStart w:id="227" w:name="_Toc28851"/>
      <w:bookmarkStart w:id="228" w:name="_Toc16974"/>
      <w:bookmarkStart w:id="229" w:name="_Toc26005"/>
      <w:r>
        <w:rPr>
          <w:rFonts w:hint="eastAsia" w:ascii="宋体" w:hAnsi="宋体" w:eastAsia="宋体" w:cs="宋体"/>
          <w:color w:val="auto"/>
          <w:sz w:val="28"/>
          <w:szCs w:val="28"/>
          <w:highlight w:val="none"/>
        </w:rPr>
        <w:t>11. 纪律和监督</w:t>
      </w:r>
      <w:bookmarkEnd w:id="226"/>
      <w:bookmarkEnd w:id="227"/>
      <w:bookmarkEnd w:id="228"/>
      <w:bookmarkEnd w:id="229"/>
    </w:p>
    <w:p w14:paraId="1E2B558B">
      <w:pPr>
        <w:spacing w:line="360" w:lineRule="auto"/>
        <w:rPr>
          <w:rFonts w:ascii="宋体" w:hAnsi="宋体" w:cs="宋体"/>
          <w:b/>
          <w:color w:val="auto"/>
          <w:sz w:val="24"/>
          <w:szCs w:val="24"/>
          <w:highlight w:val="none"/>
        </w:rPr>
      </w:pPr>
      <w:bookmarkStart w:id="230" w:name="_Toc453"/>
      <w:bookmarkEnd w:id="230"/>
      <w:bookmarkStart w:id="231" w:name="_Toc14990"/>
      <w:r>
        <w:rPr>
          <w:rFonts w:hint="eastAsia" w:ascii="宋体" w:hAnsi="宋体" w:cs="宋体"/>
          <w:b/>
          <w:color w:val="auto"/>
          <w:sz w:val="24"/>
          <w:szCs w:val="24"/>
          <w:highlight w:val="none"/>
        </w:rPr>
        <w:t>11.1 对采购人的纪律要求</w:t>
      </w:r>
      <w:bookmarkEnd w:id="231"/>
    </w:p>
    <w:p w14:paraId="12B0869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(1)按照《政府采购货物和服务招标投标管理办法》(财政部令第87号)的规定编制采购需求；</w:t>
      </w:r>
    </w:p>
    <w:p w14:paraId="6D11E52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(2)采购人不得向投标人索要或者接受其给予的赠品、回扣或者与采购无关的其他商品、服务；</w:t>
      </w:r>
    </w:p>
    <w:p w14:paraId="14C95E3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(3)在规定时间内确定中标人；</w:t>
      </w:r>
    </w:p>
    <w:p w14:paraId="55C4B1A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(4)不得向中标人提出不合理要求作为签订合同条件。</w:t>
      </w:r>
    </w:p>
    <w:p w14:paraId="69DD5D52">
      <w:pPr>
        <w:spacing w:line="360" w:lineRule="auto"/>
        <w:rPr>
          <w:rFonts w:ascii="宋体" w:hAnsi="宋体" w:cs="宋体"/>
          <w:b/>
          <w:color w:val="auto"/>
          <w:sz w:val="24"/>
          <w:szCs w:val="24"/>
          <w:highlight w:val="none"/>
        </w:rPr>
      </w:pPr>
      <w:bookmarkStart w:id="232" w:name="_Toc20446"/>
      <w:bookmarkEnd w:id="232"/>
      <w:bookmarkStart w:id="233" w:name="_Toc14876"/>
      <w:r>
        <w:rPr>
          <w:rFonts w:hint="eastAsia" w:ascii="宋体" w:hAnsi="宋体" w:cs="宋体"/>
          <w:b/>
          <w:color w:val="auto"/>
          <w:sz w:val="24"/>
          <w:szCs w:val="24"/>
          <w:highlight w:val="none"/>
        </w:rPr>
        <w:t>11.2 对投标人的纪律要求</w:t>
      </w:r>
      <w:bookmarkEnd w:id="233"/>
    </w:p>
    <w:p w14:paraId="07708FA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投标人不得相互串通投标或者与采购人串通投标，不得向采购人或者评标委员会成员行贿谋取中标，不得以他人名义投标或者以其它方式弄虚作假骗取中标；投标人不得以任何方式干扰、影响评标工作。</w:t>
      </w:r>
    </w:p>
    <w:p w14:paraId="1A4804AB">
      <w:pPr>
        <w:spacing w:line="360" w:lineRule="auto"/>
        <w:rPr>
          <w:rFonts w:ascii="宋体" w:hAnsi="宋体" w:cs="宋体"/>
          <w:b/>
          <w:color w:val="auto"/>
          <w:sz w:val="24"/>
          <w:szCs w:val="24"/>
          <w:highlight w:val="none"/>
        </w:rPr>
      </w:pPr>
      <w:bookmarkStart w:id="234" w:name="_Toc17796"/>
      <w:bookmarkEnd w:id="234"/>
      <w:bookmarkStart w:id="235" w:name="_Toc29247"/>
      <w:r>
        <w:rPr>
          <w:rFonts w:hint="eastAsia" w:ascii="宋体" w:hAnsi="宋体" w:cs="宋体"/>
          <w:b/>
          <w:color w:val="auto"/>
          <w:sz w:val="24"/>
          <w:szCs w:val="24"/>
          <w:highlight w:val="none"/>
        </w:rPr>
        <w:t>11.3 对评标委员会成员的纪律要求</w:t>
      </w:r>
      <w:bookmarkEnd w:id="235"/>
    </w:p>
    <w:p w14:paraId="04FC2FA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评标委员会及其成员不得有下列行为：</w:t>
      </w:r>
    </w:p>
    <w:p w14:paraId="5CEAD86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(1)确定参与评标至评标结束前私自接触投标人；</w:t>
      </w:r>
    </w:p>
    <w:p w14:paraId="0B09486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(2)接受投标人提出的与投标文件不一致的澄清或者说明；</w:t>
      </w:r>
    </w:p>
    <w:p w14:paraId="0721DA6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(3)违反评标纪律发表倾向性意见或者征询采购人的倾向性意见；</w:t>
      </w:r>
    </w:p>
    <w:p w14:paraId="139622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(4)对需要专业判断的主观评审因素协商评分；</w:t>
      </w:r>
    </w:p>
    <w:p w14:paraId="4D2FC3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(5)在评标过程中擅离职守，影响评标程序正常进行的；</w:t>
      </w:r>
    </w:p>
    <w:p w14:paraId="58EB52B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(6)记录、复制或者带走任何评标资料；</w:t>
      </w:r>
    </w:p>
    <w:p w14:paraId="4729B24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(7)其他不遵守评标纪律的行为。</w:t>
      </w:r>
    </w:p>
    <w:p w14:paraId="5A07851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评标委员会成员有前款第(1)至(7)项行为之一的，其评审意见无效，并不得获取评审劳务报酬和报销异地评审差旅费。</w:t>
      </w:r>
    </w:p>
    <w:p w14:paraId="29FDD134">
      <w:pPr>
        <w:spacing w:line="360" w:lineRule="auto"/>
        <w:rPr>
          <w:rFonts w:ascii="宋体" w:hAnsi="宋体" w:cs="宋体"/>
          <w:b/>
          <w:color w:val="auto"/>
          <w:sz w:val="24"/>
          <w:szCs w:val="24"/>
          <w:highlight w:val="none"/>
        </w:rPr>
      </w:pPr>
      <w:bookmarkStart w:id="236" w:name="_Toc22639"/>
      <w:bookmarkEnd w:id="236"/>
      <w:bookmarkStart w:id="237" w:name="_Toc5153"/>
      <w:r>
        <w:rPr>
          <w:rFonts w:hint="eastAsia" w:ascii="宋体" w:hAnsi="宋体" w:cs="宋体"/>
          <w:b/>
          <w:color w:val="auto"/>
          <w:sz w:val="24"/>
          <w:szCs w:val="24"/>
          <w:highlight w:val="none"/>
        </w:rPr>
        <w:t>11.4 对与评标活动有关的工作人员的纪律要求</w:t>
      </w:r>
      <w:bookmarkEnd w:id="237"/>
    </w:p>
    <w:p w14:paraId="5D5385C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24D3332">
      <w:pPr>
        <w:spacing w:line="360" w:lineRule="auto"/>
        <w:rPr>
          <w:rFonts w:ascii="宋体" w:hAnsi="宋体"/>
          <w:b/>
          <w:color w:val="auto"/>
          <w:sz w:val="24"/>
          <w:szCs w:val="24"/>
          <w:highlight w:val="none"/>
        </w:rPr>
      </w:pPr>
      <w:r>
        <w:rPr>
          <w:rFonts w:hint="eastAsia" w:ascii="宋体" w:hAnsi="宋体"/>
          <w:b/>
          <w:color w:val="auto"/>
          <w:sz w:val="24"/>
          <w:szCs w:val="24"/>
          <w:highlight w:val="none"/>
        </w:rPr>
        <w:t>11.5 廉洁自律规定</w:t>
      </w:r>
    </w:p>
    <w:p w14:paraId="7F0E5E0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（1）采购代理机构工作人员不得以不正当手段获取政府采购代理业务，不得与采购人、供应商恶意串通操纵政府采购活动。</w:t>
      </w:r>
    </w:p>
    <w:p w14:paraId="79AA6427">
      <w:pPr>
        <w:spacing w:line="360" w:lineRule="auto"/>
        <w:ind w:firstLine="480" w:firstLineChars="200"/>
        <w:rPr>
          <w:color w:val="auto"/>
          <w:highlight w:val="none"/>
        </w:rPr>
      </w:pPr>
      <w:r>
        <w:rPr>
          <w:rFonts w:hint="eastAsia" w:ascii="宋体" w:hAnsi="宋体"/>
          <w:color w:val="auto"/>
          <w:sz w:val="24"/>
          <w:szCs w:val="24"/>
          <w:highlight w:val="none"/>
        </w:rPr>
        <w:t>（2）采购代理机构工作人员不得接受采购人或者供应商组织的宴请、旅游、娱乐，不得收受礼品、现金、有价证券等，不得向采购人或者供应商报销应当由个人承担的费用。</w:t>
      </w:r>
    </w:p>
    <w:p w14:paraId="5F6CDAE6">
      <w:pPr>
        <w:pStyle w:val="5"/>
        <w:spacing w:before="0" w:after="0" w:line="360" w:lineRule="auto"/>
        <w:rPr>
          <w:rFonts w:ascii="宋体" w:hAnsi="宋体" w:eastAsia="宋体" w:cs="宋体"/>
          <w:color w:val="auto"/>
          <w:sz w:val="28"/>
          <w:szCs w:val="28"/>
          <w:highlight w:val="none"/>
        </w:rPr>
      </w:pPr>
      <w:bookmarkStart w:id="238" w:name="_Toc11291"/>
      <w:bookmarkEnd w:id="238"/>
      <w:bookmarkStart w:id="239" w:name="_Toc3960"/>
      <w:bookmarkEnd w:id="239"/>
      <w:bookmarkStart w:id="240" w:name="_Toc11354"/>
      <w:bookmarkEnd w:id="240"/>
      <w:bookmarkStart w:id="241" w:name="_Toc18697"/>
      <w:bookmarkEnd w:id="241"/>
      <w:bookmarkStart w:id="242" w:name="_Toc19873"/>
      <w:bookmarkEnd w:id="242"/>
      <w:bookmarkStart w:id="243" w:name="_Toc3671"/>
      <w:bookmarkStart w:id="244" w:name="_Toc23850"/>
      <w:bookmarkStart w:id="245" w:name="_Toc14857"/>
      <w:bookmarkStart w:id="246" w:name="_Toc25889"/>
      <w:r>
        <w:rPr>
          <w:rFonts w:hint="eastAsia" w:ascii="宋体" w:hAnsi="宋体" w:eastAsia="宋体" w:cs="宋体"/>
          <w:color w:val="auto"/>
          <w:sz w:val="28"/>
          <w:szCs w:val="28"/>
          <w:highlight w:val="none"/>
        </w:rPr>
        <w:t>12. 需要补充的其他内容</w:t>
      </w:r>
      <w:bookmarkEnd w:id="243"/>
      <w:bookmarkEnd w:id="244"/>
      <w:bookmarkEnd w:id="245"/>
      <w:bookmarkEnd w:id="246"/>
    </w:p>
    <w:p w14:paraId="14E746A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需要补充的其他内容：见投标人须知前附表。</w:t>
      </w:r>
    </w:p>
    <w:p w14:paraId="0DD92BBC">
      <w:pPr>
        <w:pStyle w:val="5"/>
        <w:spacing w:after="0" w:line="360" w:lineRule="auto"/>
        <w:rPr>
          <w:rFonts w:ascii="宋体" w:hAnsi="宋体" w:eastAsia="宋体" w:cs="宋体"/>
          <w:color w:val="auto"/>
          <w:sz w:val="28"/>
          <w:szCs w:val="28"/>
          <w:highlight w:val="none"/>
        </w:rPr>
      </w:pPr>
      <w:bookmarkStart w:id="247" w:name="_Toc29748"/>
      <w:bookmarkStart w:id="248" w:name="_Toc11632"/>
      <w:r>
        <w:rPr>
          <w:rFonts w:hint="eastAsia" w:ascii="宋体" w:hAnsi="宋体" w:eastAsia="宋体" w:cs="宋体"/>
          <w:color w:val="auto"/>
          <w:sz w:val="28"/>
          <w:szCs w:val="28"/>
          <w:highlight w:val="none"/>
        </w:rPr>
        <w:t>13. 政府采购政策</w:t>
      </w:r>
      <w:bookmarkEnd w:id="247"/>
      <w:bookmarkEnd w:id="248"/>
    </w:p>
    <w:p w14:paraId="600D85FE">
      <w:pPr>
        <w:spacing w:before="158" w:beforeLines="5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具体要求详见投标人须知前附表第13项 需要补充的其他内容</w:t>
      </w:r>
    </w:p>
    <w:p w14:paraId="17A333E3">
      <w:pPr>
        <w:spacing w:before="158" w:beforeLines="5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13.1关于中小企业</w:t>
      </w:r>
    </w:p>
    <w:p w14:paraId="6B0091E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D1F4CEA">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13.1.2在政府采购活动中，投标人提供的货物、工程或者服务符合下列情形的，享受中小企业扶持政策：</w:t>
      </w:r>
    </w:p>
    <w:p w14:paraId="7BACA6B5">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（一）在货物采购项目中，货物由中小企业制造，即货物由中小企业生产且使用该中小企业商号或者注册商标；</w:t>
      </w:r>
    </w:p>
    <w:p w14:paraId="7FB46788">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（二）在工程采购项目中，工程由中小企业承建，即工程施工单位为中小企业；</w:t>
      </w:r>
    </w:p>
    <w:p w14:paraId="3F2DB118">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（三）在服务采购项目中，服务由中小企业承接，即提供服务的人员为中小企业依照《中华人民共和国劳动合同法》订立劳动合同的从业人员。</w:t>
      </w:r>
    </w:p>
    <w:p w14:paraId="1AB464D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在货物采购项目中，投标人提供的货物既有中小企业制造货物，也有大型企业制造货物的，不享受本办法规定的中小企业扶持政策。</w:t>
      </w:r>
    </w:p>
    <w:p w14:paraId="48E39817">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14:paraId="78CC2F3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13.1.3依据《政府采购促进中小企业发展管理办法》（财库〔2020〕46号）规定享受扶持政策获得政府采购合同的，小微企业不得将合同分包给大中型企业，中型企业不得将合同分包给大型企业。</w:t>
      </w:r>
    </w:p>
    <w:p w14:paraId="4552C37A">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13.1.4中小企业参加政府采购活动，应当出具本办法规定的《中小企业声明函》（后附），否则不得享受相关中小企业扶持政策。</w:t>
      </w:r>
    </w:p>
    <w:p w14:paraId="33AB552B">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13.1.5《关于印发中小企业划型标准规定的通知》（工信部联企业〔2011〕300号）中小企业划型标准规定节选：</w:t>
      </w:r>
    </w:p>
    <w:p w14:paraId="29474E57">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四、各行业划型标准为：</w:t>
      </w:r>
    </w:p>
    <w:p w14:paraId="71F2651B">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6D40320D">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47D31E8">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E9F1F4E">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D430E90">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E90D0B">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A006C2A">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8201C14">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C06680">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A24BA0">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10D31B">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4F5FE3">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9E08C5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DEFD225">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9DA48C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1228722">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6D014B10">
      <w:pPr>
        <w:spacing w:before="158" w:beforeLines="5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13.2关于残疾人福利性单位：</w:t>
      </w:r>
    </w:p>
    <w:p w14:paraId="5A61E92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13.2.1根据《关于促进残疾人就业政府采购政策的通知》（财库〔2017〕141号）的规定，享受政府采购支持政策的残疾人福利性单位应当同时满足以下条件：</w:t>
      </w:r>
    </w:p>
    <w:p w14:paraId="5A90C94B">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（一）安置的残疾人占本单位在职职工人数的比例不低于25%（含25%），并且安置的残疾人人数不少于10人（含10人）；</w:t>
      </w:r>
    </w:p>
    <w:p w14:paraId="693A1031">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（二）依法与安置的每位残疾人签订了一年以上（含一年）的劳动合同或服务协议；</w:t>
      </w:r>
    </w:p>
    <w:p w14:paraId="068E2727">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（三）为安置的每位残疾人按月足额缴纳了基本养老保险、基本医疗保险、失业保险、工伤保险和生育保险等社会保险费；</w:t>
      </w:r>
    </w:p>
    <w:p w14:paraId="6F160B7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（四）通过银行等金融机构向安置的每位残疾人，按月支付了不低于单位所在区县适用的经省级人民政府批准的月最低工资标准的工资；</w:t>
      </w:r>
    </w:p>
    <w:p w14:paraId="156A6DE2">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7FDA9CB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502EDB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13.2.2符合条件的残疾人福利性单位在参加政府采购活动时，应当按《三部门联合发布关于促进残疾人就业政府采购政策的通知》（财库〔2017〕141号）提供规定的《残疾人福利性单位声明函》，并对声明的真实性负责。</w:t>
      </w:r>
    </w:p>
    <w:p w14:paraId="4FA1F85D">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13.2.3</w:t>
      </w:r>
      <w:bookmarkStart w:id="249" w:name="_Hlk92451014"/>
      <w:r>
        <w:rPr>
          <w:rFonts w:hint="eastAsia" w:ascii="宋体" w:hAnsi="宋体" w:cs="宋体"/>
          <w:color w:val="auto"/>
          <w:sz w:val="24"/>
          <w:szCs w:val="24"/>
          <w:highlight w:val="none"/>
        </w:rPr>
        <w:t>残疾人福利性单位属于小型、微型企业、监狱企业的，不重复享受政策。</w:t>
      </w:r>
      <w:bookmarkEnd w:id="249"/>
    </w:p>
    <w:p w14:paraId="4967A265">
      <w:pPr>
        <w:spacing w:before="158" w:beforeLines="5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13.3关于监狱企业：</w:t>
      </w:r>
    </w:p>
    <w:p w14:paraId="5BF2E0D6">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13.3.1 依照&lt;财政部 司法部关于政府采购支持监狱企业发展有关问题的通知&gt;（财库〔2014〕68号）之规定，监狱企业应当符合以下条件：</w:t>
      </w:r>
    </w:p>
    <w:p w14:paraId="6A0A9B73">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33DDF8">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13.3.3 监狱企业参加政府采购活动时，视同小型、微型企业，应当提供由省级以上监狱管理局、戒毒管理局（含新疆生产建设兵团）出具的属于监狱企业的证明文件。</w:t>
      </w:r>
    </w:p>
    <w:p w14:paraId="1728C135">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13.3.4在政府采购活动中，监狱企业视同小型、微型企业，享受预留份额、评审中价格扣除等政府采购促进中小企业发展的政府采购政策。</w:t>
      </w:r>
    </w:p>
    <w:p w14:paraId="08698D1E">
      <w:pPr>
        <w:spacing w:before="158" w:beforeLines="50"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13.4关于节能产品及环境标志产品</w:t>
      </w:r>
    </w:p>
    <w:p w14:paraId="2EBC6ACE">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13.4.1节能产品是指列入财政部和发展改革委公布的《关于印发节能产品政府采购品目清单的通知》（财库〔2019〕19 号）《节能产品政府采购品目清单》中的产品，其中以标注的政府强制采购产品。</w:t>
      </w:r>
    </w:p>
    <w:p w14:paraId="4B384180">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13.4.2环境标志产品是指列入财政部和生态环境部公布的《关于印发环境标志产品政府采购品目清单的通知》（财库〔2019〕18 号）《环境标志产品政府采购品目清单》中的产品。</w:t>
      </w:r>
    </w:p>
    <w:p w14:paraId="31C5E0E9">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13.4.3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AB67BD1">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13.4.4投标人应在投标文件中提供所投标产品国家确定的认证机构出具的、处于有效期之内的节能产品、环境标志产品认证证书，否则不予认可。</w:t>
      </w:r>
    </w:p>
    <w:p w14:paraId="160BEE2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13.4.5《节能产品政府采购品目清单》及《环境标志产品政府采购品目清单》可通过中国政府采购网（http://www.ccgp.gov.cn/）查阅、下载。认证机构名录如若以现行最新规定为准。</w:t>
      </w:r>
    </w:p>
    <w:p w14:paraId="143A4569">
      <w:pPr>
        <w:spacing w:line="240" w:lineRule="exact"/>
        <w:rPr>
          <w:rFonts w:ascii="宋体" w:hAnsi="宋体" w:cs="宋体"/>
          <w:color w:val="auto"/>
          <w:highlight w:val="none"/>
        </w:rPr>
      </w:pPr>
      <w:r>
        <w:rPr>
          <w:rFonts w:hint="eastAsia" w:ascii="宋体" w:hAnsi="宋体" w:cs="宋体"/>
          <w:color w:val="auto"/>
          <w:sz w:val="32"/>
          <w:szCs w:val="32"/>
          <w:highlight w:val="none"/>
        </w:rPr>
        <w:br w:type="page"/>
      </w:r>
      <w:bookmarkStart w:id="250" w:name="_Toc31137"/>
      <w:bookmarkEnd w:id="250"/>
      <w:bookmarkStart w:id="251" w:name="_Toc13313"/>
    </w:p>
    <w:bookmarkEnd w:id="251"/>
    <w:p w14:paraId="5FB46D31">
      <w:pPr>
        <w:pStyle w:val="4"/>
        <w:spacing w:before="0" w:after="0" w:line="360" w:lineRule="auto"/>
        <w:jc w:val="center"/>
        <w:rPr>
          <w:rFonts w:ascii="宋体" w:hAnsi="宋体" w:cs="宋体"/>
          <w:b w:val="0"/>
          <w:color w:val="auto"/>
          <w:highlight w:val="none"/>
        </w:rPr>
      </w:pPr>
      <w:bookmarkStart w:id="252" w:name="_Toc30451"/>
      <w:bookmarkStart w:id="253" w:name="_Toc3069"/>
      <w:bookmarkStart w:id="254" w:name="_Toc32052"/>
      <w:bookmarkStart w:id="255" w:name="_Toc12105"/>
      <w:r>
        <w:rPr>
          <w:rStyle w:val="26"/>
          <w:rFonts w:hint="eastAsia" w:ascii="宋体" w:hAnsi="宋体" w:cs="宋体"/>
          <w:b/>
          <w:bCs/>
          <w:color w:val="auto"/>
          <w:highlight w:val="none"/>
        </w:rPr>
        <w:t>第三章 资格审查</w:t>
      </w:r>
      <w:bookmarkEnd w:id="252"/>
      <w:bookmarkEnd w:id="253"/>
      <w:bookmarkEnd w:id="254"/>
      <w:bookmarkEnd w:id="255"/>
    </w:p>
    <w:p w14:paraId="15D74DEF">
      <w:pPr>
        <w:pStyle w:val="21"/>
        <w:spacing w:before="0" w:beforeAutospacing="0" w:after="0" w:afterAutospacing="0" w:line="360" w:lineRule="auto"/>
        <w:ind w:firstLine="480" w:firstLineChars="200"/>
        <w:jc w:val="both"/>
        <w:rPr>
          <w:rFonts w:ascii="宋体" w:hAnsi="宋体" w:cs="宋体"/>
          <w:color w:val="auto"/>
          <w:highlight w:val="none"/>
        </w:rPr>
      </w:pPr>
    </w:p>
    <w:p w14:paraId="3F56B288">
      <w:pPr>
        <w:pStyle w:val="21"/>
        <w:spacing w:before="0" w:beforeAutospacing="0" w:after="0" w:afterAutospacing="0" w:line="360" w:lineRule="auto"/>
        <w:ind w:firstLine="480" w:firstLineChars="200"/>
        <w:jc w:val="both"/>
        <w:rPr>
          <w:rFonts w:ascii="宋体" w:hAnsi="宋体" w:cs="宋体"/>
          <w:color w:val="auto"/>
          <w:highlight w:val="none"/>
        </w:rPr>
      </w:pPr>
      <w:r>
        <w:rPr>
          <w:rFonts w:hint="eastAsia" w:ascii="宋体" w:hAnsi="宋体" w:cs="宋体"/>
          <w:color w:val="auto"/>
          <w:highlight w:val="none"/>
        </w:rPr>
        <w:t>公开招标采购项目开标结束后，采购</w:t>
      </w:r>
      <w:r>
        <w:rPr>
          <w:rFonts w:hint="eastAsia" w:ascii="宋体" w:hAnsi="宋体" w:cs="宋体"/>
          <w:color w:val="auto"/>
          <w:highlight w:val="none"/>
          <w:lang w:val="en-US" w:eastAsia="zh-CN"/>
        </w:rPr>
        <w:t>人（和/或）采购</w:t>
      </w:r>
      <w:r>
        <w:rPr>
          <w:rFonts w:hint="eastAsia" w:ascii="宋体" w:hAnsi="宋体" w:cs="宋体"/>
          <w:color w:val="auto"/>
          <w:highlight w:val="none"/>
        </w:rPr>
        <w:t>代理机构依法对投标人的资格进行审查。合格投标人不足3家的，不得评标。</w:t>
      </w:r>
    </w:p>
    <w:p w14:paraId="73A04E91">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资格审查：</w:t>
      </w:r>
    </w:p>
    <w:p w14:paraId="4ECE4243">
      <w:pPr>
        <w:pStyle w:val="3"/>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en-US" w:eastAsia="zh-CN"/>
        </w:rPr>
        <w:t>人（和/或）采购</w:t>
      </w:r>
      <w:r>
        <w:rPr>
          <w:rFonts w:hint="eastAsia" w:ascii="宋体" w:hAnsi="宋体" w:cs="宋体"/>
          <w:color w:val="auto"/>
          <w:sz w:val="24"/>
          <w:szCs w:val="24"/>
          <w:highlight w:val="none"/>
        </w:rPr>
        <w:t>代理机构依据法律法规和招标文件的规定，对投标文件中“证明投标人的资格文件”进行审查，以确定投标人是否具备投标资格。只有通过资格审查的投标文件才能进入评标。</w:t>
      </w:r>
    </w:p>
    <w:p w14:paraId="27458977">
      <w:pPr>
        <w:pStyle w:val="3"/>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不符合下列情形之一的投标文件</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不能通过资格审查：</w:t>
      </w:r>
    </w:p>
    <w:p w14:paraId="0EB4BEBD">
      <w:pPr>
        <w:widowControl w:val="0"/>
        <w:spacing w:line="360" w:lineRule="auto"/>
        <w:ind w:firstLine="480" w:firstLineChars="200"/>
        <w:jc w:val="both"/>
        <w:rPr>
          <w:rFonts w:ascii="宋体" w:hAnsi="宋体" w:cs="宋体"/>
          <w:color w:val="auto"/>
          <w:kern w:val="2"/>
          <w:sz w:val="24"/>
          <w:szCs w:val="24"/>
          <w:highlight w:val="none"/>
          <w:lang w:bidi="ar"/>
        </w:rPr>
      </w:pPr>
      <w:bookmarkStart w:id="256" w:name="_Toc5266"/>
      <w:r>
        <w:rPr>
          <w:rFonts w:hint="eastAsia" w:ascii="宋体" w:hAnsi="宋体" w:cs="宋体"/>
          <w:color w:val="auto"/>
          <w:kern w:val="2"/>
          <w:sz w:val="24"/>
          <w:szCs w:val="24"/>
          <w:highlight w:val="none"/>
          <w:lang w:bidi="ar"/>
        </w:rPr>
        <w:t>1.1具有独立承担民事责任的能力（提供法人或者其他组织的营业执照等证明文件）。</w:t>
      </w:r>
    </w:p>
    <w:p w14:paraId="139431B7">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1.2具有良好的商业信誉和健全的财务会计制度。投标人提供以下两者其一即可：</w:t>
      </w:r>
    </w:p>
    <w:p w14:paraId="0FBF7301">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①提供2022年或</w:t>
      </w:r>
      <w:r>
        <w:rPr>
          <w:rFonts w:hint="eastAsia" w:ascii="宋体" w:hAnsi="宋体" w:cs="宋体"/>
          <w:color w:val="auto"/>
          <w:kern w:val="2"/>
          <w:sz w:val="24"/>
          <w:szCs w:val="24"/>
          <w:highlight w:val="none"/>
          <w:lang w:eastAsia="zh-CN" w:bidi="ar"/>
        </w:rPr>
        <w:t>2023年或2024年经审计</w:t>
      </w:r>
      <w:r>
        <w:rPr>
          <w:rFonts w:hint="eastAsia" w:ascii="宋体" w:hAnsi="宋体" w:cs="宋体"/>
          <w:color w:val="auto"/>
          <w:kern w:val="2"/>
          <w:sz w:val="24"/>
          <w:szCs w:val="24"/>
          <w:highlight w:val="none"/>
          <w:lang w:bidi="ar"/>
        </w:rPr>
        <w:t>的财务报告(至少包括资产负债表、利润表、现金流量表)，新成立不满1年的投标人</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提供自成立至今的财务报表；</w:t>
      </w:r>
    </w:p>
    <w:p w14:paraId="34C77F98">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②提供自投标文件上传截止时间</w:t>
      </w:r>
      <w:r>
        <w:rPr>
          <w:rFonts w:hint="eastAsia" w:ascii="宋体" w:hAnsi="宋体" w:cs="宋体"/>
          <w:color w:val="auto"/>
          <w:kern w:val="2"/>
          <w:sz w:val="24"/>
          <w:szCs w:val="24"/>
          <w:highlight w:val="none"/>
          <w:lang w:eastAsia="zh-CN" w:bidi="ar"/>
        </w:rPr>
        <w:t>前三个月内基本开户银行出具的资信证明或承诺函</w:t>
      </w:r>
      <w:r>
        <w:rPr>
          <w:rFonts w:hint="eastAsia" w:ascii="宋体" w:hAnsi="宋体" w:cs="宋体"/>
          <w:color w:val="auto"/>
          <w:kern w:val="2"/>
          <w:sz w:val="24"/>
          <w:szCs w:val="24"/>
          <w:highlight w:val="none"/>
          <w:lang w:bidi="ar"/>
        </w:rPr>
        <w:t>。</w:t>
      </w:r>
    </w:p>
    <w:p w14:paraId="2051C10A">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1.3具有履行合同所必需的设备和专业技术能力（</w:t>
      </w:r>
      <w:r>
        <w:rPr>
          <w:rFonts w:hint="eastAsia" w:ascii="宋体" w:hAnsi="宋体" w:cs="宋体"/>
          <w:color w:val="auto"/>
          <w:sz w:val="24"/>
          <w:szCs w:val="24"/>
          <w:highlight w:val="none"/>
        </w:rPr>
        <w:t>提供相关证明材料或承诺书</w:t>
      </w:r>
      <w:r>
        <w:rPr>
          <w:rFonts w:hint="eastAsia" w:ascii="宋体" w:hAnsi="宋体" w:cs="宋体"/>
          <w:color w:val="auto"/>
          <w:kern w:val="2"/>
          <w:sz w:val="24"/>
          <w:szCs w:val="24"/>
          <w:highlight w:val="none"/>
          <w:lang w:bidi="ar"/>
        </w:rPr>
        <w:t>）。</w:t>
      </w:r>
    </w:p>
    <w:p w14:paraId="7F4D1216">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1.4具有依法缴纳税收和社会保障资金的良好记录。提供2024年1月至今</w:t>
      </w:r>
      <w:r>
        <w:rPr>
          <w:rFonts w:hint="eastAsia" w:ascii="宋体" w:hAnsi="宋体" w:cs="宋体"/>
          <w:color w:val="auto"/>
          <w:kern w:val="2"/>
          <w:sz w:val="24"/>
          <w:szCs w:val="24"/>
          <w:highlight w:val="none"/>
          <w:lang w:eastAsia="zh-CN" w:bidi="ar"/>
        </w:rPr>
        <w:t>任意3个月</w:t>
      </w:r>
      <w:r>
        <w:rPr>
          <w:rFonts w:hint="eastAsia" w:ascii="宋体" w:hAnsi="宋体" w:cs="宋体"/>
          <w:color w:val="auto"/>
          <w:kern w:val="2"/>
          <w:sz w:val="24"/>
          <w:szCs w:val="24"/>
          <w:highlight w:val="none"/>
          <w:lang w:bidi="ar"/>
        </w:rPr>
        <w:t>依法缴纳税收和缴纳社会保障资金的证明(</w:t>
      </w:r>
      <w:r>
        <w:rPr>
          <w:rFonts w:hint="eastAsia" w:ascii="宋体" w:hAnsi="宋体" w:cs="宋体"/>
          <w:color w:val="auto"/>
          <w:kern w:val="2"/>
          <w:sz w:val="24"/>
          <w:szCs w:val="24"/>
          <w:highlight w:val="none"/>
          <w:lang w:eastAsia="zh-CN" w:bidi="ar"/>
        </w:rPr>
        <w:t>成立未满3个月的提供成立</w:t>
      </w:r>
      <w:r>
        <w:rPr>
          <w:rFonts w:hint="eastAsia" w:ascii="宋体" w:hAnsi="宋体" w:cs="宋体"/>
          <w:color w:val="auto"/>
          <w:kern w:val="2"/>
          <w:sz w:val="24"/>
          <w:szCs w:val="24"/>
          <w:highlight w:val="none"/>
          <w:lang w:bidi="ar"/>
        </w:rPr>
        <w:t>以来的税收和社会保障资金缴纳凭据；依法免税或不需要缴纳社会保障资金的投标人，应提供相应文件证明)。</w:t>
      </w:r>
    </w:p>
    <w:p w14:paraId="3101207C">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1.5参加政府采购活动前三年内，在经营活动中没有重大违法记录</w:t>
      </w:r>
      <w:r>
        <w:rPr>
          <w:rFonts w:hint="eastAsia" w:ascii="宋体" w:hAnsi="宋体" w:cs="宋体"/>
          <w:color w:val="auto"/>
          <w:sz w:val="24"/>
          <w:szCs w:val="24"/>
          <w:highlight w:val="none"/>
        </w:rPr>
        <w:t>（重大违法记录是指投标人因违法经营受到刑事处罚或者责令停产停业、吊销许可证或者执照、较大数额罚款等行政处罚）的书面声明</w:t>
      </w:r>
      <w:r>
        <w:rPr>
          <w:rFonts w:hint="eastAsia" w:ascii="宋体" w:hAnsi="宋体" w:cs="宋体"/>
          <w:color w:val="auto"/>
          <w:kern w:val="2"/>
          <w:sz w:val="24"/>
          <w:szCs w:val="24"/>
          <w:highlight w:val="none"/>
          <w:lang w:bidi="ar"/>
        </w:rPr>
        <w:t>。</w:t>
      </w:r>
    </w:p>
    <w:p w14:paraId="600CDA7A">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1.6法律、行政法规规定的其他条件。</w:t>
      </w:r>
    </w:p>
    <w:p w14:paraId="3D912419">
      <w:pPr>
        <w:pageBreakBefore w:val="0"/>
        <w:kinsoku/>
        <w:wordWrap/>
        <w:overflowPunct/>
        <w:topLinePunct w:val="0"/>
        <w:autoSpaceDE/>
        <w:autoSpaceDN/>
        <w:bidi w:val="0"/>
        <w:adjustRightInd/>
        <w:snapToGrid/>
        <w:spacing w:line="360" w:lineRule="auto"/>
        <w:ind w:firstLine="465"/>
        <w:textAlignment w:val="auto"/>
        <w:outlineLvl w:val="9"/>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1.6.1 </w:t>
      </w:r>
      <w:r>
        <w:rPr>
          <w:rFonts w:hint="eastAsia" w:ascii="宋体" w:hAnsi="宋体" w:cs="宋体"/>
          <w:color w:val="auto"/>
          <w:kern w:val="2"/>
          <w:sz w:val="24"/>
          <w:szCs w:val="24"/>
          <w:highlight w:val="none"/>
          <w:lang w:eastAsia="zh-CN" w:bidi="ar"/>
        </w:rPr>
        <w:t>单位负责人为同一人或者存在直接控股、管理关系的不同供应商，不得参加同一合同项下的政府采购活动</w:t>
      </w:r>
      <w:r>
        <w:rPr>
          <w:rFonts w:hint="eastAsia" w:ascii="宋体" w:hAnsi="宋体" w:cs="宋体"/>
          <w:b w:val="0"/>
          <w:bCs w:val="0"/>
          <w:color w:val="auto"/>
          <w:sz w:val="24"/>
          <w:szCs w:val="24"/>
          <w:highlight w:val="none"/>
          <w:lang w:val="en-US" w:eastAsia="zh-CN" w:bidi="ar-SA"/>
        </w:rPr>
        <w:t>；</w:t>
      </w:r>
      <w:r>
        <w:rPr>
          <w:rFonts w:hint="eastAsia" w:ascii="宋体" w:hAnsi="宋体" w:cs="宋体"/>
          <w:color w:val="auto"/>
          <w:kern w:val="2"/>
          <w:sz w:val="24"/>
          <w:szCs w:val="24"/>
          <w:highlight w:val="none"/>
          <w:lang w:bidi="ar"/>
        </w:rPr>
        <w:t>为采购项目提供整体设计、规范编制或者项目管理、监理、检测等服务的供应商，不得再参加该采购项目的其他采购活动。</w:t>
      </w:r>
    </w:p>
    <w:p w14:paraId="7C651D53">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1.6.2投标人应在“信用中国”网站(www.creditchina.gov.cn)未被列入失信被执行人记录、重大税收违法失信主体及中国政府采购网(www.ccgp.gov.cn)没有政府采购严重违法失信行为记录</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提供查询时间为本公告发布之日起至提交投标文件截止时间止的网站截图</w:t>
      </w:r>
      <w:r>
        <w:rPr>
          <w:rFonts w:hint="eastAsia" w:ascii="宋体" w:hAnsi="宋体" w:cs="宋体"/>
          <w:color w:val="auto"/>
          <w:sz w:val="24"/>
          <w:highlight w:val="none"/>
          <w:lang w:eastAsia="zh-CN"/>
        </w:rPr>
        <w:t>，</w:t>
      </w:r>
      <w:r>
        <w:rPr>
          <w:rFonts w:hint="eastAsia" w:ascii="宋体" w:hAnsi="宋体" w:cs="宋体"/>
          <w:color w:val="auto"/>
          <w:sz w:val="24"/>
          <w:highlight w:val="none"/>
        </w:rPr>
        <w:t>查询结果</w:t>
      </w:r>
      <w:r>
        <w:rPr>
          <w:rFonts w:hint="eastAsia" w:ascii="宋体" w:hAnsi="宋体" w:cs="宋体"/>
          <w:color w:val="auto"/>
          <w:sz w:val="24"/>
          <w:highlight w:val="none"/>
          <w:lang w:val="en-US" w:eastAsia="zh-CN"/>
        </w:rPr>
        <w:t>最终</w:t>
      </w:r>
      <w:r>
        <w:rPr>
          <w:rFonts w:hint="eastAsia" w:ascii="宋体" w:hAnsi="宋体" w:cs="宋体"/>
          <w:color w:val="auto"/>
          <w:sz w:val="24"/>
          <w:highlight w:val="none"/>
        </w:rPr>
        <w:t>以采购人、采购代理机构在开标后评标开始前查询结果为准，并将查询记录留存）</w:t>
      </w:r>
      <w:r>
        <w:rPr>
          <w:rFonts w:hint="eastAsia" w:ascii="宋体" w:hAnsi="宋体" w:cs="宋体"/>
          <w:color w:val="auto"/>
          <w:kern w:val="2"/>
          <w:sz w:val="24"/>
          <w:szCs w:val="24"/>
          <w:highlight w:val="none"/>
          <w:lang w:bidi="ar"/>
        </w:rPr>
        <w:t>。</w:t>
      </w:r>
    </w:p>
    <w:p w14:paraId="1649814B">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2.落实政府采购政策需满足的资格要求：</w:t>
      </w:r>
      <w:r>
        <w:rPr>
          <w:rFonts w:hint="eastAsia" w:ascii="宋体" w:hAnsi="宋体" w:cs="宋体"/>
          <w:i w:val="0"/>
          <w:iCs w:val="0"/>
          <w:color w:val="auto"/>
          <w:kern w:val="2"/>
          <w:sz w:val="24"/>
          <w:szCs w:val="24"/>
          <w:highlight w:val="none"/>
          <w:lang w:val="en-US" w:eastAsia="zh-CN" w:bidi="ar"/>
        </w:rPr>
        <w:t>本项目为专门面向中小企业采购（投标人须按招标文件要求提供《中小企业声明函》，否则，其提供的中小企业声明将被判定为无效声明函，由此造成的后果（涉及资格的按无效投标处理；涉及价格评审优惠的，不予认定）由投标人自行承担），残疾人企业和监狱企业视同为小微企业</w:t>
      </w:r>
      <w:r>
        <w:rPr>
          <w:rFonts w:hint="eastAsia" w:ascii="宋体" w:hAnsi="宋体" w:eastAsia="宋体" w:cs="宋体"/>
          <w:i w:val="0"/>
          <w:iCs w:val="0"/>
          <w:color w:val="auto"/>
          <w:kern w:val="2"/>
          <w:sz w:val="24"/>
          <w:szCs w:val="24"/>
          <w:highlight w:val="none"/>
          <w:lang w:val="en-US" w:eastAsia="zh-CN" w:bidi="ar"/>
        </w:rPr>
        <w:t>。</w:t>
      </w:r>
    </w:p>
    <w:p w14:paraId="51237A5F">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3.本项目的特定资格要求：</w:t>
      </w:r>
    </w:p>
    <w:p w14:paraId="004FDBCF">
      <w:pPr>
        <w:widowControl w:val="0"/>
        <w:spacing w:line="360" w:lineRule="auto"/>
        <w:ind w:firstLine="482" w:firstLineChars="200"/>
        <w:jc w:val="both"/>
        <w:rPr>
          <w:rFonts w:hint="eastAsia" w:ascii="宋体" w:hAnsi="宋体" w:eastAsia="宋体" w:cs="宋体"/>
          <w:b w:val="0"/>
          <w:bCs w:val="0"/>
          <w:color w:val="auto"/>
          <w:kern w:val="0"/>
          <w:sz w:val="24"/>
          <w:szCs w:val="21"/>
          <w:highlight w:val="none"/>
          <w:lang w:val="en-US" w:eastAsia="zh-CN" w:bidi="ar"/>
        </w:rPr>
      </w:pPr>
      <w:r>
        <w:rPr>
          <w:rFonts w:hint="eastAsia" w:ascii="宋体" w:hAnsi="宋体" w:cs="宋体"/>
          <w:b/>
          <w:bCs/>
          <w:color w:val="auto"/>
          <w:kern w:val="2"/>
          <w:sz w:val="24"/>
          <w:szCs w:val="24"/>
          <w:highlight w:val="none"/>
          <w:lang w:val="en-US" w:eastAsia="zh-CN" w:bidi="ar"/>
        </w:rPr>
        <w:t>3.1 特定资格：</w:t>
      </w:r>
      <w:r>
        <w:rPr>
          <w:rFonts w:hint="eastAsia" w:ascii="宋体" w:hAnsi="宋体" w:eastAsia="宋体" w:cs="宋体"/>
          <w:color w:val="auto"/>
          <w:kern w:val="0"/>
          <w:sz w:val="24"/>
          <w:highlight w:val="none"/>
          <w:lang w:bidi="ar"/>
        </w:rPr>
        <w:t>投标人须具备有效的《食品生产许可证》或《食品经营许可证》</w:t>
      </w:r>
      <w:r>
        <w:rPr>
          <w:rFonts w:hint="eastAsia" w:ascii="宋体" w:hAnsi="宋体" w:eastAsia="宋体" w:cs="宋体"/>
          <w:color w:val="auto"/>
          <w:kern w:val="0"/>
          <w:sz w:val="24"/>
          <w:highlight w:val="none"/>
          <w:lang w:val="en-US" w:eastAsia="zh-CN" w:bidi="ar"/>
        </w:rPr>
        <w:t>或相关证明材料</w:t>
      </w:r>
      <w:r>
        <w:rPr>
          <w:rFonts w:hint="eastAsia" w:ascii="宋体" w:hAnsi="宋体" w:eastAsia="宋体" w:cs="宋体"/>
          <w:b w:val="0"/>
          <w:bCs w:val="0"/>
          <w:color w:val="auto"/>
          <w:kern w:val="0"/>
          <w:sz w:val="24"/>
          <w:szCs w:val="21"/>
          <w:highlight w:val="none"/>
          <w:lang w:val="en-US" w:eastAsia="zh-CN" w:bidi="ar"/>
        </w:rPr>
        <w:t>（属于销售食用农产品等法律、法规规定的不需要取得食品经营许可情形的，提供相关情况说明）；</w:t>
      </w:r>
    </w:p>
    <w:p w14:paraId="3D96C292">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3.</w:t>
      </w:r>
      <w:r>
        <w:rPr>
          <w:rFonts w:hint="eastAsia" w:ascii="宋体" w:hAnsi="宋体" w:cs="宋体"/>
          <w:color w:val="auto"/>
          <w:kern w:val="2"/>
          <w:sz w:val="24"/>
          <w:szCs w:val="24"/>
          <w:highlight w:val="none"/>
          <w:lang w:val="en-US" w:eastAsia="zh-CN" w:bidi="ar"/>
        </w:rPr>
        <w:t>2</w:t>
      </w:r>
      <w:r>
        <w:rPr>
          <w:rFonts w:hint="eastAsia" w:ascii="宋体" w:hAnsi="宋体" w:cs="宋体"/>
          <w:color w:val="auto"/>
          <w:kern w:val="2"/>
          <w:sz w:val="24"/>
          <w:szCs w:val="24"/>
          <w:highlight w:val="none"/>
          <w:lang w:bidi="ar"/>
        </w:rPr>
        <w:t>本项目不接受联合体投标。</w:t>
      </w:r>
    </w:p>
    <w:p w14:paraId="47C7D243">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eastAsia="宋体" w:cs="宋体"/>
          <w:color w:val="auto"/>
          <w:kern w:val="0"/>
          <w:sz w:val="24"/>
          <w:highlight w:val="none"/>
          <w:lang w:val="en-US" w:eastAsia="zh-CN"/>
        </w:rPr>
        <w:t>3.3</w:t>
      </w: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不允许转包及分包。</w:t>
      </w:r>
    </w:p>
    <w:p w14:paraId="2B68CBE4">
      <w:pPr>
        <w:widowControl w:val="0"/>
        <w:spacing w:line="360" w:lineRule="auto"/>
        <w:ind w:firstLine="480" w:firstLineChars="200"/>
        <w:jc w:val="both"/>
        <w:rPr>
          <w:rFonts w:ascii="宋体" w:hAnsi="宋体" w:cs="宋体"/>
          <w:color w:val="auto"/>
          <w:kern w:val="2"/>
          <w:sz w:val="24"/>
          <w:szCs w:val="24"/>
          <w:highlight w:val="none"/>
          <w:u w:val="single"/>
          <w:lang w:bidi="ar"/>
        </w:rPr>
      </w:pPr>
    </w:p>
    <w:p w14:paraId="1629850E">
      <w:pPr>
        <w:pStyle w:val="12"/>
        <w:ind w:firstLine="420" w:firstLineChars="200"/>
        <w:rPr>
          <w:rFonts w:ascii="宋体" w:hAnsi="宋体" w:cs="宋体"/>
          <w:color w:val="auto"/>
          <w:highlight w:val="none"/>
        </w:rPr>
        <w:sectPr>
          <w:footerReference r:id="rId9" w:type="default"/>
          <w:pgSz w:w="11906" w:h="16838"/>
          <w:pgMar w:top="1440" w:right="1083" w:bottom="1440" w:left="1083" w:header="720" w:footer="720" w:gutter="0"/>
          <w:pgNumType w:fmt="numberInDash"/>
          <w:cols w:space="720" w:num="1"/>
          <w:docGrid w:type="lines" w:linePitch="317" w:charSpace="0"/>
        </w:sectPr>
      </w:pPr>
      <w:r>
        <w:rPr>
          <w:rFonts w:hint="eastAsia" w:ascii="宋体" w:hAnsi="宋体" w:cs="宋体"/>
          <w:color w:val="auto"/>
          <w:highlight w:val="none"/>
        </w:rPr>
        <w:t xml:space="preserve"> </w:t>
      </w:r>
    </w:p>
    <w:p w14:paraId="1871898F">
      <w:pPr>
        <w:pStyle w:val="4"/>
        <w:spacing w:before="0" w:after="0" w:line="360" w:lineRule="auto"/>
        <w:jc w:val="center"/>
        <w:rPr>
          <w:rFonts w:ascii="宋体" w:hAnsi="宋体" w:cs="宋体"/>
          <w:color w:val="auto"/>
          <w:highlight w:val="none"/>
        </w:rPr>
      </w:pPr>
      <w:bookmarkStart w:id="257" w:name="_Toc16765"/>
      <w:bookmarkStart w:id="258" w:name="_Toc20686"/>
      <w:bookmarkStart w:id="259" w:name="_Toc11388"/>
      <w:r>
        <w:rPr>
          <w:rFonts w:hint="eastAsia" w:ascii="宋体" w:hAnsi="宋体" w:cs="宋体"/>
          <w:color w:val="auto"/>
          <w:highlight w:val="none"/>
        </w:rPr>
        <w:t>第四章 评标办法(综合评分法)</w:t>
      </w:r>
      <w:bookmarkEnd w:id="256"/>
      <w:bookmarkEnd w:id="257"/>
      <w:bookmarkEnd w:id="258"/>
      <w:bookmarkEnd w:id="259"/>
    </w:p>
    <w:p w14:paraId="03869B34">
      <w:pPr>
        <w:spacing w:line="500" w:lineRule="exact"/>
        <w:ind w:firstLine="482" w:firstLineChars="200"/>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一、评标机构</w:t>
      </w:r>
    </w:p>
    <w:p w14:paraId="04D4A59B">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评标机构为评标委员会，评标委员会的组成见投标人须知前附表7.1.1。</w:t>
      </w:r>
    </w:p>
    <w:p w14:paraId="051424AC">
      <w:pPr>
        <w:spacing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二、采购人或者采购代理机构职责</w:t>
      </w:r>
    </w:p>
    <w:p w14:paraId="6E114F3A">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en-US" w:eastAsia="zh-CN"/>
        </w:rPr>
        <w:t>人（和/或）采购</w:t>
      </w:r>
      <w:r>
        <w:rPr>
          <w:rFonts w:hint="eastAsia" w:ascii="宋体" w:hAnsi="宋体" w:cs="宋体"/>
          <w:color w:val="auto"/>
          <w:sz w:val="24"/>
          <w:szCs w:val="24"/>
          <w:highlight w:val="none"/>
        </w:rPr>
        <w:t>代理机构负责组织评标工作，并履行下列职责：</w:t>
      </w:r>
    </w:p>
    <w:p w14:paraId="6CB471D4">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64DF5E82">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(二)宣布评标纪律。</w:t>
      </w:r>
    </w:p>
    <w:p w14:paraId="220695DB">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(三)公布投标人名单，告知评审专家应当回避的情形。</w:t>
      </w:r>
    </w:p>
    <w:p w14:paraId="23CA25E6">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(四)组织评标委员会推选评标组长，采购人代表不得担任组长。</w:t>
      </w:r>
    </w:p>
    <w:p w14:paraId="4D3EA859">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(五)在评标期间采取必要的通讯管理措施，保证评标活动不受外界干扰。</w:t>
      </w:r>
    </w:p>
    <w:p w14:paraId="57AE4979">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(六)根据评标委员会的要求介绍政府采购相关政策法规、招标文件。</w:t>
      </w:r>
    </w:p>
    <w:p w14:paraId="55696961">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(七)维护评标秩序，监督评标委员会依照招标文件规定的评标程序、方法和标准进行独立评审，及时制止和纠正采购人代表、评审专家的倾向性言论或者违法违规行为。</w:t>
      </w:r>
    </w:p>
    <w:p w14:paraId="725245B3">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148A5B80">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(九)评审工作完成后，按照规定向评审专家支付劳务报酬和异地评审差旅费，不得向评审专家以外的其他人员支付评审劳务报酬。</w:t>
      </w:r>
    </w:p>
    <w:p w14:paraId="458EAE51">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(十)处理与评标有关的其他事项。</w:t>
      </w:r>
    </w:p>
    <w:p w14:paraId="4B4E7F59">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采购人可以在评标前说明项目背景和采购需求，说明内容不得含有歧视性、倾向性意见，不得超出招标文件所述范围。说明应当提交书面材料，并随招标文件一并存档。</w:t>
      </w:r>
    </w:p>
    <w:p w14:paraId="6F12604A">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三、评标委员会职责</w:t>
      </w:r>
    </w:p>
    <w:p w14:paraId="3B6A0384">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评标委员会负责具体评标事务，并独立履行下列职责：</w:t>
      </w:r>
    </w:p>
    <w:p w14:paraId="0939956D">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(一)审查、评价投标文件是否符合招标文件的商务、技术等实质性要求。</w:t>
      </w:r>
    </w:p>
    <w:p w14:paraId="48BB913F">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(二)要求投标人对投标文件有关事项作出澄清或者说明。</w:t>
      </w:r>
    </w:p>
    <w:p w14:paraId="33FEA9ED">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(三)对投标文件进行比较和评价。</w:t>
      </w:r>
    </w:p>
    <w:p w14:paraId="27088D36">
      <w:pPr>
        <w:pStyle w:val="3"/>
        <w:spacing w:line="500" w:lineRule="exact"/>
        <w:ind w:firstLine="480" w:firstLineChars="200"/>
        <w:rPr>
          <w:rFonts w:ascii="宋体" w:hAnsi="宋体" w:cs="宋体"/>
          <w:color w:val="auto"/>
          <w:sz w:val="24"/>
          <w:szCs w:val="24"/>
          <w:highlight w:val="none"/>
        </w:rPr>
        <w:sectPr>
          <w:footerReference r:id="rId10" w:type="first"/>
          <w:pgSz w:w="11906" w:h="16838"/>
          <w:pgMar w:top="1440" w:right="1083" w:bottom="1440" w:left="1083" w:header="720" w:footer="720" w:gutter="0"/>
          <w:pgNumType w:fmt="numberInDash"/>
          <w:cols w:space="720" w:num="1"/>
          <w:docGrid w:type="lines" w:linePitch="317" w:charSpace="0"/>
        </w:sectPr>
      </w:pPr>
    </w:p>
    <w:p w14:paraId="59688220">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(四)确定中标候选人名单，以及根据采购人委托直接确定中标人。</w:t>
      </w:r>
    </w:p>
    <w:p w14:paraId="79FD9414">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(五)向采购人、采购代理机构或者有关部门报告评标中发现的违法行为。</w:t>
      </w:r>
    </w:p>
    <w:p w14:paraId="16F1F4C7">
      <w:pPr>
        <w:pStyle w:val="3"/>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四、评标纪律</w:t>
      </w:r>
    </w:p>
    <w:p w14:paraId="5C29B8EF">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(一)对评标内容和评标过程要严格保密，不得向投标人或与该过程无关的其它人员泄露。</w:t>
      </w:r>
    </w:p>
    <w:p w14:paraId="45C113FE">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(二)评标期间的一切资料，包括评标意见、评标记录和评标结论，一律不得向外传和泄露。</w:t>
      </w:r>
    </w:p>
    <w:p w14:paraId="155B3945">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(三)任何属于投标文件审查、澄清、评价和比较的资料，不得向投标人或与该过程无关的其它人员泄露。</w:t>
      </w:r>
    </w:p>
    <w:p w14:paraId="276FEE27">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(四)所有资料(包括招标文件、投标文件、评标表格及各种文字记录)在评标结束后均应分别整理、存档备查，任何人不得复制和保留。</w:t>
      </w:r>
    </w:p>
    <w:p w14:paraId="60D75405">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(五)评标期间，未经允许评标委员会以外的任何单位或部门不得参加评标和采访评标工作。</w:t>
      </w:r>
    </w:p>
    <w:p w14:paraId="3777E39B">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(六)评标期间，评标人员不得外出，确需外出时应事先请假。</w:t>
      </w:r>
    </w:p>
    <w:p w14:paraId="6F62F5AF">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(七)评标期间，所有与会人员均不得私自以任何方式和投标人进行联系，需询问、澄清的问题由评委会统一组织办理。</w:t>
      </w:r>
    </w:p>
    <w:p w14:paraId="06AE1418">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(八)评标结束后，与会人员不得向外界透露评标人员的评标意见，如因此造成的后果由责任者承担。</w:t>
      </w:r>
    </w:p>
    <w:p w14:paraId="10502164">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五、评标原则</w:t>
      </w:r>
    </w:p>
    <w:p w14:paraId="11811984">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评标遵循下列原则：</w:t>
      </w:r>
    </w:p>
    <w:p w14:paraId="3F173273">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(一)坚持公平、公正、科学、择优的原则，本着实事求是的精神，不带有任何主观意愿和偏见，认真负责地做好评标工作，公平、公正地对待每一个投标人。</w:t>
      </w:r>
    </w:p>
    <w:p w14:paraId="48C9B97C">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(二)全面分析，综合评审。</w:t>
      </w:r>
    </w:p>
    <w:p w14:paraId="628B9BAE">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(三)评标只对投标人的投标文件进行评审，投标文件以外的资料、信息不应作为评标的依据。</w:t>
      </w:r>
    </w:p>
    <w:p w14:paraId="6834324D">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六、评标程序</w:t>
      </w:r>
    </w:p>
    <w:p w14:paraId="68E5610F">
      <w:pPr>
        <w:pStyle w:val="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次招标所采用的评标方法为《政府采购货物和服务招标投标管理办法》(财政部令第87号)规定的“综合评分法”，即：投标文件满足招标文件全部实质性要求，且按照评审因素的量化指标评审得分最高的投标人为中标候选人的评标方法。</w:t>
      </w:r>
    </w:p>
    <w:p w14:paraId="7A4DD9C5">
      <w:pPr>
        <w:pStyle w:val="3"/>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评标只对通过资格审查的投标文件进行评审。评标按：符合性审查→商务和技术评估、综合比较与评价→得分汇总→评标报告编写的程序进行。</w:t>
      </w:r>
    </w:p>
    <w:p w14:paraId="240FBE86">
      <w:pPr>
        <w:spacing w:line="46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(一)符合性审查</w:t>
      </w:r>
    </w:p>
    <w:p w14:paraId="2A441E96">
      <w:pPr>
        <w:pStyle w:val="3"/>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评标委员会依据符合性评审标准对符合资格的投标人的投标文件进行符合性审查，有一项不符合评审标准的，评标委员会应当否决其投标。</w:t>
      </w:r>
    </w:p>
    <w:p w14:paraId="3663C1B7">
      <w:pPr>
        <w:pStyle w:val="3"/>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1、符合性审查表</w:t>
      </w:r>
    </w:p>
    <w:tbl>
      <w:tblPr>
        <w:tblStyle w:val="22"/>
        <w:tblW w:w="10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1823"/>
        <w:gridCol w:w="7007"/>
      </w:tblGrid>
      <w:tr w14:paraId="6742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298" w:type="dxa"/>
            <w:vAlign w:val="center"/>
          </w:tcPr>
          <w:p w14:paraId="10C0A4BF">
            <w:pPr>
              <w:pStyle w:val="3"/>
              <w:widowControl w:val="0"/>
              <w:spacing w:line="300" w:lineRule="exact"/>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1823" w:type="dxa"/>
            <w:vAlign w:val="center"/>
          </w:tcPr>
          <w:p w14:paraId="4A694701">
            <w:pPr>
              <w:pStyle w:val="3"/>
              <w:widowControl w:val="0"/>
              <w:spacing w:line="300" w:lineRule="exact"/>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评审因素</w:t>
            </w:r>
          </w:p>
        </w:tc>
        <w:tc>
          <w:tcPr>
            <w:tcW w:w="7007" w:type="dxa"/>
            <w:vAlign w:val="center"/>
          </w:tcPr>
          <w:p w14:paraId="344204AC">
            <w:pPr>
              <w:pStyle w:val="3"/>
              <w:widowControl w:val="0"/>
              <w:spacing w:line="300" w:lineRule="exact"/>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评审标准</w:t>
            </w:r>
          </w:p>
        </w:tc>
      </w:tr>
      <w:tr w14:paraId="2285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Merge w:val="restart"/>
            <w:vAlign w:val="center"/>
          </w:tcPr>
          <w:p w14:paraId="4F11052B">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符合性评审标准</w:t>
            </w:r>
          </w:p>
        </w:tc>
        <w:tc>
          <w:tcPr>
            <w:tcW w:w="1823" w:type="dxa"/>
            <w:vAlign w:val="center"/>
          </w:tcPr>
          <w:p w14:paraId="3E3B9FAD">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投标文件格式</w:t>
            </w:r>
          </w:p>
        </w:tc>
        <w:tc>
          <w:tcPr>
            <w:tcW w:w="7007" w:type="dxa"/>
            <w:vAlign w:val="center"/>
          </w:tcPr>
          <w:p w14:paraId="4A1CAE4A">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highlight w:val="none"/>
              </w:rPr>
              <w:t>投标文件按</w:t>
            </w:r>
            <w:r>
              <w:rPr>
                <w:rFonts w:hint="eastAsia" w:ascii="宋体" w:hAnsi="宋体" w:cs="宋体"/>
                <w:color w:val="auto"/>
                <w:sz w:val="24"/>
                <w:szCs w:val="24"/>
                <w:highlight w:val="none"/>
              </w:rPr>
              <w:t>第七章“投标文件格式”</w:t>
            </w:r>
            <w:r>
              <w:rPr>
                <w:rFonts w:hint="eastAsia" w:ascii="宋体" w:hAnsi="宋体" w:cs="宋体"/>
                <w:color w:val="auto"/>
                <w:sz w:val="24"/>
                <w:highlight w:val="none"/>
              </w:rPr>
              <w:t>要求填写，内容完整且关键字迹清晰。</w:t>
            </w:r>
          </w:p>
        </w:tc>
      </w:tr>
      <w:tr w14:paraId="122F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298" w:type="dxa"/>
            <w:vMerge w:val="continue"/>
            <w:vAlign w:val="center"/>
          </w:tcPr>
          <w:p w14:paraId="4B9DB02E">
            <w:pPr>
              <w:pStyle w:val="3"/>
              <w:widowControl w:val="0"/>
              <w:spacing w:line="300" w:lineRule="exact"/>
              <w:ind w:firstLine="0"/>
              <w:jc w:val="center"/>
              <w:rPr>
                <w:rFonts w:ascii="宋体" w:hAnsi="宋体" w:cs="宋体"/>
                <w:color w:val="auto"/>
                <w:sz w:val="24"/>
                <w:szCs w:val="24"/>
                <w:highlight w:val="none"/>
              </w:rPr>
            </w:pPr>
          </w:p>
        </w:tc>
        <w:tc>
          <w:tcPr>
            <w:tcW w:w="1823" w:type="dxa"/>
            <w:vAlign w:val="center"/>
          </w:tcPr>
          <w:p w14:paraId="4F10172E">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投标文件签署、盖章</w:t>
            </w:r>
          </w:p>
        </w:tc>
        <w:tc>
          <w:tcPr>
            <w:tcW w:w="7007" w:type="dxa"/>
            <w:vAlign w:val="center"/>
          </w:tcPr>
          <w:p w14:paraId="269FF0A0">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按第七章“投标文件格式”</w:t>
            </w:r>
            <w:r>
              <w:rPr>
                <w:rFonts w:hint="eastAsia" w:ascii="宋体" w:hAnsi="宋体" w:cs="宋体"/>
                <w:color w:val="auto"/>
                <w:sz w:val="24"/>
                <w:highlight w:val="none"/>
              </w:rPr>
              <w:t>要求在规定位置电子签章。</w:t>
            </w:r>
          </w:p>
        </w:tc>
      </w:tr>
      <w:tr w14:paraId="2F791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298" w:type="dxa"/>
            <w:vMerge w:val="continue"/>
            <w:vAlign w:val="center"/>
          </w:tcPr>
          <w:p w14:paraId="4FCCE393">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5E211554">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7007" w:type="dxa"/>
            <w:vAlign w:val="center"/>
          </w:tcPr>
          <w:p w14:paraId="055ADEF9">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w:t>
            </w:r>
            <w:r>
              <w:rPr>
                <w:rFonts w:hint="eastAsia" w:ascii="宋体" w:hAnsi="宋体" w:cs="宋体"/>
                <w:color w:val="auto"/>
                <w:kern w:val="2"/>
                <w:sz w:val="24"/>
                <w:szCs w:val="24"/>
                <w:highlight w:val="none"/>
              </w:rPr>
              <w:t xml:space="preserve"> </w:t>
            </w:r>
            <w:r>
              <w:rPr>
                <w:rFonts w:hint="eastAsia" w:ascii="宋体" w:hAnsi="宋体" w:cs="宋体"/>
                <w:color w:val="auto"/>
                <w:sz w:val="24"/>
                <w:szCs w:val="24"/>
                <w:highlight w:val="none"/>
              </w:rPr>
              <w:t>第3.2.3款和第3.2.4款规定。</w:t>
            </w:r>
          </w:p>
        </w:tc>
      </w:tr>
      <w:tr w14:paraId="2B1F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298" w:type="dxa"/>
            <w:vMerge w:val="continue"/>
            <w:vAlign w:val="center"/>
          </w:tcPr>
          <w:p w14:paraId="0ABE2335">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000EB21F">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7007" w:type="dxa"/>
            <w:vAlign w:val="center"/>
          </w:tcPr>
          <w:p w14:paraId="2A1FB611">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符合第二章“投标人须知前附表”第3.3.1款规定。</w:t>
            </w:r>
          </w:p>
        </w:tc>
      </w:tr>
      <w:tr w14:paraId="1CA5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298" w:type="dxa"/>
            <w:vMerge w:val="continue"/>
            <w:vAlign w:val="center"/>
          </w:tcPr>
          <w:p w14:paraId="7CB2255B">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160C8F53">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7007" w:type="dxa"/>
            <w:vAlign w:val="center"/>
          </w:tcPr>
          <w:p w14:paraId="3183FF5A">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符合第二章“投标人须知前附表”第3.4.1款规定。</w:t>
            </w:r>
          </w:p>
        </w:tc>
      </w:tr>
      <w:tr w14:paraId="6968D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98" w:type="dxa"/>
            <w:vMerge w:val="continue"/>
            <w:vAlign w:val="center"/>
          </w:tcPr>
          <w:p w14:paraId="2725B4B5">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6B09DB27">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合同履行期限</w:t>
            </w:r>
          </w:p>
        </w:tc>
        <w:tc>
          <w:tcPr>
            <w:tcW w:w="7007" w:type="dxa"/>
            <w:vAlign w:val="center"/>
          </w:tcPr>
          <w:p w14:paraId="304495B2">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符合第二章“投标人须知前附表”第1.3.2款规定。</w:t>
            </w:r>
          </w:p>
        </w:tc>
      </w:tr>
      <w:tr w14:paraId="1037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298" w:type="dxa"/>
            <w:vMerge w:val="continue"/>
            <w:vAlign w:val="center"/>
          </w:tcPr>
          <w:p w14:paraId="55CD9471">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44010375">
            <w:pPr>
              <w:pStyle w:val="3"/>
              <w:widowControl w:val="0"/>
              <w:spacing w:line="300" w:lineRule="exact"/>
              <w:ind w:firstLine="0"/>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交货</w:t>
            </w:r>
            <w:r>
              <w:rPr>
                <w:rFonts w:hint="eastAsia" w:ascii="宋体" w:hAnsi="宋体" w:cs="宋体"/>
                <w:color w:val="auto"/>
                <w:sz w:val="24"/>
                <w:szCs w:val="24"/>
                <w:highlight w:val="none"/>
                <w:lang w:val="en-US" w:eastAsia="zh-CN"/>
              </w:rPr>
              <w:t>方式</w:t>
            </w:r>
          </w:p>
          <w:p w14:paraId="32C9842A">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eastAsia="宋体" w:cs="宋体"/>
                <w:color w:val="auto"/>
                <w:sz w:val="24"/>
                <w:szCs w:val="24"/>
                <w:highlight w:val="none"/>
              </w:rPr>
              <w:t>及地点</w:t>
            </w:r>
          </w:p>
        </w:tc>
        <w:tc>
          <w:tcPr>
            <w:tcW w:w="7007" w:type="dxa"/>
            <w:vAlign w:val="center"/>
          </w:tcPr>
          <w:p w14:paraId="5182BEE1">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符合第二章“投标人须知前附表”第1.3.3款规定。</w:t>
            </w:r>
          </w:p>
        </w:tc>
      </w:tr>
      <w:tr w14:paraId="7649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298" w:type="dxa"/>
            <w:vMerge w:val="continue"/>
            <w:vAlign w:val="center"/>
          </w:tcPr>
          <w:p w14:paraId="51455473">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4AF8C12A">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highlight w:val="none"/>
              </w:rPr>
              <w:t>投标内容</w:t>
            </w:r>
          </w:p>
        </w:tc>
        <w:tc>
          <w:tcPr>
            <w:tcW w:w="7007" w:type="dxa"/>
            <w:vAlign w:val="center"/>
          </w:tcPr>
          <w:p w14:paraId="2A738F46">
            <w:pPr>
              <w:pStyle w:val="3"/>
              <w:widowControl w:val="0"/>
              <w:spacing w:line="300" w:lineRule="exact"/>
              <w:ind w:firstLine="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投标人提供的货物无缺项</w:t>
            </w:r>
            <w:r>
              <w:rPr>
                <w:rFonts w:hint="eastAsia" w:ascii="宋体" w:hAnsi="宋体" w:cs="宋体"/>
                <w:color w:val="auto"/>
                <w:sz w:val="24"/>
                <w:highlight w:val="none"/>
                <w:lang w:eastAsia="zh-CN"/>
              </w:rPr>
              <w:t>、</w:t>
            </w:r>
            <w:r>
              <w:rPr>
                <w:rFonts w:hint="eastAsia" w:ascii="宋体" w:hAnsi="宋体" w:cs="宋体"/>
                <w:color w:val="auto"/>
                <w:sz w:val="24"/>
                <w:highlight w:val="none"/>
              </w:rPr>
              <w:t>漏项</w:t>
            </w:r>
            <w:r>
              <w:rPr>
                <w:rFonts w:hint="eastAsia" w:ascii="宋体" w:hAnsi="宋体" w:cs="宋体"/>
                <w:color w:val="auto"/>
                <w:sz w:val="24"/>
                <w:highlight w:val="none"/>
                <w:lang w:val="en-US" w:eastAsia="zh-CN"/>
              </w:rPr>
              <w:t>的</w:t>
            </w:r>
            <w:r>
              <w:rPr>
                <w:rFonts w:hint="eastAsia" w:ascii="宋体" w:hAnsi="宋体" w:cs="宋体"/>
                <w:color w:val="auto"/>
                <w:sz w:val="24"/>
                <w:highlight w:val="none"/>
                <w:lang w:eastAsia="zh-CN"/>
              </w:rPr>
              <w:t>。</w:t>
            </w:r>
          </w:p>
        </w:tc>
      </w:tr>
      <w:tr w14:paraId="7C0B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Merge w:val="continue"/>
            <w:vAlign w:val="center"/>
          </w:tcPr>
          <w:p w14:paraId="1E86A19E">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7C94D082">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法定代表人授权委托书</w:t>
            </w:r>
          </w:p>
        </w:tc>
        <w:tc>
          <w:tcPr>
            <w:tcW w:w="7007" w:type="dxa"/>
            <w:vAlign w:val="center"/>
          </w:tcPr>
          <w:p w14:paraId="3DDED924">
            <w:pPr>
              <w:pStyle w:val="3"/>
              <w:widowControl w:val="0"/>
              <w:spacing w:line="300" w:lineRule="exact"/>
              <w:ind w:firstLine="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法定代表人委托代理人投标的，应附法定代表人授权委托书扫描件</w:t>
            </w:r>
            <w:r>
              <w:rPr>
                <w:rFonts w:hint="eastAsia" w:ascii="宋体" w:hAnsi="宋体" w:cs="宋体"/>
                <w:color w:val="auto"/>
                <w:sz w:val="24"/>
                <w:szCs w:val="24"/>
                <w:highlight w:val="none"/>
                <w:lang w:eastAsia="zh-CN"/>
              </w:rPr>
              <w:t>。</w:t>
            </w:r>
          </w:p>
        </w:tc>
      </w:tr>
      <w:tr w14:paraId="3592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298" w:type="dxa"/>
            <w:vMerge w:val="continue"/>
            <w:vAlign w:val="center"/>
          </w:tcPr>
          <w:p w14:paraId="4A9A6097">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27A68C74">
            <w:pPr>
              <w:pStyle w:val="3"/>
              <w:widowControl w:val="0"/>
              <w:spacing w:line="300" w:lineRule="exact"/>
              <w:ind w:left="479" w:leftChars="114" w:hanging="240" w:hangingChars="100"/>
              <w:rPr>
                <w:rFonts w:hint="eastAsia" w:ascii="宋体" w:hAnsi="宋体" w:cs="宋体"/>
                <w:color w:val="auto"/>
                <w:sz w:val="24"/>
                <w:szCs w:val="24"/>
                <w:highlight w:val="none"/>
              </w:rPr>
            </w:pPr>
            <w:r>
              <w:rPr>
                <w:rFonts w:hint="eastAsia" w:ascii="宋体" w:hAnsi="宋体" w:cs="宋体"/>
                <w:color w:val="auto"/>
                <w:sz w:val="24"/>
                <w:szCs w:val="24"/>
                <w:highlight w:val="none"/>
              </w:rPr>
              <w:t>实质性要求和条件</w:t>
            </w:r>
          </w:p>
        </w:tc>
        <w:tc>
          <w:tcPr>
            <w:tcW w:w="7007" w:type="dxa"/>
            <w:vAlign w:val="center"/>
          </w:tcPr>
          <w:p w14:paraId="764747E6">
            <w:pPr>
              <w:pStyle w:val="3"/>
              <w:widowControl w:val="0"/>
              <w:spacing w:line="300" w:lineRule="exact"/>
              <w:ind w:firstLine="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投标文件未出现其他不满足招标文件中标注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条款内容且未出现招标文件规定的其他投标无效情形</w:t>
            </w:r>
            <w:r>
              <w:rPr>
                <w:rFonts w:hint="eastAsia" w:ascii="宋体" w:hAnsi="宋体" w:cs="宋体"/>
                <w:color w:val="auto"/>
                <w:sz w:val="24"/>
                <w:szCs w:val="24"/>
                <w:highlight w:val="none"/>
                <w:lang w:eastAsia="zh-CN"/>
              </w:rPr>
              <w:t>。</w:t>
            </w:r>
          </w:p>
        </w:tc>
      </w:tr>
      <w:tr w14:paraId="2248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Merge w:val="continue"/>
            <w:vAlign w:val="center"/>
          </w:tcPr>
          <w:p w14:paraId="2336731E">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76BA7869">
            <w:pPr>
              <w:widowControl w:val="0"/>
              <w:tabs>
                <w:tab w:val="left" w:pos="1260"/>
                <w:tab w:val="left" w:pos="1620"/>
              </w:tabs>
              <w:adjustRightInd w:val="0"/>
              <w:snapToGrid w:val="0"/>
              <w:spacing w:line="300" w:lineRule="exact"/>
              <w:jc w:val="center"/>
              <w:textAlignment w:val="baseline"/>
              <w:rPr>
                <w:rFonts w:ascii="宋体" w:hAnsi="宋体" w:cs="宋体"/>
                <w:color w:val="auto"/>
                <w:sz w:val="24"/>
                <w:szCs w:val="24"/>
                <w:highlight w:val="none"/>
              </w:rPr>
            </w:pPr>
            <w:r>
              <w:rPr>
                <w:rFonts w:hint="eastAsia" w:ascii="宋体" w:hAnsi="宋体" w:cs="宋体"/>
                <w:color w:val="auto"/>
                <w:sz w:val="24"/>
                <w:highlight w:val="none"/>
              </w:rPr>
              <w:t>其他无效情形</w:t>
            </w:r>
          </w:p>
        </w:tc>
        <w:tc>
          <w:tcPr>
            <w:tcW w:w="7007" w:type="dxa"/>
            <w:vAlign w:val="center"/>
          </w:tcPr>
          <w:p w14:paraId="4817969B">
            <w:pPr>
              <w:pStyle w:val="3"/>
              <w:widowControl w:val="0"/>
              <w:autoSpaceDE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不同投标人的投标文件由同一单位或者个人编制；</w:t>
            </w:r>
          </w:p>
          <w:p w14:paraId="4E6FE970">
            <w:pPr>
              <w:pStyle w:val="3"/>
              <w:widowControl w:val="0"/>
              <w:autoSpaceDE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不同投标人委托同一单位或者个人办理投标事宜；</w:t>
            </w:r>
          </w:p>
          <w:p w14:paraId="30A8BD0E">
            <w:pPr>
              <w:pStyle w:val="3"/>
              <w:widowControl w:val="0"/>
              <w:autoSpaceDE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不同投标人的投标文件载明的项目管理成员或者联系人员为同一人；</w:t>
            </w:r>
          </w:p>
          <w:p w14:paraId="3D37FDE2">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不同投标人的投标文件异常一致或者投标报价呈规律性差异；</w:t>
            </w:r>
          </w:p>
          <w:p w14:paraId="7A59E8EF">
            <w:pPr>
              <w:pStyle w:val="3"/>
              <w:widowControl w:val="0"/>
              <w:autoSpaceDE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不同投标人的投标文件相互混装；</w:t>
            </w:r>
          </w:p>
          <w:p w14:paraId="7E60D94A">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rPr>
              <w:t>不同投标人的投标保证金从同一单位或者个人的账户转出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w:t>
            </w:r>
            <w:r>
              <w:rPr>
                <w:rFonts w:hint="eastAsia" w:ascii="宋体" w:hAnsi="宋体" w:cs="宋体"/>
                <w:color w:val="auto"/>
                <w:sz w:val="24"/>
                <w:szCs w:val="24"/>
                <w:highlight w:val="none"/>
              </w:rPr>
              <w:t>法律、法规和招标文件规定的其他无效情形。</w:t>
            </w:r>
          </w:p>
        </w:tc>
      </w:tr>
      <w:tr w14:paraId="14D6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298" w:type="dxa"/>
            <w:vMerge w:val="continue"/>
            <w:vAlign w:val="center"/>
          </w:tcPr>
          <w:p w14:paraId="5BD120D1">
            <w:pPr>
              <w:pStyle w:val="3"/>
              <w:widowControl w:val="0"/>
              <w:spacing w:line="300" w:lineRule="exact"/>
              <w:jc w:val="center"/>
              <w:rPr>
                <w:rFonts w:ascii="宋体" w:hAnsi="宋体" w:cs="宋体"/>
                <w:color w:val="auto"/>
                <w:sz w:val="24"/>
                <w:szCs w:val="24"/>
                <w:highlight w:val="none"/>
              </w:rPr>
            </w:pPr>
          </w:p>
        </w:tc>
        <w:tc>
          <w:tcPr>
            <w:tcW w:w="1823" w:type="dxa"/>
            <w:vAlign w:val="center"/>
          </w:tcPr>
          <w:p w14:paraId="6E92DBB4">
            <w:pPr>
              <w:pStyle w:val="3"/>
              <w:widowControl w:val="0"/>
              <w:spacing w:line="300" w:lineRule="exact"/>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附加条件</w:t>
            </w:r>
          </w:p>
        </w:tc>
        <w:tc>
          <w:tcPr>
            <w:tcW w:w="7007" w:type="dxa"/>
            <w:vAlign w:val="center"/>
          </w:tcPr>
          <w:p w14:paraId="03D68ACF">
            <w:pPr>
              <w:pStyle w:val="3"/>
              <w:widowControl w:val="0"/>
              <w:spacing w:line="3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投标文件未含有采购人不能接受的附加条件。</w:t>
            </w:r>
          </w:p>
        </w:tc>
      </w:tr>
    </w:tbl>
    <w:p w14:paraId="6E488FE2">
      <w:pPr>
        <w:pStyle w:val="3"/>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(二)澄清有关问题</w:t>
      </w:r>
    </w:p>
    <w:p w14:paraId="6CF282CA">
      <w:pPr>
        <w:pStyle w:val="3"/>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1.投标文件内容澄清</w:t>
      </w:r>
    </w:p>
    <w:p w14:paraId="60FA8851">
      <w:pPr>
        <w:pStyle w:val="3"/>
        <w:ind w:firstLine="480" w:firstLineChars="200"/>
        <w:rPr>
          <w:rFonts w:ascii="宋体" w:hAnsi="宋体"/>
          <w:color w:val="auto"/>
          <w:sz w:val="24"/>
          <w:szCs w:val="24"/>
          <w:highlight w:val="none"/>
        </w:rPr>
      </w:pPr>
      <w:r>
        <w:rPr>
          <w:rFonts w:hint="eastAsia" w:ascii="宋体" w:hAnsi="宋体"/>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255AEDC">
      <w:pPr>
        <w:pStyle w:val="3"/>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2.报价不一致情形澄清</w:t>
      </w:r>
    </w:p>
    <w:p w14:paraId="308B029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投标文件报价出现前后不一致的，除招标文件另有规定外，按照下列规定修正：</w:t>
      </w:r>
    </w:p>
    <w:p w14:paraId="3938F6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(1)投标文件中《开标一览表》内容与投标文件中相应内容不一致的，以《开标一览表》为准；</w:t>
      </w:r>
    </w:p>
    <w:p w14:paraId="533E209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3F4642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(3)单价金额小数点或者百分比有明显错位的，以开标一览表的总价</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或分项单价合价</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为准，并修改单价；</w:t>
      </w:r>
    </w:p>
    <w:p w14:paraId="13E744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7745C43F">
      <w:pPr>
        <w:pStyle w:val="3"/>
        <w:ind w:firstLine="480" w:firstLineChars="200"/>
        <w:rPr>
          <w:rFonts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同时出现两种以上不一致的，按照前款规定的顺序修正。修正后的报价经投标人确认后产生约束力，投标人不确认的，其投标无效。</w:t>
      </w:r>
    </w:p>
    <w:p w14:paraId="47726483">
      <w:pPr>
        <w:pStyle w:val="3"/>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3.报价过低情形澄清</w:t>
      </w:r>
    </w:p>
    <w:p w14:paraId="6F351D1C">
      <w:pPr>
        <w:pStyle w:val="3"/>
        <w:widowControl w:val="0"/>
        <w:ind w:firstLine="480" w:firstLineChars="200"/>
        <w:rPr>
          <w:rFonts w:ascii="宋体" w:hAnsi="宋体"/>
          <w:color w:val="auto"/>
          <w:sz w:val="24"/>
          <w:szCs w:val="24"/>
          <w:highlight w:val="none"/>
        </w:rPr>
      </w:pPr>
      <w:r>
        <w:rPr>
          <w:rFonts w:hint="eastAsia" w:ascii="宋体" w:hAnsi="宋体"/>
          <w:color w:val="auto"/>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50F1622B">
      <w:pPr>
        <w:spacing w:line="5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(三)商务和技术评估、综合比较与评价</w:t>
      </w:r>
    </w:p>
    <w:p w14:paraId="112698BF">
      <w:pPr>
        <w:widowControl w:val="0"/>
        <w:spacing w:line="460" w:lineRule="exact"/>
        <w:ind w:firstLine="472" w:firstLineChars="196"/>
        <w:jc w:val="both"/>
        <w:rPr>
          <w:rFonts w:ascii="宋体" w:hAnsi="宋体"/>
          <w:b/>
          <w:bCs/>
          <w:color w:val="auto"/>
          <w:sz w:val="24"/>
          <w:szCs w:val="24"/>
          <w:highlight w:val="none"/>
        </w:rPr>
      </w:pP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rPr>
        <w:t>.小微企业优惠政策</w:t>
      </w:r>
    </w:p>
    <w:p w14:paraId="134EB899">
      <w:pPr>
        <w:pStyle w:val="12"/>
        <w:widowControl w:val="0"/>
        <w:ind w:firstLine="480" w:firstLineChars="200"/>
        <w:rPr>
          <w:rFonts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号)、关于进一步加大政府采购支持中小企业力度的通知（财库〔2022〕19号）的规定，对符合国家统计局《统计上大中小微型企业划分办法（2017）》规定的小微企业报价扣除，用扣除后的价格参加评审。</w:t>
      </w:r>
    </w:p>
    <w:p w14:paraId="2A0F3698">
      <w:pPr>
        <w:pStyle w:val="12"/>
        <w:widowControl w:val="0"/>
        <w:ind w:firstLine="480" w:firstLineChars="200"/>
        <w:rPr>
          <w:rFonts w:ascii="宋体" w:hAnsi="宋体"/>
          <w:color w:val="auto"/>
          <w:kern w:val="0"/>
          <w:sz w:val="24"/>
          <w:highlight w:val="none"/>
        </w:rPr>
      </w:pPr>
      <w:r>
        <w:rPr>
          <w:rFonts w:hint="eastAsia" w:ascii="宋体" w:hAnsi="宋体"/>
          <w:color w:val="auto"/>
          <w:kern w:val="0"/>
          <w:sz w:val="24"/>
          <w:highlight w:val="none"/>
        </w:rPr>
        <w:t>请投标人根据《政府采购促进中小企业发展管理办法》（财库〔2020〕46号)的规定，提供《中小企业声明函》，未提供的小微企业不享受价格评审优惠政策。投标人对《中小企业声明函》的真实性负责，如有虚假，采购人将向监管部门反映，投标人依法承担相应责任。</w:t>
      </w:r>
    </w:p>
    <w:p w14:paraId="645F7CEC">
      <w:pPr>
        <w:spacing w:line="460" w:lineRule="exact"/>
        <w:ind w:firstLine="480" w:firstLineChars="200"/>
        <w:rPr>
          <w:rFonts w:ascii="宋体" w:hAnsi="宋体"/>
          <w:b/>
          <w:bCs/>
          <w:color w:val="auto"/>
          <w:sz w:val="24"/>
          <w:szCs w:val="24"/>
          <w:highlight w:val="none"/>
        </w:rPr>
      </w:pPr>
      <w:r>
        <w:rPr>
          <w:rFonts w:hint="eastAsia" w:ascii="宋体" w:hAnsi="宋体"/>
          <w:color w:val="auto"/>
          <w:sz w:val="24"/>
          <w:szCs w:val="24"/>
          <w:highlight w:val="none"/>
        </w:rPr>
        <w:t>其他未尽事宜，按照《政府采购促进中小企业发展管理办法》（财库〔2020〕46号)规定执行。</w:t>
      </w:r>
    </w:p>
    <w:p w14:paraId="7803CA94">
      <w:pPr>
        <w:autoSpaceDE w:val="0"/>
        <w:autoSpaceDN w:val="0"/>
        <w:spacing w:line="480" w:lineRule="exact"/>
        <w:ind w:firstLine="472" w:firstLineChars="196"/>
        <w:rPr>
          <w:rFonts w:ascii="宋体" w:hAnsi="宋体"/>
          <w:b/>
          <w:bCs/>
          <w:color w:val="auto"/>
          <w:sz w:val="24"/>
          <w:szCs w:val="24"/>
          <w:highlight w:val="none"/>
        </w:rPr>
      </w:pP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.监狱企业优惠政策</w:t>
      </w:r>
    </w:p>
    <w:p w14:paraId="192B73BE">
      <w:pPr>
        <w:autoSpaceDE w:val="0"/>
        <w:autoSpaceDN w:val="0"/>
        <w:spacing w:line="480" w:lineRule="exact"/>
        <w:ind w:left="-15" w:leftChars="-7" w:firstLine="480" w:firstLineChars="200"/>
        <w:rPr>
          <w:rFonts w:ascii="宋体" w:hAnsi="宋体"/>
          <w:color w:val="auto"/>
          <w:sz w:val="24"/>
          <w:szCs w:val="24"/>
          <w:highlight w:val="none"/>
        </w:rPr>
      </w:pPr>
      <w:r>
        <w:rPr>
          <w:rFonts w:hint="eastAsia" w:ascii="宋体" w:hAnsi="宋体"/>
          <w:color w:val="auto"/>
          <w:sz w:val="24"/>
          <w:szCs w:val="24"/>
          <w:highlight w:val="none"/>
        </w:rPr>
        <w:t>根据《关于政府采购支持监狱企业发展有关问题的通知》(财库[2014]68号)的规定，符合条件的监狱企业参与本项目投标时，提供由省级以上监狱管理局、戒毒管理局(含新疆生产建设兵团)出具的属于监狱企业的证明文件的，视同小型、微型企业享受价格扣除等优惠政策。</w:t>
      </w:r>
    </w:p>
    <w:p w14:paraId="20F07634">
      <w:pPr>
        <w:autoSpaceDE w:val="0"/>
        <w:autoSpaceDN w:val="0"/>
        <w:spacing w:line="480" w:lineRule="exact"/>
        <w:ind w:firstLine="472" w:firstLineChars="196"/>
        <w:rPr>
          <w:rFonts w:ascii="宋体" w:hAnsi="宋体"/>
          <w:b/>
          <w:bCs/>
          <w:color w:val="auto"/>
          <w:sz w:val="24"/>
          <w:szCs w:val="24"/>
          <w:highlight w:val="none"/>
        </w:rPr>
      </w:pP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.残疾人福利性单位优惠政策</w:t>
      </w:r>
    </w:p>
    <w:p w14:paraId="03E29BA9">
      <w:pPr>
        <w:autoSpaceDE w:val="0"/>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根据《关于促进残疾人就业政府采购政策的通知》(财库[2017]141号)的规定，符合条件的残疾人福利性单位参与本项目投标时，提供《残疾人福利性单位声明函》并对声明的真实性负责，视同小型、微型企业享受价格扣除等优惠政策。</w:t>
      </w:r>
      <w:r>
        <w:rPr>
          <w:rFonts w:hint="eastAsia" w:ascii="宋体" w:hAnsi="宋体"/>
          <w:b/>
          <w:color w:val="auto"/>
          <w:sz w:val="24"/>
          <w:szCs w:val="24"/>
          <w:highlight w:val="none"/>
        </w:rPr>
        <w:t>投标人对《残疾人福利性单位声明函》的真实性负责，如有虚假，自行承担相应责任。</w:t>
      </w:r>
    </w:p>
    <w:p w14:paraId="6895E097">
      <w:pPr>
        <w:autoSpaceDE w:val="0"/>
        <w:autoSpaceDN w:val="0"/>
        <w:spacing w:line="480" w:lineRule="exact"/>
        <w:ind w:firstLine="472" w:firstLineChars="196"/>
        <w:rPr>
          <w:rFonts w:ascii="宋体" w:hAnsi="宋体"/>
          <w:b/>
          <w:bCs/>
          <w:color w:val="auto"/>
          <w:sz w:val="24"/>
          <w:szCs w:val="24"/>
          <w:highlight w:val="none"/>
        </w:rPr>
      </w:pP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rPr>
        <w:t>.节能产品及环境标志产品政策</w:t>
      </w:r>
    </w:p>
    <w:p w14:paraId="4206A70C">
      <w:pPr>
        <w:pStyle w:val="3"/>
        <w:spacing w:line="480" w:lineRule="exact"/>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按照</w:t>
      </w:r>
      <w:r>
        <w:rPr>
          <w:rFonts w:hint="eastAsia" w:ascii="宋体" w:hAnsi="宋体" w:cs="宋体"/>
          <w:color w:val="auto"/>
          <w:sz w:val="24"/>
          <w:szCs w:val="24"/>
          <w:highlight w:val="none"/>
        </w:rPr>
        <w:t>《关于印发节能产品政府采购品目清单的通知》（财库〔2019〕19 号）</w:t>
      </w:r>
      <w:r>
        <w:rPr>
          <w:rFonts w:hint="eastAsia" w:ascii="宋体" w:hAnsi="宋体"/>
          <w:color w:val="auto"/>
          <w:sz w:val="24"/>
          <w:szCs w:val="24"/>
          <w:highlight w:val="none"/>
        </w:rPr>
        <w:t>、《关于印发环境标志产品政府采购品目清单的通知》（财库〔2019〕18 号）的规定执行。</w:t>
      </w:r>
    </w:p>
    <w:p w14:paraId="27478393">
      <w:pPr>
        <w:autoSpaceDE w:val="0"/>
        <w:autoSpaceDN w:val="0"/>
        <w:spacing w:line="480" w:lineRule="exact"/>
        <w:ind w:firstLine="472" w:firstLineChars="196"/>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.综合评分方式</w:t>
      </w:r>
    </w:p>
    <w:p w14:paraId="5709C785">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评标总得分=F1＋F2＋F3</w:t>
      </w:r>
    </w:p>
    <w:p w14:paraId="7FBB8AA4">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其中：F1、F2、F3分别为投标报价、技术部分、商务部分3项评分因素的汇总得分；投标报价F1：30分，技术部分F2：</w:t>
      </w:r>
      <w:r>
        <w:rPr>
          <w:rFonts w:hint="eastAsia" w:ascii="宋体" w:hAnsi="宋体" w:cs="宋体"/>
          <w:color w:val="auto"/>
          <w:sz w:val="24"/>
          <w:szCs w:val="24"/>
          <w:highlight w:val="none"/>
          <w:lang w:val="en-US" w:eastAsia="zh-CN"/>
        </w:rPr>
        <w:t>65</w:t>
      </w:r>
      <w:r>
        <w:rPr>
          <w:rFonts w:hint="eastAsia" w:ascii="宋体" w:hAnsi="宋体" w:cs="宋体"/>
          <w:color w:val="auto"/>
          <w:sz w:val="24"/>
          <w:szCs w:val="24"/>
          <w:highlight w:val="none"/>
        </w:rPr>
        <w:t>分，商务部分F3：</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1C98AFC8">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具体评审细则如下：</w:t>
      </w:r>
    </w:p>
    <w:tbl>
      <w:tblPr>
        <w:tblStyle w:val="22"/>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5"/>
        <w:gridCol w:w="1665"/>
        <w:gridCol w:w="7099"/>
      </w:tblGrid>
      <w:tr w14:paraId="770A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shd w:val="clear" w:color="auto" w:fill="auto"/>
            <w:vAlign w:val="center"/>
          </w:tcPr>
          <w:p w14:paraId="0AB13C24">
            <w:pPr>
              <w:keepNext w:val="0"/>
              <w:keepLines w:val="0"/>
              <w:pageBreakBefore w:val="0"/>
              <w:kinsoku/>
              <w:wordWrap/>
              <w:overflowPunct/>
              <w:topLinePunct w:val="0"/>
              <w:bidi w:val="0"/>
              <w:snapToGrid w:val="0"/>
              <w:spacing w:line="320" w:lineRule="exact"/>
              <w:jc w:val="center"/>
              <w:textAlignment w:val="auto"/>
              <w:rPr>
                <w:rFonts w:asciiTheme="minorEastAsia" w:hAnsiTheme="minorEastAsia" w:eastAsiaTheme="minorEastAsia" w:cstheme="minorEastAsia"/>
                <w:b/>
                <w:color w:val="auto"/>
                <w:sz w:val="24"/>
                <w:szCs w:val="24"/>
                <w:highlight w:val="none"/>
              </w:rPr>
            </w:pPr>
            <w:bookmarkStart w:id="260" w:name="_Hlk22646381"/>
            <w:r>
              <w:rPr>
                <w:rFonts w:hint="eastAsia" w:asciiTheme="minorEastAsia" w:hAnsiTheme="minorEastAsia" w:eastAsiaTheme="minorEastAsia" w:cstheme="minorEastAsia"/>
                <w:b/>
                <w:color w:val="auto"/>
                <w:sz w:val="24"/>
                <w:szCs w:val="24"/>
                <w:highlight w:val="none"/>
              </w:rPr>
              <w:t>评分因素</w:t>
            </w:r>
          </w:p>
        </w:tc>
        <w:tc>
          <w:tcPr>
            <w:tcW w:w="1665" w:type="dxa"/>
            <w:shd w:val="clear" w:color="auto" w:fill="auto"/>
            <w:vAlign w:val="center"/>
          </w:tcPr>
          <w:p w14:paraId="0845112F">
            <w:pPr>
              <w:keepNext w:val="0"/>
              <w:keepLines w:val="0"/>
              <w:pageBreakBefore w:val="0"/>
              <w:kinsoku/>
              <w:wordWrap/>
              <w:overflowPunct/>
              <w:topLinePunct w:val="0"/>
              <w:bidi w:val="0"/>
              <w:snapToGrid w:val="0"/>
              <w:spacing w:line="320" w:lineRule="exact"/>
              <w:jc w:val="center"/>
              <w:textAlignment w:val="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分值</w:t>
            </w:r>
          </w:p>
        </w:tc>
        <w:tc>
          <w:tcPr>
            <w:tcW w:w="7099" w:type="dxa"/>
            <w:shd w:val="clear" w:color="auto" w:fill="auto"/>
            <w:vAlign w:val="center"/>
          </w:tcPr>
          <w:p w14:paraId="356E0A74">
            <w:pPr>
              <w:keepNext w:val="0"/>
              <w:keepLines w:val="0"/>
              <w:pageBreakBefore w:val="0"/>
              <w:kinsoku/>
              <w:wordWrap/>
              <w:overflowPunct/>
              <w:topLinePunct w:val="0"/>
              <w:bidi w:val="0"/>
              <w:adjustRightInd w:val="0"/>
              <w:snapToGrid w:val="0"/>
              <w:spacing w:line="320" w:lineRule="exact"/>
              <w:jc w:val="center"/>
              <w:textAlignment w:val="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14:paraId="6986D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85" w:type="dxa"/>
            <w:shd w:val="clear" w:color="auto" w:fill="auto"/>
            <w:vAlign w:val="center"/>
          </w:tcPr>
          <w:p w14:paraId="6DFADB43">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投标报价评审（</w:t>
            </w:r>
            <w:r>
              <w:rPr>
                <w:rFonts w:hint="eastAsia" w:ascii="宋体" w:hAnsi="宋体" w:cs="宋体"/>
                <w:color w:val="auto"/>
                <w:sz w:val="24"/>
                <w:szCs w:val="24"/>
                <w:highlight w:val="none"/>
              </w:rPr>
              <w:t>F1</w:t>
            </w:r>
            <w:r>
              <w:rPr>
                <w:rFonts w:hint="eastAsia" w:asciiTheme="minorEastAsia" w:hAnsiTheme="minorEastAsia" w:eastAsiaTheme="minorEastAsia" w:cstheme="minorEastAsia"/>
                <w:bCs/>
                <w:color w:val="auto"/>
                <w:sz w:val="24"/>
                <w:szCs w:val="24"/>
                <w:highlight w:val="none"/>
              </w:rPr>
              <w:t>）</w:t>
            </w:r>
          </w:p>
        </w:tc>
        <w:tc>
          <w:tcPr>
            <w:tcW w:w="1665" w:type="dxa"/>
            <w:shd w:val="clear" w:color="auto" w:fill="auto"/>
            <w:vAlign w:val="center"/>
          </w:tcPr>
          <w:p w14:paraId="08E74CCD">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满分30分</w:t>
            </w:r>
          </w:p>
        </w:tc>
        <w:tc>
          <w:tcPr>
            <w:tcW w:w="7099" w:type="dxa"/>
            <w:shd w:val="clear" w:color="auto" w:fill="auto"/>
            <w:vAlign w:val="center"/>
          </w:tcPr>
          <w:p w14:paraId="733F2EF9">
            <w:pPr>
              <w:keepNext w:val="0"/>
              <w:keepLines w:val="0"/>
              <w:pageBreakBefore w:val="0"/>
              <w:kinsoku/>
              <w:wordWrap/>
              <w:overflowPunct/>
              <w:topLinePunct w:val="0"/>
              <w:bidi w:val="0"/>
              <w:adjustRightInd w:val="0"/>
              <w:snapToGrid w:val="0"/>
              <w:spacing w:line="320" w:lineRule="exact"/>
              <w:textAlignment w:val="auto"/>
              <w:rPr>
                <w:rFonts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根据各投标人投标报价按照以下规则进行打分。</w:t>
            </w:r>
          </w:p>
          <w:p w14:paraId="20321C6C">
            <w:pPr>
              <w:keepNext w:val="0"/>
              <w:keepLines w:val="0"/>
              <w:pageBreakBefore w:val="0"/>
              <w:kinsoku/>
              <w:wordWrap/>
              <w:overflowPunct/>
              <w:topLinePunct w:val="0"/>
              <w:bidi w:val="0"/>
              <w:adjustRightInd w:val="0"/>
              <w:snapToGrid w:val="0"/>
              <w:spacing w:line="320" w:lineRule="exact"/>
              <w:textAlignment w:val="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(1)算术修正报价</w:t>
            </w:r>
          </w:p>
          <w:p w14:paraId="528D8F75">
            <w:pPr>
              <w:keepNext w:val="0"/>
              <w:keepLines w:val="0"/>
              <w:pageBreakBefore w:val="0"/>
              <w:kinsoku/>
              <w:wordWrap/>
              <w:overflowPunct/>
              <w:topLinePunct w:val="0"/>
              <w:bidi w:val="0"/>
              <w:adjustRightInd w:val="0"/>
              <w:snapToGrid w:val="0"/>
              <w:spacing w:line="320" w:lineRule="exac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若存在算术修正，应按修正后的投标报价进行评标基准价和投标报价得分计算；</w:t>
            </w:r>
          </w:p>
          <w:p w14:paraId="3AF5C966">
            <w:pPr>
              <w:keepNext w:val="0"/>
              <w:keepLines w:val="0"/>
              <w:pageBreakBefore w:val="0"/>
              <w:kinsoku/>
              <w:wordWrap/>
              <w:overflowPunct/>
              <w:topLinePunct w:val="0"/>
              <w:autoSpaceDE w:val="0"/>
              <w:autoSpaceDN w:val="0"/>
              <w:bidi w:val="0"/>
              <w:spacing w:line="320" w:lineRule="exac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6"/>
                <w:sz w:val="24"/>
                <w:szCs w:val="24"/>
                <w:highlight w:val="none"/>
              </w:rPr>
              <w:t>(2)评标基准价</w:t>
            </w:r>
            <w:r>
              <w:rPr>
                <w:rFonts w:hint="eastAsia" w:asciiTheme="minorEastAsia" w:hAnsiTheme="minorEastAsia" w:eastAsiaTheme="minorEastAsia" w:cstheme="minorEastAsia"/>
                <w:color w:val="auto"/>
                <w:sz w:val="24"/>
                <w:szCs w:val="24"/>
                <w:highlight w:val="none"/>
              </w:rPr>
              <w:t>＝满足招标文件要求且投标</w:t>
            </w:r>
            <w:r>
              <w:rPr>
                <w:rFonts w:hint="eastAsia" w:asciiTheme="minorEastAsia" w:hAnsiTheme="minorEastAsia" w:eastAsiaTheme="minorEastAsia" w:cstheme="minorEastAsia"/>
                <w:color w:val="auto"/>
                <w:sz w:val="24"/>
                <w:szCs w:val="24"/>
                <w:highlight w:val="none"/>
                <w:lang w:val="en-US" w:eastAsia="zh-CN"/>
              </w:rPr>
              <w:t>总价</w:t>
            </w:r>
            <w:r>
              <w:rPr>
                <w:rFonts w:hint="eastAsia" w:asciiTheme="minorEastAsia" w:hAnsiTheme="minorEastAsia" w:eastAsiaTheme="minorEastAsia" w:cstheme="minorEastAsia"/>
                <w:color w:val="auto"/>
                <w:sz w:val="24"/>
                <w:szCs w:val="24"/>
                <w:highlight w:val="none"/>
              </w:rPr>
              <w:t>最低的投标报价为评标基准价；</w:t>
            </w:r>
          </w:p>
          <w:p w14:paraId="00202634">
            <w:pPr>
              <w:keepNext w:val="0"/>
              <w:keepLines w:val="0"/>
              <w:pageBreakBefore w:val="0"/>
              <w:kinsoku/>
              <w:wordWrap/>
              <w:overflowPunct/>
              <w:topLinePunct w:val="0"/>
              <w:bidi w:val="0"/>
              <w:adjustRightInd w:val="0"/>
              <w:snapToGrid w:val="0"/>
              <w:spacing w:line="320" w:lineRule="exac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6"/>
                <w:sz w:val="24"/>
                <w:szCs w:val="24"/>
                <w:highlight w:val="none"/>
              </w:rPr>
              <w:t>(3)得分计算</w:t>
            </w:r>
            <w:r>
              <w:rPr>
                <w:rFonts w:hint="eastAsia" w:asciiTheme="minorEastAsia" w:hAnsiTheme="minorEastAsia" w:eastAsiaTheme="minorEastAsia" w:cstheme="minorEastAsia"/>
                <w:color w:val="auto"/>
                <w:spacing w:val="6"/>
                <w:sz w:val="24"/>
                <w:szCs w:val="24"/>
                <w:highlight w:val="none"/>
              </w:rPr>
              <w:t>：</w:t>
            </w:r>
            <w:r>
              <w:rPr>
                <w:rFonts w:hint="eastAsia" w:asciiTheme="minorEastAsia" w:hAnsiTheme="minorEastAsia" w:eastAsiaTheme="minorEastAsia" w:cstheme="minorEastAsia"/>
                <w:color w:val="auto"/>
                <w:sz w:val="24"/>
                <w:szCs w:val="24"/>
                <w:highlight w:val="none"/>
              </w:rPr>
              <w:t>满足招标文件要求且投标</w:t>
            </w:r>
            <w:r>
              <w:rPr>
                <w:rFonts w:hint="eastAsia" w:asciiTheme="minorEastAsia" w:hAnsiTheme="minorEastAsia" w:eastAsiaTheme="minorEastAsia" w:cstheme="minorEastAsia"/>
                <w:color w:val="auto"/>
                <w:sz w:val="24"/>
                <w:szCs w:val="24"/>
                <w:highlight w:val="none"/>
                <w:lang w:val="en-US" w:eastAsia="zh-CN"/>
              </w:rPr>
              <w:t>总价</w:t>
            </w:r>
            <w:r>
              <w:rPr>
                <w:rFonts w:hint="eastAsia" w:asciiTheme="minorEastAsia" w:hAnsiTheme="minorEastAsia" w:eastAsiaTheme="minorEastAsia" w:cstheme="minorEastAsia"/>
                <w:color w:val="auto"/>
                <w:sz w:val="24"/>
                <w:szCs w:val="24"/>
                <w:highlight w:val="none"/>
              </w:rPr>
              <w:t>最低的投标报价，其价格分为满分。其他投标人的价格分统一按照下列公式计算：</w:t>
            </w:r>
          </w:p>
          <w:p w14:paraId="79A4864C">
            <w:pPr>
              <w:keepNext w:val="0"/>
              <w:keepLines w:val="0"/>
              <w:pageBreakBefore w:val="0"/>
              <w:kinsoku/>
              <w:wordWrap/>
              <w:overflowPunct/>
              <w:topLinePunct w:val="0"/>
              <w:bidi w:val="0"/>
              <w:spacing w:line="320" w:lineRule="exact"/>
              <w:textAlignment w:val="auto"/>
              <w:rPr>
                <w:rFonts w:hint="default"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rPr>
              <w:t>投标报价得分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(评标基准价/投标</w:t>
            </w:r>
            <w:r>
              <w:rPr>
                <w:rFonts w:hint="eastAsia" w:asciiTheme="minorEastAsia" w:hAnsiTheme="minorEastAsia" w:eastAsiaTheme="minorEastAsia" w:cstheme="minorEastAsia"/>
                <w:b/>
                <w:bCs/>
                <w:color w:val="auto"/>
                <w:sz w:val="24"/>
                <w:szCs w:val="24"/>
                <w:highlight w:val="none"/>
                <w:lang w:val="en-US" w:eastAsia="zh-CN"/>
              </w:rPr>
              <w:t>总价</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30</w:t>
            </w:r>
          </w:p>
          <w:p w14:paraId="47DDBE1B">
            <w:pPr>
              <w:keepNext w:val="0"/>
              <w:keepLines w:val="0"/>
              <w:pageBreakBefore w:val="0"/>
              <w:kinsoku/>
              <w:wordWrap/>
              <w:overflowPunct/>
              <w:topLinePunct w:val="0"/>
              <w:bidi w:val="0"/>
              <w:spacing w:line="32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注：</w:t>
            </w:r>
          </w:p>
          <w:p w14:paraId="7D03CBE8">
            <w:pPr>
              <w:pStyle w:val="10"/>
              <w:keepNext w:val="0"/>
              <w:keepLines w:val="0"/>
              <w:pageBreakBefore w:val="0"/>
              <w:kinsoku/>
              <w:wordWrap/>
              <w:overflowPunct/>
              <w:topLinePunct w:val="0"/>
              <w:bidi w:val="0"/>
              <w:spacing w:line="32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因落实政府采购政策进行价格调整的，以调整后的价格计算评标基准价和投标报价；</w:t>
            </w:r>
          </w:p>
          <w:p w14:paraId="2B595044">
            <w:pPr>
              <w:pStyle w:val="10"/>
              <w:keepNext w:val="0"/>
              <w:keepLines w:val="0"/>
              <w:pageBreakBefore w:val="0"/>
              <w:kinsoku/>
              <w:wordWrap/>
              <w:overflowPunct/>
              <w:topLinePunct w:val="0"/>
              <w:bidi w:val="0"/>
              <w:spacing w:line="32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b/>
                <w:bCs/>
                <w:color w:val="auto"/>
                <w:sz w:val="24"/>
                <w:szCs w:val="24"/>
                <w:highlight w:val="none"/>
                <w:lang w:val="en-US" w:eastAsia="zh-CN"/>
              </w:rPr>
              <w:t>本项目</w:t>
            </w:r>
            <w:r>
              <w:rPr>
                <w:rFonts w:hint="eastAsia" w:ascii="宋体" w:hAnsi="宋体" w:eastAsia="宋体" w:cs="宋体"/>
                <w:b/>
                <w:bCs/>
                <w:i w:val="0"/>
                <w:iCs w:val="0"/>
                <w:color w:val="auto"/>
                <w:kern w:val="2"/>
                <w:sz w:val="24"/>
                <w:szCs w:val="24"/>
                <w:highlight w:val="none"/>
                <w:lang w:val="en-US" w:eastAsia="zh-CN" w:bidi="ar"/>
              </w:rPr>
              <w:t>为专门面向中小企业采购，</w:t>
            </w:r>
            <w:r>
              <w:rPr>
                <w:rFonts w:hint="eastAsia" w:ascii="宋体" w:hAnsi="宋体" w:eastAsia="宋体" w:cs="Times New Roman"/>
                <w:b/>
                <w:bCs/>
                <w:color w:val="auto"/>
                <w:sz w:val="24"/>
                <w:szCs w:val="24"/>
                <w:highlight w:val="none"/>
              </w:rPr>
              <w:t>不适用价格扣除后参与评审</w:t>
            </w:r>
            <w:r>
              <w:rPr>
                <w:rFonts w:hint="eastAsia" w:ascii="宋体" w:hAnsi="宋体" w:eastAsia="宋体" w:cs="宋体"/>
                <w:b/>
                <w:bCs/>
                <w:i w:val="0"/>
                <w:iCs w:val="0"/>
                <w:color w:val="auto"/>
                <w:kern w:val="2"/>
                <w:sz w:val="24"/>
                <w:szCs w:val="24"/>
                <w:highlight w:val="none"/>
                <w:lang w:val="en-US" w:eastAsia="zh-CN" w:bidi="ar"/>
              </w:rPr>
              <w:t>；</w:t>
            </w:r>
          </w:p>
          <w:p w14:paraId="39942AA7">
            <w:pPr>
              <w:keepNext w:val="0"/>
              <w:keepLines w:val="0"/>
              <w:pageBreakBefore w:val="0"/>
              <w:kinsoku/>
              <w:wordWrap/>
              <w:overflowPunct/>
              <w:topLinePunct w:val="0"/>
              <w:bidi w:val="0"/>
              <w:spacing w:line="32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项目评审过程中，不得去掉最后报价中的最高报价和最低报价。</w:t>
            </w:r>
          </w:p>
          <w:p w14:paraId="116BD584">
            <w:pPr>
              <w:pStyle w:val="10"/>
              <w:keepNext w:val="0"/>
              <w:keepLines w:val="0"/>
              <w:pageBreakBefore w:val="0"/>
              <w:kinsoku/>
              <w:wordWrap/>
              <w:overflowPunct/>
              <w:topLinePunct w:val="0"/>
              <w:bidi w:val="0"/>
              <w:spacing w:line="32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残疾人福利性单位（监狱企业）产品、服务视同小型、微型企业产品、服务，享受同等价格扣除；</w:t>
            </w:r>
          </w:p>
          <w:p w14:paraId="53E12BAF">
            <w:pPr>
              <w:pStyle w:val="10"/>
              <w:keepNext w:val="0"/>
              <w:keepLines w:val="0"/>
              <w:pageBreakBefore w:val="0"/>
              <w:kinsoku/>
              <w:wordWrap/>
              <w:overflowPunct/>
              <w:topLinePunct w:val="0"/>
              <w:bidi w:val="0"/>
              <w:spacing w:line="320" w:lineRule="exac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投标人仅能获得一种政策的价格扣除，不重复享受；</w:t>
            </w:r>
          </w:p>
          <w:p w14:paraId="61207390">
            <w:pPr>
              <w:keepNext w:val="0"/>
              <w:keepLines w:val="0"/>
              <w:pageBreakBefore w:val="0"/>
              <w:kinsoku/>
              <w:wordWrap/>
              <w:overflowPunct/>
              <w:topLinePunct w:val="0"/>
              <w:bidi w:val="0"/>
              <w:spacing w:line="320" w:lineRule="exact"/>
              <w:textAlignment w:val="auto"/>
              <w:rPr>
                <w:color w:val="auto"/>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计算结果四舍五入保留至小数点后两位。</w:t>
            </w:r>
          </w:p>
          <w:p w14:paraId="4AE12E0C">
            <w:pPr>
              <w:keepNext w:val="0"/>
              <w:keepLines w:val="0"/>
              <w:pageBreakBefore w:val="0"/>
              <w:kinsoku/>
              <w:wordWrap/>
              <w:overflowPunct/>
              <w:topLinePunct w:val="0"/>
              <w:bidi w:val="0"/>
              <w:spacing w:line="320" w:lineRule="exact"/>
              <w:ind w:firstLine="241" w:firstLineChars="100"/>
              <w:textAlignment w:val="auto"/>
              <w:rPr>
                <w:rFonts w:asciiTheme="minorEastAsia" w:hAnsiTheme="minorEastAsia" w:eastAsiaTheme="minorEastAsia" w:cstheme="minorEastAsia"/>
                <w:b/>
                <w:bCs/>
                <w:color w:val="auto"/>
                <w:sz w:val="24"/>
                <w:szCs w:val="24"/>
                <w:highlight w:val="none"/>
              </w:rPr>
            </w:pPr>
            <w:r>
              <w:rPr>
                <w:rFonts w:hint="eastAsia" w:ascii="宋体" w:hAnsi="宋体" w:cs="宋体"/>
                <w:b/>
                <w:bCs/>
                <w:color w:val="auto"/>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评标委员会根据供应商提供的小微企业或监狱企业或残疾人福利性单位相关声明函，认定其是否属于小微企业或监狱企业或残疾人福利性单位并享受相应的优惠政策。</w:t>
            </w:r>
            <w:r>
              <w:rPr>
                <w:rFonts w:hint="eastAsia" w:ascii="宋体" w:hAnsi="宋体" w:cs="宋体"/>
                <w:b/>
                <w:bCs/>
                <w:color w:val="auto"/>
                <w:sz w:val="24"/>
                <w:szCs w:val="24"/>
                <w:highlight w:val="none"/>
                <w:lang w:val="en-US" w:eastAsia="zh-CN"/>
              </w:rPr>
              <w:t>投标人</w:t>
            </w:r>
            <w:r>
              <w:rPr>
                <w:rFonts w:hint="eastAsia" w:ascii="宋体" w:hAnsi="宋体" w:cs="宋体"/>
                <w:b/>
                <w:bCs/>
                <w:color w:val="auto"/>
                <w:sz w:val="24"/>
                <w:szCs w:val="24"/>
                <w:highlight w:val="none"/>
              </w:rPr>
              <w:t>对其提供的声明函的真实性负责，如有虚假，自行承担相应责任。</w:t>
            </w:r>
          </w:p>
        </w:tc>
      </w:tr>
      <w:tr w14:paraId="589B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2" w:hRule="atLeast"/>
          <w:jc w:val="center"/>
        </w:trPr>
        <w:tc>
          <w:tcPr>
            <w:tcW w:w="885" w:type="dxa"/>
            <w:vMerge w:val="restart"/>
            <w:shd w:val="clear" w:color="auto" w:fill="auto"/>
            <w:vAlign w:val="center"/>
          </w:tcPr>
          <w:p w14:paraId="5ACF83A4">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技术部分评审（</w:t>
            </w:r>
            <w:r>
              <w:rPr>
                <w:rFonts w:hint="eastAsia" w:ascii="宋体" w:hAnsi="宋体" w:cs="宋体"/>
                <w:color w:val="auto"/>
                <w:sz w:val="24"/>
                <w:szCs w:val="24"/>
                <w:highlight w:val="none"/>
              </w:rPr>
              <w:t>F2</w:t>
            </w:r>
            <w:r>
              <w:rPr>
                <w:rFonts w:hint="eastAsia" w:asciiTheme="minorEastAsia" w:hAnsiTheme="minorEastAsia" w:eastAsiaTheme="minorEastAsia" w:cstheme="minorEastAsia"/>
                <w:bCs/>
                <w:color w:val="auto"/>
                <w:sz w:val="24"/>
                <w:szCs w:val="24"/>
                <w:highlight w:val="none"/>
              </w:rPr>
              <w:t>）</w:t>
            </w:r>
          </w:p>
        </w:tc>
        <w:tc>
          <w:tcPr>
            <w:tcW w:w="1665" w:type="dxa"/>
            <w:shd w:val="clear" w:color="auto" w:fill="auto"/>
            <w:vAlign w:val="center"/>
          </w:tcPr>
          <w:p w14:paraId="3F5C922D">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供货服务方案</w:t>
            </w:r>
          </w:p>
          <w:p w14:paraId="5CDBFDAB">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分）</w:t>
            </w:r>
          </w:p>
        </w:tc>
        <w:tc>
          <w:tcPr>
            <w:tcW w:w="7099" w:type="dxa"/>
            <w:shd w:val="clear" w:color="auto" w:fill="auto"/>
            <w:vAlign w:val="top"/>
          </w:tcPr>
          <w:p w14:paraId="4E2969C9">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投标人结合采购人的特殊性和自身情况制定具体的服务方案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包含但不限于以下内容进行评审：</w:t>
            </w:r>
          </w:p>
          <w:p w14:paraId="113872B8">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货物入库</w:t>
            </w:r>
            <w:r>
              <w:rPr>
                <w:rFonts w:hint="eastAsia" w:ascii="宋体" w:hAnsi="宋体" w:eastAsia="宋体" w:cs="宋体"/>
                <w:color w:val="auto"/>
                <w:sz w:val="24"/>
                <w:szCs w:val="24"/>
                <w:highlight w:val="none"/>
                <w:lang w:val="en-US" w:eastAsia="zh-CN"/>
              </w:rPr>
              <w:t>及仓储</w:t>
            </w:r>
            <w:r>
              <w:rPr>
                <w:rFonts w:hint="eastAsia" w:ascii="宋体" w:hAnsi="宋体" w:eastAsia="宋体" w:cs="宋体"/>
                <w:color w:val="auto"/>
                <w:sz w:val="24"/>
                <w:szCs w:val="24"/>
                <w:highlight w:val="none"/>
              </w:rPr>
              <w:t>完整的服务流程</w:t>
            </w:r>
            <w:r>
              <w:rPr>
                <w:rFonts w:hint="eastAsia" w:ascii="宋体" w:hAnsi="宋体" w:cs="宋体"/>
                <w:color w:val="auto"/>
                <w:sz w:val="24"/>
                <w:szCs w:val="24"/>
                <w:highlight w:val="none"/>
                <w:lang w:eastAsia="zh-CN"/>
              </w:rPr>
              <w:t>；</w:t>
            </w:r>
          </w:p>
          <w:p w14:paraId="5B36DB17">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2.项目实施进度安排及保障措施，能够完全满足项目需求；</w:t>
            </w:r>
          </w:p>
          <w:p w14:paraId="14384445">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退换货方案</w:t>
            </w:r>
            <w:r>
              <w:rPr>
                <w:rFonts w:hint="eastAsia" w:ascii="宋体" w:hAnsi="宋体" w:cs="宋体"/>
                <w:color w:val="auto"/>
                <w:sz w:val="24"/>
                <w:szCs w:val="24"/>
                <w:highlight w:val="none"/>
                <w:lang w:val="en-US" w:eastAsia="zh-CN"/>
              </w:rPr>
              <w:t>；</w:t>
            </w:r>
          </w:p>
          <w:p w14:paraId="76454393">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4.针对临时供货有充分考虑及处理机制，</w:t>
            </w:r>
            <w:r>
              <w:rPr>
                <w:rFonts w:hint="eastAsia" w:ascii="宋体" w:hAnsi="宋体" w:eastAsia="宋体" w:cs="宋体"/>
                <w:color w:val="auto"/>
                <w:sz w:val="24"/>
                <w:szCs w:val="24"/>
                <w:highlight w:val="none"/>
              </w:rPr>
              <w:t>未按时供货</w:t>
            </w:r>
            <w:r>
              <w:rPr>
                <w:rFonts w:hint="eastAsia" w:ascii="宋体" w:hAnsi="宋体" w:eastAsia="宋体" w:cs="宋体"/>
                <w:color w:val="auto"/>
                <w:sz w:val="24"/>
                <w:szCs w:val="24"/>
                <w:highlight w:val="none"/>
                <w:lang w:val="en-US" w:eastAsia="zh-CN"/>
              </w:rPr>
              <w:t>的具体</w:t>
            </w:r>
            <w:r>
              <w:rPr>
                <w:rFonts w:hint="eastAsia" w:ascii="宋体" w:hAnsi="宋体" w:eastAsia="宋体" w:cs="宋体"/>
                <w:color w:val="auto"/>
                <w:sz w:val="24"/>
                <w:szCs w:val="24"/>
                <w:highlight w:val="none"/>
              </w:rPr>
              <w:t>惩罚措施</w:t>
            </w:r>
            <w:r>
              <w:rPr>
                <w:rFonts w:hint="eastAsia" w:ascii="宋体" w:hAnsi="宋体" w:eastAsia="宋体" w:cs="宋体"/>
                <w:color w:val="auto"/>
                <w:kern w:val="0"/>
                <w:sz w:val="24"/>
                <w:szCs w:val="24"/>
                <w:highlight w:val="none"/>
                <w:lang w:val="en-US" w:eastAsia="zh-CN" w:bidi="ar-SA"/>
              </w:rPr>
              <w:t>；</w:t>
            </w:r>
          </w:p>
          <w:p w14:paraId="67DDEB16">
            <w:pPr>
              <w:pStyle w:val="12"/>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5.卫生内部管理机制、保障措施</w:t>
            </w:r>
            <w:r>
              <w:rPr>
                <w:rFonts w:hint="eastAsia" w:ascii="宋体" w:hAnsi="宋体" w:cs="宋体"/>
                <w:color w:val="auto"/>
                <w:sz w:val="24"/>
                <w:szCs w:val="24"/>
                <w:highlight w:val="none"/>
                <w:lang w:val="en-US" w:eastAsia="zh-CN"/>
              </w:rPr>
              <w:t>。</w:t>
            </w:r>
          </w:p>
          <w:p w14:paraId="62EA4E2A">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经评定有详细、</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合理的方案描述，且提供了对应切实可行的保障措施</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15DFFAC">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1" w:firstLineChars="100"/>
              <w:jc w:val="left"/>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eastAsia="zh-CN"/>
              </w:rPr>
              <w:t>注：缺陷指对项目情况和方案内容分析不具体；方案与本项目无关或不相符、内容前后矛盾或不一致、前后逻辑错误、涉及的规范及标准错误、地点区域错误、内容缺失、不完全符合采购需求等。</w:t>
            </w:r>
          </w:p>
        </w:tc>
      </w:tr>
      <w:tr w14:paraId="326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72" w:hRule="atLeast"/>
          <w:jc w:val="center"/>
        </w:trPr>
        <w:tc>
          <w:tcPr>
            <w:tcW w:w="885" w:type="dxa"/>
            <w:vMerge w:val="continue"/>
            <w:shd w:val="clear" w:color="auto" w:fill="auto"/>
            <w:vAlign w:val="center"/>
          </w:tcPr>
          <w:p w14:paraId="5982C9CE">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6726BD7E">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供货能力及</w:t>
            </w:r>
          </w:p>
          <w:p w14:paraId="49CCA740">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供货渠道</w:t>
            </w:r>
          </w:p>
          <w:p w14:paraId="5092FAF8">
            <w:pPr>
              <w:pStyle w:val="2"/>
              <w:ind w:left="0" w:leftChars="0" w:firstLine="0" w:firstLineChars="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满分6分</w:t>
            </w:r>
            <w:r>
              <w:rPr>
                <w:rFonts w:hint="eastAsia" w:asciiTheme="minorEastAsia" w:hAnsiTheme="minorEastAsia" w:eastAsiaTheme="minorEastAsia" w:cstheme="minorEastAsia"/>
                <w:color w:val="auto"/>
                <w:sz w:val="24"/>
                <w:szCs w:val="24"/>
                <w:highlight w:val="none"/>
                <w:lang w:eastAsia="zh-CN"/>
              </w:rPr>
              <w:t>）</w:t>
            </w:r>
          </w:p>
        </w:tc>
        <w:tc>
          <w:tcPr>
            <w:tcW w:w="7099" w:type="dxa"/>
            <w:shd w:val="clear" w:color="auto" w:fill="auto"/>
            <w:vAlign w:val="top"/>
          </w:tcPr>
          <w:p w14:paraId="2062F484">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textAlignment w:val="auto"/>
              <w:rPr>
                <w:rFonts w:hint="default" w:ascii="宋体" w:hAnsi="宋体" w:eastAsia="宋体" w:cs="宋体"/>
                <w:b/>
                <w:color w:val="auto"/>
                <w:sz w:val="24"/>
                <w:szCs w:val="24"/>
                <w:highlight w:val="none"/>
                <w:lang w:val="en-US" w:eastAsia="zh-CN"/>
              </w:rPr>
            </w:pPr>
            <w:r>
              <w:rPr>
                <w:rFonts w:hint="eastAsia" w:ascii="宋体" w:hAnsi="宋体" w:cs="宋体"/>
                <w:color w:val="auto"/>
                <w:kern w:val="2"/>
                <w:sz w:val="24"/>
                <w:szCs w:val="24"/>
                <w:highlight w:val="none"/>
                <w:lang w:val="en-US" w:eastAsia="zh-CN"/>
              </w:rPr>
              <w:t>供货能力及供货渠道，</w:t>
            </w:r>
            <w:r>
              <w:rPr>
                <w:rFonts w:hint="eastAsia" w:ascii="宋体" w:hAnsi="宋体" w:cs="宋体"/>
                <w:color w:val="auto"/>
                <w:sz w:val="24"/>
                <w:szCs w:val="24"/>
                <w:highlight w:val="none"/>
                <w:lang w:val="en-US" w:eastAsia="zh-CN"/>
              </w:rPr>
              <w:t>包含但不限于以下内容进行评审：</w:t>
            </w:r>
          </w:p>
          <w:p w14:paraId="5FB6FC8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1.供货渠道阐述；</w:t>
            </w:r>
          </w:p>
          <w:p w14:paraId="3D5129A5">
            <w:pPr>
              <w:pStyle w:val="2"/>
              <w:keepNext w:val="0"/>
              <w:keepLines w:val="0"/>
              <w:pageBreakBefore w:val="0"/>
              <w:widowControl/>
              <w:kinsoku/>
              <w:overflowPunct/>
              <w:topLinePunct w:val="0"/>
              <w:autoSpaceDE/>
              <w:autoSpaceDN/>
              <w:bidi w:val="0"/>
              <w:adjustRightInd/>
              <w:snapToGrid/>
              <w:spacing w:line="320" w:lineRule="exact"/>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sz w:val="24"/>
                <w:szCs w:val="24"/>
                <w:highlight w:val="none"/>
              </w:rPr>
              <w:t>供货来源明确、正规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相关证明材料</w:t>
            </w:r>
            <w:r>
              <w:rPr>
                <w:rFonts w:hint="eastAsia" w:ascii="宋体" w:hAnsi="宋体" w:eastAsia="宋体" w:cs="宋体"/>
                <w:color w:val="auto"/>
                <w:sz w:val="24"/>
                <w:szCs w:val="24"/>
                <w:highlight w:val="none"/>
                <w:lang w:eastAsia="zh-CN"/>
              </w:rPr>
              <w:t>（采购合同或合作协议或202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年度内的进货发票或相关授权等能够证明相应货品来源的相关材料）；</w:t>
            </w:r>
          </w:p>
          <w:p w14:paraId="0EA499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w:t>
            </w:r>
            <w:r>
              <w:rPr>
                <w:rFonts w:hint="eastAsia" w:ascii="宋体" w:hAnsi="宋体" w:eastAsia="宋体" w:cs="宋体"/>
                <w:color w:val="auto"/>
                <w:sz w:val="24"/>
                <w:szCs w:val="24"/>
                <w:highlight w:val="none"/>
              </w:rPr>
              <w:t>供货渠道阐述</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rPr>
              <w:t>详</w:t>
            </w:r>
            <w:r>
              <w:rPr>
                <w:rFonts w:hint="eastAsia" w:ascii="宋体" w:hAnsi="宋体" w:eastAsia="宋体" w:cs="宋体"/>
                <w:color w:val="auto"/>
                <w:sz w:val="24"/>
                <w:szCs w:val="24"/>
                <w:highlight w:val="none"/>
                <w:lang w:val="en-US" w:eastAsia="zh-CN"/>
              </w:rPr>
              <w:t>细</w:t>
            </w:r>
            <w:r>
              <w:rPr>
                <w:rFonts w:hint="eastAsia" w:ascii="宋体" w:hAnsi="宋体" w:eastAsia="宋体" w:cs="宋体"/>
                <w:color w:val="auto"/>
                <w:sz w:val="24"/>
                <w:szCs w:val="24"/>
                <w:highlight w:val="none"/>
              </w:rPr>
              <w:t>，且提供了</w:t>
            </w:r>
            <w:r>
              <w:rPr>
                <w:rFonts w:hint="eastAsia" w:ascii="宋体" w:hAnsi="宋体" w:eastAsia="宋体" w:cs="宋体"/>
                <w:color w:val="auto"/>
                <w:sz w:val="24"/>
                <w:szCs w:val="24"/>
                <w:highlight w:val="none"/>
                <w:lang w:val="en-US" w:eastAsia="zh-CN"/>
              </w:rPr>
              <w:t>清晰的证明材料的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26AFDAA">
            <w:pPr>
              <w:pStyle w:val="2"/>
              <w:keepNext w:val="0"/>
              <w:keepLines w:val="0"/>
              <w:pageBreakBefore w:val="0"/>
              <w:widowControl/>
              <w:kinsoku/>
              <w:overflowPunct/>
              <w:topLinePunct w:val="0"/>
              <w:autoSpaceDE/>
              <w:autoSpaceDN/>
              <w:bidi w:val="0"/>
              <w:adjustRightInd/>
              <w:snapToGrid/>
              <w:spacing w:line="320" w:lineRule="exact"/>
              <w:ind w:left="0" w:leftChars="0" w:firstLine="241"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注：缺陷指对项目情况和方案内容分析不具体；与本项目无关或不相符、内容前后矛盾或不一致、前后逻辑错误、涉及的规范及标准错误、地点区域错误、内容缺失、不完全符合采购需求等。</w:t>
            </w:r>
          </w:p>
        </w:tc>
      </w:tr>
      <w:tr w14:paraId="5698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75" w:hRule="atLeast"/>
          <w:jc w:val="center"/>
        </w:trPr>
        <w:tc>
          <w:tcPr>
            <w:tcW w:w="885" w:type="dxa"/>
            <w:vMerge w:val="continue"/>
            <w:shd w:val="clear" w:color="auto" w:fill="auto"/>
            <w:vAlign w:val="center"/>
          </w:tcPr>
          <w:p w14:paraId="53B04622">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095B44AB">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应急方案</w:t>
            </w:r>
          </w:p>
          <w:p w14:paraId="238F5E50">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（满分</w:t>
            </w: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分）</w:t>
            </w:r>
          </w:p>
          <w:p w14:paraId="618F826A">
            <w:pPr>
              <w:keepNext w:val="0"/>
              <w:keepLines w:val="0"/>
              <w:pageBreakBefore w:val="0"/>
              <w:kinsoku/>
              <w:wordWrap/>
              <w:overflowPunct/>
              <w:topLinePunct w:val="0"/>
              <w:bidi w:val="0"/>
              <w:spacing w:line="320" w:lineRule="exact"/>
              <w:jc w:val="center"/>
              <w:textAlignment w:val="auto"/>
              <w:rPr>
                <w:rFonts w:hint="eastAsia" w:ascii="宋体" w:hAnsi="宋体" w:eastAsia="宋体" w:cs="宋体"/>
                <w:b w:val="0"/>
                <w:bCs/>
                <w:color w:val="auto"/>
                <w:sz w:val="24"/>
                <w:szCs w:val="24"/>
                <w:highlight w:val="none"/>
              </w:rPr>
            </w:pPr>
          </w:p>
        </w:tc>
        <w:tc>
          <w:tcPr>
            <w:tcW w:w="7099" w:type="dxa"/>
            <w:shd w:val="clear" w:color="auto" w:fill="auto"/>
            <w:vAlign w:val="top"/>
          </w:tcPr>
          <w:p w14:paraId="37DBB68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leftChars="0" w:right="0" w:rightChars="0" w:firstLine="240" w:firstLineChars="1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根据投标人提供的内容进行评审：</w:t>
            </w:r>
          </w:p>
          <w:p w14:paraId="055FF9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1.应急预案内容全面详细、科学合理，对包括但不限于食品安全问题等方面有充分的考虑；</w:t>
            </w:r>
          </w:p>
          <w:p w14:paraId="7E41EC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2.至少针对食品安全问题作出明确承诺；</w:t>
            </w:r>
          </w:p>
          <w:p w14:paraId="2F892B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3.对紧急事件及突发状况响应处理及时；</w:t>
            </w:r>
          </w:p>
          <w:p w14:paraId="2ECA947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4.处理流程科学、合理；</w:t>
            </w:r>
          </w:p>
          <w:p w14:paraId="5ED26A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5.责任明确，处罚措施切实可行。</w:t>
            </w:r>
          </w:p>
          <w:p w14:paraId="48B255E2">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经评定有详细、</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合理的方案描述，且提供了对应切实可行的保障措施</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B4330FB">
            <w:pPr>
              <w:pStyle w:val="12"/>
              <w:keepNext w:val="0"/>
              <w:keepLines w:val="0"/>
              <w:pageBreakBefore w:val="0"/>
              <w:widowControl/>
              <w:kinsoku/>
              <w:overflowPunct/>
              <w:topLinePunct w:val="0"/>
              <w:autoSpaceDE/>
              <w:autoSpaceDN/>
              <w:bidi w:val="0"/>
              <w:adjustRightInd/>
              <w:snapToGrid/>
              <w:spacing w:line="320" w:lineRule="exact"/>
              <w:ind w:firstLine="241" w:firstLineChars="100"/>
              <w:textAlignment w:val="auto"/>
              <w:rPr>
                <w:rFonts w:hint="eastAsia"/>
                <w:color w:val="auto"/>
                <w:highlight w:val="none"/>
                <w:lang w:val="en-US" w:eastAsia="zh-CN"/>
              </w:rPr>
            </w:pPr>
            <w:r>
              <w:rPr>
                <w:rFonts w:hint="eastAsia" w:ascii="宋体" w:hAnsi="宋体" w:eastAsia="宋体" w:cs="宋体"/>
                <w:b/>
                <w:bCs/>
                <w:color w:val="auto"/>
                <w:sz w:val="24"/>
                <w:szCs w:val="24"/>
                <w:highlight w:val="none"/>
                <w:shd w:val="clear"/>
                <w:lang w:eastAsia="zh-CN"/>
              </w:rPr>
              <w:t>注：缺陷指对项目情况和方案内容分析</w:t>
            </w:r>
            <w:r>
              <w:rPr>
                <w:rFonts w:hint="eastAsia" w:ascii="宋体" w:hAnsi="宋体" w:cs="宋体"/>
                <w:b/>
                <w:bCs/>
                <w:color w:val="auto"/>
                <w:sz w:val="24"/>
                <w:szCs w:val="24"/>
                <w:highlight w:val="none"/>
                <w:shd w:val="clear"/>
                <w:lang w:val="en-US" w:eastAsia="zh-CN"/>
              </w:rPr>
              <w:t>不合理</w:t>
            </w:r>
            <w:r>
              <w:rPr>
                <w:rFonts w:hint="eastAsia" w:ascii="宋体" w:hAnsi="宋体" w:eastAsia="宋体" w:cs="宋体"/>
                <w:b/>
                <w:bCs/>
                <w:color w:val="auto"/>
                <w:sz w:val="24"/>
                <w:szCs w:val="24"/>
                <w:highlight w:val="none"/>
                <w:shd w:val="clear"/>
                <w:lang w:eastAsia="zh-CN"/>
              </w:rPr>
              <w:t>；与本项目无关或不相符、内容前后矛盾或不一致、前后逻辑错误、内容缺失、不完全符合采购需求等。</w:t>
            </w:r>
          </w:p>
        </w:tc>
      </w:tr>
      <w:tr w14:paraId="7C30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56" w:hRule="atLeast"/>
          <w:jc w:val="center"/>
        </w:trPr>
        <w:tc>
          <w:tcPr>
            <w:tcW w:w="885" w:type="dxa"/>
            <w:vMerge w:val="continue"/>
            <w:shd w:val="clear" w:color="auto" w:fill="auto"/>
            <w:vAlign w:val="center"/>
          </w:tcPr>
          <w:p w14:paraId="43790079">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182EEBAC">
            <w:pPr>
              <w:keepNext w:val="0"/>
              <w:keepLines w:val="0"/>
              <w:pageBreakBefore w:val="0"/>
              <w:kinsoku/>
              <w:wordWrap/>
              <w:overflowPunct/>
              <w:topLinePunct w:val="0"/>
              <w:bidi w:val="0"/>
              <w:spacing w:line="320" w:lineRule="exact"/>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仓储条件及</w:t>
            </w:r>
          </w:p>
          <w:p w14:paraId="47DB7E3F">
            <w:pPr>
              <w:keepNext w:val="0"/>
              <w:keepLines w:val="0"/>
              <w:pageBreakBefore w:val="0"/>
              <w:kinsoku/>
              <w:wordWrap/>
              <w:overflowPunct/>
              <w:topLinePunct w:val="0"/>
              <w:bidi w:val="0"/>
              <w:spacing w:line="320" w:lineRule="exact"/>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管理方案</w:t>
            </w:r>
          </w:p>
          <w:p w14:paraId="31D0F0D8">
            <w:pPr>
              <w:pStyle w:val="12"/>
              <w:rPr>
                <w:rFonts w:hint="eastAsia" w:eastAsia="宋体"/>
                <w:color w:val="auto"/>
                <w:highlight w:val="none"/>
                <w:lang w:eastAsia="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满分4分</w:t>
            </w:r>
            <w:r>
              <w:rPr>
                <w:rFonts w:hint="eastAsia" w:ascii="宋体" w:hAnsi="宋体" w:cs="宋体"/>
                <w:b w:val="0"/>
                <w:bCs/>
                <w:color w:val="auto"/>
                <w:sz w:val="24"/>
                <w:szCs w:val="24"/>
                <w:highlight w:val="none"/>
                <w:lang w:eastAsia="zh-CN"/>
              </w:rPr>
              <w:t>）</w:t>
            </w:r>
          </w:p>
        </w:tc>
        <w:tc>
          <w:tcPr>
            <w:tcW w:w="7099" w:type="dxa"/>
            <w:shd w:val="clear" w:color="auto" w:fill="auto"/>
            <w:vAlign w:val="top"/>
          </w:tcPr>
          <w:p w14:paraId="290DD4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leftChars="0" w:right="0" w:rightChars="0" w:firstLine="240" w:firstLineChars="1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根据投标人提供的内容进行评审：</w:t>
            </w:r>
          </w:p>
          <w:p w14:paraId="4108D5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1.有固定仓储空间，提供证明材料（租赁合同或房产证）；</w:t>
            </w:r>
          </w:p>
          <w:p w14:paraId="01C68A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2.仓储条件有详细图文描述；</w:t>
            </w:r>
          </w:p>
          <w:p w14:paraId="470856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3.针对货物有明确的储存方案，卫生条件干净整洁；</w:t>
            </w:r>
          </w:p>
          <w:p w14:paraId="1614F3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4.配备专人进行管理并有详细可行的管理方案。</w:t>
            </w:r>
          </w:p>
          <w:p w14:paraId="1686A3F5">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经评定有完整、合理的说明，标准化程度高的，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630AE505">
            <w:pPr>
              <w:pStyle w:val="12"/>
              <w:keepNext w:val="0"/>
              <w:keepLines w:val="0"/>
              <w:pageBreakBefore w:val="0"/>
              <w:widowControl/>
              <w:kinsoku/>
              <w:overflowPunct/>
              <w:topLinePunct w:val="0"/>
              <w:autoSpaceDE/>
              <w:autoSpaceDN/>
              <w:bidi w:val="0"/>
              <w:adjustRightInd/>
              <w:snapToGrid/>
              <w:spacing w:line="320" w:lineRule="exact"/>
              <w:ind w:firstLine="241" w:firstLineChars="1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shd w:val="clear"/>
                <w:lang w:eastAsia="zh-CN"/>
              </w:rPr>
              <w:t>注：缺陷指对项目情况和方案内容分析不</w:t>
            </w:r>
            <w:r>
              <w:rPr>
                <w:rFonts w:hint="eastAsia" w:ascii="宋体" w:hAnsi="宋体" w:cs="宋体"/>
                <w:b/>
                <w:bCs/>
                <w:color w:val="auto"/>
                <w:sz w:val="24"/>
                <w:szCs w:val="24"/>
                <w:highlight w:val="none"/>
                <w:shd w:val="clear"/>
                <w:lang w:val="en-US" w:eastAsia="zh-CN"/>
              </w:rPr>
              <w:t>合理</w:t>
            </w:r>
            <w:r>
              <w:rPr>
                <w:rFonts w:hint="eastAsia" w:ascii="宋体" w:hAnsi="宋体" w:eastAsia="宋体" w:cs="宋体"/>
                <w:b/>
                <w:bCs/>
                <w:color w:val="auto"/>
                <w:sz w:val="24"/>
                <w:szCs w:val="24"/>
                <w:highlight w:val="none"/>
                <w:shd w:val="clear"/>
                <w:lang w:eastAsia="zh-CN"/>
              </w:rPr>
              <w:t>；与本项目无关或不相符、内容前后矛盾或不一致、前后逻辑错误、内容缺失、不完全符合采购需求等。</w:t>
            </w:r>
          </w:p>
        </w:tc>
      </w:tr>
      <w:tr w14:paraId="2FFA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jc w:val="center"/>
        </w:trPr>
        <w:tc>
          <w:tcPr>
            <w:tcW w:w="885" w:type="dxa"/>
            <w:vMerge w:val="continue"/>
            <w:shd w:val="clear" w:color="auto" w:fill="auto"/>
            <w:vAlign w:val="center"/>
          </w:tcPr>
          <w:p w14:paraId="1ACC7D94">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22CC39B4">
            <w:pPr>
              <w:keepNext w:val="0"/>
              <w:keepLines w:val="0"/>
              <w:pageBreakBefore w:val="0"/>
              <w:kinsoku/>
              <w:wordWrap/>
              <w:overflowPunct/>
              <w:topLinePunct w:val="0"/>
              <w:bidi w:val="0"/>
              <w:spacing w:line="320" w:lineRule="exact"/>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人员配置</w:t>
            </w:r>
          </w:p>
          <w:p w14:paraId="2649D686">
            <w:pPr>
              <w:keepNext w:val="0"/>
              <w:keepLines w:val="0"/>
              <w:pageBreakBefore w:val="0"/>
              <w:kinsoku/>
              <w:wordWrap/>
              <w:overflowPunct/>
              <w:topLinePunct w:val="0"/>
              <w:bidi w:val="0"/>
              <w:spacing w:line="320" w:lineRule="exact"/>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（满分</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分）</w:t>
            </w:r>
          </w:p>
        </w:tc>
        <w:tc>
          <w:tcPr>
            <w:tcW w:w="7099" w:type="dxa"/>
            <w:shd w:val="clear" w:color="auto" w:fill="auto"/>
            <w:vAlign w:val="top"/>
          </w:tcPr>
          <w:p w14:paraId="6661769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leftChars="0" w:right="0" w:rightChars="0" w:firstLine="240" w:firstLineChars="1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根据投标人提供的内容进行评审：</w:t>
            </w:r>
          </w:p>
          <w:p w14:paraId="6435322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1.组织架构完善科学合理，内部人员管理制度完备且运行高效；</w:t>
            </w:r>
          </w:p>
          <w:p w14:paraId="5C79A7F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right="0" w:rightChars="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2.人员配置合理，证件（身份证、健康证及劳动合同扫描件）齐全，驾驶员还须提供有效的驾驶证扫描件；</w:t>
            </w:r>
          </w:p>
          <w:p w14:paraId="2A568CA0">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经评定有完整、合理的说明的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p w14:paraId="195EDE7E">
            <w:pPr>
              <w:pStyle w:val="12"/>
              <w:keepNext w:val="0"/>
              <w:keepLines w:val="0"/>
              <w:pageBreakBefore w:val="0"/>
              <w:widowControl/>
              <w:kinsoku/>
              <w:wordWrap/>
              <w:overflowPunct/>
              <w:topLinePunct w:val="0"/>
              <w:autoSpaceDE/>
              <w:autoSpaceDN/>
              <w:bidi w:val="0"/>
              <w:adjustRightInd/>
              <w:snapToGrid/>
              <w:spacing w:line="320" w:lineRule="exact"/>
              <w:ind w:firstLine="241" w:firstLineChars="100"/>
              <w:textAlignment w:val="auto"/>
              <w:rPr>
                <w:rFonts w:hint="eastAsia"/>
                <w:color w:val="auto"/>
                <w:highlight w:val="none"/>
                <w:lang w:val="en-US" w:eastAsia="zh-CN"/>
              </w:rPr>
            </w:pPr>
            <w:r>
              <w:rPr>
                <w:rFonts w:hint="eastAsia" w:ascii="宋体" w:hAnsi="宋体" w:eastAsia="宋体" w:cs="宋体"/>
                <w:b/>
                <w:bCs/>
                <w:color w:val="auto"/>
                <w:sz w:val="24"/>
                <w:szCs w:val="24"/>
                <w:highlight w:val="none"/>
                <w:lang w:eastAsia="zh-CN"/>
              </w:rPr>
              <w:t>注：缺陷指对方案内容分析不具体；与本项目无关或不相符、内容前后矛盾或不一致、前后逻辑错误、涉及的规范及标准错误、地点区域错误、内容缺失、不完全符合采购需求等。</w:t>
            </w:r>
          </w:p>
        </w:tc>
      </w:tr>
      <w:tr w14:paraId="01B8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85" w:type="dxa"/>
            <w:vMerge w:val="continue"/>
            <w:shd w:val="clear" w:color="auto" w:fill="auto"/>
            <w:vAlign w:val="center"/>
          </w:tcPr>
          <w:p w14:paraId="18D05DE6">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5980CD7F">
            <w:pPr>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本项目的车辆配备情况及送货车辆的消毒清洗制度</w:t>
            </w:r>
          </w:p>
          <w:p w14:paraId="4F70DD5A">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w:t>
            </w:r>
          </w:p>
        </w:tc>
        <w:tc>
          <w:tcPr>
            <w:tcW w:w="7099" w:type="dxa"/>
            <w:shd w:val="clear" w:color="auto" w:fill="auto"/>
            <w:vAlign w:val="top"/>
          </w:tcPr>
          <w:p w14:paraId="723DCB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1、拟投入本项目的车辆配备</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评标委员会进行横向比较</w:t>
            </w:r>
            <w:r>
              <w:rPr>
                <w:rFonts w:hint="eastAsia" w:ascii="宋体" w:hAnsi="宋体" w:eastAsia="宋体" w:cs="宋体"/>
                <w:b/>
                <w:color w:val="auto"/>
                <w:sz w:val="24"/>
                <w:szCs w:val="24"/>
                <w:highlight w:val="none"/>
              </w:rPr>
              <w:t>（2分）</w:t>
            </w:r>
            <w:r>
              <w:rPr>
                <w:rFonts w:hint="eastAsia" w:ascii="宋体" w:hAnsi="宋体" w:eastAsia="宋体" w:cs="宋体"/>
                <w:b/>
                <w:color w:val="auto"/>
                <w:sz w:val="24"/>
                <w:szCs w:val="24"/>
                <w:highlight w:val="none"/>
                <w:lang w:eastAsia="zh-CN"/>
              </w:rPr>
              <w:t>。</w:t>
            </w:r>
          </w:p>
          <w:p w14:paraId="0EC33F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w:t>
            </w:r>
            <w:r>
              <w:rPr>
                <w:rFonts w:hint="eastAsia" w:ascii="宋体" w:hAnsi="宋体" w:eastAsia="宋体" w:cs="宋体"/>
                <w:bCs w:val="0"/>
                <w:color w:val="auto"/>
                <w:sz w:val="24"/>
                <w:szCs w:val="24"/>
                <w:highlight w:val="none"/>
              </w:rPr>
              <w:t>冷链车辆</w:t>
            </w:r>
            <w:r>
              <w:rPr>
                <w:rFonts w:hint="eastAsia" w:ascii="宋体" w:hAnsi="宋体" w:eastAsia="宋体" w:cs="宋体"/>
                <w:bCs w:val="0"/>
                <w:color w:val="auto"/>
                <w:sz w:val="24"/>
                <w:szCs w:val="24"/>
                <w:highlight w:val="none"/>
                <w:lang w:eastAsia="zh-CN"/>
              </w:rPr>
              <w:t>、</w:t>
            </w:r>
            <w:r>
              <w:rPr>
                <w:rFonts w:hint="eastAsia" w:ascii="宋体" w:hAnsi="宋体" w:eastAsia="宋体" w:cs="宋体"/>
                <w:color w:val="auto"/>
                <w:sz w:val="24"/>
                <w:szCs w:val="24"/>
                <w:highlight w:val="none"/>
              </w:rPr>
              <w:t>普通送货辆及应急备用车辆，车辆证照齐全，证明材料完备的得2分；</w:t>
            </w:r>
          </w:p>
          <w:p w14:paraId="029E54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w:t>
            </w:r>
            <w:r>
              <w:rPr>
                <w:rFonts w:hint="eastAsia" w:ascii="宋体" w:hAnsi="宋体" w:eastAsia="宋体" w:cs="宋体"/>
                <w:bCs w:val="0"/>
                <w:color w:val="auto"/>
                <w:sz w:val="24"/>
                <w:szCs w:val="24"/>
                <w:highlight w:val="none"/>
              </w:rPr>
              <w:t>冷链车辆</w:t>
            </w:r>
            <w:r>
              <w:rPr>
                <w:rFonts w:hint="eastAsia" w:ascii="宋体" w:hAnsi="宋体" w:eastAsia="宋体" w:cs="宋体"/>
                <w:bCs w:val="0"/>
                <w:color w:val="auto"/>
                <w:sz w:val="24"/>
                <w:szCs w:val="24"/>
                <w:highlight w:val="none"/>
                <w:lang w:eastAsia="zh-CN"/>
              </w:rPr>
              <w:t>、</w:t>
            </w:r>
            <w:r>
              <w:rPr>
                <w:rFonts w:hint="eastAsia" w:ascii="宋体" w:hAnsi="宋体" w:eastAsia="宋体" w:cs="宋体"/>
                <w:color w:val="auto"/>
                <w:sz w:val="24"/>
                <w:szCs w:val="24"/>
                <w:highlight w:val="none"/>
              </w:rPr>
              <w:t>普通送货辆或应急备用车辆，证明材料完备的得1分；</w:t>
            </w:r>
          </w:p>
          <w:p w14:paraId="1743808A">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（3）车辆证照不齐全或没有的得0分。</w:t>
            </w:r>
          </w:p>
          <w:p w14:paraId="2CD24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注：须提供配备车辆相关证明材料，如机动车登记证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或行车证或租车协议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和车辆前后照片</w:t>
            </w:r>
            <w:r>
              <w:rPr>
                <w:rFonts w:hint="eastAsia" w:ascii="宋体" w:hAnsi="宋体" w:eastAsia="宋体" w:cs="宋体"/>
                <w:color w:val="auto"/>
                <w:sz w:val="24"/>
                <w:szCs w:val="24"/>
                <w:highlight w:val="none"/>
              </w:rPr>
              <w:t>，车辆使用权归投标人，否则不予认定。</w:t>
            </w:r>
          </w:p>
          <w:p w14:paraId="042354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auto"/>
                <w:sz w:val="24"/>
                <w:szCs w:val="24"/>
                <w:highlight w:val="none"/>
              </w:rPr>
            </w:pPr>
          </w:p>
          <w:p w14:paraId="317B60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2、送货车辆消毒清洗制度（</w:t>
            </w: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76EEE763">
            <w:pPr>
              <w:pStyle w:val="12"/>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清洁消毒方案制度</w:t>
            </w:r>
            <w:r>
              <w:rPr>
                <w:rFonts w:hint="eastAsia" w:ascii="宋体" w:hAnsi="宋体" w:eastAsia="宋体" w:cs="宋体"/>
                <w:color w:val="auto"/>
                <w:sz w:val="24"/>
                <w:szCs w:val="24"/>
                <w:highlight w:val="none"/>
                <w:lang w:eastAsia="zh-CN"/>
              </w:rPr>
              <w:t>；</w:t>
            </w:r>
          </w:p>
          <w:p w14:paraId="07AC059F">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明确的时间、次数、责任人</w:t>
            </w:r>
            <w:r>
              <w:rPr>
                <w:rFonts w:hint="eastAsia" w:ascii="宋体" w:hAnsi="宋体" w:eastAsia="宋体" w:cs="宋体"/>
                <w:color w:val="auto"/>
                <w:sz w:val="24"/>
                <w:szCs w:val="24"/>
                <w:highlight w:val="none"/>
                <w:lang w:eastAsia="zh-CN"/>
              </w:rPr>
              <w:t>；</w:t>
            </w:r>
          </w:p>
          <w:p w14:paraId="5DFBDC53">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清洗消毒</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"https://www.baidu.com/s?wd=%E5%8F%B0%E5%B8%90&amp;tn=SE_PcZhidaonwhc_ngpagmjz&amp;rsv_dl=gh_pc_zhidao" \t "https://zhidao.baidu.com/question/_blank"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台帐</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w:t>
            </w:r>
          </w:p>
          <w:p w14:paraId="4E68C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经评定有详细、</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合理的描述</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372F776D">
            <w:pPr>
              <w:pStyle w:val="12"/>
              <w:keepNext w:val="0"/>
              <w:keepLines w:val="0"/>
              <w:pageBreakBefore w:val="0"/>
              <w:widowControl/>
              <w:kinsoku/>
              <w:wordWrap/>
              <w:overflowPunct/>
              <w:topLinePunct w:val="0"/>
              <w:autoSpaceDE/>
              <w:autoSpaceDN/>
              <w:bidi w:val="0"/>
              <w:adjustRightInd/>
              <w:snapToGrid/>
              <w:spacing w:line="320" w:lineRule="exact"/>
              <w:textAlignment w:val="auto"/>
              <w:rPr>
                <w:rFonts w:hint="eastAsia"/>
                <w:color w:val="auto"/>
                <w:highlight w:val="none"/>
                <w:lang w:val="en-US" w:eastAsia="zh-CN"/>
              </w:rPr>
            </w:pPr>
            <w:r>
              <w:rPr>
                <w:rFonts w:hint="eastAsia" w:ascii="宋体" w:hAnsi="宋体" w:eastAsia="宋体" w:cs="宋体"/>
                <w:b/>
                <w:bCs/>
                <w:color w:val="auto"/>
                <w:sz w:val="24"/>
                <w:szCs w:val="24"/>
                <w:highlight w:val="none"/>
                <w:lang w:eastAsia="zh-CN"/>
              </w:rPr>
              <w:t>注：缺陷指对项目情况和内容分析不具体；与本项目无关或不相符、内容前后矛盾或不一致、前后逻辑错误、涉及的规范及标准错误、地点区域错误、内容缺失、不完全符合采购需求等。</w:t>
            </w:r>
          </w:p>
        </w:tc>
      </w:tr>
      <w:tr w14:paraId="097F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7" w:hRule="atLeast"/>
          <w:jc w:val="center"/>
        </w:trPr>
        <w:tc>
          <w:tcPr>
            <w:tcW w:w="885" w:type="dxa"/>
            <w:vMerge w:val="continue"/>
            <w:shd w:val="clear" w:color="auto" w:fill="auto"/>
            <w:vAlign w:val="center"/>
          </w:tcPr>
          <w:p w14:paraId="27477352">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17665BFB">
            <w:pPr>
              <w:keepNext w:val="0"/>
              <w:keepLines w:val="0"/>
              <w:pageBreakBefore w:val="0"/>
              <w:kinsoku/>
              <w:wordWrap/>
              <w:overflowPunct/>
              <w:topLinePunct w:val="0"/>
              <w:autoSpaceDE w:val="0"/>
              <w:autoSpaceDN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售后服务及保障措施</w:t>
            </w:r>
          </w:p>
          <w:p w14:paraId="424E9287">
            <w:pPr>
              <w:keepNext w:val="0"/>
              <w:keepLines w:val="0"/>
              <w:pageBreakBefore w:val="0"/>
              <w:kinsoku/>
              <w:wordWrap/>
              <w:overflowPunct/>
              <w:topLinePunct w:val="0"/>
              <w:autoSpaceDE w:val="0"/>
              <w:autoSpaceDN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bookmarkStart w:id="535" w:name="_GoBack"/>
            <w:bookmarkEnd w:id="535"/>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分）</w:t>
            </w:r>
          </w:p>
        </w:tc>
        <w:tc>
          <w:tcPr>
            <w:tcW w:w="7099" w:type="dxa"/>
            <w:shd w:val="clear" w:color="auto" w:fill="auto"/>
            <w:vAlign w:val="top"/>
          </w:tcPr>
          <w:p w14:paraId="0FE91B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leftChars="0" w:right="0" w:rightChars="0" w:firstLine="240" w:firstLineChars="1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根据投标人提供的</w:t>
            </w:r>
            <w:r>
              <w:rPr>
                <w:rFonts w:hint="eastAsia" w:asciiTheme="minorEastAsia" w:hAnsiTheme="minorEastAsia" w:eastAsiaTheme="minorEastAsia" w:cstheme="minorEastAsia"/>
                <w:color w:val="auto"/>
                <w:sz w:val="24"/>
                <w:szCs w:val="24"/>
                <w:highlight w:val="none"/>
                <w:lang w:val="en-US" w:eastAsia="zh-CN"/>
              </w:rPr>
              <w:t>方案</w:t>
            </w:r>
            <w:r>
              <w:rPr>
                <w:rFonts w:hint="eastAsia" w:ascii="宋体" w:hAnsi="宋体" w:eastAsia="宋体" w:cs="宋体"/>
                <w:color w:val="auto"/>
                <w:kern w:val="2"/>
                <w:sz w:val="24"/>
                <w:szCs w:val="24"/>
                <w:highlight w:val="none"/>
                <w:lang w:val="en-US" w:eastAsia="zh-CN"/>
              </w:rPr>
              <w:t>内容进行评审：</w:t>
            </w:r>
          </w:p>
          <w:p w14:paraId="0DA3BADC">
            <w:pPr>
              <w:pStyle w:val="37"/>
              <w:keepNext w:val="0"/>
              <w:keepLines w:val="0"/>
              <w:pageBreakBefore w:val="0"/>
              <w:suppressLineNumbers w:val="0"/>
              <w:kinsoku/>
              <w:wordWrap/>
              <w:overflowPunct/>
              <w:topLinePunct w:val="0"/>
              <w:bidi w:val="0"/>
              <w:snapToGrid/>
              <w:spacing w:before="0" w:beforeAutospacing="0" w:after="0" w:afterAutospacing="0" w:line="320" w:lineRule="exact"/>
              <w:ind w:left="0" w:leftChars="0" w:right="0" w:rightChars="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1.售后服务方案；</w:t>
            </w:r>
          </w:p>
          <w:p w14:paraId="60B0F02E">
            <w:pPr>
              <w:pStyle w:val="37"/>
              <w:keepNext w:val="0"/>
              <w:keepLines w:val="0"/>
              <w:pageBreakBefore w:val="0"/>
              <w:suppressLineNumbers w:val="0"/>
              <w:kinsoku/>
              <w:wordWrap/>
              <w:overflowPunct/>
              <w:topLinePunct w:val="0"/>
              <w:bidi w:val="0"/>
              <w:snapToGrid/>
              <w:spacing w:before="0" w:beforeAutospacing="0" w:after="0" w:afterAutospacing="0" w:line="320" w:lineRule="exact"/>
              <w:ind w:left="0" w:leftChars="0" w:right="0" w:rightChars="0"/>
              <w:textAlignment w:val="auto"/>
              <w:rPr>
                <w:rFonts w:hint="eastAsia"/>
                <w:color w:val="auto"/>
                <w:spacing w:val="-5"/>
                <w:highlight w:val="none"/>
                <w:lang w:eastAsia="zh-CN"/>
              </w:rPr>
            </w:pPr>
            <w:r>
              <w:rPr>
                <w:rFonts w:hint="eastAsia" w:ascii="宋体" w:hAnsi="宋体" w:eastAsia="宋体" w:cs="宋体"/>
                <w:b w:val="0"/>
                <w:bCs/>
                <w:color w:val="auto"/>
                <w:sz w:val="24"/>
                <w:szCs w:val="24"/>
                <w:highlight w:val="none"/>
                <w:lang w:val="en-US" w:eastAsia="zh-CN"/>
              </w:rPr>
              <w:t>2.承诺响应及时、退(换)货及时</w:t>
            </w:r>
            <w:r>
              <w:rPr>
                <w:rFonts w:hint="eastAsia"/>
                <w:color w:val="auto"/>
                <w:spacing w:val="-5"/>
                <w:highlight w:val="none"/>
                <w:lang w:eastAsia="zh-CN"/>
              </w:rPr>
              <w:t>；</w:t>
            </w:r>
          </w:p>
          <w:p w14:paraId="700D97FE">
            <w:pPr>
              <w:pStyle w:val="37"/>
              <w:keepNext w:val="0"/>
              <w:keepLines w:val="0"/>
              <w:pageBreakBefore w:val="0"/>
              <w:suppressLineNumbers w:val="0"/>
              <w:kinsoku/>
              <w:wordWrap/>
              <w:overflowPunct/>
              <w:topLinePunct w:val="0"/>
              <w:bidi w:val="0"/>
              <w:snapToGrid/>
              <w:spacing w:before="0" w:beforeAutospacing="0" w:after="0" w:afterAutospacing="0" w:line="320" w:lineRule="exact"/>
              <w:ind w:left="0" w:leftChars="0" w:right="0" w:rightChars="0"/>
              <w:textAlignment w:val="auto"/>
              <w:rPr>
                <w:rFonts w:hint="eastAsia" w:eastAsia="宋体"/>
                <w:color w:val="auto"/>
                <w:spacing w:val="-6"/>
                <w:highlight w:val="none"/>
                <w:lang w:eastAsia="zh-CN"/>
              </w:rPr>
            </w:pPr>
            <w:r>
              <w:rPr>
                <w:rFonts w:hint="eastAsia"/>
                <w:color w:val="auto"/>
                <w:spacing w:val="-5"/>
                <w:highlight w:val="none"/>
                <w:lang w:val="en-US" w:eastAsia="zh-CN"/>
              </w:rPr>
              <w:t>3.</w:t>
            </w:r>
            <w:r>
              <w:rPr>
                <w:rFonts w:hint="eastAsia" w:ascii="宋体" w:hAnsi="宋体" w:eastAsia="宋体" w:cs="宋体"/>
                <w:b w:val="0"/>
                <w:bCs/>
                <w:color w:val="auto"/>
                <w:sz w:val="24"/>
                <w:szCs w:val="24"/>
                <w:highlight w:val="none"/>
                <w:lang w:val="en-US" w:eastAsia="zh-CN"/>
              </w:rPr>
              <w:t>售后</w:t>
            </w:r>
            <w:r>
              <w:rPr>
                <w:rFonts w:hint="eastAsia" w:asciiTheme="minorEastAsia" w:hAnsiTheme="minorEastAsia" w:eastAsiaTheme="minorEastAsia" w:cstheme="minorEastAsia"/>
                <w:color w:val="auto"/>
                <w:sz w:val="24"/>
                <w:szCs w:val="24"/>
                <w:highlight w:val="none"/>
              </w:rPr>
              <w:t>保障措施</w:t>
            </w:r>
            <w:r>
              <w:rPr>
                <w:rFonts w:hint="eastAsia"/>
                <w:color w:val="auto"/>
                <w:spacing w:val="-6"/>
                <w:highlight w:val="none"/>
                <w:lang w:eastAsia="zh-CN"/>
              </w:rPr>
              <w:t>；</w:t>
            </w:r>
          </w:p>
          <w:p w14:paraId="39BA0122">
            <w:pPr>
              <w:pStyle w:val="37"/>
              <w:keepNext w:val="0"/>
              <w:keepLines w:val="0"/>
              <w:pageBreakBefore w:val="0"/>
              <w:suppressLineNumbers w:val="0"/>
              <w:kinsoku/>
              <w:wordWrap/>
              <w:overflowPunct/>
              <w:topLinePunct w:val="0"/>
              <w:bidi w:val="0"/>
              <w:snapToGrid/>
              <w:spacing w:before="0" w:beforeAutospacing="0" w:after="0" w:afterAutospacing="0" w:line="320" w:lineRule="exact"/>
              <w:ind w:left="0" w:leftChars="0" w:right="0" w:rightChars="0"/>
              <w:textAlignment w:val="auto"/>
              <w:rPr>
                <w:rFonts w:hint="eastAsia"/>
                <w:color w:val="auto"/>
                <w:spacing w:val="-3"/>
                <w:highlight w:val="none"/>
                <w:lang w:eastAsia="zh-CN"/>
              </w:rPr>
            </w:pPr>
            <w:r>
              <w:rPr>
                <w:rFonts w:hint="eastAsia"/>
                <w:color w:val="auto"/>
                <w:spacing w:val="-6"/>
                <w:highlight w:val="none"/>
                <w:lang w:val="en-US" w:eastAsia="zh-CN"/>
              </w:rPr>
              <w:t>4.</w:t>
            </w:r>
            <w:r>
              <w:rPr>
                <w:rFonts w:hint="eastAsia" w:ascii="宋体" w:hAnsi="宋体" w:eastAsia="宋体" w:cs="宋体"/>
                <w:color w:val="auto"/>
                <w:sz w:val="24"/>
                <w:szCs w:val="24"/>
                <w:highlight w:val="none"/>
              </w:rPr>
              <w:t>违约处罚</w:t>
            </w:r>
            <w:r>
              <w:rPr>
                <w:rFonts w:hint="eastAsia" w:ascii="宋体" w:hAnsi="宋体" w:eastAsia="宋体" w:cs="宋体"/>
                <w:color w:val="auto"/>
                <w:sz w:val="24"/>
                <w:szCs w:val="24"/>
                <w:highlight w:val="none"/>
                <w:lang w:val="en-US" w:eastAsia="zh-CN"/>
              </w:rPr>
              <w:t>责任</w:t>
            </w:r>
            <w:r>
              <w:rPr>
                <w:rFonts w:hint="eastAsia"/>
                <w:color w:val="auto"/>
                <w:spacing w:val="-3"/>
                <w:highlight w:val="none"/>
                <w:lang w:eastAsia="zh-CN"/>
              </w:rPr>
              <w:t>；</w:t>
            </w:r>
          </w:p>
          <w:p w14:paraId="1A7E7524">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经评定有详细、</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合理的方案描述，且提供了对应切实可行的保障措施</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1963B98">
            <w:pPr>
              <w:pStyle w:val="12"/>
              <w:keepNext w:val="0"/>
              <w:keepLines w:val="0"/>
              <w:pageBreakBefore w:val="0"/>
              <w:kinsoku/>
              <w:overflowPunct/>
              <w:topLinePunct w:val="0"/>
              <w:bidi w:val="0"/>
              <w:snapToGrid/>
              <w:spacing w:line="320" w:lineRule="exact"/>
              <w:textAlignment w:val="auto"/>
              <w:rPr>
                <w:rFonts w:hint="eastAsia"/>
                <w:color w:val="auto"/>
                <w:highlight w:val="none"/>
                <w:lang w:val="en-US" w:eastAsia="zh-CN"/>
              </w:rPr>
            </w:pPr>
            <w:r>
              <w:rPr>
                <w:rFonts w:hint="eastAsia" w:ascii="宋体" w:hAnsi="宋体" w:eastAsia="宋体" w:cs="宋体"/>
                <w:b/>
                <w:bCs/>
                <w:color w:val="auto"/>
                <w:sz w:val="24"/>
                <w:szCs w:val="24"/>
                <w:highlight w:val="none"/>
                <w:lang w:eastAsia="zh-CN"/>
              </w:rPr>
              <w:t>注：缺陷指对项目情况和</w:t>
            </w:r>
            <w:r>
              <w:rPr>
                <w:rFonts w:hint="eastAsia" w:ascii="宋体" w:hAnsi="宋体" w:eastAsia="宋体" w:cs="宋体"/>
                <w:b/>
                <w:bCs/>
                <w:color w:val="auto"/>
                <w:sz w:val="24"/>
                <w:szCs w:val="24"/>
                <w:highlight w:val="none"/>
                <w:lang w:val="en-US" w:eastAsia="zh-CN"/>
              </w:rPr>
              <w:t>方案</w:t>
            </w:r>
            <w:r>
              <w:rPr>
                <w:rFonts w:hint="eastAsia" w:ascii="宋体" w:hAnsi="宋体" w:eastAsia="宋体" w:cs="宋体"/>
                <w:b/>
                <w:bCs/>
                <w:color w:val="auto"/>
                <w:sz w:val="24"/>
                <w:szCs w:val="24"/>
                <w:highlight w:val="none"/>
                <w:lang w:eastAsia="zh-CN"/>
              </w:rPr>
              <w:t>内容分析不具体；与本项目无关或不相符、内容前后矛盾或不一致、前后逻辑错误、涉及的规范及标准错误、地点区域错误、内容缺失、不完全符合采购需求等。</w:t>
            </w:r>
          </w:p>
        </w:tc>
      </w:tr>
      <w:tr w14:paraId="0A3F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4" w:hRule="atLeast"/>
          <w:jc w:val="center"/>
        </w:trPr>
        <w:tc>
          <w:tcPr>
            <w:tcW w:w="885" w:type="dxa"/>
            <w:vMerge w:val="continue"/>
            <w:shd w:val="clear" w:color="auto" w:fill="auto"/>
            <w:vAlign w:val="center"/>
          </w:tcPr>
          <w:p w14:paraId="331E4047">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7585B989">
            <w:pPr>
              <w:keepNext w:val="0"/>
              <w:keepLines w:val="0"/>
              <w:pageBreakBefore w:val="0"/>
              <w:kinsoku/>
              <w:wordWrap/>
              <w:overflowPunct/>
              <w:topLinePunct w:val="0"/>
              <w:autoSpaceDE w:val="0"/>
              <w:autoSpaceDN w:val="0"/>
              <w:bidi w:val="0"/>
              <w:spacing w:line="32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质量</w:t>
            </w:r>
            <w:r>
              <w:rPr>
                <w:rFonts w:hint="eastAsia" w:asciiTheme="minorEastAsia" w:hAnsiTheme="minorEastAsia" w:eastAsiaTheme="minorEastAsia" w:cstheme="minorEastAsia"/>
                <w:color w:val="auto"/>
                <w:sz w:val="24"/>
                <w:szCs w:val="24"/>
                <w:highlight w:val="none"/>
                <w:lang w:val="en-US" w:eastAsia="zh-CN"/>
              </w:rPr>
              <w:t>承诺及</w:t>
            </w:r>
            <w:r>
              <w:rPr>
                <w:rFonts w:hint="eastAsia" w:asciiTheme="minorEastAsia" w:hAnsiTheme="minorEastAsia" w:eastAsiaTheme="minorEastAsia" w:cstheme="minorEastAsia"/>
                <w:color w:val="auto"/>
                <w:sz w:val="24"/>
                <w:szCs w:val="24"/>
                <w:highlight w:val="none"/>
              </w:rPr>
              <w:t>保证措施</w:t>
            </w:r>
          </w:p>
          <w:p w14:paraId="4CF50BE6">
            <w:pPr>
              <w:keepNext w:val="0"/>
              <w:keepLines w:val="0"/>
              <w:pageBreakBefore w:val="0"/>
              <w:kinsoku/>
              <w:wordWrap/>
              <w:overflowPunct/>
              <w:topLinePunct w:val="0"/>
              <w:autoSpaceDE w:val="0"/>
              <w:autoSpaceDN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分）</w:t>
            </w:r>
          </w:p>
        </w:tc>
        <w:tc>
          <w:tcPr>
            <w:tcW w:w="7099" w:type="dxa"/>
            <w:shd w:val="clear" w:color="auto" w:fill="auto"/>
            <w:vAlign w:val="center"/>
          </w:tcPr>
          <w:p w14:paraId="6B75D0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20" w:lineRule="exact"/>
              <w:ind w:left="0" w:leftChars="0" w:right="0" w:rightChars="0" w:firstLine="240" w:firstLineChars="1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根据投标人提供的</w:t>
            </w:r>
            <w:r>
              <w:rPr>
                <w:rFonts w:hint="eastAsia" w:asciiTheme="minorEastAsia" w:hAnsiTheme="minorEastAsia" w:eastAsiaTheme="minorEastAsia" w:cstheme="minorEastAsia"/>
                <w:color w:val="auto"/>
                <w:sz w:val="24"/>
                <w:szCs w:val="24"/>
                <w:highlight w:val="none"/>
              </w:rPr>
              <w:t>质量</w:t>
            </w:r>
            <w:r>
              <w:rPr>
                <w:rFonts w:hint="eastAsia" w:asciiTheme="minorEastAsia" w:hAnsiTheme="minorEastAsia" w:eastAsiaTheme="minorEastAsia" w:cstheme="minorEastAsia"/>
                <w:color w:val="auto"/>
                <w:sz w:val="24"/>
                <w:szCs w:val="24"/>
                <w:highlight w:val="none"/>
                <w:lang w:val="en-US" w:eastAsia="zh-CN"/>
              </w:rPr>
              <w:t>承诺及</w:t>
            </w:r>
            <w:r>
              <w:rPr>
                <w:rFonts w:hint="eastAsia" w:asciiTheme="minorEastAsia" w:hAnsiTheme="minorEastAsia" w:eastAsiaTheme="minorEastAsia" w:cstheme="minorEastAsia"/>
                <w:color w:val="auto"/>
                <w:sz w:val="24"/>
                <w:szCs w:val="24"/>
                <w:highlight w:val="none"/>
              </w:rPr>
              <w:t>保证措施</w:t>
            </w:r>
            <w:r>
              <w:rPr>
                <w:rFonts w:hint="eastAsia" w:ascii="宋体" w:hAnsi="宋体" w:eastAsia="宋体" w:cs="宋体"/>
                <w:color w:val="auto"/>
                <w:kern w:val="2"/>
                <w:sz w:val="24"/>
                <w:szCs w:val="24"/>
                <w:highlight w:val="none"/>
                <w:lang w:val="en-US" w:eastAsia="zh-CN"/>
              </w:rPr>
              <w:t>内容</w:t>
            </w:r>
            <w:r>
              <w:rPr>
                <w:rFonts w:hint="eastAsia" w:ascii="宋体" w:hAnsi="宋体" w:cs="宋体"/>
                <w:color w:val="auto"/>
                <w:sz w:val="24"/>
                <w:szCs w:val="24"/>
                <w:highlight w:val="none"/>
                <w:lang w:val="en-US" w:eastAsia="zh-CN"/>
              </w:rPr>
              <w:t>包含但不限于以下内容</w:t>
            </w:r>
            <w:r>
              <w:rPr>
                <w:rFonts w:hint="eastAsia" w:ascii="宋体" w:hAnsi="宋体" w:eastAsia="宋体" w:cs="宋体"/>
                <w:color w:val="auto"/>
                <w:kern w:val="2"/>
                <w:sz w:val="24"/>
                <w:szCs w:val="24"/>
                <w:highlight w:val="none"/>
                <w:lang w:val="en-US" w:eastAsia="zh-CN"/>
              </w:rPr>
              <w:t>进行评审：</w:t>
            </w:r>
          </w:p>
          <w:p w14:paraId="50796ECA">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1.质量承诺；</w:t>
            </w:r>
          </w:p>
          <w:p w14:paraId="080AB227">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color w:val="auto"/>
                <w:spacing w:val="-5"/>
                <w:highlight w:val="none"/>
                <w:lang w:eastAsia="zh-CN"/>
              </w:rPr>
            </w:pPr>
            <w:r>
              <w:rPr>
                <w:rFonts w:hint="eastAsia" w:ascii="宋体" w:hAnsi="宋体" w:eastAsia="宋体" w:cs="宋体"/>
                <w:b w:val="0"/>
                <w:bCs/>
                <w:color w:val="auto"/>
                <w:sz w:val="24"/>
                <w:szCs w:val="24"/>
                <w:highlight w:val="none"/>
                <w:lang w:val="en-US" w:eastAsia="zh-CN"/>
              </w:rPr>
              <w:t>2.</w:t>
            </w:r>
            <w:r>
              <w:rPr>
                <w:color w:val="auto"/>
                <w:spacing w:val="-5"/>
                <w:highlight w:val="none"/>
              </w:rPr>
              <w:t>质量保障措施</w:t>
            </w:r>
            <w:r>
              <w:rPr>
                <w:rFonts w:hint="eastAsia"/>
                <w:color w:val="auto"/>
                <w:spacing w:val="-5"/>
                <w:highlight w:val="none"/>
                <w:lang w:eastAsia="zh-CN"/>
              </w:rPr>
              <w:t>；</w:t>
            </w:r>
          </w:p>
          <w:p w14:paraId="47829104">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color w:val="auto"/>
                <w:spacing w:val="-6"/>
                <w:highlight w:val="none"/>
                <w:lang w:eastAsia="zh-CN"/>
              </w:rPr>
            </w:pPr>
            <w:r>
              <w:rPr>
                <w:rFonts w:hint="eastAsia"/>
                <w:color w:val="auto"/>
                <w:spacing w:val="-5"/>
                <w:highlight w:val="none"/>
                <w:lang w:val="en-US" w:eastAsia="zh-CN"/>
              </w:rPr>
              <w:t>3.</w:t>
            </w:r>
            <w:r>
              <w:rPr>
                <w:color w:val="auto"/>
                <w:spacing w:val="-6"/>
                <w:highlight w:val="none"/>
              </w:rPr>
              <w:t>产品质量追溯系统</w:t>
            </w:r>
            <w:r>
              <w:rPr>
                <w:rFonts w:hint="eastAsia"/>
                <w:color w:val="auto"/>
                <w:spacing w:val="-6"/>
                <w:highlight w:val="none"/>
                <w:lang w:eastAsia="zh-CN"/>
              </w:rPr>
              <w:t>；</w:t>
            </w:r>
          </w:p>
          <w:p w14:paraId="763956E4">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ascii="宋体" w:hAnsi="宋体" w:eastAsia="宋体" w:cs="宋体"/>
                <w:b w:val="0"/>
                <w:bCs/>
                <w:color w:val="auto"/>
                <w:sz w:val="24"/>
                <w:szCs w:val="24"/>
                <w:highlight w:val="none"/>
                <w:lang w:val="en-US" w:eastAsia="zh-CN"/>
              </w:rPr>
            </w:pPr>
            <w:r>
              <w:rPr>
                <w:rFonts w:hint="eastAsia"/>
                <w:color w:val="auto"/>
                <w:spacing w:val="-6"/>
                <w:highlight w:val="none"/>
                <w:lang w:val="en-US" w:eastAsia="zh-CN"/>
              </w:rPr>
              <w:t>4.</w:t>
            </w:r>
            <w:r>
              <w:rPr>
                <w:rFonts w:hint="eastAsia" w:ascii="宋体" w:hAnsi="宋体" w:eastAsia="宋体" w:cs="宋体"/>
                <w:b w:val="0"/>
                <w:bCs/>
                <w:color w:val="auto"/>
                <w:sz w:val="24"/>
                <w:szCs w:val="24"/>
                <w:highlight w:val="none"/>
                <w:lang w:val="en-US" w:eastAsia="zh-CN"/>
              </w:rPr>
              <w:t>食品安全风险防范措施；</w:t>
            </w:r>
          </w:p>
          <w:p w14:paraId="73565392">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5.内部筛查产品质量的检测机制；</w:t>
            </w:r>
          </w:p>
          <w:p w14:paraId="23D584AA">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color w:val="auto"/>
                <w:spacing w:val="-3"/>
                <w:highlight w:val="none"/>
                <w:lang w:eastAsia="zh-CN"/>
              </w:rPr>
            </w:pPr>
            <w:r>
              <w:rPr>
                <w:rFonts w:hint="eastAsia"/>
                <w:color w:val="auto"/>
                <w:spacing w:val="-6"/>
                <w:highlight w:val="none"/>
                <w:lang w:val="en-US" w:eastAsia="zh-CN"/>
              </w:rPr>
              <w:t>6.</w:t>
            </w:r>
            <w:r>
              <w:rPr>
                <w:color w:val="auto"/>
                <w:spacing w:val="-3"/>
                <w:highlight w:val="none"/>
              </w:rPr>
              <w:t>因产品质量问题的惩罚措施且责任具体明确</w:t>
            </w:r>
            <w:r>
              <w:rPr>
                <w:rFonts w:hint="eastAsia"/>
                <w:color w:val="auto"/>
                <w:spacing w:val="-3"/>
                <w:highlight w:val="none"/>
                <w:lang w:eastAsia="zh-CN"/>
              </w:rPr>
              <w:t>；</w:t>
            </w:r>
          </w:p>
          <w:p w14:paraId="2EE7B658">
            <w:pPr>
              <w:keepNext w:val="0"/>
              <w:keepLines w:val="0"/>
              <w:pageBreakBefore w:val="0"/>
              <w:widowControl/>
              <w:suppressLineNumbers w:val="0"/>
              <w:kinsoku/>
              <w:wordWrap/>
              <w:overflowPunct/>
              <w:topLinePunct w:val="0"/>
              <w:bidi w:val="0"/>
              <w:snapToGrid/>
              <w:spacing w:before="0" w:beforeAutospacing="0" w:after="0" w:afterAutospacing="0" w:line="320" w:lineRule="exact"/>
              <w:ind w:left="0" w:right="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项内容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经评定有详细、</w:t>
            </w: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合理的描述，且提供了对应切实可行的保障措施</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得满分</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有一项描述</w:t>
            </w:r>
            <w:r>
              <w:rPr>
                <w:rFonts w:hint="eastAsia" w:ascii="宋体" w:hAnsi="宋体" w:eastAsia="宋体" w:cs="宋体"/>
                <w:color w:val="auto"/>
                <w:sz w:val="24"/>
                <w:szCs w:val="24"/>
                <w:highlight w:val="none"/>
                <w:lang w:eastAsia="zh-CN"/>
              </w:rPr>
              <w:t>存在缺陷</w:t>
            </w:r>
            <w:r>
              <w:rPr>
                <w:rFonts w:hint="eastAsia" w:ascii="宋体" w:hAnsi="宋体" w:eastAsia="宋体" w:cs="宋体"/>
                <w:color w:val="auto"/>
                <w:sz w:val="24"/>
                <w:szCs w:val="24"/>
                <w:highlight w:val="none"/>
              </w:rPr>
              <w:t>的扣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有一项缺项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漏项或不满足招标文件要求的扣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BA68315">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color w:val="auto"/>
                <w:spacing w:val="-3"/>
                <w:highlight w:val="none"/>
                <w:lang w:val="en-US" w:eastAsia="zh-CN"/>
              </w:rPr>
            </w:pPr>
            <w:r>
              <w:rPr>
                <w:rFonts w:hint="eastAsia" w:ascii="宋体" w:hAnsi="宋体" w:eastAsia="宋体" w:cs="宋体"/>
                <w:b/>
                <w:bCs/>
                <w:color w:val="auto"/>
                <w:sz w:val="24"/>
                <w:szCs w:val="24"/>
                <w:highlight w:val="none"/>
                <w:shd w:val="clear"/>
                <w:lang w:eastAsia="zh-CN"/>
              </w:rPr>
              <w:t>注：缺陷指对项目情况和内容分析不</w:t>
            </w:r>
            <w:r>
              <w:rPr>
                <w:rFonts w:hint="eastAsia" w:hAnsi="宋体" w:cs="宋体"/>
                <w:b/>
                <w:bCs/>
                <w:color w:val="auto"/>
                <w:sz w:val="24"/>
                <w:szCs w:val="24"/>
                <w:highlight w:val="none"/>
                <w:shd w:val="clear"/>
                <w:lang w:val="en-US" w:eastAsia="zh-CN"/>
              </w:rPr>
              <w:t>合理</w:t>
            </w:r>
            <w:r>
              <w:rPr>
                <w:rFonts w:hint="eastAsia" w:ascii="宋体" w:hAnsi="宋体" w:eastAsia="宋体" w:cs="宋体"/>
                <w:b/>
                <w:bCs/>
                <w:color w:val="auto"/>
                <w:sz w:val="24"/>
                <w:szCs w:val="24"/>
                <w:highlight w:val="none"/>
                <w:shd w:val="clear"/>
                <w:lang w:eastAsia="zh-CN"/>
              </w:rPr>
              <w:t>；与本项目无关或不相符、内容前后矛盾或不一致、前后逻辑错误、涉及的规范及标准错误、内容缺失、不完全符合采购需求等。</w:t>
            </w:r>
          </w:p>
        </w:tc>
      </w:tr>
      <w:tr w14:paraId="052E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4" w:hRule="atLeast"/>
          <w:jc w:val="center"/>
        </w:trPr>
        <w:tc>
          <w:tcPr>
            <w:tcW w:w="885" w:type="dxa"/>
            <w:vMerge w:val="continue"/>
            <w:shd w:val="clear" w:color="auto" w:fill="auto"/>
            <w:vAlign w:val="center"/>
          </w:tcPr>
          <w:p w14:paraId="25002C02">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p>
        </w:tc>
        <w:tc>
          <w:tcPr>
            <w:tcW w:w="1665" w:type="dxa"/>
            <w:shd w:val="clear" w:color="auto" w:fill="auto"/>
            <w:vAlign w:val="center"/>
          </w:tcPr>
          <w:p w14:paraId="321F4C48">
            <w:pPr>
              <w:keepNext w:val="0"/>
              <w:keepLines w:val="0"/>
              <w:pageBreakBefore w:val="0"/>
              <w:kinsoku/>
              <w:wordWrap/>
              <w:overflowPunct/>
              <w:topLinePunct w:val="0"/>
              <w:autoSpaceDE w:val="0"/>
              <w:autoSpaceDN w:val="0"/>
              <w:bidi w:val="0"/>
              <w:spacing w:line="32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样品评审</w:t>
            </w:r>
          </w:p>
          <w:p w14:paraId="214D780E">
            <w:pPr>
              <w:pStyle w:val="8"/>
              <w:rPr>
                <w:rFonts w:hint="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color w:val="auto"/>
                <w:sz w:val="24"/>
                <w:szCs w:val="24"/>
                <w:highlight w:val="none"/>
                <w:lang w:val="en-US" w:eastAsia="zh-CN"/>
              </w:rPr>
              <w:t>）</w:t>
            </w:r>
          </w:p>
        </w:tc>
        <w:tc>
          <w:tcPr>
            <w:tcW w:w="7099" w:type="dxa"/>
            <w:shd w:val="clear" w:color="auto" w:fill="auto"/>
            <w:vAlign w:val="center"/>
          </w:tcPr>
          <w:p w14:paraId="39F3F436">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各投标人应根据采购</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要求提供实物样品，综合评价比较打分（以挑选的货物样品）。</w:t>
            </w:r>
          </w:p>
          <w:p w14:paraId="2D6F53F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（1）现场所提供的样品质量较高、数量齐全的得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4EE8A311">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（2）现场所提供的样品质量良好、数量齐全的得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901554D">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（3）现场所提供的样品质量较差、数量齐全的得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B3BAE93">
            <w:pPr>
              <w:pStyle w:val="8"/>
              <w:rPr>
                <w:rFonts w:hint="eastAsia"/>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现场所提供的样品数量</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rPr>
              <w:t>齐全的得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9AC48C4">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）未提供样品的得0分。</w:t>
            </w:r>
          </w:p>
          <w:p w14:paraId="2FA71885">
            <w:pPr>
              <w:pStyle w:val="37"/>
              <w:keepNext w:val="0"/>
              <w:keepLines w:val="0"/>
              <w:pageBreakBefore w:val="0"/>
              <w:suppressLineNumbers w:val="0"/>
              <w:kinsoku/>
              <w:wordWrap/>
              <w:overflowPunct/>
              <w:topLinePunct w:val="0"/>
              <w:bidi w:val="0"/>
              <w:spacing w:before="0" w:beforeAutospacing="0" w:after="0" w:afterAutospacing="0" w:line="320" w:lineRule="exact"/>
              <w:ind w:left="0" w:leftChars="0" w:right="0" w:rightChars="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shd w:val="clear"/>
              </w:rPr>
              <w:t>现场所提供的样品，作为日后验收依据。</w:t>
            </w:r>
          </w:p>
        </w:tc>
      </w:tr>
      <w:tr w14:paraId="3ADB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85" w:type="dxa"/>
            <w:shd w:val="clear" w:color="auto" w:fill="auto"/>
            <w:vAlign w:val="center"/>
          </w:tcPr>
          <w:p w14:paraId="0BA07017">
            <w:pPr>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bCs/>
                <w:color w:val="auto"/>
                <w:sz w:val="24"/>
                <w:szCs w:val="24"/>
                <w:highlight w:val="none"/>
              </w:rPr>
            </w:pPr>
            <w:r>
              <w:rPr>
                <w:rFonts w:hint="eastAsia" w:ascii="宋体" w:hAnsi="宋体" w:cs="宋体"/>
                <w:color w:val="auto"/>
                <w:sz w:val="24"/>
                <w:szCs w:val="24"/>
                <w:highlight w:val="none"/>
              </w:rPr>
              <w:t>商务部分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F3</w:t>
            </w:r>
            <w:r>
              <w:rPr>
                <w:rFonts w:hint="eastAsia" w:ascii="宋体" w:hAnsi="宋体" w:cs="宋体"/>
                <w:color w:val="auto"/>
                <w:sz w:val="24"/>
                <w:szCs w:val="24"/>
                <w:highlight w:val="none"/>
                <w:lang w:eastAsia="zh-CN"/>
              </w:rPr>
              <w:t>）</w:t>
            </w:r>
          </w:p>
        </w:tc>
        <w:tc>
          <w:tcPr>
            <w:tcW w:w="1665" w:type="dxa"/>
            <w:shd w:val="clear" w:color="auto" w:fill="auto"/>
            <w:vAlign w:val="center"/>
          </w:tcPr>
          <w:p w14:paraId="5136F86C">
            <w:pPr>
              <w:pStyle w:val="12"/>
              <w:keepNext w:val="0"/>
              <w:keepLines w:val="0"/>
              <w:pageBreakBefore w:val="0"/>
              <w:kinsoku/>
              <w:wordWrap/>
              <w:overflowPunct/>
              <w:topLinePunct w:val="0"/>
              <w:bidi w:val="0"/>
              <w:spacing w:line="320" w:lineRule="exact"/>
              <w:jc w:val="center"/>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类似项目</w:t>
            </w:r>
          </w:p>
          <w:p w14:paraId="0187A06A">
            <w:pPr>
              <w:pStyle w:val="12"/>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业绩</w:t>
            </w:r>
          </w:p>
          <w:p w14:paraId="212B4E02">
            <w:pPr>
              <w:pStyle w:val="12"/>
              <w:keepNext w:val="0"/>
              <w:keepLines w:val="0"/>
              <w:pageBreakBefore w:val="0"/>
              <w:kinsoku/>
              <w:wordWrap/>
              <w:overflowPunct/>
              <w:topLinePunct w:val="0"/>
              <w:bidi w:val="0"/>
              <w:spacing w:line="320" w:lineRule="exact"/>
              <w:jc w:val="center"/>
              <w:textAlignment w:val="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（满分5分）</w:t>
            </w:r>
          </w:p>
        </w:tc>
        <w:tc>
          <w:tcPr>
            <w:tcW w:w="7099" w:type="dxa"/>
            <w:shd w:val="clear" w:color="auto" w:fill="auto"/>
            <w:vAlign w:val="center"/>
          </w:tcPr>
          <w:p w14:paraId="42459AFD">
            <w:pPr>
              <w:keepNext w:val="0"/>
              <w:keepLines w:val="0"/>
              <w:pageBreakBefore w:val="0"/>
              <w:kinsoku/>
              <w:wordWrap/>
              <w:overflowPunct/>
              <w:topLinePunct w:val="0"/>
              <w:autoSpaceDE w:val="0"/>
              <w:autoSpaceDN w:val="0"/>
              <w:bidi w:val="0"/>
              <w:spacing w:line="3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投标人自202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年1月1日以来（以签订合同时间为准）承担过的类似项目业绩，每个得</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分，满分5分。</w:t>
            </w:r>
          </w:p>
          <w:p w14:paraId="40B8A952">
            <w:pPr>
              <w:keepNext w:val="0"/>
              <w:keepLines w:val="0"/>
              <w:pageBreakBefore w:val="0"/>
              <w:kinsoku/>
              <w:wordWrap/>
              <w:overflowPunct/>
              <w:topLinePunct w:val="0"/>
              <w:autoSpaceDE w:val="0"/>
              <w:autoSpaceDN w:val="0"/>
              <w:bidi w:val="0"/>
              <w:spacing w:line="320" w:lineRule="exact"/>
              <w:textAlignment w:val="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注：投标文件中须提供类似项目的</w:t>
            </w:r>
            <w:r>
              <w:rPr>
                <w:rFonts w:hint="eastAsia" w:asciiTheme="minorEastAsia" w:hAnsiTheme="minorEastAsia" w:eastAsiaTheme="minorEastAsia" w:cstheme="minorEastAsia"/>
                <w:color w:val="auto"/>
                <w:sz w:val="24"/>
                <w:szCs w:val="24"/>
                <w:highlight w:val="none"/>
                <w:lang w:eastAsia="zh-CN"/>
              </w:rPr>
              <w:t>合同</w:t>
            </w:r>
            <w:r>
              <w:rPr>
                <w:rFonts w:hint="eastAsia" w:asciiTheme="minorEastAsia" w:hAnsiTheme="minorEastAsia" w:eastAsiaTheme="minorEastAsia" w:cstheme="minorEastAsia"/>
                <w:color w:val="auto"/>
                <w:sz w:val="24"/>
                <w:szCs w:val="24"/>
                <w:highlight w:val="none"/>
              </w:rPr>
              <w:t>扫描件加盖电子公章。无证明材料或证明材料不明确、不齐全、不一致、无法体现业绩内容的不得分，如业绩合同不能反映项目内容，须另附业主证明等相关证明材料。</w:t>
            </w:r>
          </w:p>
        </w:tc>
      </w:tr>
      <w:bookmarkEnd w:id="260"/>
    </w:tbl>
    <w:p w14:paraId="39A4064D">
      <w:pPr>
        <w:pStyle w:val="3"/>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(四)得分汇总</w:t>
      </w:r>
    </w:p>
    <w:p w14:paraId="14A03502">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1.评委应首先对各投标人投标文件进行评审，写出书面意见并按招标文件规定分值评分，各分档评分中间不得用插入法评分。</w:t>
      </w:r>
    </w:p>
    <w:p w14:paraId="6584D623">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2.除投标</w:t>
      </w:r>
      <w:r>
        <w:rPr>
          <w:rFonts w:hint="eastAsia" w:ascii="宋体" w:hAnsi="宋体" w:cs="宋体"/>
          <w:color w:val="auto"/>
          <w:sz w:val="24"/>
          <w:szCs w:val="24"/>
          <w:highlight w:val="none"/>
          <w:lang w:val="en-US" w:eastAsia="zh-CN"/>
        </w:rPr>
        <w:t>报价</w:t>
      </w:r>
      <w:r>
        <w:rPr>
          <w:rFonts w:hint="eastAsia" w:ascii="宋体" w:hAnsi="宋体" w:cs="宋体"/>
          <w:color w:val="auto"/>
          <w:sz w:val="24"/>
          <w:szCs w:val="24"/>
          <w:highlight w:val="none"/>
        </w:rPr>
        <w:t>得分外，其余部分由各评委自主评分并签字确认。</w:t>
      </w:r>
    </w:p>
    <w:p w14:paraId="441F8D58">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3.统分原则：计算</w:t>
      </w:r>
      <w:r>
        <w:rPr>
          <w:rFonts w:hint="eastAsia" w:ascii="宋体" w:hAnsi="宋体" w:cs="宋体"/>
          <w:color w:val="auto"/>
          <w:sz w:val="24"/>
          <w:szCs w:val="24"/>
          <w:highlight w:val="none"/>
          <w:lang w:val="en-US" w:eastAsia="zh-CN"/>
        </w:rPr>
        <w:t>所有</w:t>
      </w:r>
      <w:r>
        <w:rPr>
          <w:rFonts w:hint="eastAsia" w:ascii="宋体" w:hAnsi="宋体" w:cs="宋体"/>
          <w:color w:val="auto"/>
          <w:sz w:val="24"/>
          <w:szCs w:val="24"/>
          <w:highlight w:val="none"/>
        </w:rPr>
        <w:t>评委打分的算术平均值为投标人的该项评分因素的得分，投标报价得分除外(保留小数点后两位)。</w:t>
      </w:r>
    </w:p>
    <w:p w14:paraId="7C45ECE3">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4.得分汇总：各项评分因素得分的总和即为投标人最后得分。</w:t>
      </w:r>
    </w:p>
    <w:p w14:paraId="35FBC846">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5.经评标委员会认定评分畸高、畸低的，评标委员会应当当场修改评标结果，并在评标报告中记载。</w:t>
      </w:r>
    </w:p>
    <w:p w14:paraId="3D0450DA">
      <w:pPr>
        <w:pStyle w:val="3"/>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七、推荐</w:t>
      </w:r>
    </w:p>
    <w:p w14:paraId="74E428D0">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092E3BA2">
      <w:pPr>
        <w:pStyle w:val="3"/>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若不存在节能环保产品参与投标，按技术部分得分由高到低的顺序排列，依次类推。</w:t>
      </w:r>
    </w:p>
    <w:p w14:paraId="2517FF61">
      <w:pPr>
        <w:pStyle w:val="3"/>
        <w:spacing w:line="48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八、评标报告编写</w:t>
      </w:r>
    </w:p>
    <w:p w14:paraId="2F206FAF">
      <w:pPr>
        <w:pStyle w:val="3"/>
        <w:spacing w:line="480" w:lineRule="exact"/>
        <w:ind w:firstLine="480" w:firstLineChars="200"/>
        <w:rPr>
          <w:rFonts w:ascii="宋体" w:hAnsi="宋体" w:cs="宋体"/>
          <w:color w:val="auto"/>
          <w:highlight w:val="none"/>
        </w:rPr>
      </w:pPr>
      <w:r>
        <w:rPr>
          <w:rFonts w:hint="eastAsia" w:ascii="宋体" w:hAnsi="宋体" w:cs="宋体"/>
          <w:color w:val="auto"/>
          <w:sz w:val="24"/>
          <w:szCs w:val="24"/>
          <w:highlight w:val="none"/>
        </w:rPr>
        <w:t>评标委员会根据全体评标成员签字的原始评标记录和评标结果编写评标报告。</w:t>
      </w:r>
    </w:p>
    <w:p w14:paraId="17A360FC">
      <w:pPr>
        <w:pStyle w:val="4"/>
        <w:spacing w:before="0" w:after="0" w:line="360" w:lineRule="auto"/>
        <w:jc w:val="center"/>
        <w:rPr>
          <w:rFonts w:ascii="宋体" w:hAnsi="宋体" w:cs="宋体"/>
          <w:color w:val="auto"/>
          <w:sz w:val="24"/>
          <w:szCs w:val="24"/>
          <w:highlight w:val="none"/>
        </w:rPr>
        <w:sectPr>
          <w:pgSz w:w="11906" w:h="16838"/>
          <w:pgMar w:top="1440" w:right="1083" w:bottom="1440" w:left="1083" w:header="720" w:footer="720" w:gutter="0"/>
          <w:pgNumType w:fmt="numberInDash"/>
          <w:cols w:space="720" w:num="1"/>
          <w:docGrid w:type="lines" w:linePitch="317" w:charSpace="0"/>
        </w:sectPr>
      </w:pPr>
      <w:bookmarkStart w:id="261" w:name="_Toc21476"/>
      <w:bookmarkEnd w:id="261"/>
      <w:bookmarkStart w:id="262" w:name="_Toc8239"/>
      <w:bookmarkEnd w:id="262"/>
    </w:p>
    <w:p w14:paraId="1BC25DC1">
      <w:pPr>
        <w:spacing w:before="0" w:after="0" w:line="360" w:lineRule="auto"/>
        <w:jc w:val="center"/>
        <w:outlineLvl w:val="9"/>
        <w:rPr>
          <w:rFonts w:hint="eastAsia" w:ascii="宋体" w:hAnsi="宋体" w:cs="宋体"/>
          <w:color w:val="auto"/>
          <w:highlight w:val="none"/>
        </w:rPr>
      </w:pPr>
      <w:bookmarkStart w:id="263" w:name="_Toc18440"/>
      <w:bookmarkEnd w:id="263"/>
      <w:bookmarkStart w:id="264" w:name="_Toc26828"/>
      <w:bookmarkEnd w:id="264"/>
      <w:bookmarkStart w:id="265" w:name="_Toc30727"/>
      <w:bookmarkStart w:id="266" w:name="_Toc10723"/>
      <w:bookmarkStart w:id="267" w:name="_Toc3665"/>
      <w:bookmarkStart w:id="268" w:name="_Toc17822"/>
      <w:bookmarkStart w:id="269" w:name="_Toc16704"/>
      <w:bookmarkStart w:id="270" w:name="_Toc30794"/>
      <w:bookmarkStart w:id="271" w:name="_Toc1913"/>
      <w:bookmarkStart w:id="272" w:name="_Toc15431"/>
      <w:bookmarkStart w:id="273" w:name="_Toc8577"/>
      <w:bookmarkStart w:id="274" w:name="_Toc10653"/>
    </w:p>
    <w:p w14:paraId="2B42FC74">
      <w:pPr>
        <w:outlineLvl w:val="9"/>
        <w:rPr>
          <w:rFonts w:hint="eastAsia" w:ascii="宋体" w:hAnsi="宋体" w:cs="宋体"/>
          <w:color w:val="auto"/>
          <w:highlight w:val="none"/>
        </w:rPr>
      </w:pPr>
    </w:p>
    <w:p w14:paraId="067083F3">
      <w:pPr>
        <w:pStyle w:val="8"/>
        <w:outlineLvl w:val="9"/>
        <w:rPr>
          <w:rFonts w:hint="eastAsia" w:ascii="宋体" w:hAnsi="宋体" w:cs="宋体"/>
          <w:color w:val="auto"/>
          <w:highlight w:val="none"/>
        </w:rPr>
      </w:pPr>
    </w:p>
    <w:p w14:paraId="240EC4A3">
      <w:pPr>
        <w:outlineLvl w:val="9"/>
        <w:rPr>
          <w:rFonts w:hint="eastAsia" w:ascii="宋体" w:hAnsi="宋体" w:cs="宋体"/>
          <w:color w:val="auto"/>
          <w:highlight w:val="none"/>
        </w:rPr>
      </w:pPr>
    </w:p>
    <w:p w14:paraId="46868188">
      <w:pPr>
        <w:pStyle w:val="8"/>
        <w:outlineLvl w:val="9"/>
        <w:rPr>
          <w:rFonts w:hint="eastAsia" w:ascii="宋体" w:hAnsi="宋体" w:cs="宋体"/>
          <w:color w:val="auto"/>
          <w:highlight w:val="none"/>
        </w:rPr>
      </w:pPr>
    </w:p>
    <w:p w14:paraId="332EB1E4">
      <w:pPr>
        <w:outlineLvl w:val="9"/>
        <w:rPr>
          <w:rFonts w:hint="eastAsia"/>
          <w:color w:val="auto"/>
          <w:highlight w:val="none"/>
        </w:rPr>
      </w:pPr>
    </w:p>
    <w:p w14:paraId="49C8125F">
      <w:pPr>
        <w:pStyle w:val="8"/>
        <w:rPr>
          <w:rFonts w:hint="eastAsia"/>
          <w:color w:val="auto"/>
          <w:highlight w:val="none"/>
        </w:rPr>
      </w:pPr>
    </w:p>
    <w:p w14:paraId="2E68212B">
      <w:pPr>
        <w:rPr>
          <w:rFonts w:hint="eastAsia"/>
          <w:color w:val="auto"/>
          <w:highlight w:val="none"/>
        </w:rPr>
      </w:pPr>
    </w:p>
    <w:p w14:paraId="2B3FB75C">
      <w:pPr>
        <w:pStyle w:val="8"/>
        <w:rPr>
          <w:rFonts w:hint="eastAsia"/>
          <w:color w:val="auto"/>
          <w:highlight w:val="none"/>
        </w:rPr>
      </w:pPr>
    </w:p>
    <w:p w14:paraId="4B794D7F">
      <w:pPr>
        <w:rPr>
          <w:rFonts w:hint="eastAsia"/>
          <w:color w:val="auto"/>
          <w:highlight w:val="none"/>
        </w:rPr>
      </w:pPr>
    </w:p>
    <w:p w14:paraId="5CC3B4AD">
      <w:pPr>
        <w:pStyle w:val="8"/>
        <w:rPr>
          <w:rFonts w:hint="eastAsia"/>
          <w:color w:val="auto"/>
          <w:highlight w:val="none"/>
        </w:rPr>
      </w:pPr>
    </w:p>
    <w:p w14:paraId="44DD6C8F">
      <w:pPr>
        <w:rPr>
          <w:rFonts w:hint="eastAsia"/>
          <w:color w:val="auto"/>
          <w:highlight w:val="none"/>
        </w:rPr>
      </w:pPr>
    </w:p>
    <w:p w14:paraId="5265CE28">
      <w:pPr>
        <w:pStyle w:val="8"/>
        <w:rPr>
          <w:rFonts w:hint="eastAsia"/>
          <w:color w:val="auto"/>
          <w:highlight w:val="none"/>
        </w:rPr>
      </w:pPr>
    </w:p>
    <w:p w14:paraId="6126851A">
      <w:pPr>
        <w:spacing w:before="0" w:after="0" w:line="360" w:lineRule="auto"/>
        <w:jc w:val="center"/>
        <w:outlineLvl w:val="9"/>
        <w:rPr>
          <w:rFonts w:hint="eastAsia" w:ascii="宋体" w:hAnsi="宋体" w:cs="宋体"/>
          <w:color w:val="auto"/>
          <w:highlight w:val="none"/>
        </w:rPr>
      </w:pPr>
    </w:p>
    <w:p w14:paraId="5940F77B">
      <w:pPr>
        <w:pStyle w:val="4"/>
        <w:spacing w:before="0" w:after="0" w:line="360" w:lineRule="auto"/>
        <w:jc w:val="center"/>
        <w:rPr>
          <w:rFonts w:ascii="宋体" w:hAnsi="宋体" w:cs="宋体"/>
          <w:color w:val="auto"/>
          <w:highlight w:val="none"/>
        </w:rPr>
      </w:pPr>
      <w:bookmarkStart w:id="275" w:name="_Toc4327"/>
      <w:r>
        <w:rPr>
          <w:rFonts w:hint="eastAsia" w:ascii="宋体" w:hAnsi="宋体" w:cs="宋体"/>
          <w:color w:val="auto"/>
          <w:highlight w:val="none"/>
        </w:rPr>
        <w:t>第五章 合同条款及格式</w:t>
      </w:r>
      <w:bookmarkEnd w:id="265"/>
      <w:bookmarkEnd w:id="266"/>
      <w:bookmarkEnd w:id="267"/>
      <w:bookmarkEnd w:id="268"/>
      <w:bookmarkEnd w:id="269"/>
      <w:bookmarkEnd w:id="270"/>
      <w:bookmarkEnd w:id="271"/>
      <w:bookmarkEnd w:id="275"/>
    </w:p>
    <w:p w14:paraId="5E5CE75C">
      <w:pPr>
        <w:rPr>
          <w:rFonts w:ascii="宋体" w:hAnsi="宋体" w:cs="宋体"/>
          <w:color w:val="auto"/>
          <w:highlight w:val="none"/>
        </w:rPr>
      </w:pPr>
    </w:p>
    <w:p w14:paraId="41666E4F">
      <w:pPr>
        <w:pStyle w:val="9"/>
        <w:ind w:left="1470" w:right="1470"/>
        <w:jc w:val="center"/>
        <w:rPr>
          <w:rFonts w:ascii="宋体" w:hAnsi="宋体" w:cs="宋体"/>
          <w:color w:val="auto"/>
          <w:sz w:val="24"/>
          <w:szCs w:val="24"/>
          <w:highlight w:val="none"/>
        </w:rPr>
      </w:pPr>
      <w:r>
        <w:rPr>
          <w:rFonts w:hint="eastAsia" w:ascii="宋体" w:hAnsi="宋体" w:cs="宋体"/>
          <w:b/>
          <w:bCs/>
          <w:color w:val="auto"/>
          <w:spacing w:val="17"/>
          <w:sz w:val="24"/>
          <w:szCs w:val="24"/>
          <w:highlight w:val="none"/>
        </w:rPr>
        <w:t>（本合同范本仅是参考，具体以实际签订合同为准）</w:t>
      </w:r>
    </w:p>
    <w:p w14:paraId="336A5968">
      <w:pPr>
        <w:pStyle w:val="39"/>
        <w:rPr>
          <w:rFonts w:ascii="宋体" w:hAnsi="宋体"/>
          <w:b/>
          <w:color w:val="auto"/>
          <w:sz w:val="44"/>
          <w:szCs w:val="44"/>
          <w:highlight w:val="none"/>
        </w:rPr>
      </w:pPr>
    </w:p>
    <w:p w14:paraId="433B6A40">
      <w:pPr>
        <w:rPr>
          <w:rFonts w:hint="eastAsia" w:ascii="宋体" w:hAnsi="宋体"/>
          <w:color w:val="auto"/>
          <w:sz w:val="28"/>
          <w:szCs w:val="28"/>
          <w:highlight w:val="none"/>
        </w:rPr>
      </w:pPr>
      <w:bookmarkStart w:id="276" w:name="_Toc99482195"/>
      <w:bookmarkStart w:id="277" w:name="_Toc11845"/>
      <w:bookmarkStart w:id="278" w:name="_Toc17056"/>
      <w:bookmarkStart w:id="279" w:name="_Toc26818"/>
      <w:bookmarkStart w:id="280" w:name="_Toc98789925"/>
      <w:r>
        <w:rPr>
          <w:rFonts w:hint="eastAsia" w:ascii="宋体" w:hAnsi="宋体"/>
          <w:color w:val="auto"/>
          <w:sz w:val="28"/>
          <w:szCs w:val="28"/>
          <w:highlight w:val="none"/>
        </w:rPr>
        <w:br w:type="page"/>
      </w:r>
    </w:p>
    <w:bookmarkEnd w:id="276"/>
    <w:bookmarkEnd w:id="277"/>
    <w:bookmarkEnd w:id="278"/>
    <w:bookmarkEnd w:id="279"/>
    <w:bookmarkEnd w:id="280"/>
    <w:p w14:paraId="35B879BA">
      <w:pPr>
        <w:pStyle w:val="8"/>
        <w:rPr>
          <w:rFonts w:hint="eastAsia"/>
          <w:color w:val="auto"/>
          <w:highlight w:val="none"/>
        </w:rPr>
      </w:pPr>
    </w:p>
    <w:p w14:paraId="5BCB1E31">
      <w:pPr>
        <w:pStyle w:val="8"/>
        <w:rPr>
          <w:color w:val="auto"/>
          <w:highlight w:val="none"/>
        </w:rPr>
      </w:pPr>
    </w:p>
    <w:bookmarkEnd w:id="272"/>
    <w:p w14:paraId="1E90EB0F">
      <w:pPr>
        <w:spacing w:line="360" w:lineRule="auto"/>
        <w:jc w:val="left"/>
        <w:rPr>
          <w:rFonts w:hint="eastAsia" w:ascii="宋体" w:hAnsi="宋体" w:eastAsia="宋体" w:cs="宋体"/>
          <w:color w:val="auto"/>
          <w:sz w:val="24"/>
          <w:szCs w:val="24"/>
          <w:highlight w:val="none"/>
          <w:lang w:eastAsia="zh-CN"/>
        </w:rPr>
      </w:pPr>
      <w:bookmarkStart w:id="281" w:name="_Toc2822"/>
      <w:r>
        <w:rPr>
          <w:rFonts w:hint="eastAsia" w:ascii="宋体" w:hAnsi="宋体" w:eastAsia="宋体" w:cs="宋体"/>
          <w:color w:val="auto"/>
          <w:sz w:val="24"/>
          <w:szCs w:val="24"/>
          <w:highlight w:val="none"/>
          <w:lang w:eastAsia="zh-CN"/>
        </w:rPr>
        <w:t>（此页无正文，为签字盖章页）</w:t>
      </w:r>
    </w:p>
    <w:p w14:paraId="0773E8AE">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公章）名称：</w:t>
      </w:r>
    </w:p>
    <w:p w14:paraId="48F18666">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p>
    <w:p w14:paraId="69787EAC">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       编：</w:t>
      </w:r>
    </w:p>
    <w:p w14:paraId="7443138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p>
    <w:p w14:paraId="5C16959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项目（技术）负责人：</w:t>
      </w:r>
    </w:p>
    <w:p w14:paraId="20A91263">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p>
    <w:p w14:paraId="03BDB487">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 户 银 行：</w:t>
      </w:r>
    </w:p>
    <w:p w14:paraId="4E98AC52">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       号：</w:t>
      </w:r>
    </w:p>
    <w:p w14:paraId="564C303C">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签订日期：</w:t>
      </w:r>
      <w:r>
        <w:rPr>
          <w:rFonts w:hint="eastAsia" w:ascii="宋体" w:hAnsi="宋体" w:eastAsia="宋体" w:cs="宋体"/>
          <w:color w:val="auto"/>
          <w:sz w:val="24"/>
          <w:szCs w:val="24"/>
          <w:highlight w:val="none"/>
          <w:lang w:val="en-US" w:eastAsia="zh-CN"/>
        </w:rPr>
        <w:t xml:space="preserve">   年  月  日</w:t>
      </w:r>
    </w:p>
    <w:p w14:paraId="7D1D7EE2">
      <w:pPr>
        <w:spacing w:line="360" w:lineRule="auto"/>
        <w:ind w:left="1619" w:leftChars="771" w:firstLine="480" w:firstLineChars="200"/>
        <w:jc w:val="left"/>
        <w:rPr>
          <w:rFonts w:hint="eastAsia" w:ascii="宋体" w:hAnsi="宋体" w:eastAsia="宋体" w:cs="宋体"/>
          <w:color w:val="auto"/>
          <w:sz w:val="24"/>
          <w:szCs w:val="24"/>
          <w:highlight w:val="none"/>
        </w:rPr>
      </w:pPr>
    </w:p>
    <w:p w14:paraId="3C3BDE4A">
      <w:pPr>
        <w:spacing w:line="360" w:lineRule="auto"/>
        <w:ind w:left="1619" w:leftChars="771" w:firstLine="480" w:firstLineChars="200"/>
        <w:jc w:val="left"/>
        <w:rPr>
          <w:rFonts w:hint="eastAsia" w:ascii="宋体" w:hAnsi="宋体" w:eastAsia="宋体" w:cs="宋体"/>
          <w:color w:val="auto"/>
          <w:sz w:val="24"/>
          <w:szCs w:val="24"/>
          <w:highlight w:val="none"/>
        </w:rPr>
      </w:pPr>
    </w:p>
    <w:p w14:paraId="40B82BE4">
      <w:pPr>
        <w:spacing w:line="360" w:lineRule="auto"/>
        <w:ind w:left="1619" w:leftChars="771" w:firstLine="480" w:firstLineChars="200"/>
        <w:jc w:val="left"/>
        <w:rPr>
          <w:rFonts w:hint="eastAsia" w:ascii="宋体" w:hAnsi="宋体" w:eastAsia="宋体" w:cs="宋体"/>
          <w:color w:val="auto"/>
          <w:sz w:val="24"/>
          <w:szCs w:val="24"/>
          <w:highlight w:val="none"/>
        </w:rPr>
      </w:pPr>
    </w:p>
    <w:p w14:paraId="595F1D27">
      <w:pPr>
        <w:spacing w:line="360" w:lineRule="auto"/>
        <w:ind w:left="3518" w:leftChars="304" w:hanging="2880" w:hangingChars="1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公章）名称：</w:t>
      </w:r>
    </w:p>
    <w:p w14:paraId="5735CEAC">
      <w:pPr>
        <w:spacing w:line="360" w:lineRule="auto"/>
        <w:ind w:left="2318" w:leftChars="304" w:hanging="1680" w:hangingChars="7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p>
    <w:p w14:paraId="01AD0D13">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p w14:paraId="7186896E">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委托代理人：</w:t>
      </w:r>
    </w:p>
    <w:p w14:paraId="48528FA3">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26BC6A5F">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6F5E73C1">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p>
    <w:p w14:paraId="5DEF5994">
      <w:pPr>
        <w:spacing w:line="360" w:lineRule="auto"/>
        <w:ind w:firstLine="720" w:firstLineChars="3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签订日期：</w:t>
      </w:r>
      <w:r>
        <w:rPr>
          <w:rFonts w:hint="eastAsia" w:ascii="宋体" w:hAnsi="宋体" w:eastAsia="宋体" w:cs="宋体"/>
          <w:color w:val="auto"/>
          <w:sz w:val="24"/>
          <w:szCs w:val="24"/>
          <w:highlight w:val="none"/>
          <w:lang w:val="en-US" w:eastAsia="zh-CN"/>
        </w:rPr>
        <w:t xml:space="preserve">  年  月  日</w:t>
      </w:r>
    </w:p>
    <w:p w14:paraId="42F28438">
      <w:pPr>
        <w:spacing w:line="360" w:lineRule="auto"/>
        <w:ind w:left="1619" w:leftChars="771" w:firstLine="480" w:firstLineChars="200"/>
        <w:jc w:val="left"/>
        <w:rPr>
          <w:rFonts w:hint="eastAsia" w:ascii="宋体" w:hAnsi="宋体" w:eastAsia="宋体" w:cs="宋体"/>
          <w:color w:val="auto"/>
          <w:sz w:val="24"/>
          <w:szCs w:val="24"/>
          <w:highlight w:val="none"/>
        </w:rPr>
      </w:pPr>
    </w:p>
    <w:p w14:paraId="77811480">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4"/>
          <w:szCs w:val="24"/>
          <w:highlight w:val="none"/>
          <w:lang w:eastAsia="zh-CN"/>
        </w:rPr>
      </w:pPr>
    </w:p>
    <w:p w14:paraId="31AF75C3">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4"/>
          <w:szCs w:val="24"/>
          <w:highlight w:val="none"/>
          <w:lang w:eastAsia="zh-CN"/>
        </w:rPr>
      </w:pPr>
    </w:p>
    <w:p w14:paraId="4D46DD0A">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4"/>
          <w:szCs w:val="24"/>
          <w:highlight w:val="none"/>
          <w:lang w:eastAsia="zh-CN"/>
        </w:rPr>
      </w:pPr>
    </w:p>
    <w:p w14:paraId="214B1055">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4"/>
          <w:szCs w:val="24"/>
          <w:highlight w:val="none"/>
          <w:lang w:eastAsia="zh-CN"/>
        </w:rPr>
      </w:pPr>
    </w:p>
    <w:p w14:paraId="5200CF85">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4"/>
          <w:szCs w:val="24"/>
          <w:highlight w:val="none"/>
          <w:lang w:eastAsia="zh-CN"/>
        </w:rPr>
      </w:pPr>
    </w:p>
    <w:p w14:paraId="2CA84999">
      <w:pPr>
        <w:shd w:val="clear"/>
        <w:autoSpaceDE w:val="0"/>
        <w:autoSpaceDN w:val="0"/>
        <w:adjustRightInd w:val="0"/>
        <w:spacing w:line="360" w:lineRule="auto"/>
        <w:ind w:left="0" w:leftChars="0" w:right="0" w:rightChars="0" w:firstLine="0" w:firstLineChars="0"/>
        <w:jc w:val="both"/>
        <w:rPr>
          <w:rFonts w:hint="eastAsia" w:ascii="宋体" w:hAnsi="宋体" w:eastAsia="宋体" w:cs="宋体"/>
          <w:b/>
          <w:bCs w:val="0"/>
          <w:color w:val="auto"/>
          <w:kern w:val="0"/>
          <w:sz w:val="24"/>
          <w:szCs w:val="24"/>
          <w:highlight w:val="none"/>
          <w:lang w:eastAsia="zh-CN"/>
        </w:rPr>
      </w:pPr>
    </w:p>
    <w:p w14:paraId="0A6680C2">
      <w:pPr>
        <w:shd w:val="clear"/>
        <w:autoSpaceDE w:val="0"/>
        <w:autoSpaceDN w:val="0"/>
        <w:adjustRightInd w:val="0"/>
        <w:spacing w:line="360" w:lineRule="auto"/>
        <w:ind w:left="0" w:leftChars="0" w:right="0" w:rightChars="0" w:firstLine="0" w:firstLineChars="0"/>
        <w:jc w:val="center"/>
        <w:rPr>
          <w:rFonts w:hint="eastAsia" w:ascii="宋体" w:hAnsi="宋体" w:eastAsia="宋体" w:cs="宋体"/>
          <w:b/>
          <w:bCs w:val="0"/>
          <w:color w:val="auto"/>
          <w:kern w:val="0"/>
          <w:sz w:val="28"/>
          <w:szCs w:val="28"/>
          <w:highlight w:val="none"/>
          <w:lang w:val="en-US" w:eastAsia="zh-CN"/>
        </w:rPr>
      </w:pPr>
      <w:r>
        <w:rPr>
          <w:rFonts w:hint="eastAsia" w:ascii="宋体" w:hAnsi="宋体" w:cs="宋体"/>
          <w:b/>
          <w:bCs w:val="0"/>
          <w:color w:val="auto"/>
          <w:kern w:val="0"/>
          <w:sz w:val="28"/>
          <w:szCs w:val="28"/>
          <w:highlight w:val="none"/>
          <w:lang w:val="en-US" w:eastAsia="zh-CN"/>
        </w:rPr>
        <w:t>云南省建水监狱2025年—2026年罪犯蛋类、蔬菜类生活物资采购</w:t>
      </w:r>
      <w:r>
        <w:rPr>
          <w:rFonts w:hint="eastAsia" w:ascii="宋体" w:hAnsi="宋体" w:eastAsia="宋体" w:cs="宋体"/>
          <w:b/>
          <w:bCs w:val="0"/>
          <w:color w:val="auto"/>
          <w:kern w:val="0"/>
          <w:sz w:val="28"/>
          <w:szCs w:val="28"/>
          <w:highlight w:val="none"/>
          <w:lang w:val="en-US" w:eastAsia="zh-CN"/>
        </w:rPr>
        <w:t>合同</w:t>
      </w:r>
    </w:p>
    <w:p w14:paraId="44D655F9">
      <w:pPr>
        <w:spacing w:line="360" w:lineRule="auto"/>
        <w:ind w:firstLine="482" w:firstLineChars="200"/>
        <w:rPr>
          <w:rFonts w:hint="eastAsia" w:ascii="宋体" w:hAnsi="宋体" w:eastAsia="宋体" w:cs="宋体"/>
          <w:b/>
          <w:color w:val="auto"/>
          <w:sz w:val="24"/>
          <w:szCs w:val="24"/>
          <w:highlight w:val="none"/>
        </w:rPr>
      </w:pPr>
    </w:p>
    <w:p w14:paraId="327331C9">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甲方：</w:t>
      </w:r>
    </w:p>
    <w:p w14:paraId="25E3CA5C">
      <w:pPr>
        <w:spacing w:line="360" w:lineRule="auto"/>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乙方：</w:t>
      </w:r>
    </w:p>
    <w:p w14:paraId="182038E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甲乙双方根据项目编</w:t>
      </w:r>
      <w:r>
        <w:rPr>
          <w:rFonts w:hint="eastAsia" w:ascii="宋体" w:hAnsi="宋体" w:eastAsia="宋体" w:cs="宋体"/>
          <w:color w:val="auto"/>
          <w:sz w:val="24"/>
          <w:szCs w:val="24"/>
          <w:highlight w:val="none"/>
          <w:lang w:eastAsia="zh-CN"/>
        </w:rPr>
        <w:t>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开招标采购结果，为保障合同双方的合法权益，甲乙双方根据《中华人民共和国政府采购法》、《中华人民共和国政府采购法实施条例》、《中华人民共和国招标投标法》、《中华人民共和国招标投标法实施条例》、《中华人民共和国民法典》等相关法律法规的规定以及招标文件和投标文件的有关要求，并按照公正、平等、自愿、诚实信用的原则，对配送、质量、服务等签订本合同，内容如下：</w:t>
      </w:r>
    </w:p>
    <w:p w14:paraId="44072C54">
      <w:pPr>
        <w:spacing w:line="360" w:lineRule="auto"/>
        <w:ind w:firstLine="602" w:firstLineChars="25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一、所需资料和供货要求</w:t>
      </w:r>
    </w:p>
    <w:p w14:paraId="6175FDD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（一）乙方必须提供合法有效的营业执照等原件、食品经营许可证或食品流通许可证原件送甲方审验，并将复印件加盖公章后交与甲方备案。</w:t>
      </w:r>
      <w:r>
        <w:rPr>
          <w:rFonts w:hint="eastAsia" w:ascii="宋体" w:hAnsi="宋体" w:eastAsia="宋体" w:cs="宋体"/>
          <w:color w:val="auto"/>
          <w:sz w:val="24"/>
          <w:szCs w:val="24"/>
          <w:highlight w:val="none"/>
          <w:lang w:val="en-US" w:eastAsia="zh-CN"/>
        </w:rPr>
        <w:t>若在合同期限内，乙方不再具备履行合同所需的相关资质要求的，甲方有权单方解除本合同。</w:t>
      </w:r>
    </w:p>
    <w:p w14:paraId="57241F08">
      <w:pPr>
        <w:spacing w:line="360" w:lineRule="auto"/>
        <w:ind w:firstLine="470" w:firstLineChars="196"/>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（二）乙方</w:t>
      </w:r>
      <w:r>
        <w:rPr>
          <w:rFonts w:hint="eastAsia" w:ascii="宋体" w:hAnsi="宋体" w:eastAsia="宋体" w:cs="宋体"/>
          <w:b/>
          <w:color w:val="auto"/>
          <w:sz w:val="24"/>
          <w:szCs w:val="24"/>
          <w:highlight w:val="none"/>
        </w:rPr>
        <w:t>必须教育并保证</w:t>
      </w:r>
      <w:r>
        <w:rPr>
          <w:rFonts w:hint="eastAsia" w:ascii="宋体" w:hAnsi="宋体" w:eastAsia="宋体" w:cs="宋体"/>
          <w:color w:val="auto"/>
          <w:sz w:val="24"/>
          <w:szCs w:val="24"/>
          <w:highlight w:val="none"/>
        </w:rPr>
        <w:t>送货人员遵守国家法律法规和监狱的相关规定，服从管理，注意人身安全，严禁擅自接触罪犯，</w:t>
      </w:r>
      <w:r>
        <w:rPr>
          <w:rFonts w:hint="eastAsia" w:ascii="宋体" w:hAnsi="宋体" w:eastAsia="宋体" w:cs="宋体"/>
          <w:b/>
          <w:color w:val="auto"/>
          <w:sz w:val="24"/>
          <w:szCs w:val="24"/>
          <w:highlight w:val="none"/>
        </w:rPr>
        <w:t>不得将违禁品、违规品带入监管区</w:t>
      </w:r>
      <w:r>
        <w:rPr>
          <w:rFonts w:hint="eastAsia" w:ascii="宋体" w:hAnsi="宋体" w:eastAsia="宋体" w:cs="宋体"/>
          <w:color w:val="auto"/>
          <w:sz w:val="24"/>
          <w:szCs w:val="24"/>
          <w:highlight w:val="none"/>
        </w:rPr>
        <w:t>，不得为罪犯购买物品和传递信件。</w:t>
      </w:r>
      <w:r>
        <w:rPr>
          <w:rFonts w:hint="eastAsia" w:ascii="宋体" w:hAnsi="宋体" w:eastAsia="宋体" w:cs="宋体"/>
          <w:b/>
          <w:color w:val="auto"/>
          <w:sz w:val="24"/>
          <w:szCs w:val="24"/>
          <w:highlight w:val="none"/>
        </w:rPr>
        <w:t>若乙方违反监狱的规定，甲方一旦发现可以立即单方面解除合同，不承担任何违约责任，由此导致的经济损失由乙方承担，情节严重的，追究乙方的法律责任。</w:t>
      </w:r>
    </w:p>
    <w:p w14:paraId="2F515D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（三）乙方必须严守国家食品安全的相关法律法规。所供物资，符合国家标准和行业标准，严禁采购进口冷链和来路不明的食品。否则，一切后果由乙方承担。</w:t>
      </w:r>
    </w:p>
    <w:p w14:paraId="666D0589">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二、送货时间及地点</w:t>
      </w:r>
    </w:p>
    <w:p w14:paraId="253E880D">
      <w:pPr>
        <w:spacing w:line="360" w:lineRule="auto"/>
        <w:ind w:left="0" w:leftChars="0"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乙方在收到甲方的采购计划2日内安排并配送完毕至甲方指定地点：</w:t>
      </w:r>
      <w:r>
        <w:rPr>
          <w:rFonts w:hint="eastAsia" w:ascii="宋体" w:hAnsi="宋体" w:eastAsia="宋体" w:cs="宋体"/>
          <w:color w:val="auto"/>
          <w:sz w:val="24"/>
          <w:szCs w:val="24"/>
          <w:highlight w:val="none"/>
          <w:u w:val="single"/>
        </w:rPr>
        <w:t>云南省建水监狱</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紧急货物在24小时内送达，</w:t>
      </w:r>
      <w:r>
        <w:rPr>
          <w:rFonts w:hint="eastAsia" w:ascii="宋体" w:hAnsi="宋体" w:eastAsia="宋体" w:cs="宋体"/>
          <w:color w:val="auto"/>
          <w:sz w:val="24"/>
          <w:szCs w:val="24"/>
          <w:highlight w:val="none"/>
          <w:lang w:val="en-US" w:eastAsia="zh-CN"/>
        </w:rPr>
        <w:t>具体按照采购人要求执行</w:t>
      </w:r>
      <w:r>
        <w:rPr>
          <w:rFonts w:hint="eastAsia" w:ascii="宋体" w:hAnsi="宋体" w:eastAsia="宋体" w:cs="宋体"/>
          <w:color w:val="auto"/>
          <w:sz w:val="24"/>
          <w:szCs w:val="24"/>
          <w:highlight w:val="none"/>
        </w:rPr>
        <w:t>。</w:t>
      </w:r>
    </w:p>
    <w:p w14:paraId="76CA012C">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三、运输</w:t>
      </w:r>
    </w:p>
    <w:p w14:paraId="2DD12A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需固定配送车辆及驾驶人员，驾驶人员至少需2名。配送车辆的车厢要严格执行清洁消毒制度，接触食品的内壁不得影响货物的味道和气味。运输车辆应具有篷有盖，避免灰尘等,不得将成品与污染物同车运输。搬运过程中注意保护好产品，防止丢失或损坏，不得破坏包装，防止跌落、磕碰、挤压。</w:t>
      </w:r>
    </w:p>
    <w:p w14:paraId="22A7E4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（二）车辆在运输过程中发生的一切不当行为及经济损失由乙方自行承担，即运输途中货物损毁、灭失的风险由乙方承担。</w:t>
      </w:r>
    </w:p>
    <w:p w14:paraId="38AA8F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（三）乙方所供货物的所有权以及风险自货物交付并经甲方验收合格时转移。</w:t>
      </w:r>
    </w:p>
    <w:p w14:paraId="4D03B501">
      <w:pPr>
        <w:wordWrap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（四）乙方必须在甲方要求的期限内将每批次罪犯物资送达甲方指定的地点，运输费以及产生的货物搬运、装卸费用由乙方自行承担。</w:t>
      </w:r>
    </w:p>
    <w:p w14:paraId="6746CC2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四、质量要求</w:t>
      </w:r>
    </w:p>
    <w:p w14:paraId="30BAA155">
      <w:pPr>
        <w:wordWrap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eastAsia="zh-CN" w:bidi="ar"/>
        </w:rPr>
        <w:t>符合现行国家、行业相关的质量要求、规范及标准，满足采购人的订单质量要求，并通过相关验收</w:t>
      </w:r>
      <w:r>
        <w:rPr>
          <w:rFonts w:hint="eastAsia" w:ascii="宋体" w:hAnsi="宋体" w:eastAsia="宋体" w:cs="宋体"/>
          <w:color w:val="auto"/>
          <w:sz w:val="24"/>
          <w:szCs w:val="24"/>
          <w:highlight w:val="none"/>
        </w:rPr>
        <w:t>。</w:t>
      </w:r>
    </w:p>
    <w:p w14:paraId="49E71857">
      <w:pPr>
        <w:pStyle w:val="2"/>
        <w:rPr>
          <w:rFonts w:hint="eastAsia"/>
          <w:color w:val="auto"/>
          <w:sz w:val="24"/>
          <w:szCs w:val="24"/>
          <w:highlight w:val="none"/>
        </w:rPr>
      </w:pPr>
      <w:r>
        <w:rPr>
          <w:rFonts w:hint="eastAsia"/>
          <w:color w:val="auto"/>
          <w:sz w:val="24"/>
          <w:szCs w:val="24"/>
          <w:highlight w:val="none"/>
          <w:lang w:val="en-US" w:eastAsia="zh-CN"/>
        </w:rPr>
        <w:t>采购标需严格执行《中华人民共和国产品质量法》、《中华人民共和国食品安全法》、《中华人民共和国农产品质量安全法》、《中华人民共和国动物防疫法》、《中华人民共和国食品安全法实施条例》、《食品安全标准》、《食品经营许可管理办法》、《食品生产许可管理办法》、《动物检疫管理办法》等法律法规。所采购的物品严格按照招标程序执行，对供货方必须具备合法资格，合乎卫生食品行业标准资质。</w:t>
      </w:r>
    </w:p>
    <w:p w14:paraId="03301CB8">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五、采购内容：</w:t>
      </w:r>
    </w:p>
    <w:p w14:paraId="2F005314">
      <w:pPr>
        <w:wordWrap w:val="0"/>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采购内容及合同单价详见附件采购清单。采购清单中的采购量为预计采购量，实际采购量以实际发生为准。</w:t>
      </w:r>
      <w:r>
        <w:rPr>
          <w:rFonts w:hint="eastAsia" w:ascii="宋体" w:hAnsi="宋体" w:eastAsia="宋体" w:cs="宋体"/>
          <w:b/>
          <w:color w:val="auto"/>
          <w:sz w:val="24"/>
          <w:szCs w:val="24"/>
          <w:highlight w:val="none"/>
          <w:lang w:val="en-US" w:eastAsia="zh-CN"/>
        </w:rPr>
        <w:t>甲方每次采购可以</w:t>
      </w:r>
      <w:r>
        <w:rPr>
          <w:rFonts w:hint="eastAsia" w:ascii="宋体" w:hAnsi="宋体" w:eastAsia="宋体" w:cs="宋体"/>
          <w:b/>
          <w:color w:val="auto"/>
          <w:sz w:val="24"/>
          <w:szCs w:val="24"/>
          <w:highlight w:val="none"/>
        </w:rPr>
        <w:t>以书面或口头的方式向乙方提出要求供货的产品、规格、数量、收货地点、交货时间以及要求乙方作出回复的时间等,双方最终按照《采购订单》确定采购内容</w:t>
      </w:r>
      <w:r>
        <w:rPr>
          <w:rFonts w:hint="eastAsia" w:ascii="宋体" w:hAnsi="宋体" w:eastAsia="宋体" w:cs="宋体"/>
          <w:b/>
          <w:color w:val="auto"/>
          <w:sz w:val="24"/>
          <w:szCs w:val="24"/>
          <w:highlight w:val="none"/>
          <w:lang w:eastAsia="zh-CN"/>
        </w:rPr>
        <w:t>。甲乙双方确认供货事项后，乙方如期供货但供货产品种类、数量不符或有短缺，甲方有权拒收，并有权追究乙方逾期供货的违约责任。</w:t>
      </w:r>
    </w:p>
    <w:p w14:paraId="2A2C57A8">
      <w:pPr>
        <w:autoSpaceDE w:val="0"/>
        <w:autoSpaceDN w:val="0"/>
        <w:adjustRightInd w:val="0"/>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合同</w:t>
      </w:r>
      <w:r>
        <w:rPr>
          <w:rFonts w:hint="eastAsia" w:ascii="宋体" w:hAnsi="宋体" w:eastAsia="宋体" w:cs="宋体"/>
          <w:b/>
          <w:bCs/>
          <w:color w:val="auto"/>
          <w:sz w:val="24"/>
          <w:szCs w:val="24"/>
          <w:highlight w:val="none"/>
          <w:lang w:val="en-US" w:eastAsia="zh-CN"/>
        </w:rPr>
        <w:t>暂定</w:t>
      </w:r>
      <w:r>
        <w:rPr>
          <w:rFonts w:hint="eastAsia" w:ascii="宋体" w:hAnsi="宋体" w:eastAsia="宋体" w:cs="宋体"/>
          <w:b/>
          <w:bCs/>
          <w:color w:val="auto"/>
          <w:sz w:val="24"/>
          <w:szCs w:val="24"/>
          <w:highlight w:val="none"/>
        </w:rPr>
        <w:t>总金额：¥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元，大写：人民币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。具体采购金额以实际执行情况为准</w:t>
      </w:r>
      <w:r>
        <w:rPr>
          <w:rFonts w:hint="eastAsia" w:ascii="宋体" w:hAnsi="宋体" w:eastAsia="宋体" w:cs="宋体"/>
          <w:b/>
          <w:bCs/>
          <w:color w:val="auto"/>
          <w:sz w:val="24"/>
          <w:szCs w:val="24"/>
          <w:highlight w:val="none"/>
          <w:lang w:eastAsia="zh-CN"/>
        </w:rPr>
        <w:t>。</w:t>
      </w:r>
    </w:p>
    <w:p w14:paraId="3175D780">
      <w:pPr>
        <w:autoSpaceDE w:val="0"/>
        <w:autoSpaceDN w:val="0"/>
        <w:adjustRightIn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六、合同期限</w:t>
      </w:r>
    </w:p>
    <w:p w14:paraId="322E00A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eastAsia="zh-CN" w:bidi="ar"/>
        </w:rPr>
        <w:t>自合同签订之日起1年</w:t>
      </w:r>
      <w:r>
        <w:rPr>
          <w:rFonts w:hint="eastAsia" w:ascii="宋体" w:hAnsi="宋体" w:eastAsia="宋体" w:cs="宋体"/>
          <w:color w:val="auto"/>
          <w:sz w:val="24"/>
          <w:szCs w:val="24"/>
          <w:highlight w:val="none"/>
        </w:rPr>
        <w:t>。</w:t>
      </w:r>
    </w:p>
    <w:p w14:paraId="286FA6A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七、</w:t>
      </w:r>
      <w:r>
        <w:rPr>
          <w:rFonts w:hint="eastAsia" w:ascii="宋体" w:hAnsi="宋体" w:eastAsia="宋体" w:cs="宋体"/>
          <w:b/>
          <w:color w:val="auto"/>
          <w:sz w:val="24"/>
          <w:szCs w:val="24"/>
          <w:highlight w:val="none"/>
        </w:rPr>
        <w:t>甲乙双方责任</w:t>
      </w:r>
    </w:p>
    <w:p w14:paraId="3C6AF3A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（一）甲方必须在合同期限内采购乙方中标商品，乙方按中标单价进行供货。</w:t>
      </w:r>
    </w:p>
    <w:p w14:paraId="247DE8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（二）乙方所供商品</w:t>
      </w:r>
      <w:r>
        <w:rPr>
          <w:rFonts w:hint="eastAsia" w:ascii="宋体" w:hAnsi="宋体" w:eastAsia="宋体" w:cs="宋体"/>
          <w:color w:val="auto"/>
          <w:sz w:val="24"/>
          <w:szCs w:val="24"/>
          <w:highlight w:val="none"/>
        </w:rPr>
        <w:t>应优质并符合中华人民共和国有关质量标准及卫生标准。</w:t>
      </w:r>
    </w:p>
    <w:p w14:paraId="51A751B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（三）乙方按甲方要求的数量、质量、时间分批次进行供货，响应时间应在24小时以内。</w:t>
      </w:r>
    </w:p>
    <w:p w14:paraId="3C0E994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（四）因乙方所送产品存在质量问题，造成相关部门处罚，由乙方承担。</w:t>
      </w:r>
    </w:p>
    <w:p w14:paraId="3F70905C">
      <w:pPr>
        <w:widowControl/>
        <w:shd w:val="clear" w:color="auto" w:fill="FFFFFF"/>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（五）乙方所送产品必须保证价格合理，并得到甲方认可。</w:t>
      </w:r>
    </w:p>
    <w:p w14:paraId="273CC5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在配送过程中，必须保持运输车辆卫生清洁，避免受到污染，若因此造成食源性中毒或其它后果的，一切责任和损失由乙方负责。乙方在运送过程中如发生交通事故等由乙方自己承担一切后果和经济损失，乙方驾驶员、押运员必须遵守监狱相关规定，不得与犯人接触、或帮助携带物品及钱物，不得带通讯工具入监等。一经发现，甲方有权单方面解除合同，并不予退还乙方履约保证金，造成法律后果的将移送司法机关追究法律责任。</w:t>
      </w:r>
    </w:p>
    <w:p w14:paraId="3181BE23">
      <w:pPr>
        <w:spacing w:line="360" w:lineRule="auto"/>
        <w:ind w:firstLine="360" w:firstLineChars="1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（七）乙方保证供货期间严格遵守甲方一切规章制度，对供货过程中涉及保密内容给予保密，保密义务在合同解除或终止后仍对乙方有效。</w:t>
      </w:r>
    </w:p>
    <w:p w14:paraId="635AC39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乙方保证所供货物不受第三方提出侵犯其权利、商标权等权利的起诉，否则由此产生的责任由乙方予以承担，甲方若因此承担责任或支付费用（包括应诉或起诉产生的诉讼费、律师费、公证费等费用）有权向乙方追偿。</w:t>
      </w:r>
    </w:p>
    <w:p w14:paraId="0DDE88E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在本合同履行期内，如果乙方有任何变更或变动（包括但不仅限于如法定代表人、开户银行、账户信息、办公地址、负责人及通讯方式等），乙方有义务在变更前书面通知甲方，否则视为乙方的信息未发生变动，由此造成乙方损失的由乙方自行承担，上述联系方式亦作为诉讼发生时的有效送达地址。</w:t>
      </w:r>
    </w:p>
    <w:p w14:paraId="2DC13B36">
      <w:pPr>
        <w:spacing w:line="360" w:lineRule="auto"/>
        <w:ind w:firstLine="472" w:firstLineChars="1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八、验收及验收标准</w:t>
      </w:r>
    </w:p>
    <w:p w14:paraId="7D4FD87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（一）严格按国家质量标准</w:t>
      </w:r>
      <w:r>
        <w:rPr>
          <w:rFonts w:hint="eastAsia" w:ascii="宋体" w:hAnsi="宋体" w:eastAsia="宋体" w:cs="宋体"/>
          <w:color w:val="auto"/>
          <w:sz w:val="24"/>
          <w:szCs w:val="24"/>
          <w:highlight w:val="none"/>
          <w:lang w:val="en-US" w:eastAsia="zh-CN"/>
        </w:rPr>
        <w:t>及甲方的订单要求</w:t>
      </w:r>
      <w:r>
        <w:rPr>
          <w:rFonts w:hint="eastAsia" w:ascii="宋体" w:hAnsi="宋体" w:eastAsia="宋体" w:cs="宋体"/>
          <w:color w:val="auto"/>
          <w:sz w:val="24"/>
          <w:szCs w:val="24"/>
          <w:highlight w:val="none"/>
        </w:rPr>
        <w:t>进行质保，供货时所供包装类产品剩余质保期不得低于产品本身质保期的2/3。乙方将货物送达指定地点后，甲方组织人员进行现场验收，对品种、规格、数量和质量不符合</w:t>
      </w:r>
      <w:r>
        <w:rPr>
          <w:rFonts w:hint="eastAsia" w:ascii="宋体" w:hAnsi="宋体" w:eastAsia="宋体" w:cs="宋体"/>
          <w:color w:val="auto"/>
          <w:sz w:val="24"/>
          <w:szCs w:val="24"/>
          <w:highlight w:val="none"/>
          <w:lang w:val="en-US" w:eastAsia="zh-CN"/>
        </w:rPr>
        <w:t>甲方订单</w:t>
      </w:r>
      <w:r>
        <w:rPr>
          <w:rFonts w:hint="eastAsia" w:ascii="宋体" w:hAnsi="宋体" w:eastAsia="宋体" w:cs="宋体"/>
          <w:color w:val="auto"/>
          <w:sz w:val="24"/>
          <w:szCs w:val="24"/>
          <w:highlight w:val="none"/>
        </w:rPr>
        <w:t>要求的，甲方有权拒收。甲乙双方当面点清，如发现商品数量与销售清单数量不符合，乙方须自行补足。</w:t>
      </w:r>
    </w:p>
    <w:p w14:paraId="08A9CC07">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（二）如有过保质期变质、假冒伪劣“三无”商品，乙方须接受甲方退货要求。</w:t>
      </w:r>
    </w:p>
    <w:p w14:paraId="68EFEE9B">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（三）甲方按商品品种、产地、商标及乙方提供的质检报告标准验收，标准件抽样，非标准件实测</w:t>
      </w:r>
      <w:r>
        <w:rPr>
          <w:rFonts w:hint="eastAsia" w:ascii="宋体" w:hAnsi="宋体" w:eastAsia="宋体" w:cs="宋体"/>
          <w:color w:val="auto"/>
          <w:sz w:val="24"/>
          <w:szCs w:val="24"/>
          <w:highlight w:val="none"/>
          <w:lang w:eastAsia="zh-CN"/>
        </w:rPr>
        <w:t>；</w:t>
      </w:r>
      <w:r>
        <w:rPr>
          <w:rFonts w:hint="eastAsia" w:ascii="宋体" w:hAnsi="宋体" w:eastAsia="宋体" w:cs="宋体"/>
          <w:color w:val="FF0000"/>
          <w:sz w:val="24"/>
          <w:szCs w:val="24"/>
          <w:highlight w:val="none"/>
          <w:lang w:val="en-US" w:eastAsia="zh-CN"/>
        </w:rPr>
        <w:t>乙方每次需提供该批次货物的相关检验检测报告、农残检验凭证</w:t>
      </w:r>
      <w:r>
        <w:rPr>
          <w:rFonts w:hint="eastAsia" w:ascii="宋体" w:hAnsi="宋体" w:eastAsia="宋体" w:cs="宋体"/>
          <w:color w:val="auto"/>
          <w:sz w:val="24"/>
          <w:szCs w:val="24"/>
          <w:highlight w:val="none"/>
        </w:rPr>
        <w:t>。</w:t>
      </w:r>
    </w:p>
    <w:p w14:paraId="2029A8A6">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九、结算方式</w:t>
      </w:r>
    </w:p>
    <w:p w14:paraId="69FB0BF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（一）最终结算以乙方</w:t>
      </w:r>
      <w:r>
        <w:rPr>
          <w:rFonts w:hint="eastAsia" w:ascii="宋体" w:hAnsi="宋体" w:eastAsia="宋体" w:cs="宋体"/>
          <w:bCs/>
          <w:color w:val="auto"/>
          <w:sz w:val="24"/>
          <w:szCs w:val="24"/>
          <w:highlight w:val="none"/>
          <w:lang w:eastAsia="zh-CN"/>
        </w:rPr>
        <w:t>中标</w:t>
      </w:r>
      <w:r>
        <w:rPr>
          <w:rFonts w:hint="eastAsia" w:ascii="宋体" w:hAnsi="宋体" w:eastAsia="宋体" w:cs="宋体"/>
          <w:bCs/>
          <w:color w:val="auto"/>
          <w:sz w:val="24"/>
          <w:szCs w:val="24"/>
          <w:highlight w:val="none"/>
        </w:rPr>
        <w:t>单价×实际供货量进行结算，在不超</w:t>
      </w:r>
      <w:r>
        <w:rPr>
          <w:rFonts w:hint="eastAsia" w:ascii="宋体" w:hAnsi="宋体" w:eastAsia="宋体" w:cs="宋体"/>
          <w:bCs/>
          <w:color w:val="auto"/>
          <w:sz w:val="24"/>
          <w:szCs w:val="24"/>
          <w:highlight w:val="none"/>
          <w:lang w:eastAsia="zh-CN"/>
        </w:rPr>
        <w:t>合同总价</w:t>
      </w:r>
      <w:r>
        <w:rPr>
          <w:rFonts w:hint="eastAsia" w:ascii="宋体" w:hAnsi="宋体" w:eastAsia="宋体" w:cs="宋体"/>
          <w:bCs/>
          <w:color w:val="auto"/>
          <w:sz w:val="24"/>
          <w:szCs w:val="24"/>
          <w:highlight w:val="none"/>
        </w:rPr>
        <w:t>的情况下按实际发生量结算。在合同执行期间货物价格不做调整。</w:t>
      </w:r>
    </w:p>
    <w:p w14:paraId="65C4885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付款方式：据实支付，甲、乙双方根据实际情况，在供货产品验收及使用合格后采用按月结算，每月由乙方按照验收结算情况提供足额发票，经甲方核对无误后，由甲方在一个月内对公转账支付给乙方。乙方未向甲方出具合法有效发票的，甲方支付时间予以顺延</w:t>
      </w:r>
      <w:r>
        <w:rPr>
          <w:rFonts w:hint="eastAsia" w:ascii="宋体" w:hAnsi="宋体" w:eastAsia="宋体" w:cs="宋体"/>
          <w:bCs/>
          <w:color w:val="auto"/>
          <w:sz w:val="24"/>
          <w:szCs w:val="24"/>
          <w:highlight w:val="none"/>
          <w:lang w:val="en-US" w:eastAsia="zh-CN"/>
        </w:rPr>
        <w:t>且不承担任何违约责任</w:t>
      </w:r>
      <w:r>
        <w:rPr>
          <w:rFonts w:hint="eastAsia" w:ascii="宋体" w:hAnsi="宋体" w:eastAsia="宋体" w:cs="宋体"/>
          <w:bCs/>
          <w:color w:val="auto"/>
          <w:sz w:val="24"/>
          <w:szCs w:val="24"/>
          <w:highlight w:val="none"/>
        </w:rPr>
        <w:t>。</w:t>
      </w:r>
    </w:p>
    <w:p w14:paraId="3183660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（三）甲方付款时，将相关款项直接付至乙方的如下账户内：</w:t>
      </w:r>
    </w:p>
    <w:p w14:paraId="40036038">
      <w:pPr>
        <w:spacing w:line="360" w:lineRule="auto"/>
        <w:ind w:firstLine="480" w:firstLineChars="200"/>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账户名称：</w:t>
      </w:r>
      <w:r>
        <w:rPr>
          <w:rFonts w:hint="eastAsia" w:ascii="宋体" w:hAnsi="宋体" w:eastAsia="宋体" w:cs="宋体"/>
          <w:bCs/>
          <w:color w:val="auto"/>
          <w:sz w:val="24"/>
          <w:szCs w:val="24"/>
          <w:highlight w:val="none"/>
          <w:u w:val="single"/>
          <w:lang w:val="en-US" w:eastAsia="zh-CN"/>
        </w:rPr>
        <w:t xml:space="preserve">                </w:t>
      </w:r>
    </w:p>
    <w:p w14:paraId="5E04D5F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开户行：</w:t>
      </w:r>
      <w:r>
        <w:rPr>
          <w:rFonts w:hint="eastAsia" w:ascii="宋体" w:hAnsi="宋体" w:eastAsia="宋体" w:cs="宋体"/>
          <w:bCs/>
          <w:color w:val="auto"/>
          <w:sz w:val="24"/>
          <w:szCs w:val="24"/>
          <w:highlight w:val="none"/>
          <w:u w:val="single"/>
          <w:lang w:val="en-US" w:eastAsia="zh-CN"/>
        </w:rPr>
        <w:t xml:space="preserve">                </w:t>
      </w:r>
    </w:p>
    <w:p w14:paraId="078EA80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  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p>
    <w:p w14:paraId="321B93C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如乙方更换前述收款账户信息的应当在甲方付款前15日内书面通知甲方，否则，由此造成的后果由乙方自行承担，造成甲方损失的，甲方有权要求乙方赔偿损失。</w:t>
      </w:r>
    </w:p>
    <w:p w14:paraId="0DBE3F3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（四）甲方的开票信息如下：</w:t>
      </w:r>
    </w:p>
    <w:p w14:paraId="5024EF7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名称：云南省建水监狱</w:t>
      </w:r>
    </w:p>
    <w:p w14:paraId="1B6D808D">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地址：建水县工业大道466号</w:t>
      </w:r>
    </w:p>
    <w:p w14:paraId="7231C88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开户银行：建行建水县支行</w:t>
      </w:r>
    </w:p>
    <w:p w14:paraId="2244239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账户信息：53001666536050053402</w:t>
      </w:r>
    </w:p>
    <w:p w14:paraId="35B4DB4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联系电话：0873-3182367</w:t>
      </w:r>
    </w:p>
    <w:p w14:paraId="5010B83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乙方开票前有义务询问甲方开票信息有无变动，若甲方变更开票信息的，应当通知乙方，若通知前已经开票但甲方因开票信息变动不能使用的，乙方作废票处理，由此可能产生的任何费用与责任与甲方无关。</w:t>
      </w:r>
    </w:p>
    <w:p w14:paraId="512DD4FE">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十、履约保证金：</w:t>
      </w:r>
    </w:p>
    <w:p w14:paraId="386C824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w:t>
      </w:r>
      <w:r>
        <w:rPr>
          <w:rFonts w:hint="eastAsia" w:ascii="宋体" w:hAnsi="宋体" w:eastAsia="宋体" w:cs="宋体"/>
          <w:bCs/>
          <w:color w:val="auto"/>
          <w:sz w:val="24"/>
          <w:szCs w:val="24"/>
          <w:highlight w:val="none"/>
          <w:lang w:eastAsia="zh-CN"/>
        </w:rPr>
        <w:t>合同</w:t>
      </w:r>
      <w:r>
        <w:rPr>
          <w:rFonts w:hint="eastAsia" w:ascii="宋体" w:hAnsi="宋体" w:eastAsia="宋体" w:cs="宋体"/>
          <w:bCs/>
          <w:color w:val="auto"/>
          <w:sz w:val="24"/>
          <w:szCs w:val="24"/>
          <w:highlight w:val="none"/>
        </w:rPr>
        <w:t>总金额的5%（金额：¥</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元，大写：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）提交，由乙方在与甲方签订合同3天前向甲方缴纳履约保证金；若在供货服务过程中没出现质量问题，也无任何违约行为的，在服务期结束后经乙方向甲方提交书面申请，甲方收到确认无误后一次性无息退还。</w:t>
      </w:r>
    </w:p>
    <w:p w14:paraId="2F7C0880">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十一、履约保证金扣除：</w:t>
      </w:r>
    </w:p>
    <w:p w14:paraId="7676C9D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（1）供应货物品种、规格或质量与合同</w:t>
      </w:r>
      <w:r>
        <w:rPr>
          <w:rFonts w:hint="eastAsia" w:ascii="宋体" w:hAnsi="宋体" w:eastAsia="宋体" w:cs="宋体"/>
          <w:bCs/>
          <w:color w:val="auto"/>
          <w:sz w:val="24"/>
          <w:szCs w:val="24"/>
          <w:highlight w:val="none"/>
          <w:lang w:val="en-US" w:eastAsia="zh-CN"/>
        </w:rPr>
        <w:t>或甲方订单</w:t>
      </w:r>
      <w:r>
        <w:rPr>
          <w:rFonts w:hint="eastAsia" w:ascii="宋体" w:hAnsi="宋体" w:eastAsia="宋体" w:cs="宋体"/>
          <w:bCs/>
          <w:color w:val="auto"/>
          <w:sz w:val="24"/>
          <w:szCs w:val="24"/>
          <w:highlight w:val="none"/>
        </w:rPr>
        <w:t>不符的，甲方每次扣除5%的履约保证金，扣除的履约保证金不足以弥补甲方损失的，甲方有权继续追偿。</w:t>
      </w:r>
    </w:p>
    <w:p w14:paraId="4103762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因乙方供应货物时间、数量、质量等原因引起物资短缺，且未提供其他同类物资代替，造成罪犯伙食无法按时供应的，甲方有权自行委托第三方进行紧急供货，甲方将扣除乙方20%的履约保证金，扣除的履约保证金不足以弥补甲方损失的，甲方有权继续追偿。</w:t>
      </w:r>
    </w:p>
    <w:p w14:paraId="0038C75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（3）乙方的工作人员不遵守监狱各项管理规定，或泄漏监狱内部情况的，甲方每次扣除20%的履约保证金，造成社会不良影响的，甲方每次扣除50%的履约保证金。</w:t>
      </w:r>
    </w:p>
    <w:p w14:paraId="12C3F9A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其他乙方应支付的违约金、费用等甲方均有权从履约保证金中扣除，如在合同执行期间因乙方违约导致履约保证金部分扣除，乙方需在五个工作日内将扣除的履约保证金补齐，否则，每逾期一天，按履约保证金总额的万分之三向甲方支付违约金，违约金不足以弥补甲方损失的，甲方有权继续追偿。</w:t>
      </w:r>
    </w:p>
    <w:p w14:paraId="209A8B87">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（5）如乙方在合同执行过程中单方面终止合同的，履约保证金不退还。</w:t>
      </w:r>
    </w:p>
    <w:p w14:paraId="4B6D6616">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十二、违约责任</w:t>
      </w:r>
    </w:p>
    <w:p w14:paraId="05C7CB6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乙方保证按甲方要求的品种、规格、数量、时间和地点按质按量送货。在供货过程中，若乙方以各种理由进行推诿造成供货不及时的，应向甲方承担逾期交货的违约责任，每逾期一天，按合同金额的万分之五向甲方支付违约金，违约金不足以弥补甲方损失的，甲方有权继续追偿。逾期超过</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天仍未完成供货的或类似情形在合同期限内出现</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次的，甲方有权单方面解除合同，且不退还乙方的履约保证金。</w:t>
      </w:r>
    </w:p>
    <w:p w14:paraId="3FD191C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按甲方要求分批次供货，在接到甲方供货需求双方确认供货物品及数量后2日内，将本批次供货物品送至甲方指定地点，紧急货物在24小时内送达，若违反每次应向甲方支付2000.00元的违约金并承担一切责任，违约金不足以弥补甲方损失的，甲方有权继续追偿；逾期供货三次以上的，甲方有权</w:t>
      </w:r>
      <w:r>
        <w:rPr>
          <w:rFonts w:hint="eastAsia" w:ascii="宋体" w:hAnsi="宋体" w:eastAsia="宋体" w:cs="宋体"/>
          <w:bCs/>
          <w:color w:val="auto"/>
          <w:sz w:val="24"/>
          <w:szCs w:val="24"/>
          <w:highlight w:val="none"/>
          <w:lang w:val="en-US" w:eastAsia="zh-CN"/>
        </w:rPr>
        <w:t>没收全部</w:t>
      </w:r>
      <w:r>
        <w:rPr>
          <w:rFonts w:hint="eastAsia" w:ascii="宋体" w:hAnsi="宋体" w:eastAsia="宋体" w:cs="宋体"/>
          <w:bCs/>
          <w:color w:val="auto"/>
          <w:sz w:val="24"/>
          <w:szCs w:val="24"/>
          <w:highlight w:val="none"/>
        </w:rPr>
        <w:t>履约保证金并有权解除合同。</w:t>
      </w:r>
    </w:p>
    <w:p w14:paraId="6A4A84CE">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三）若乙方所供货中存在有不符合国家质量标准，没有产品检验合格证书及每批次的检验报告且证照不齐全，或属国家明令禁止的产品和物品（无商标、无出产日期、无厂名的假冒伪劣商品，国家淘汰的产品）的，乙方除接受无条件退换外，甲方有权单方面终止合同，并不予退还乙方履约保证金</w:t>
      </w:r>
      <w:r>
        <w:rPr>
          <w:rFonts w:hint="eastAsia" w:ascii="宋体" w:hAnsi="宋体" w:eastAsia="宋体" w:cs="宋体"/>
          <w:b/>
          <w:color w:val="auto"/>
          <w:sz w:val="24"/>
          <w:szCs w:val="24"/>
          <w:highlight w:val="none"/>
        </w:rPr>
        <w:t>。</w:t>
      </w:r>
    </w:p>
    <w:p w14:paraId="7600D4F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（四）甲方对乙方提供的积压、临期、破损、超过有效使用期或保质期不足标准的商品，或有其他质量问题的商品</w:t>
      </w:r>
      <w:r>
        <w:rPr>
          <w:rFonts w:hint="eastAsia" w:ascii="宋体" w:hAnsi="宋体" w:eastAsia="宋体" w:cs="宋体"/>
          <w:color w:val="auto"/>
          <w:sz w:val="24"/>
          <w:szCs w:val="24"/>
          <w:highlight w:val="none"/>
        </w:rPr>
        <w:t>如发霉、变质、生虫、污秽、混有异物或者其他感官性状异常的</w:t>
      </w:r>
      <w:r>
        <w:rPr>
          <w:rFonts w:hint="eastAsia" w:ascii="宋体" w:hAnsi="宋体" w:eastAsia="宋体" w:cs="宋体"/>
          <w:bCs/>
          <w:color w:val="auto"/>
          <w:sz w:val="24"/>
          <w:szCs w:val="24"/>
          <w:highlight w:val="none"/>
        </w:rPr>
        <w:t>，甲方可以拒收，乙方无条件进行退换、补足，应向甲方支付每次10000.00元违约金并承担全部责任，造成的损失由乙方全部承担。</w:t>
      </w:r>
    </w:p>
    <w:p w14:paraId="753F35B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乙方提供商品经甲方初步检测不合格，通过地方质量检测部门检测仍认定为不合格商品的，甲方</w:t>
      </w:r>
      <w:r>
        <w:rPr>
          <w:rFonts w:hint="eastAsia" w:ascii="宋体" w:hAnsi="宋体" w:eastAsia="宋体" w:cs="宋体"/>
          <w:bCs/>
          <w:color w:val="auto"/>
          <w:sz w:val="24"/>
          <w:szCs w:val="24"/>
          <w:highlight w:val="none"/>
        </w:rPr>
        <w:t>有权单方面终止合同，并不予退还乙方履约保证金，</w:t>
      </w:r>
      <w:r>
        <w:rPr>
          <w:rFonts w:hint="eastAsia" w:ascii="宋体" w:hAnsi="宋体" w:eastAsia="宋体" w:cs="宋体"/>
          <w:color w:val="auto"/>
          <w:sz w:val="24"/>
          <w:szCs w:val="24"/>
          <w:highlight w:val="none"/>
        </w:rPr>
        <w:t>乙方必须接受甲方退货要求；导致不良后果的，追究乙方的法律责任。</w:t>
      </w:r>
    </w:p>
    <w:p w14:paraId="5A305DC2">
      <w:pPr>
        <w:spacing w:line="360" w:lineRule="auto"/>
        <w:ind w:firstLine="480" w:firstLineChars="200"/>
        <w:rPr>
          <w:rFonts w:hint="eastAsia" w:ascii="宋体" w:hAnsi="宋体" w:eastAsia="宋体" w:cs="宋体"/>
          <w:bCs/>
          <w:color w:val="auto"/>
          <w:sz w:val="24"/>
          <w:szCs w:val="24"/>
          <w:highlight w:val="none"/>
        </w:rPr>
      </w:pPr>
      <w:bookmarkStart w:id="282" w:name="_Hlk123627507"/>
      <w:r>
        <w:rPr>
          <w:rFonts w:hint="eastAsia" w:ascii="宋体" w:hAnsi="宋体" w:eastAsia="宋体" w:cs="宋体"/>
          <w:bCs/>
          <w:color w:val="auto"/>
          <w:sz w:val="24"/>
          <w:szCs w:val="24"/>
          <w:highlight w:val="none"/>
        </w:rPr>
        <w:t>（五）乙方配送人员自觉配合甲方进行产品验收工作，无条件服从甲方产品验收管理规定，甲方组织人员进行现场验收，对品种、规格、数量和质量等不符合要求的，甲方有权拒收，乙方对未通过验收的商品无条件退换、补足，并向甲方支付10000.00元的违约金。</w:t>
      </w:r>
    </w:p>
    <w:p w14:paraId="1C7DD94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乙方超过贰次（含贰次）提供的货物不符合甲方要求的质量或数量的或者未能在甲方指定地的期限及地点内更换符合要求的货物的，甲方有权解除本合同，并要求乙方赔偿由此给甲方带来的一切直接或间接损失（损失包括不限于甲方因本项目而支出的招标成本等有关成本，以及为追索赔偿而支出的诉讼费、律师费、保全费、担保费等各项成本）。</w:t>
      </w:r>
    </w:p>
    <w:p w14:paraId="2BEC669E">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（七）甲方罪犯如因食用乙方所供货物后导致发生食物中毒，或造成不良后果的，经有关单位鉴定原因属实后，乙方应承担全部责任，包括承担全部医药费、赔偿损失、费用等。</w:t>
      </w:r>
    </w:p>
    <w:bookmarkEnd w:id="282"/>
    <w:p w14:paraId="3AAB3A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（八）甲方有权拒付合同价以外的任何费用；乙方有权拒绝合同整体范围以外的条件。</w:t>
      </w:r>
    </w:p>
    <w:p w14:paraId="465CF1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（九）乙方如应承担经济法律责任，不受本合同期限制约。</w:t>
      </w:r>
    </w:p>
    <w:p w14:paraId="0D950A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（十）乙方未能按照甲方要求按质按量向甲方供货的，在接到甲方通知所供货物存在质量问题的通知之日起2日内承担补足或更换货物的责任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产生的相关费用及损失由乙方承担</w:t>
      </w:r>
      <w:r>
        <w:rPr>
          <w:rFonts w:hint="eastAsia" w:ascii="宋体" w:hAnsi="宋体" w:eastAsia="宋体" w:cs="宋体"/>
          <w:color w:val="auto"/>
          <w:sz w:val="24"/>
          <w:szCs w:val="24"/>
          <w:highlight w:val="none"/>
        </w:rPr>
        <w:t>。</w:t>
      </w:r>
    </w:p>
    <w:p w14:paraId="455D7CA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（十一）乙方违约给甲方造成的</w:t>
      </w:r>
      <w:r>
        <w:rPr>
          <w:rFonts w:hint="eastAsia" w:ascii="宋体" w:hAnsi="宋体" w:eastAsia="宋体" w:cs="宋体"/>
          <w:bCs/>
          <w:color w:val="auto"/>
          <w:sz w:val="24"/>
          <w:szCs w:val="24"/>
          <w:highlight w:val="none"/>
        </w:rPr>
        <w:t>损失包括不限于甲方因本项目而支出的招标成本等有关成本，以及为追索赔偿而支出的诉讼费、律师费、保全费、担保费、鉴定费、公告费等各项成本。</w:t>
      </w:r>
    </w:p>
    <w:p w14:paraId="59BCC66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本合同项下乙方应当承担的违约金等费用甲方有权从未付货款或保证金中予以扣除，若从保证金中予以扣除的，乙方应当自甲方通知扣除之日起10日内补足保证金，逾期未补足的，保证金予以没收。未付货款或保证金不足扣除的，甲方还有权继续要求乙方承担支付责任。</w:t>
      </w:r>
    </w:p>
    <w:p w14:paraId="2108DAD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其他违约责任双方另有约定的按照相关约定执行，没有约定的按照《中华人民共和国民法典》的相关规定执行。</w:t>
      </w:r>
    </w:p>
    <w:p w14:paraId="5ED6E557">
      <w:pPr>
        <w:spacing w:line="360" w:lineRule="auto"/>
        <w:ind w:firstLine="472" w:firstLineChars="19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十三、未尽事宜，双方协商解决</w:t>
      </w:r>
    </w:p>
    <w:p w14:paraId="434286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（一）在一方没有违约的情况下，另一方提出解除本合同的，应当提前15天以书面形式通知对方，如双方达成一致，合同自双方协商确定的日期解除。因一方违约导致解除合同的，由违约方承担违约责任。</w:t>
      </w:r>
    </w:p>
    <w:p w14:paraId="2D1CC03A">
      <w:pPr>
        <w:spacing w:line="360" w:lineRule="auto"/>
        <w:ind w:firstLine="480" w:firstLineChars="200"/>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二）因本合同发生争议，双方友好协商解决，协商不成的，双方均可向甲方所在地人民法院起诉。本协议签章处约定的联系方式及地址即为联系往来及争议解决时人民法院的法律文书送达地址，电子送达与书面送达具有同等法律效力。双方的文件及人民法院的诉讼文书（含裁判文书）向任何一方的地址或电子通信终端送达的，视为有效送达；因载明的地址有误或未及时告知变更后的地址等原因，导致相关文书及诉讼文书未能实际被接收的、邮寄送达的，相关文书及诉讼文书退回之日即视为送达之日。</w:t>
      </w:r>
    </w:p>
    <w:p w14:paraId="7999E974">
      <w:pPr>
        <w:spacing w:line="360" w:lineRule="auto"/>
        <w:ind w:firstLine="480" w:firstLineChars="200"/>
        <w:rPr>
          <w:rFonts w:hint="eastAsia" w:ascii="宋体" w:hAnsi="宋体" w:eastAsia="宋体" w:cs="宋体"/>
          <w:b/>
          <w:color w:val="auto"/>
          <w:sz w:val="24"/>
          <w:szCs w:val="24"/>
          <w:highlight w:val="none"/>
        </w:rPr>
      </w:pPr>
      <w:bookmarkStart w:id="283" w:name="_Hlk123627602"/>
      <w:r>
        <w:rPr>
          <w:rFonts w:hint="eastAsia" w:ascii="宋体" w:hAnsi="宋体" w:eastAsia="宋体" w:cs="宋体"/>
          <w:color w:val="auto"/>
          <w:kern w:val="0"/>
          <w:sz w:val="24"/>
          <w:szCs w:val="24"/>
          <w:highlight w:val="none"/>
          <w:shd w:val="clear" w:color="auto" w:fill="FFFFFF"/>
        </w:rPr>
        <w:t>违约方需承担守约方为实现债权支持的必要费用，包括但不限于诉讼费、律师费、保全费、保全担保费、评估费、鉴定费费用。</w:t>
      </w:r>
    </w:p>
    <w:bookmarkEnd w:id="283"/>
    <w:p w14:paraId="532484EC">
      <w:pPr>
        <w:widowControl/>
        <w:shd w:val="clear" w:color="auto" w:fill="FFFFFF"/>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rPr>
        <w:t>十四、</w:t>
      </w:r>
      <w:r>
        <w:rPr>
          <w:rFonts w:hint="eastAsia" w:ascii="宋体" w:hAnsi="宋体" w:eastAsia="宋体" w:cs="宋体"/>
          <w:color w:val="auto"/>
          <w:kern w:val="0"/>
          <w:sz w:val="24"/>
          <w:szCs w:val="24"/>
          <w:highlight w:val="none"/>
          <w:shd w:val="clear" w:color="auto" w:fill="FFFFFF"/>
        </w:rPr>
        <w:t>本合同壹式</w:t>
      </w:r>
      <w:r>
        <w:rPr>
          <w:rFonts w:hint="eastAsia" w:ascii="宋体" w:hAnsi="宋体" w:eastAsia="宋体" w:cs="宋体"/>
          <w:color w:val="auto"/>
          <w:kern w:val="0"/>
          <w:sz w:val="24"/>
          <w:szCs w:val="24"/>
          <w:highlight w:val="none"/>
          <w:shd w:val="clear" w:color="auto" w:fill="FFFFFF"/>
          <w:lang w:val="en-US" w:eastAsia="zh-CN"/>
        </w:rPr>
        <w:t>陆</w:t>
      </w:r>
      <w:r>
        <w:rPr>
          <w:rFonts w:hint="eastAsia" w:ascii="宋体" w:hAnsi="宋体" w:eastAsia="宋体" w:cs="宋体"/>
          <w:color w:val="auto"/>
          <w:kern w:val="0"/>
          <w:sz w:val="24"/>
          <w:szCs w:val="24"/>
          <w:highlight w:val="none"/>
          <w:shd w:val="clear" w:color="auto" w:fill="FFFFFF"/>
        </w:rPr>
        <w:t>份，甲方肆份，乙方贰份，均具有同等法律效力，经甲乙双方法定代表人或者授权代理人签字，且加盖单位公章或合同专用章后生效。</w:t>
      </w:r>
    </w:p>
    <w:p w14:paraId="2DB0977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十五、本合同不可分割之部分：</w:t>
      </w:r>
    </w:p>
    <w:p w14:paraId="02529EB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w:t>
      </w:r>
    </w:p>
    <w:p w14:paraId="1E6409A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2、中标单位（乙方）的投标文件及其澄清文件（若有）；</w:t>
      </w:r>
    </w:p>
    <w:p w14:paraId="67F7BA8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3、《中标通知书》；</w:t>
      </w:r>
    </w:p>
    <w:p w14:paraId="6F8BB1C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4、合同书附件。 </w:t>
      </w:r>
    </w:p>
    <w:p w14:paraId="415FF7E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上述文件对同一事项的约定有矛盾之处的，以成立时间在后的约定为准</w:t>
      </w:r>
      <w:r>
        <w:rPr>
          <w:rFonts w:hint="eastAsia" w:ascii="宋体" w:hAnsi="宋体" w:eastAsia="宋体" w:cs="宋体"/>
          <w:color w:val="auto"/>
          <w:sz w:val="24"/>
          <w:szCs w:val="24"/>
          <w:highlight w:val="none"/>
          <w:lang w:eastAsia="zh-CN"/>
        </w:rPr>
        <w:t>。</w:t>
      </w:r>
    </w:p>
    <w:p w14:paraId="41255178">
      <w:pPr>
        <w:spacing w:line="360" w:lineRule="auto"/>
        <w:ind w:firstLine="480" w:firstLineChars="200"/>
        <w:rPr>
          <w:rFonts w:hint="eastAsia" w:ascii="宋体" w:hAnsi="宋体" w:eastAsia="宋体" w:cs="宋体"/>
          <w:color w:val="auto"/>
          <w:sz w:val="24"/>
          <w:szCs w:val="24"/>
          <w:highlight w:val="none"/>
        </w:rPr>
      </w:pPr>
    </w:p>
    <w:p w14:paraId="285C49E9">
      <w:pPr>
        <w:spacing w:line="360" w:lineRule="auto"/>
        <w:ind w:firstLine="480" w:firstLineChars="200"/>
        <w:rPr>
          <w:rFonts w:hint="eastAsia" w:ascii="宋体" w:hAnsi="宋体" w:eastAsia="宋体" w:cs="宋体"/>
          <w:color w:val="auto"/>
          <w:sz w:val="24"/>
          <w:szCs w:val="24"/>
          <w:highlight w:val="none"/>
        </w:rPr>
      </w:pPr>
    </w:p>
    <w:p w14:paraId="73C9786D">
      <w:pPr>
        <w:spacing w:line="360" w:lineRule="auto"/>
        <w:ind w:firstLine="480" w:firstLineChars="200"/>
        <w:rPr>
          <w:rFonts w:hint="eastAsia" w:ascii="宋体" w:hAnsi="宋体" w:eastAsia="宋体" w:cs="宋体"/>
          <w:color w:val="auto"/>
          <w:sz w:val="24"/>
          <w:szCs w:val="24"/>
          <w:highlight w:val="none"/>
        </w:rPr>
      </w:pPr>
    </w:p>
    <w:p w14:paraId="173E12C4">
      <w:pPr>
        <w:spacing w:line="360" w:lineRule="auto"/>
        <w:ind w:firstLine="480" w:firstLineChars="200"/>
        <w:rPr>
          <w:rFonts w:hint="eastAsia" w:ascii="宋体" w:hAnsi="宋体" w:eastAsia="宋体" w:cs="宋体"/>
          <w:color w:val="auto"/>
          <w:sz w:val="24"/>
          <w:szCs w:val="24"/>
          <w:highlight w:val="none"/>
        </w:rPr>
      </w:pPr>
    </w:p>
    <w:p w14:paraId="5266FFD1">
      <w:pPr>
        <w:spacing w:line="360" w:lineRule="auto"/>
        <w:ind w:firstLine="480" w:firstLineChars="200"/>
        <w:rPr>
          <w:rFonts w:hint="eastAsia" w:ascii="宋体" w:hAnsi="宋体" w:eastAsia="宋体" w:cs="宋体"/>
          <w:color w:val="auto"/>
          <w:sz w:val="24"/>
          <w:szCs w:val="24"/>
          <w:highlight w:val="none"/>
        </w:rPr>
      </w:pPr>
    </w:p>
    <w:p w14:paraId="62B6E412">
      <w:pPr>
        <w:spacing w:line="360" w:lineRule="auto"/>
        <w:ind w:firstLine="480" w:firstLineChars="200"/>
        <w:rPr>
          <w:rFonts w:hint="eastAsia" w:ascii="宋体" w:hAnsi="宋体" w:eastAsia="宋体" w:cs="宋体"/>
          <w:color w:val="auto"/>
          <w:sz w:val="24"/>
          <w:szCs w:val="24"/>
          <w:highlight w:val="none"/>
        </w:rPr>
      </w:pPr>
    </w:p>
    <w:p w14:paraId="0A001C86">
      <w:pPr>
        <w:spacing w:line="360" w:lineRule="auto"/>
        <w:ind w:firstLine="480" w:firstLineChars="200"/>
        <w:rPr>
          <w:rFonts w:hint="eastAsia" w:ascii="宋体" w:hAnsi="宋体" w:eastAsia="宋体" w:cs="宋体"/>
          <w:color w:val="auto"/>
          <w:sz w:val="24"/>
          <w:szCs w:val="24"/>
          <w:highlight w:val="none"/>
        </w:rPr>
      </w:pPr>
    </w:p>
    <w:p w14:paraId="0DCF1C02">
      <w:pPr>
        <w:spacing w:line="360" w:lineRule="auto"/>
        <w:ind w:firstLine="480" w:firstLineChars="200"/>
        <w:rPr>
          <w:rFonts w:hint="eastAsia" w:ascii="宋体" w:hAnsi="宋体" w:eastAsia="宋体" w:cs="宋体"/>
          <w:color w:val="auto"/>
          <w:sz w:val="24"/>
          <w:szCs w:val="24"/>
          <w:highlight w:val="none"/>
        </w:rPr>
      </w:pPr>
    </w:p>
    <w:p w14:paraId="436AA3B0">
      <w:pPr>
        <w:spacing w:line="360" w:lineRule="auto"/>
        <w:ind w:firstLine="480" w:firstLineChars="200"/>
        <w:rPr>
          <w:rFonts w:hint="eastAsia" w:ascii="宋体" w:hAnsi="宋体" w:eastAsia="宋体" w:cs="宋体"/>
          <w:color w:val="auto"/>
          <w:sz w:val="24"/>
          <w:szCs w:val="24"/>
          <w:highlight w:val="none"/>
        </w:rPr>
      </w:pPr>
    </w:p>
    <w:p w14:paraId="23940553">
      <w:pPr>
        <w:spacing w:line="360" w:lineRule="auto"/>
        <w:ind w:firstLine="480" w:firstLineChars="200"/>
        <w:rPr>
          <w:rFonts w:hint="eastAsia" w:ascii="宋体" w:hAnsi="宋体" w:eastAsia="宋体" w:cs="宋体"/>
          <w:color w:val="auto"/>
          <w:sz w:val="24"/>
          <w:szCs w:val="24"/>
          <w:highlight w:val="none"/>
        </w:rPr>
      </w:pPr>
    </w:p>
    <w:p w14:paraId="2A309445">
      <w:pPr>
        <w:spacing w:line="360" w:lineRule="auto"/>
        <w:ind w:firstLine="480" w:firstLineChars="200"/>
        <w:rPr>
          <w:rFonts w:hint="eastAsia" w:ascii="宋体" w:hAnsi="宋体" w:eastAsia="宋体" w:cs="宋体"/>
          <w:color w:val="auto"/>
          <w:sz w:val="24"/>
          <w:szCs w:val="24"/>
          <w:highlight w:val="none"/>
        </w:rPr>
      </w:pPr>
    </w:p>
    <w:p w14:paraId="22B2043F">
      <w:pPr>
        <w:spacing w:line="360" w:lineRule="auto"/>
        <w:ind w:firstLine="480" w:firstLineChars="200"/>
        <w:rPr>
          <w:rFonts w:hint="eastAsia" w:ascii="宋体" w:hAnsi="宋体" w:eastAsia="宋体" w:cs="宋体"/>
          <w:color w:val="auto"/>
          <w:sz w:val="24"/>
          <w:szCs w:val="24"/>
          <w:highlight w:val="none"/>
        </w:rPr>
      </w:pPr>
    </w:p>
    <w:p w14:paraId="01F269B6">
      <w:pPr>
        <w:spacing w:line="360" w:lineRule="auto"/>
        <w:ind w:firstLine="480" w:firstLineChars="200"/>
        <w:rPr>
          <w:rFonts w:hint="eastAsia" w:ascii="宋体" w:hAnsi="宋体" w:eastAsia="宋体" w:cs="宋体"/>
          <w:color w:val="auto"/>
          <w:sz w:val="24"/>
          <w:szCs w:val="24"/>
          <w:highlight w:val="none"/>
        </w:rPr>
      </w:pPr>
    </w:p>
    <w:p w14:paraId="2F4E4566">
      <w:pPr>
        <w:spacing w:line="360" w:lineRule="auto"/>
        <w:ind w:firstLine="480" w:firstLineChars="200"/>
        <w:rPr>
          <w:rFonts w:hint="eastAsia" w:ascii="宋体" w:hAnsi="宋体" w:eastAsia="宋体" w:cs="宋体"/>
          <w:color w:val="auto"/>
          <w:sz w:val="24"/>
          <w:szCs w:val="24"/>
          <w:highlight w:val="none"/>
        </w:rPr>
      </w:pPr>
    </w:p>
    <w:p w14:paraId="640C60CD">
      <w:pPr>
        <w:spacing w:line="360" w:lineRule="auto"/>
        <w:ind w:firstLine="480" w:firstLineChars="200"/>
        <w:rPr>
          <w:rFonts w:hint="eastAsia" w:ascii="宋体" w:hAnsi="宋体" w:eastAsia="宋体" w:cs="宋体"/>
          <w:color w:val="auto"/>
          <w:sz w:val="24"/>
          <w:szCs w:val="24"/>
          <w:highlight w:val="none"/>
        </w:rPr>
      </w:pPr>
    </w:p>
    <w:p w14:paraId="26B36244">
      <w:pPr>
        <w:spacing w:line="360" w:lineRule="auto"/>
        <w:ind w:firstLine="480" w:firstLineChars="200"/>
        <w:rPr>
          <w:rFonts w:hint="eastAsia" w:ascii="宋体" w:hAnsi="宋体" w:eastAsia="宋体" w:cs="宋体"/>
          <w:color w:val="auto"/>
          <w:sz w:val="24"/>
          <w:szCs w:val="24"/>
          <w:highlight w:val="none"/>
        </w:rPr>
      </w:pPr>
    </w:p>
    <w:p w14:paraId="3C724659">
      <w:pPr>
        <w:spacing w:line="360" w:lineRule="auto"/>
        <w:ind w:firstLine="480" w:firstLineChars="200"/>
        <w:rPr>
          <w:rFonts w:hint="eastAsia" w:ascii="宋体" w:hAnsi="宋体" w:eastAsia="宋体" w:cs="宋体"/>
          <w:color w:val="auto"/>
          <w:sz w:val="24"/>
          <w:szCs w:val="24"/>
          <w:highlight w:val="none"/>
        </w:rPr>
      </w:pPr>
    </w:p>
    <w:p w14:paraId="33491284">
      <w:pPr>
        <w:spacing w:line="360" w:lineRule="auto"/>
        <w:ind w:firstLine="480" w:firstLineChars="200"/>
        <w:rPr>
          <w:rFonts w:hint="eastAsia" w:ascii="宋体" w:hAnsi="宋体" w:eastAsia="宋体" w:cs="宋体"/>
          <w:color w:val="auto"/>
          <w:sz w:val="24"/>
          <w:szCs w:val="24"/>
          <w:highlight w:val="none"/>
        </w:rPr>
      </w:pPr>
    </w:p>
    <w:p w14:paraId="7ADD8895">
      <w:pPr>
        <w:spacing w:line="360" w:lineRule="auto"/>
        <w:ind w:firstLine="480" w:firstLineChars="200"/>
        <w:rPr>
          <w:rFonts w:hint="eastAsia" w:ascii="宋体" w:hAnsi="宋体" w:eastAsia="宋体" w:cs="宋体"/>
          <w:color w:val="auto"/>
          <w:sz w:val="24"/>
          <w:szCs w:val="24"/>
          <w:highlight w:val="none"/>
        </w:rPr>
      </w:pPr>
    </w:p>
    <w:p w14:paraId="44219058">
      <w:pPr>
        <w:spacing w:line="360" w:lineRule="auto"/>
        <w:ind w:firstLine="480" w:firstLineChars="200"/>
        <w:rPr>
          <w:rFonts w:hint="eastAsia" w:ascii="宋体" w:hAnsi="宋体" w:eastAsia="宋体" w:cs="宋体"/>
          <w:color w:val="auto"/>
          <w:sz w:val="24"/>
          <w:szCs w:val="24"/>
          <w:highlight w:val="none"/>
        </w:rPr>
      </w:pPr>
    </w:p>
    <w:p w14:paraId="76D11C97">
      <w:pPr>
        <w:spacing w:line="360" w:lineRule="auto"/>
        <w:ind w:firstLine="480" w:firstLineChars="200"/>
        <w:rPr>
          <w:rFonts w:hint="eastAsia" w:ascii="宋体" w:hAnsi="宋体" w:eastAsia="宋体" w:cs="宋体"/>
          <w:color w:val="auto"/>
          <w:sz w:val="24"/>
          <w:szCs w:val="24"/>
          <w:highlight w:val="none"/>
        </w:rPr>
      </w:pPr>
    </w:p>
    <w:p w14:paraId="57D5F88F">
      <w:pPr>
        <w:wordWrap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附件1：采购清单</w:t>
      </w:r>
    </w:p>
    <w:p w14:paraId="0FCD921E">
      <w:pPr>
        <w:wordWrap w:val="0"/>
        <w:spacing w:line="360" w:lineRule="auto"/>
        <w:rPr>
          <w:rFonts w:hint="eastAsia" w:ascii="宋体" w:hAnsi="宋体" w:eastAsia="宋体" w:cs="宋体"/>
          <w:b/>
          <w:color w:val="auto"/>
          <w:sz w:val="24"/>
          <w:szCs w:val="24"/>
          <w:highlight w:val="none"/>
        </w:rPr>
      </w:pPr>
    </w:p>
    <w:p w14:paraId="27238675">
      <w:pPr>
        <w:spacing w:line="360" w:lineRule="auto"/>
        <w:rPr>
          <w:rFonts w:hint="eastAsia" w:ascii="宋体" w:hAnsi="宋体" w:eastAsia="宋体" w:cs="宋体"/>
          <w:color w:val="auto"/>
          <w:sz w:val="24"/>
          <w:szCs w:val="24"/>
          <w:highlight w:val="none"/>
        </w:rPr>
      </w:pPr>
    </w:p>
    <w:p w14:paraId="165E3B09">
      <w:pPr>
        <w:spacing w:line="360" w:lineRule="auto"/>
        <w:rPr>
          <w:rFonts w:hint="eastAsia" w:ascii="宋体" w:hAnsi="宋体" w:eastAsia="宋体" w:cs="宋体"/>
          <w:color w:val="auto"/>
          <w:sz w:val="24"/>
          <w:szCs w:val="24"/>
          <w:highlight w:val="none"/>
        </w:rPr>
      </w:pPr>
    </w:p>
    <w:p w14:paraId="7CD94F2F">
      <w:pPr>
        <w:spacing w:line="360" w:lineRule="auto"/>
        <w:rPr>
          <w:rFonts w:hint="eastAsia" w:ascii="宋体" w:hAnsi="宋体" w:eastAsia="宋体" w:cs="宋体"/>
          <w:color w:val="auto"/>
          <w:sz w:val="24"/>
          <w:szCs w:val="24"/>
          <w:highlight w:val="none"/>
        </w:rPr>
      </w:pPr>
    </w:p>
    <w:p w14:paraId="1F1C5EED">
      <w:pPr>
        <w:spacing w:line="360" w:lineRule="auto"/>
        <w:rPr>
          <w:rFonts w:hint="eastAsia" w:ascii="宋体" w:hAnsi="宋体" w:eastAsia="宋体" w:cs="宋体"/>
          <w:color w:val="auto"/>
          <w:sz w:val="24"/>
          <w:szCs w:val="24"/>
          <w:highlight w:val="none"/>
        </w:rPr>
      </w:pPr>
    </w:p>
    <w:p w14:paraId="2E40762A">
      <w:pPr>
        <w:spacing w:line="360" w:lineRule="auto"/>
        <w:rPr>
          <w:rFonts w:hint="eastAsia" w:ascii="宋体" w:hAnsi="宋体" w:eastAsia="宋体" w:cs="宋体"/>
          <w:color w:val="auto"/>
          <w:sz w:val="24"/>
          <w:szCs w:val="24"/>
          <w:highlight w:val="none"/>
        </w:rPr>
      </w:pPr>
    </w:p>
    <w:p w14:paraId="0B7EF85F">
      <w:pPr>
        <w:spacing w:line="360" w:lineRule="auto"/>
        <w:rPr>
          <w:rFonts w:hint="eastAsia" w:ascii="宋体" w:hAnsi="宋体" w:eastAsia="宋体" w:cs="宋体"/>
          <w:color w:val="auto"/>
          <w:sz w:val="24"/>
          <w:szCs w:val="24"/>
          <w:highlight w:val="none"/>
        </w:rPr>
      </w:pPr>
    </w:p>
    <w:p w14:paraId="7B950029">
      <w:pPr>
        <w:spacing w:line="360" w:lineRule="auto"/>
        <w:rPr>
          <w:rFonts w:hint="eastAsia" w:ascii="宋体" w:hAnsi="宋体" w:eastAsia="宋体" w:cs="宋体"/>
          <w:color w:val="auto"/>
          <w:sz w:val="24"/>
          <w:szCs w:val="24"/>
          <w:highlight w:val="none"/>
        </w:rPr>
      </w:pPr>
    </w:p>
    <w:p w14:paraId="674350BD">
      <w:pPr>
        <w:spacing w:line="360" w:lineRule="auto"/>
        <w:rPr>
          <w:rFonts w:hint="eastAsia" w:ascii="宋体" w:hAnsi="宋体" w:eastAsia="宋体" w:cs="宋体"/>
          <w:color w:val="auto"/>
          <w:sz w:val="24"/>
          <w:szCs w:val="24"/>
          <w:highlight w:val="none"/>
        </w:rPr>
      </w:pPr>
    </w:p>
    <w:p w14:paraId="09AB6CB7">
      <w:pPr>
        <w:spacing w:line="360" w:lineRule="auto"/>
        <w:rPr>
          <w:rFonts w:hint="eastAsia" w:ascii="宋体" w:hAnsi="宋体" w:eastAsia="宋体" w:cs="宋体"/>
          <w:color w:val="auto"/>
          <w:sz w:val="24"/>
          <w:szCs w:val="24"/>
          <w:highlight w:val="none"/>
        </w:rPr>
      </w:pPr>
    </w:p>
    <w:p w14:paraId="625FCEDA">
      <w:pPr>
        <w:spacing w:line="360" w:lineRule="auto"/>
        <w:rPr>
          <w:rFonts w:hint="eastAsia" w:ascii="宋体" w:hAnsi="宋体" w:eastAsia="宋体" w:cs="宋体"/>
          <w:color w:val="auto"/>
          <w:sz w:val="24"/>
          <w:szCs w:val="24"/>
          <w:highlight w:val="none"/>
        </w:rPr>
      </w:pPr>
    </w:p>
    <w:p w14:paraId="3500AB04">
      <w:pPr>
        <w:spacing w:line="360" w:lineRule="auto"/>
        <w:rPr>
          <w:rFonts w:hint="eastAsia" w:ascii="宋体" w:hAnsi="宋体" w:eastAsia="宋体" w:cs="宋体"/>
          <w:color w:val="auto"/>
          <w:sz w:val="24"/>
          <w:szCs w:val="24"/>
          <w:highlight w:val="none"/>
        </w:rPr>
      </w:pPr>
    </w:p>
    <w:p w14:paraId="652EBD61">
      <w:pPr>
        <w:spacing w:line="360" w:lineRule="auto"/>
        <w:rPr>
          <w:rFonts w:hint="eastAsia" w:ascii="宋体" w:hAnsi="宋体" w:eastAsia="宋体" w:cs="宋体"/>
          <w:color w:val="auto"/>
          <w:sz w:val="24"/>
          <w:szCs w:val="24"/>
          <w:highlight w:val="none"/>
        </w:rPr>
      </w:pPr>
    </w:p>
    <w:p w14:paraId="47E85085">
      <w:pPr>
        <w:spacing w:line="360" w:lineRule="auto"/>
        <w:rPr>
          <w:rFonts w:hint="eastAsia" w:ascii="宋体" w:hAnsi="宋体" w:eastAsia="宋体" w:cs="宋体"/>
          <w:color w:val="auto"/>
          <w:sz w:val="24"/>
          <w:szCs w:val="24"/>
          <w:highlight w:val="none"/>
        </w:rPr>
      </w:pPr>
    </w:p>
    <w:p w14:paraId="6F964CC5">
      <w:pPr>
        <w:spacing w:line="360" w:lineRule="auto"/>
        <w:rPr>
          <w:rFonts w:hint="eastAsia" w:ascii="宋体" w:hAnsi="宋体" w:eastAsia="宋体" w:cs="宋体"/>
          <w:color w:val="auto"/>
          <w:sz w:val="24"/>
          <w:szCs w:val="24"/>
          <w:highlight w:val="none"/>
        </w:rPr>
      </w:pPr>
    </w:p>
    <w:p w14:paraId="12AD1878">
      <w:pPr>
        <w:spacing w:line="360" w:lineRule="auto"/>
        <w:rPr>
          <w:rFonts w:hint="eastAsia" w:ascii="宋体" w:hAnsi="宋体" w:eastAsia="宋体" w:cs="宋体"/>
          <w:color w:val="auto"/>
          <w:sz w:val="24"/>
          <w:szCs w:val="24"/>
          <w:highlight w:val="none"/>
        </w:rPr>
      </w:pPr>
    </w:p>
    <w:p w14:paraId="19EFBD30">
      <w:pPr>
        <w:spacing w:line="360" w:lineRule="auto"/>
        <w:rPr>
          <w:rFonts w:hint="eastAsia" w:ascii="宋体" w:hAnsi="宋体" w:eastAsia="宋体" w:cs="宋体"/>
          <w:color w:val="auto"/>
          <w:sz w:val="24"/>
          <w:szCs w:val="24"/>
          <w:highlight w:val="none"/>
        </w:rPr>
      </w:pPr>
    </w:p>
    <w:p w14:paraId="4F8B0A49">
      <w:pPr>
        <w:spacing w:line="360" w:lineRule="auto"/>
        <w:rPr>
          <w:rFonts w:hint="eastAsia" w:ascii="宋体" w:hAnsi="宋体" w:eastAsia="宋体" w:cs="宋体"/>
          <w:color w:val="auto"/>
          <w:sz w:val="24"/>
          <w:szCs w:val="24"/>
          <w:highlight w:val="none"/>
        </w:rPr>
      </w:pPr>
    </w:p>
    <w:p w14:paraId="650DCB7D">
      <w:pPr>
        <w:spacing w:line="360" w:lineRule="auto"/>
        <w:rPr>
          <w:rFonts w:hint="eastAsia" w:ascii="宋体" w:hAnsi="宋体" w:eastAsia="宋体" w:cs="宋体"/>
          <w:color w:val="auto"/>
          <w:sz w:val="24"/>
          <w:szCs w:val="24"/>
          <w:highlight w:val="none"/>
        </w:rPr>
      </w:pPr>
    </w:p>
    <w:p w14:paraId="50A173B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946A8CE">
      <w:pPr>
        <w:spacing w:line="360" w:lineRule="auto"/>
        <w:rPr>
          <w:rFonts w:hint="eastAsia" w:ascii="宋体" w:hAnsi="宋体" w:eastAsia="宋体" w:cs="宋体"/>
          <w:color w:val="auto"/>
          <w:sz w:val="24"/>
          <w:szCs w:val="24"/>
          <w:highlight w:val="none"/>
        </w:rPr>
      </w:pPr>
    </w:p>
    <w:p w14:paraId="3B6696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保密协议</w:t>
      </w:r>
    </w:p>
    <w:p w14:paraId="0D37133E">
      <w:pPr>
        <w:spacing w:line="360" w:lineRule="auto"/>
        <w:ind w:firstLine="482" w:firstLineChars="200"/>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甲方：</w:t>
      </w:r>
      <w:r>
        <w:rPr>
          <w:rFonts w:hint="eastAsia" w:ascii="宋体" w:hAnsi="宋体" w:eastAsia="宋体" w:cs="宋体"/>
          <w:b/>
          <w:bCs/>
          <w:color w:val="auto"/>
          <w:sz w:val="24"/>
          <w:szCs w:val="24"/>
          <w:highlight w:val="none"/>
          <w:u w:val="single"/>
          <w:lang w:val="en-US" w:eastAsia="zh-CN"/>
        </w:rPr>
        <w:t xml:space="preserve">                    </w:t>
      </w:r>
    </w:p>
    <w:p w14:paraId="787FB966">
      <w:pP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乙方：</w:t>
      </w:r>
      <w:r>
        <w:rPr>
          <w:rFonts w:hint="eastAsia" w:ascii="宋体" w:hAnsi="宋体" w:eastAsia="宋体" w:cs="宋体"/>
          <w:b/>
          <w:bCs/>
          <w:color w:val="auto"/>
          <w:sz w:val="24"/>
          <w:szCs w:val="24"/>
          <w:highlight w:val="none"/>
          <w:u w:val="single"/>
          <w:lang w:val="en-US" w:eastAsia="zh-CN"/>
        </w:rPr>
        <w:t xml:space="preserve">                    </w:t>
      </w:r>
    </w:p>
    <w:p w14:paraId="764D42E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乙方因参与甲方关于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工作及与之相关的一切活动,双方当事人就乙方在从事项目期间及项目结束以后保守甲方秘密的有关事项,根据国家法律规定,甲、乙双方本着平等自愿、公平诚信的原则,订立本《保密协议》共同遵守。</w:t>
      </w:r>
    </w:p>
    <w:p w14:paraId="1A0B11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一、保密的内容和范围</w:t>
      </w:r>
    </w:p>
    <w:p w14:paraId="721FD0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甲、乙双方确认,乙方应承担该项目的保密义务范围包括(以下简称秘密事项)：</w:t>
      </w:r>
    </w:p>
    <w:p w14:paraId="153AA3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1.以书面、电子文件等方式记录与甲方有关的文件、资料以及其他信息,内容包括但不限于配送信息、配送内容及数量情况、政府指示、公文等。</w:t>
      </w:r>
    </w:p>
    <w:p w14:paraId="6E2F5F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2.该项目涉及的文件资料、文件报送、文件销毁。</w:t>
      </w:r>
    </w:p>
    <w:p w14:paraId="0F53C0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3.该项目所涉及的所有资料和数据,内容包括但不限于项目实施文档、对接数据（单据）文件、管理文档等。</w:t>
      </w:r>
    </w:p>
    <w:p w14:paraId="656514D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二、乙方的保密义务</w:t>
      </w:r>
    </w:p>
    <w:p w14:paraId="71B08F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对第一条所称的该项目秘密事项,乙方承担以下保密义务:</w:t>
      </w:r>
    </w:p>
    <w:p w14:paraId="3ECA41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1.甲方与本合同有关的业务乙方应派专人负责供货，在交付甲方前应由专人保管，须当防止甲方单位供货信息的公开。</w:t>
      </w:r>
    </w:p>
    <w:p w14:paraId="19E077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2.乙方供应甲方货物时，在查看和检测货物后，对不符合标准退还的货物，不得以甲方的名誉另做它用。</w:t>
      </w:r>
    </w:p>
    <w:p w14:paraId="707328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3.乙方在供货过程中产生的相关资料应妥善保管或及时销毁，不得私自披露甲方的秘密事项。</w:t>
      </w:r>
    </w:p>
    <w:p w14:paraId="4BBFC0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4.严禁无关人员参与供货或查看相关资料。</w:t>
      </w:r>
    </w:p>
    <w:p w14:paraId="7E409E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5.乙方不得刺探或者以其他不正当手段获取与本项目无关的秘密事项。</w:t>
      </w:r>
    </w:p>
    <w:p w14:paraId="2EA736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6.乙方如发现甲方关于该项目的秘密事项被泄露或者自己过失泄露秘密,应立即向甲方报告并采取有效措施防止泄密进一步扩大。</w:t>
      </w:r>
    </w:p>
    <w:p w14:paraId="74A577C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三、违约责任</w:t>
      </w:r>
    </w:p>
    <w:p w14:paraId="61D60B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承诺遵守《保密协议》,履行《保密协议》中的义务并承担相应的责任,并且承诺不因与甲方的合作终止而终止,不因公司成员离开公司而终止。如有违反,乙方愿承担由此所造成的一切损失和法律后果,并承担甲方为弥补损失而提出的处理条款。</w:t>
      </w:r>
    </w:p>
    <w:p w14:paraId="71DC00A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2.如果乙方未履行本协议第二条所规定的保密义务,给甲方造成经济损失或严重的后果的，甲方将根据国家有关法律、法规，追究乙方的法律责任。</w:t>
      </w:r>
    </w:p>
    <w:p w14:paraId="4B3654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本保密协议作为合同的附件，与合同具有同等法律效力。经双方签署后立即生效。</w:t>
      </w:r>
    </w:p>
    <w:p w14:paraId="7F74C619">
      <w:pPr>
        <w:spacing w:line="360" w:lineRule="auto"/>
        <w:ind w:firstLine="480" w:firstLineChars="200"/>
        <w:rPr>
          <w:rFonts w:hint="eastAsia" w:ascii="宋体" w:hAnsi="宋体" w:eastAsia="宋体" w:cs="宋体"/>
          <w:color w:val="auto"/>
          <w:sz w:val="24"/>
          <w:szCs w:val="24"/>
          <w:highlight w:val="none"/>
        </w:rPr>
      </w:pPr>
    </w:p>
    <w:p w14:paraId="11954315">
      <w:pPr>
        <w:spacing w:line="360" w:lineRule="auto"/>
        <w:ind w:firstLine="480" w:firstLineChars="200"/>
        <w:rPr>
          <w:rFonts w:hint="eastAsia" w:ascii="宋体" w:hAnsi="宋体" w:eastAsia="宋体" w:cs="宋体"/>
          <w:color w:val="auto"/>
          <w:sz w:val="24"/>
          <w:szCs w:val="24"/>
          <w:highlight w:val="none"/>
        </w:rPr>
      </w:pPr>
    </w:p>
    <w:p w14:paraId="4523D8C6">
      <w:pPr>
        <w:spacing w:line="360" w:lineRule="auto"/>
        <w:ind w:firstLine="480" w:firstLineChars="200"/>
        <w:rPr>
          <w:rFonts w:hint="eastAsia" w:ascii="宋体" w:hAnsi="宋体" w:eastAsia="宋体" w:cs="宋体"/>
          <w:color w:val="auto"/>
          <w:sz w:val="24"/>
          <w:szCs w:val="24"/>
          <w:highlight w:val="none"/>
        </w:rPr>
      </w:pPr>
    </w:p>
    <w:p w14:paraId="636CB7FB">
      <w:pPr>
        <w:spacing w:line="360" w:lineRule="auto"/>
        <w:ind w:firstLine="480" w:firstLineChars="200"/>
        <w:rPr>
          <w:rFonts w:hint="eastAsia" w:ascii="宋体" w:hAnsi="宋体" w:eastAsia="宋体" w:cs="宋体"/>
          <w:color w:val="auto"/>
          <w:sz w:val="24"/>
          <w:szCs w:val="24"/>
          <w:highlight w:val="none"/>
        </w:rPr>
      </w:pPr>
    </w:p>
    <w:p w14:paraId="367DC808">
      <w:pPr>
        <w:spacing w:before="120" w:line="360" w:lineRule="auto"/>
        <w:ind w:firstLine="480" w:firstLineChars="200"/>
        <w:rPr>
          <w:rFonts w:hint="eastAsia" w:ascii="宋体" w:hAnsi="宋体" w:eastAsia="宋体" w:cs="宋体"/>
          <w:snapToGrid w:val="0"/>
          <w:color w:val="auto"/>
          <w:kern w:val="0"/>
          <w:sz w:val="24"/>
          <w:szCs w:val="24"/>
          <w:highlight w:val="none"/>
          <w:u w:val="single"/>
        </w:rPr>
      </w:pPr>
      <w:r>
        <w:rPr>
          <w:rFonts w:hint="eastAsia" w:ascii="宋体" w:hAnsi="宋体" w:eastAsia="宋体" w:cs="宋体"/>
          <w:snapToGrid w:val="0"/>
          <w:color w:val="auto"/>
          <w:kern w:val="0"/>
          <w:sz w:val="24"/>
          <w:szCs w:val="24"/>
          <w:highlight w:val="none"/>
        </w:rPr>
        <w:t>甲方（盖章）：                 乙方（盖章）：</w:t>
      </w:r>
    </w:p>
    <w:p w14:paraId="4B8E8297">
      <w:pPr>
        <w:spacing w:before="12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委托代理人（签字）：           委托代理人（签字）：</w:t>
      </w:r>
    </w:p>
    <w:p w14:paraId="3EB9FF5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签订时间：    年   月  日</w:t>
      </w:r>
    </w:p>
    <w:p w14:paraId="20C81ADF">
      <w:pPr>
        <w:spacing w:line="360" w:lineRule="auto"/>
        <w:rPr>
          <w:rFonts w:hint="eastAsia" w:ascii="宋体" w:hAnsi="宋体" w:eastAsia="宋体" w:cs="宋体"/>
          <w:color w:val="auto"/>
          <w:sz w:val="24"/>
          <w:szCs w:val="24"/>
          <w:highlight w:val="none"/>
        </w:rPr>
      </w:pPr>
    </w:p>
    <w:p w14:paraId="32CB97FD">
      <w:pPr>
        <w:spacing w:line="360" w:lineRule="auto"/>
        <w:rPr>
          <w:rFonts w:hint="eastAsia" w:ascii="宋体" w:hAnsi="宋体" w:eastAsia="宋体" w:cs="宋体"/>
          <w:color w:val="auto"/>
          <w:sz w:val="24"/>
          <w:szCs w:val="24"/>
          <w:highlight w:val="none"/>
        </w:rPr>
      </w:pPr>
    </w:p>
    <w:p w14:paraId="03DD63FD">
      <w:pPr>
        <w:rPr>
          <w:rFonts w:hint="eastAsia" w:ascii="宋体" w:hAnsi="宋体" w:cs="宋体"/>
          <w:color w:val="auto"/>
          <w:highlight w:val="none"/>
        </w:rPr>
      </w:pPr>
    </w:p>
    <w:p w14:paraId="197913BE">
      <w:pPr>
        <w:rPr>
          <w:rFonts w:hint="eastAsia" w:ascii="宋体" w:hAnsi="宋体" w:cs="宋体"/>
          <w:color w:val="auto"/>
          <w:highlight w:val="none"/>
        </w:rPr>
      </w:pPr>
      <w:r>
        <w:rPr>
          <w:rFonts w:hint="eastAsia" w:ascii="宋体" w:hAnsi="宋体" w:cs="宋体"/>
          <w:color w:val="auto"/>
          <w:highlight w:val="none"/>
        </w:rPr>
        <w:br w:type="page"/>
      </w:r>
    </w:p>
    <w:p w14:paraId="78AA7C62">
      <w:pPr>
        <w:pStyle w:val="4"/>
        <w:spacing w:before="0" w:after="0" w:line="720" w:lineRule="auto"/>
        <w:jc w:val="center"/>
        <w:rPr>
          <w:rFonts w:ascii="宋体" w:hAnsi="宋体" w:cs="宋体"/>
          <w:color w:val="auto"/>
          <w:highlight w:val="none"/>
        </w:rPr>
      </w:pPr>
      <w:bookmarkStart w:id="284" w:name="_Toc19410"/>
      <w:r>
        <w:rPr>
          <w:rFonts w:hint="eastAsia" w:ascii="宋体" w:hAnsi="宋体" w:cs="宋体"/>
          <w:color w:val="auto"/>
          <w:highlight w:val="none"/>
        </w:rPr>
        <w:t xml:space="preserve">第六章 </w:t>
      </w:r>
      <w:bookmarkEnd w:id="273"/>
      <w:bookmarkEnd w:id="274"/>
      <w:r>
        <w:rPr>
          <w:rFonts w:hint="eastAsia" w:ascii="宋体" w:hAnsi="宋体" w:cs="宋体"/>
          <w:color w:val="auto"/>
          <w:highlight w:val="none"/>
        </w:rPr>
        <w:t>采购需求</w:t>
      </w:r>
      <w:bookmarkEnd w:id="281"/>
      <w:bookmarkEnd w:id="284"/>
    </w:p>
    <w:p w14:paraId="559BB20E">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cs="宋体"/>
          <w:b/>
          <w:bCs/>
          <w:color w:val="auto"/>
          <w:sz w:val="24"/>
          <w:highlight w:val="none"/>
          <w:lang w:val="en-US" w:eastAsia="zh-CN"/>
        </w:rPr>
      </w:pPr>
      <w:bookmarkStart w:id="285" w:name="_Toc87"/>
      <w:bookmarkStart w:id="286" w:name="_Toc20972"/>
      <w:bookmarkStart w:id="287" w:name="_Toc25547"/>
      <w:bookmarkStart w:id="288" w:name="_Toc2534"/>
      <w:bookmarkStart w:id="289" w:name="_Toc13731"/>
      <w:bookmarkStart w:id="290" w:name="_Toc24075"/>
      <w:bookmarkStart w:id="291" w:name="_Toc27879"/>
      <w:r>
        <w:rPr>
          <w:rFonts w:hint="eastAsia" w:ascii="宋体" w:hAnsi="宋体" w:cs="宋体"/>
          <w:b/>
          <w:bCs/>
          <w:color w:val="auto"/>
          <w:sz w:val="24"/>
          <w:highlight w:val="none"/>
          <w:lang w:val="en-US" w:eastAsia="zh-CN"/>
        </w:rPr>
        <w:t>一、项目概况</w:t>
      </w:r>
      <w:bookmarkEnd w:id="285"/>
      <w:bookmarkEnd w:id="286"/>
      <w:bookmarkEnd w:id="287"/>
      <w:bookmarkEnd w:id="288"/>
      <w:bookmarkEnd w:id="289"/>
    </w:p>
    <w:p w14:paraId="53EFA70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1、项目名称：</w:t>
      </w:r>
      <w:r>
        <w:rPr>
          <w:rFonts w:hint="eastAsia" w:ascii="宋体" w:hAnsi="宋体" w:cs="宋体"/>
          <w:color w:val="auto"/>
          <w:sz w:val="24"/>
          <w:highlight w:val="none"/>
          <w:lang w:val="en-US" w:eastAsia="zh-CN"/>
        </w:rPr>
        <w:t>云南省建水监狱2025年—2026年罪犯蛋类、蔬菜类生活物资采购</w:t>
      </w:r>
      <w:r>
        <w:rPr>
          <w:rFonts w:hint="eastAsia" w:ascii="宋体" w:hAnsi="宋体" w:cs="宋体"/>
          <w:color w:val="auto"/>
          <w:sz w:val="24"/>
          <w:highlight w:val="none"/>
          <w:lang w:eastAsia="zh-CN"/>
        </w:rPr>
        <w:t>项目</w:t>
      </w:r>
      <w:r>
        <w:rPr>
          <w:rFonts w:hint="eastAsia" w:ascii="宋体" w:hAnsi="宋体" w:eastAsia="宋体" w:cs="宋体"/>
          <w:color w:val="auto"/>
          <w:sz w:val="24"/>
          <w:highlight w:val="none"/>
        </w:rPr>
        <w:t xml:space="preserve"> 。</w:t>
      </w:r>
    </w:p>
    <w:p w14:paraId="1A07E48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2、预算金额：</w:t>
      </w:r>
      <w:r>
        <w:rPr>
          <w:rFonts w:hint="eastAsia" w:ascii="宋体" w:hAnsi="宋体" w:eastAsia="宋体" w:cs="宋体"/>
          <w:color w:val="auto"/>
          <w:sz w:val="24"/>
          <w:highlight w:val="none"/>
          <w:lang w:val="en-US" w:eastAsia="zh-CN"/>
        </w:rPr>
        <w:t>2000000.00</w:t>
      </w:r>
      <w:r>
        <w:rPr>
          <w:rFonts w:hint="eastAsia" w:ascii="宋体" w:hAnsi="宋体" w:cs="宋体"/>
          <w:color w:val="auto"/>
          <w:kern w:val="2"/>
          <w:sz w:val="24"/>
          <w:szCs w:val="24"/>
          <w:highlight w:val="none"/>
          <w:lang w:bidi="ar"/>
        </w:rPr>
        <w:t>元</w:t>
      </w:r>
      <w:r>
        <w:rPr>
          <w:rFonts w:hint="eastAsia" w:ascii="宋体" w:hAnsi="宋体" w:eastAsia="宋体" w:cs="宋体"/>
          <w:color w:val="auto"/>
          <w:sz w:val="24"/>
          <w:highlight w:val="none"/>
          <w:lang w:val="en-US" w:eastAsia="zh-CN"/>
        </w:rPr>
        <w:t>。</w:t>
      </w:r>
    </w:p>
    <w:p w14:paraId="0FFDA4F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3、合同履行期限：</w:t>
      </w:r>
      <w:r>
        <w:rPr>
          <w:rFonts w:hint="eastAsia" w:ascii="宋体" w:hAnsi="宋体" w:cs="宋体"/>
          <w:color w:val="auto"/>
          <w:kern w:val="2"/>
          <w:sz w:val="24"/>
          <w:szCs w:val="24"/>
          <w:highlight w:val="none"/>
          <w:lang w:eastAsia="zh-CN" w:bidi="ar"/>
        </w:rPr>
        <w:t>自合同签订之日起1年</w:t>
      </w:r>
      <w:r>
        <w:rPr>
          <w:rFonts w:hint="eastAsia" w:ascii="宋体" w:hAnsi="宋体" w:eastAsia="宋体" w:cs="宋体"/>
          <w:color w:val="auto"/>
          <w:sz w:val="24"/>
          <w:highlight w:val="none"/>
        </w:rPr>
        <w:t>。</w:t>
      </w:r>
    </w:p>
    <w:p w14:paraId="2FA41BE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cs="宋体"/>
          <w:color w:val="auto"/>
          <w:sz w:val="24"/>
          <w:highlight w:val="none"/>
          <w:lang w:val="en-US" w:eastAsia="zh-CN"/>
        </w:rPr>
        <w:t>交货方式：按照采购人日常所需计划采购清单数量及要求分批次配送。</w:t>
      </w:r>
      <w:r>
        <w:rPr>
          <w:rFonts w:hint="eastAsia" w:ascii="宋体" w:hAnsi="宋体" w:cs="宋体"/>
          <w:color w:val="auto"/>
          <w:sz w:val="24"/>
          <w:highlight w:val="none"/>
          <w:shd w:val="clear" w:color="auto" w:fill="auto"/>
          <w:lang w:eastAsia="zh-CN"/>
        </w:rPr>
        <w:t>。</w:t>
      </w:r>
    </w:p>
    <w:p w14:paraId="53B6D24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cs="宋体"/>
          <w:color w:val="auto"/>
          <w:kern w:val="0"/>
          <w:sz w:val="24"/>
          <w:szCs w:val="24"/>
          <w:highlight w:val="none"/>
          <w:lang w:val="en-US" w:eastAsia="zh-CN" w:bidi="ar"/>
        </w:rPr>
        <w:t>交货</w:t>
      </w:r>
      <w:r>
        <w:rPr>
          <w:rFonts w:hint="eastAsia" w:ascii="宋体" w:hAnsi="宋体" w:eastAsia="宋体" w:cs="宋体"/>
          <w:color w:val="auto"/>
          <w:kern w:val="0"/>
          <w:sz w:val="24"/>
          <w:szCs w:val="24"/>
          <w:highlight w:val="none"/>
          <w:lang w:val="en-US" w:eastAsia="zh-CN" w:bidi="ar"/>
        </w:rPr>
        <w:t>地点：云南省建水监狱</w:t>
      </w:r>
      <w:r>
        <w:rPr>
          <w:rFonts w:hint="eastAsia" w:ascii="宋体" w:hAnsi="宋体" w:cs="宋体"/>
          <w:color w:val="auto"/>
          <w:kern w:val="0"/>
          <w:sz w:val="24"/>
          <w:szCs w:val="24"/>
          <w:highlight w:val="none"/>
          <w:lang w:val="en-US" w:eastAsia="zh-CN" w:bidi="ar"/>
        </w:rPr>
        <w:t>。</w:t>
      </w:r>
    </w:p>
    <w:p w14:paraId="7E5BED5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、质量要求：</w:t>
      </w:r>
      <w:r>
        <w:rPr>
          <w:rFonts w:hint="eastAsia" w:ascii="宋体" w:hAnsi="宋体" w:eastAsia="宋体" w:cs="宋体"/>
          <w:color w:val="auto"/>
          <w:sz w:val="24"/>
          <w:highlight w:val="none"/>
          <w:lang w:eastAsia="zh-CN"/>
        </w:rPr>
        <w:t>符合现行国家、行业相关的质量要求、规范及标准，</w:t>
      </w:r>
      <w:r>
        <w:rPr>
          <w:rFonts w:hint="eastAsia" w:ascii="宋体" w:hAnsi="宋体" w:cs="宋体"/>
          <w:color w:val="auto"/>
          <w:sz w:val="24"/>
          <w:highlight w:val="none"/>
          <w:lang w:eastAsia="zh-CN"/>
        </w:rPr>
        <w:t>满足采购人的订单质量要求</w:t>
      </w:r>
      <w:r>
        <w:rPr>
          <w:rFonts w:hint="eastAsia" w:ascii="宋体" w:hAnsi="宋体" w:eastAsia="宋体" w:cs="宋体"/>
          <w:color w:val="auto"/>
          <w:sz w:val="24"/>
          <w:highlight w:val="none"/>
          <w:lang w:eastAsia="zh-CN"/>
        </w:rPr>
        <w:t>，并通过相关验收</w:t>
      </w:r>
      <w:r>
        <w:rPr>
          <w:rFonts w:hint="eastAsia" w:ascii="宋体" w:hAnsi="宋体" w:eastAsia="宋体" w:cs="宋体"/>
          <w:color w:val="auto"/>
          <w:kern w:val="0"/>
          <w:sz w:val="24"/>
          <w:highlight w:val="none"/>
        </w:rPr>
        <w:t>。</w:t>
      </w:r>
    </w:p>
    <w:p w14:paraId="2AEE9E8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标需严格执行《中华人民共和国产品质量法》、《中华人民共和国食品安全法》、《中华人民共和国农产品质量安全法》、《中华人民共和国动物防疫法》、《中华人民共和国食品安全法实施条例》、《食品安全标准》、《食品经营许可管理办法》、《食品生产许可管理办法》、《动物检疫管理办法》等法律法规。所采购的物品严格按照招标程序执行，对供货方必须具备合法资格，合乎卫生食品行业标准资质。</w:t>
      </w:r>
    </w:p>
    <w:p w14:paraId="3DEE5A7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二、验收及验收标准</w:t>
      </w:r>
    </w:p>
    <w:p w14:paraId="796C1347">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（一）严格按国家质量标准</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的订单要求</w:t>
      </w:r>
      <w:r>
        <w:rPr>
          <w:rFonts w:hint="eastAsia" w:ascii="宋体" w:hAnsi="宋体" w:eastAsia="宋体" w:cs="宋体"/>
          <w:color w:val="auto"/>
          <w:sz w:val="24"/>
          <w:szCs w:val="24"/>
          <w:highlight w:val="none"/>
        </w:rPr>
        <w:t>进行质保，供货时所供包装类产品剩余质保期不得低于产品本身质保期的2/3。</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将货物送达指定地点后，</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组织人员进行现场验收，对品种、规格、数量和质量不符合</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订单</w:t>
      </w:r>
      <w:r>
        <w:rPr>
          <w:rFonts w:hint="eastAsia" w:ascii="宋体" w:hAnsi="宋体" w:eastAsia="宋体" w:cs="宋体"/>
          <w:color w:val="auto"/>
          <w:sz w:val="24"/>
          <w:szCs w:val="24"/>
          <w:highlight w:val="none"/>
        </w:rPr>
        <w:t>要求的，</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有权拒收。双方当面点清，如发现商品数量与销售清单数量不符合，</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须自行补足。</w:t>
      </w:r>
    </w:p>
    <w:p w14:paraId="7065142D">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（二）如有过保质期变质、假冒伪劣“三无”商品，</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须接受</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退货要求。</w:t>
      </w:r>
    </w:p>
    <w:p w14:paraId="4B89C696">
      <w:pPr>
        <w:spacing w:line="360" w:lineRule="auto"/>
        <w:ind w:firstLine="360" w:firstLineChars="150"/>
        <w:rPr>
          <w:rFonts w:hint="eastAsia" w:ascii="宋体" w:hAnsi="宋体" w:eastAsia="宋体" w:cs="宋体"/>
          <w:color w:val="auto"/>
          <w:kern w:val="0"/>
          <w:sz w:val="24"/>
          <w:highlight w:val="none"/>
        </w:rPr>
      </w:pPr>
      <w:r>
        <w:rPr>
          <w:rFonts w:hint="eastAsia" w:ascii="宋体" w:hAnsi="宋体" w:eastAsia="宋体" w:cs="宋体"/>
          <w:color w:val="auto"/>
          <w:sz w:val="24"/>
          <w:szCs w:val="24"/>
          <w:highlight w:val="none"/>
        </w:rPr>
        <w:t>（三）</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按商品品种、产地、商标及</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rPr>
        <w:t>提供的质检报告标准验收，标准件抽样，非标准件实测。</w:t>
      </w:r>
    </w:p>
    <w:p w14:paraId="4384B6B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cs="宋体"/>
          <w:b/>
          <w:bCs/>
          <w:color w:val="auto"/>
          <w:sz w:val="24"/>
          <w:highlight w:val="none"/>
          <w:lang w:val="en-US" w:eastAsia="zh-CN"/>
        </w:rPr>
        <w:sectPr>
          <w:pgSz w:w="11906" w:h="16838"/>
          <w:pgMar w:top="1440" w:right="1083" w:bottom="1440" w:left="1083" w:header="720" w:footer="720" w:gutter="0"/>
          <w:pgNumType w:fmt="numberInDash"/>
          <w:cols w:space="720" w:num="1"/>
          <w:docGrid w:type="lines" w:linePitch="317" w:charSpace="0"/>
        </w:sectPr>
      </w:pPr>
      <w:bookmarkStart w:id="292" w:name="_Toc6333"/>
      <w:bookmarkStart w:id="293" w:name="_Toc14405"/>
      <w:bookmarkStart w:id="294" w:name="_Toc16732"/>
      <w:bookmarkStart w:id="295" w:name="_Toc7833"/>
    </w:p>
    <w:p w14:paraId="30B43993">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★三、采购清单</w:t>
      </w:r>
      <w:bookmarkEnd w:id="292"/>
      <w:bookmarkEnd w:id="293"/>
      <w:bookmarkEnd w:id="294"/>
      <w:bookmarkEnd w:id="295"/>
    </w:p>
    <w:tbl>
      <w:tblPr>
        <w:tblStyle w:val="22"/>
        <w:tblW w:w="137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061"/>
        <w:gridCol w:w="1086"/>
        <w:gridCol w:w="1022"/>
        <w:gridCol w:w="2961"/>
        <w:gridCol w:w="3957"/>
        <w:gridCol w:w="1442"/>
        <w:gridCol w:w="1500"/>
      </w:tblGrid>
      <w:tr w14:paraId="711E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60C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C261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商品名称</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DCA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全年预计采购量</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EE2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单位</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78F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图片标准</w:t>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7CA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FBE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单价最高限价（元/公斤）</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ADC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合计金额（元）</w:t>
            </w:r>
          </w:p>
        </w:tc>
      </w:tr>
      <w:tr w14:paraId="72EAD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9E0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15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大白菜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8C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561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EFA0">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0288" behindDoc="0" locked="0" layoutInCell="1" allowOverlap="1">
                  <wp:simplePos x="0" y="0"/>
                  <wp:positionH relativeFrom="column">
                    <wp:posOffset>1905</wp:posOffset>
                  </wp:positionH>
                  <wp:positionV relativeFrom="paragraph">
                    <wp:posOffset>-41275</wp:posOffset>
                  </wp:positionV>
                  <wp:extent cx="1755140" cy="845820"/>
                  <wp:effectExtent l="0" t="0" r="16510" b="11430"/>
                  <wp:wrapNone/>
                  <wp:docPr id="20" name="图片_3"/>
                  <wp:cNvGraphicFramePr/>
                  <a:graphic xmlns:a="http://schemas.openxmlformats.org/drawingml/2006/main">
                    <a:graphicData uri="http://schemas.openxmlformats.org/drawingml/2006/picture">
                      <pic:pic xmlns:pic="http://schemas.openxmlformats.org/drawingml/2006/picture">
                        <pic:nvPicPr>
                          <pic:cNvPr id="20" name="图片_3"/>
                          <pic:cNvPicPr/>
                        </pic:nvPicPr>
                        <pic:blipFill>
                          <a:blip r:embed="rId13"/>
                          <a:stretch>
                            <a:fillRect/>
                          </a:stretch>
                        </pic:blipFill>
                        <pic:spPr>
                          <a:xfrm>
                            <a:off x="0" y="0"/>
                            <a:ext cx="1755140"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2B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F7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AB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90000.00</w:t>
            </w:r>
          </w:p>
        </w:tc>
      </w:tr>
      <w:tr w14:paraId="2006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71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FE0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铁头白</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09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C50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4B0F">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1312" behindDoc="0" locked="0" layoutInCell="1" allowOverlap="1">
                  <wp:simplePos x="0" y="0"/>
                  <wp:positionH relativeFrom="column">
                    <wp:posOffset>34290</wp:posOffset>
                  </wp:positionH>
                  <wp:positionV relativeFrom="paragraph">
                    <wp:posOffset>-17780</wp:posOffset>
                  </wp:positionV>
                  <wp:extent cx="1755140" cy="845820"/>
                  <wp:effectExtent l="0" t="0" r="16510" b="11430"/>
                  <wp:wrapNone/>
                  <wp:docPr id="21" name="图片_4"/>
                  <wp:cNvGraphicFramePr/>
                  <a:graphic xmlns:a="http://schemas.openxmlformats.org/drawingml/2006/main">
                    <a:graphicData uri="http://schemas.openxmlformats.org/drawingml/2006/picture">
                      <pic:pic xmlns:pic="http://schemas.openxmlformats.org/drawingml/2006/picture">
                        <pic:nvPicPr>
                          <pic:cNvPr id="21" name="图片_4"/>
                          <pic:cNvPicPr/>
                        </pic:nvPicPr>
                        <pic:blipFill>
                          <a:blip r:embed="rId14"/>
                          <a:stretch>
                            <a:fillRect/>
                          </a:stretch>
                        </pic:blipFill>
                        <pic:spPr>
                          <a:xfrm>
                            <a:off x="0" y="0"/>
                            <a:ext cx="1755140"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21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973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08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75600.00</w:t>
            </w:r>
          </w:p>
        </w:tc>
      </w:tr>
      <w:tr w14:paraId="790DA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A0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73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萝卜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D5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B23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6033">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2336" behindDoc="0" locked="0" layoutInCell="1" allowOverlap="1">
                  <wp:simplePos x="0" y="0"/>
                  <wp:positionH relativeFrom="column">
                    <wp:posOffset>34925</wp:posOffset>
                  </wp:positionH>
                  <wp:positionV relativeFrom="paragraph">
                    <wp:posOffset>-81915</wp:posOffset>
                  </wp:positionV>
                  <wp:extent cx="1755140" cy="856615"/>
                  <wp:effectExtent l="0" t="0" r="16510" b="635"/>
                  <wp:wrapNone/>
                  <wp:docPr id="22" name="图片_17"/>
                  <wp:cNvGraphicFramePr/>
                  <a:graphic xmlns:a="http://schemas.openxmlformats.org/drawingml/2006/main">
                    <a:graphicData uri="http://schemas.openxmlformats.org/drawingml/2006/picture">
                      <pic:pic xmlns:pic="http://schemas.openxmlformats.org/drawingml/2006/picture">
                        <pic:nvPicPr>
                          <pic:cNvPr id="22" name="图片_17"/>
                          <pic:cNvPicPr/>
                        </pic:nvPicPr>
                        <pic:blipFill>
                          <a:blip r:embed="rId15"/>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8A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F6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B5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26800.00</w:t>
            </w:r>
          </w:p>
        </w:tc>
      </w:tr>
      <w:tr w14:paraId="48F59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28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ACB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南瓜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0E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1E2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8D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43815</wp:posOffset>
                  </wp:positionH>
                  <wp:positionV relativeFrom="paragraph">
                    <wp:posOffset>27305</wp:posOffset>
                  </wp:positionV>
                  <wp:extent cx="1755140" cy="867410"/>
                  <wp:effectExtent l="0" t="0" r="16510" b="8890"/>
                  <wp:wrapNone/>
                  <wp:docPr id="53" name="图片_19"/>
                  <wp:cNvGraphicFramePr/>
                  <a:graphic xmlns:a="http://schemas.openxmlformats.org/drawingml/2006/main">
                    <a:graphicData uri="http://schemas.openxmlformats.org/drawingml/2006/picture">
                      <pic:pic xmlns:pic="http://schemas.openxmlformats.org/drawingml/2006/picture">
                        <pic:nvPicPr>
                          <pic:cNvPr id="53" name="图片_19"/>
                          <pic:cNvPicPr/>
                        </pic:nvPicPr>
                        <pic:blipFill>
                          <a:blip r:embed="rId16"/>
                          <a:stretch>
                            <a:fillRect/>
                          </a:stretch>
                        </pic:blipFill>
                        <pic:spPr>
                          <a:xfrm>
                            <a:off x="0" y="0"/>
                            <a:ext cx="1755140" cy="86741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259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BD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437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112500.00</w:t>
            </w:r>
          </w:p>
        </w:tc>
      </w:tr>
      <w:tr w14:paraId="160E9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9A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7B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藕</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CE3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7CC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F931">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3360" behindDoc="0" locked="0" layoutInCell="1" allowOverlap="1">
                  <wp:simplePos x="0" y="0"/>
                  <wp:positionH relativeFrom="column">
                    <wp:posOffset>-18415</wp:posOffset>
                  </wp:positionH>
                  <wp:positionV relativeFrom="paragraph">
                    <wp:posOffset>-29210</wp:posOffset>
                  </wp:positionV>
                  <wp:extent cx="1755140" cy="856615"/>
                  <wp:effectExtent l="0" t="0" r="16510" b="635"/>
                  <wp:wrapNone/>
                  <wp:docPr id="23" name="图片_6"/>
                  <wp:cNvGraphicFramePr/>
                  <a:graphic xmlns:a="http://schemas.openxmlformats.org/drawingml/2006/main">
                    <a:graphicData uri="http://schemas.openxmlformats.org/drawingml/2006/picture">
                      <pic:pic xmlns:pic="http://schemas.openxmlformats.org/drawingml/2006/picture">
                        <pic:nvPicPr>
                          <pic:cNvPr id="23" name="图片_6"/>
                          <pic:cNvPicPr/>
                        </pic:nvPicPr>
                        <pic:blipFill>
                          <a:blip r:embed="rId17"/>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E0F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蔬菜新鲜，符合国家相关质量和食品安全标准要求，提供农残检验凭证，无病虫害，无黄叶、无泥沙，无腐烂、无变质，去根。品质不低于图片要求。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49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42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69800.00</w:t>
            </w:r>
          </w:p>
        </w:tc>
      </w:tr>
      <w:tr w14:paraId="4CE7C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77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48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洋芋</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43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6B71">
            <w:pPr>
              <w:keepNext w:val="0"/>
              <w:keepLines w:val="0"/>
              <w:widowControl/>
              <w:suppressLineNumbers w:val="0"/>
              <w:ind w:firstLine="220" w:firstLineChars="100"/>
              <w:jc w:val="both"/>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181EB">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4384" behindDoc="0" locked="0" layoutInCell="1" allowOverlap="1">
                  <wp:simplePos x="0" y="0"/>
                  <wp:positionH relativeFrom="column">
                    <wp:posOffset>-18415</wp:posOffset>
                  </wp:positionH>
                  <wp:positionV relativeFrom="paragraph">
                    <wp:posOffset>-71120</wp:posOffset>
                  </wp:positionV>
                  <wp:extent cx="1755140" cy="856615"/>
                  <wp:effectExtent l="0" t="0" r="16510" b="635"/>
                  <wp:wrapNone/>
                  <wp:docPr id="24" name="图片_5"/>
                  <wp:cNvGraphicFramePr/>
                  <a:graphic xmlns:a="http://schemas.openxmlformats.org/drawingml/2006/main">
                    <a:graphicData uri="http://schemas.openxmlformats.org/drawingml/2006/picture">
                      <pic:pic xmlns:pic="http://schemas.openxmlformats.org/drawingml/2006/picture">
                        <pic:nvPicPr>
                          <pic:cNvPr id="24" name="图片_5"/>
                          <pic:cNvPicPr/>
                        </pic:nvPicPr>
                        <pic:blipFill>
                          <a:blip r:embed="rId18"/>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825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蔬菜新鲜，符合国家相关质量和食品安全标准要求，提供农残检验凭证，无病虫害，无黄叶、无泥沙，无腐烂、无变质。品质不低于图片要求。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3EA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B4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78000.00</w:t>
            </w:r>
          </w:p>
        </w:tc>
      </w:tr>
      <w:tr w14:paraId="0AFAA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91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509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青椒</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A3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537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p w14:paraId="660979D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p w14:paraId="194E2D9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06A1C">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5408" behindDoc="0" locked="0" layoutInCell="1" allowOverlap="1">
                  <wp:simplePos x="0" y="0"/>
                  <wp:positionH relativeFrom="column">
                    <wp:posOffset>-29210</wp:posOffset>
                  </wp:positionH>
                  <wp:positionV relativeFrom="paragraph">
                    <wp:posOffset>-40640</wp:posOffset>
                  </wp:positionV>
                  <wp:extent cx="1755140" cy="845820"/>
                  <wp:effectExtent l="0" t="0" r="16510" b="11430"/>
                  <wp:wrapNone/>
                  <wp:docPr id="25" name="图片_14"/>
                  <wp:cNvGraphicFramePr/>
                  <a:graphic xmlns:a="http://schemas.openxmlformats.org/drawingml/2006/main">
                    <a:graphicData uri="http://schemas.openxmlformats.org/drawingml/2006/picture">
                      <pic:pic xmlns:pic="http://schemas.openxmlformats.org/drawingml/2006/picture">
                        <pic:nvPicPr>
                          <pic:cNvPr id="25" name="图片_14"/>
                          <pic:cNvPicPr/>
                        </pic:nvPicPr>
                        <pic:blipFill>
                          <a:blip r:embed="rId19"/>
                          <a:stretch>
                            <a:fillRect/>
                          </a:stretch>
                        </pic:blipFill>
                        <pic:spPr>
                          <a:xfrm>
                            <a:off x="0" y="0"/>
                            <a:ext cx="1755140"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70D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蔬菜新鲜，符合国家相关质量和食品安全标准要求，提供农残检验凭证，无病虫害，无黄叶、无泥沙，无腐烂、无变质，去根。品质不低于图片要求。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E2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1C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119000.00</w:t>
            </w:r>
          </w:p>
        </w:tc>
      </w:tr>
      <w:tr w14:paraId="5ABD0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DD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F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葱</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99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8E1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C3F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-22860</wp:posOffset>
                  </wp:positionH>
                  <wp:positionV relativeFrom="paragraph">
                    <wp:posOffset>32385</wp:posOffset>
                  </wp:positionV>
                  <wp:extent cx="1761490" cy="856615"/>
                  <wp:effectExtent l="0" t="0" r="10160" b="635"/>
                  <wp:wrapNone/>
                  <wp:docPr id="54" name="图片_107"/>
                  <wp:cNvGraphicFramePr/>
                  <a:graphic xmlns:a="http://schemas.openxmlformats.org/drawingml/2006/main">
                    <a:graphicData uri="http://schemas.openxmlformats.org/drawingml/2006/picture">
                      <pic:pic xmlns:pic="http://schemas.openxmlformats.org/drawingml/2006/picture">
                        <pic:nvPicPr>
                          <pic:cNvPr id="54" name="图片_107"/>
                          <pic:cNvPicPr/>
                        </pic:nvPicPr>
                        <pic:blipFill>
                          <a:blip r:embed="rId20"/>
                          <a:stretch>
                            <a:fillRect/>
                          </a:stretch>
                        </pic:blipFill>
                        <pic:spPr>
                          <a:xfrm>
                            <a:off x="0" y="0"/>
                            <a:ext cx="176149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CE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蔬菜新鲜，符合国家相关质量和食品安全标准要求，提供农残检验凭证，无病虫害，无黄叶、无泥沙，无腐烂、变质，去根。品质不低于图片要求。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BE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AE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44460.00</w:t>
            </w:r>
          </w:p>
        </w:tc>
      </w:tr>
      <w:tr w14:paraId="2F3D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73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C1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芹菜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96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90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p w14:paraId="27EF553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p w14:paraId="15AA438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229B">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drawing>
                <wp:anchor distT="0" distB="0" distL="114300" distR="114300" simplePos="0" relativeHeight="251666432" behindDoc="0" locked="0" layoutInCell="1" allowOverlap="1">
                  <wp:simplePos x="0" y="0"/>
                  <wp:positionH relativeFrom="column">
                    <wp:posOffset>-7620</wp:posOffset>
                  </wp:positionH>
                  <wp:positionV relativeFrom="paragraph">
                    <wp:posOffset>-134620</wp:posOffset>
                  </wp:positionV>
                  <wp:extent cx="1755140" cy="856615"/>
                  <wp:effectExtent l="0" t="0" r="16510" b="635"/>
                  <wp:wrapNone/>
                  <wp:docPr id="26" name="图片_16"/>
                  <wp:cNvGraphicFramePr/>
                  <a:graphic xmlns:a="http://schemas.openxmlformats.org/drawingml/2006/main">
                    <a:graphicData uri="http://schemas.openxmlformats.org/drawingml/2006/picture">
                      <pic:pic xmlns:pic="http://schemas.openxmlformats.org/drawingml/2006/picture">
                        <pic:nvPicPr>
                          <pic:cNvPr id="26" name="图片_16"/>
                          <pic:cNvPicPr/>
                        </pic:nvPicPr>
                        <pic:blipFill>
                          <a:blip r:embed="rId21"/>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57A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65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72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65000.00</w:t>
            </w:r>
          </w:p>
        </w:tc>
      </w:tr>
      <w:tr w14:paraId="48A06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5C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CEF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削皮冬瓜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91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55A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F1F7">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59264" behindDoc="0" locked="0" layoutInCell="1" allowOverlap="1">
                  <wp:simplePos x="0" y="0"/>
                  <wp:positionH relativeFrom="column">
                    <wp:posOffset>-27940</wp:posOffset>
                  </wp:positionH>
                  <wp:positionV relativeFrom="paragraph">
                    <wp:posOffset>-29210</wp:posOffset>
                  </wp:positionV>
                  <wp:extent cx="1795780" cy="856615"/>
                  <wp:effectExtent l="0" t="0" r="13970" b="635"/>
                  <wp:wrapNone/>
                  <wp:docPr id="58" name="图片_126"/>
                  <wp:cNvGraphicFramePr/>
                  <a:graphic xmlns:a="http://schemas.openxmlformats.org/drawingml/2006/main">
                    <a:graphicData uri="http://schemas.openxmlformats.org/drawingml/2006/picture">
                      <pic:pic xmlns:pic="http://schemas.openxmlformats.org/drawingml/2006/picture">
                        <pic:nvPicPr>
                          <pic:cNvPr id="58" name="图片_126"/>
                          <pic:cNvPicPr/>
                        </pic:nvPicPr>
                        <pic:blipFill>
                          <a:blip r:embed="rId22"/>
                          <a:stretch>
                            <a:fillRect/>
                          </a:stretch>
                        </pic:blipFill>
                        <pic:spPr>
                          <a:xfrm>
                            <a:off x="0" y="0"/>
                            <a:ext cx="179578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0A98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蔬菜新鲜，符合国家相关质量和食品安全标准要求，提供农残检验凭证，无病虫害，无黄叶、无泥沙，无腐烂、无变质，削皮。</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995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F0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14950.00</w:t>
            </w:r>
          </w:p>
        </w:tc>
      </w:tr>
      <w:tr w14:paraId="1E8D2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BF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81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D9F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946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1B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22860</wp:posOffset>
                  </wp:positionH>
                  <wp:positionV relativeFrom="paragraph">
                    <wp:posOffset>10795</wp:posOffset>
                  </wp:positionV>
                  <wp:extent cx="1755140" cy="856615"/>
                  <wp:effectExtent l="0" t="0" r="16510" b="635"/>
                  <wp:wrapNone/>
                  <wp:docPr id="61" name="图片_3084"/>
                  <wp:cNvGraphicFramePr/>
                  <a:graphic xmlns:a="http://schemas.openxmlformats.org/drawingml/2006/main">
                    <a:graphicData uri="http://schemas.openxmlformats.org/drawingml/2006/picture">
                      <pic:pic xmlns:pic="http://schemas.openxmlformats.org/drawingml/2006/picture">
                        <pic:nvPicPr>
                          <pic:cNvPr id="61" name="图片_3084"/>
                          <pic:cNvPicPr/>
                        </pic:nvPicPr>
                        <pic:blipFill>
                          <a:blip r:embed="rId23"/>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315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C3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8F8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69600.00</w:t>
            </w:r>
          </w:p>
        </w:tc>
      </w:tr>
      <w:tr w14:paraId="7AC52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101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E6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番茄</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FC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AC8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480E">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-45085</wp:posOffset>
                  </wp:positionH>
                  <wp:positionV relativeFrom="paragraph">
                    <wp:posOffset>12700</wp:posOffset>
                  </wp:positionV>
                  <wp:extent cx="1808480" cy="856615"/>
                  <wp:effectExtent l="0" t="0" r="1270" b="635"/>
                  <wp:wrapNone/>
                  <wp:docPr id="70" name="图片_84"/>
                  <wp:cNvGraphicFramePr/>
                  <a:graphic xmlns:a="http://schemas.openxmlformats.org/drawingml/2006/main">
                    <a:graphicData uri="http://schemas.openxmlformats.org/drawingml/2006/picture">
                      <pic:pic xmlns:pic="http://schemas.openxmlformats.org/drawingml/2006/picture">
                        <pic:nvPicPr>
                          <pic:cNvPr id="70" name="图片_84"/>
                          <pic:cNvPicPr/>
                        </pic:nvPicPr>
                        <pic:blipFill>
                          <a:blip r:embed="rId24"/>
                          <a:stretch>
                            <a:fillRect/>
                          </a:stretch>
                        </pic:blipFill>
                        <pic:spPr>
                          <a:xfrm>
                            <a:off x="0" y="0"/>
                            <a:ext cx="180848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2C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19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29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150000.00</w:t>
            </w:r>
          </w:p>
        </w:tc>
      </w:tr>
      <w:tr w14:paraId="447BC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59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C21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黄瓜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E57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92F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9AA9">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59264" behindDoc="0" locked="0" layoutInCell="1" allowOverlap="1">
                  <wp:simplePos x="0" y="0"/>
                  <wp:positionH relativeFrom="column">
                    <wp:posOffset>-46990</wp:posOffset>
                  </wp:positionH>
                  <wp:positionV relativeFrom="paragraph">
                    <wp:posOffset>-33655</wp:posOffset>
                  </wp:positionV>
                  <wp:extent cx="1838960" cy="845820"/>
                  <wp:effectExtent l="0" t="0" r="8890" b="11430"/>
                  <wp:wrapNone/>
                  <wp:docPr id="64" name="图片_122"/>
                  <wp:cNvGraphicFramePr/>
                  <a:graphic xmlns:a="http://schemas.openxmlformats.org/drawingml/2006/main">
                    <a:graphicData uri="http://schemas.openxmlformats.org/drawingml/2006/picture">
                      <pic:pic xmlns:pic="http://schemas.openxmlformats.org/drawingml/2006/picture">
                        <pic:nvPicPr>
                          <pic:cNvPr id="64" name="图片_122"/>
                          <pic:cNvPicPr/>
                        </pic:nvPicPr>
                        <pic:blipFill>
                          <a:blip r:embed="rId25"/>
                          <a:stretch>
                            <a:fillRect/>
                          </a:stretch>
                        </pic:blipFill>
                        <pic:spPr>
                          <a:xfrm>
                            <a:off x="0" y="0"/>
                            <a:ext cx="1838960"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75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35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73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74000.00</w:t>
            </w:r>
          </w:p>
        </w:tc>
      </w:tr>
      <w:tr w14:paraId="36987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FB9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3A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丰收瓜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2D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D9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786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-62230</wp:posOffset>
                  </wp:positionH>
                  <wp:positionV relativeFrom="paragraph">
                    <wp:posOffset>19685</wp:posOffset>
                  </wp:positionV>
                  <wp:extent cx="1826260" cy="845185"/>
                  <wp:effectExtent l="0" t="0" r="2540" b="12065"/>
                  <wp:wrapNone/>
                  <wp:docPr id="72" name="图片_81"/>
                  <wp:cNvGraphicFramePr/>
                  <a:graphic xmlns:a="http://schemas.openxmlformats.org/drawingml/2006/main">
                    <a:graphicData uri="http://schemas.openxmlformats.org/drawingml/2006/picture">
                      <pic:pic xmlns:pic="http://schemas.openxmlformats.org/drawingml/2006/picture">
                        <pic:nvPicPr>
                          <pic:cNvPr id="72" name="图片_81"/>
                          <pic:cNvPicPr/>
                        </pic:nvPicPr>
                        <pic:blipFill>
                          <a:blip r:embed="rId26"/>
                          <a:stretch>
                            <a:fillRect/>
                          </a:stretch>
                        </pic:blipFill>
                        <pic:spPr>
                          <a:xfrm>
                            <a:off x="0" y="0"/>
                            <a:ext cx="1826260" cy="84518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379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2D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7C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33000.00</w:t>
            </w:r>
          </w:p>
        </w:tc>
      </w:tr>
      <w:tr w14:paraId="31126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51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B5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胡萝卜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39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20000.3</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DD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DD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-42545</wp:posOffset>
                  </wp:positionH>
                  <wp:positionV relativeFrom="paragraph">
                    <wp:posOffset>36830</wp:posOffset>
                  </wp:positionV>
                  <wp:extent cx="1797050" cy="856615"/>
                  <wp:effectExtent l="0" t="0" r="12700" b="635"/>
                  <wp:wrapNone/>
                  <wp:docPr id="60" name="图片_77"/>
                  <wp:cNvGraphicFramePr/>
                  <a:graphic xmlns:a="http://schemas.openxmlformats.org/drawingml/2006/main">
                    <a:graphicData uri="http://schemas.openxmlformats.org/drawingml/2006/picture">
                      <pic:pic xmlns:pic="http://schemas.openxmlformats.org/drawingml/2006/picture">
                        <pic:nvPicPr>
                          <pic:cNvPr id="60" name="图片_77"/>
                          <pic:cNvPicPr/>
                        </pic:nvPicPr>
                        <pic:blipFill>
                          <a:blip r:embed="rId27"/>
                          <a:stretch>
                            <a:fillRect/>
                          </a:stretch>
                        </pic:blipFill>
                        <pic:spPr>
                          <a:xfrm>
                            <a:off x="0" y="0"/>
                            <a:ext cx="179705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E4B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28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04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60000.90</w:t>
            </w:r>
          </w:p>
        </w:tc>
      </w:tr>
      <w:tr w14:paraId="23E7E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5A0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E8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洋葱</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4E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AF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D44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-19685</wp:posOffset>
                  </wp:positionH>
                  <wp:positionV relativeFrom="paragraph">
                    <wp:posOffset>10795</wp:posOffset>
                  </wp:positionV>
                  <wp:extent cx="1799590" cy="856615"/>
                  <wp:effectExtent l="0" t="0" r="10160" b="635"/>
                  <wp:wrapNone/>
                  <wp:docPr id="62" name="图片_125"/>
                  <wp:cNvGraphicFramePr/>
                  <a:graphic xmlns:a="http://schemas.openxmlformats.org/drawingml/2006/main">
                    <a:graphicData uri="http://schemas.openxmlformats.org/drawingml/2006/picture">
                      <pic:pic xmlns:pic="http://schemas.openxmlformats.org/drawingml/2006/picture">
                        <pic:nvPicPr>
                          <pic:cNvPr id="62" name="图片_125"/>
                          <pic:cNvPicPr/>
                        </pic:nvPicPr>
                        <pic:blipFill>
                          <a:blip r:embed="rId28"/>
                          <a:stretch>
                            <a:fillRect/>
                          </a:stretch>
                        </pic:blipFill>
                        <pic:spPr>
                          <a:xfrm>
                            <a:off x="0" y="0"/>
                            <a:ext cx="179959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26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4B0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DB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10000.00</w:t>
            </w:r>
          </w:p>
        </w:tc>
      </w:tr>
      <w:tr w14:paraId="369C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77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CE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薄荷</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A7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EB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03F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2540</wp:posOffset>
                  </wp:positionH>
                  <wp:positionV relativeFrom="paragraph">
                    <wp:posOffset>2540</wp:posOffset>
                  </wp:positionV>
                  <wp:extent cx="1793240" cy="856615"/>
                  <wp:effectExtent l="0" t="0" r="16510" b="635"/>
                  <wp:wrapNone/>
                  <wp:docPr id="65" name="图片_82"/>
                  <wp:cNvGraphicFramePr/>
                  <a:graphic xmlns:a="http://schemas.openxmlformats.org/drawingml/2006/main">
                    <a:graphicData uri="http://schemas.openxmlformats.org/drawingml/2006/picture">
                      <pic:pic xmlns:pic="http://schemas.openxmlformats.org/drawingml/2006/picture">
                        <pic:nvPicPr>
                          <pic:cNvPr id="65" name="图片_82"/>
                          <pic:cNvPicPr/>
                        </pic:nvPicPr>
                        <pic:blipFill>
                          <a:blip r:embed="rId29"/>
                          <a:stretch>
                            <a:fillRect/>
                          </a:stretch>
                        </pic:blipFill>
                        <pic:spPr>
                          <a:xfrm>
                            <a:off x="0" y="0"/>
                            <a:ext cx="17932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5C3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95D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27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4000.00</w:t>
            </w:r>
          </w:p>
        </w:tc>
      </w:tr>
      <w:tr w14:paraId="5700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74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6C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C4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53B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402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-1905</wp:posOffset>
                  </wp:positionH>
                  <wp:positionV relativeFrom="paragraph">
                    <wp:posOffset>2540</wp:posOffset>
                  </wp:positionV>
                  <wp:extent cx="1806575" cy="856615"/>
                  <wp:effectExtent l="0" t="0" r="3175" b="635"/>
                  <wp:wrapNone/>
                  <wp:docPr id="66" name="图片_123"/>
                  <wp:cNvGraphicFramePr/>
                  <a:graphic xmlns:a="http://schemas.openxmlformats.org/drawingml/2006/main">
                    <a:graphicData uri="http://schemas.openxmlformats.org/drawingml/2006/picture">
                      <pic:pic xmlns:pic="http://schemas.openxmlformats.org/drawingml/2006/picture">
                        <pic:nvPicPr>
                          <pic:cNvPr id="66" name="图片_123"/>
                          <pic:cNvPicPr/>
                        </pic:nvPicPr>
                        <pic:blipFill>
                          <a:blip r:embed="rId30"/>
                          <a:stretch>
                            <a:fillRect/>
                          </a:stretch>
                        </pic:blipFill>
                        <pic:spPr>
                          <a:xfrm>
                            <a:off x="0" y="0"/>
                            <a:ext cx="1806575"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F4F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36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3D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5600.00</w:t>
            </w:r>
          </w:p>
        </w:tc>
      </w:tr>
      <w:tr w14:paraId="63D65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21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89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C6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7800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C40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541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-15240</wp:posOffset>
                  </wp:positionH>
                  <wp:positionV relativeFrom="paragraph">
                    <wp:posOffset>8255</wp:posOffset>
                  </wp:positionV>
                  <wp:extent cx="1786255" cy="867410"/>
                  <wp:effectExtent l="0" t="0" r="4445" b="8890"/>
                  <wp:wrapNone/>
                  <wp:docPr id="59" name="图片_109"/>
                  <wp:cNvGraphicFramePr/>
                  <a:graphic xmlns:a="http://schemas.openxmlformats.org/drawingml/2006/main">
                    <a:graphicData uri="http://schemas.openxmlformats.org/drawingml/2006/picture">
                      <pic:pic xmlns:pic="http://schemas.openxmlformats.org/drawingml/2006/picture">
                        <pic:nvPicPr>
                          <pic:cNvPr id="59" name="图片_109"/>
                          <pic:cNvPicPr/>
                        </pic:nvPicPr>
                        <pic:blipFill>
                          <a:blip r:embed="rId31"/>
                          <a:stretch>
                            <a:fillRect/>
                          </a:stretch>
                        </pic:blipFill>
                        <pic:spPr>
                          <a:xfrm>
                            <a:off x="0" y="0"/>
                            <a:ext cx="1786255" cy="86741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B1C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A4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8.25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8E3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64350.00</w:t>
            </w:r>
          </w:p>
        </w:tc>
      </w:tr>
      <w:tr w14:paraId="4A5FD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BD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DB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F0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D82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179E">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-5715</wp:posOffset>
                  </wp:positionH>
                  <wp:positionV relativeFrom="paragraph">
                    <wp:posOffset>1905</wp:posOffset>
                  </wp:positionV>
                  <wp:extent cx="1793240" cy="845820"/>
                  <wp:effectExtent l="0" t="0" r="16510" b="11430"/>
                  <wp:wrapNone/>
                  <wp:docPr id="67" name="图片_110"/>
                  <wp:cNvGraphicFramePr/>
                  <a:graphic xmlns:a="http://schemas.openxmlformats.org/drawingml/2006/main">
                    <a:graphicData uri="http://schemas.openxmlformats.org/drawingml/2006/picture">
                      <pic:pic xmlns:pic="http://schemas.openxmlformats.org/drawingml/2006/picture">
                        <pic:nvPicPr>
                          <pic:cNvPr id="67" name="图片_110"/>
                          <pic:cNvPicPr/>
                        </pic:nvPicPr>
                        <pic:blipFill>
                          <a:blip r:embed="rId32"/>
                          <a:stretch>
                            <a:fillRect/>
                          </a:stretch>
                        </pic:blipFill>
                        <pic:spPr>
                          <a:xfrm>
                            <a:off x="0" y="0"/>
                            <a:ext cx="1793240"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07D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F84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11.99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BB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2398.00</w:t>
            </w:r>
          </w:p>
        </w:tc>
      </w:tr>
      <w:tr w14:paraId="6EDE0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C8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9A4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小米辣</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47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BC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4D4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-22225</wp:posOffset>
                  </wp:positionH>
                  <wp:positionV relativeFrom="paragraph">
                    <wp:posOffset>26670</wp:posOffset>
                  </wp:positionV>
                  <wp:extent cx="1760220" cy="856615"/>
                  <wp:effectExtent l="0" t="0" r="11430" b="635"/>
                  <wp:wrapNone/>
                  <wp:docPr id="68" name="图片_80"/>
                  <wp:cNvGraphicFramePr/>
                  <a:graphic xmlns:a="http://schemas.openxmlformats.org/drawingml/2006/main">
                    <a:graphicData uri="http://schemas.openxmlformats.org/drawingml/2006/picture">
                      <pic:pic xmlns:pic="http://schemas.openxmlformats.org/drawingml/2006/picture">
                        <pic:nvPicPr>
                          <pic:cNvPr id="68" name="图片_80"/>
                          <pic:cNvPicPr/>
                        </pic:nvPicPr>
                        <pic:blipFill>
                          <a:blip r:embed="rId33"/>
                          <a:stretch>
                            <a:fillRect/>
                          </a:stretch>
                        </pic:blipFill>
                        <pic:spPr>
                          <a:xfrm>
                            <a:off x="0" y="0"/>
                            <a:ext cx="176022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1B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B25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13.95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24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6975.00</w:t>
            </w:r>
          </w:p>
        </w:tc>
      </w:tr>
      <w:tr w14:paraId="6261A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579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518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蒜苗</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5A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D5C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C7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49425" cy="867410"/>
                  <wp:effectExtent l="0" t="0" r="3175" b="8890"/>
                  <wp:wrapNone/>
                  <wp:docPr id="56" name="图片_24"/>
                  <wp:cNvGraphicFramePr/>
                  <a:graphic xmlns:a="http://schemas.openxmlformats.org/drawingml/2006/main">
                    <a:graphicData uri="http://schemas.openxmlformats.org/drawingml/2006/picture">
                      <pic:pic xmlns:pic="http://schemas.openxmlformats.org/drawingml/2006/picture">
                        <pic:nvPicPr>
                          <pic:cNvPr id="56" name="图片_24"/>
                          <pic:cNvPicPr/>
                        </pic:nvPicPr>
                        <pic:blipFill>
                          <a:blip r:embed="rId34"/>
                          <a:stretch>
                            <a:fillRect/>
                          </a:stretch>
                        </pic:blipFill>
                        <pic:spPr>
                          <a:xfrm>
                            <a:off x="0" y="0"/>
                            <a:ext cx="1749425" cy="86741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067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BE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60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10650.00</w:t>
            </w:r>
          </w:p>
        </w:tc>
      </w:tr>
      <w:tr w14:paraId="548B1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46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54A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白花菜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E3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997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63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33655</wp:posOffset>
                  </wp:positionH>
                  <wp:positionV relativeFrom="paragraph">
                    <wp:posOffset>24130</wp:posOffset>
                  </wp:positionV>
                  <wp:extent cx="1755140" cy="856615"/>
                  <wp:effectExtent l="0" t="0" r="16510" b="635"/>
                  <wp:wrapNone/>
                  <wp:docPr id="57" name="图片_3092"/>
                  <wp:cNvGraphicFramePr/>
                  <a:graphic xmlns:a="http://schemas.openxmlformats.org/drawingml/2006/main">
                    <a:graphicData uri="http://schemas.openxmlformats.org/drawingml/2006/picture">
                      <pic:pic xmlns:pic="http://schemas.openxmlformats.org/drawingml/2006/picture">
                        <pic:nvPicPr>
                          <pic:cNvPr id="57" name="图片_3092"/>
                          <pic:cNvPicPr/>
                        </pic:nvPicPr>
                        <pic:blipFill>
                          <a:blip r:embed="rId35"/>
                          <a:stretch>
                            <a:fillRect/>
                          </a:stretch>
                        </pic:blipFill>
                        <pic:spPr>
                          <a:xfrm>
                            <a:off x="0" y="0"/>
                            <a:ext cx="175514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15C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D1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30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10000.00</w:t>
            </w:r>
          </w:p>
        </w:tc>
      </w:tr>
      <w:tr w14:paraId="3D52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E5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9C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韭菜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B3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37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96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-49530</wp:posOffset>
                  </wp:positionH>
                  <wp:positionV relativeFrom="paragraph">
                    <wp:posOffset>38100</wp:posOffset>
                  </wp:positionV>
                  <wp:extent cx="1783080" cy="856615"/>
                  <wp:effectExtent l="0" t="0" r="7620" b="635"/>
                  <wp:wrapNone/>
                  <wp:docPr id="63" name="图片_111"/>
                  <wp:cNvGraphicFramePr/>
                  <a:graphic xmlns:a="http://schemas.openxmlformats.org/drawingml/2006/main">
                    <a:graphicData uri="http://schemas.openxmlformats.org/drawingml/2006/picture">
                      <pic:pic xmlns:pic="http://schemas.openxmlformats.org/drawingml/2006/picture">
                        <pic:nvPicPr>
                          <pic:cNvPr id="63" name="图片_111"/>
                          <pic:cNvPicPr/>
                        </pic:nvPicPr>
                        <pic:blipFill>
                          <a:blip r:embed="rId36"/>
                          <a:stretch>
                            <a:fillRect/>
                          </a:stretch>
                        </pic:blipFill>
                        <pic:spPr>
                          <a:xfrm>
                            <a:off x="0" y="0"/>
                            <a:ext cx="1783080" cy="8566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EA6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9E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446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20250.00</w:t>
            </w:r>
          </w:p>
        </w:tc>
      </w:tr>
      <w:tr w14:paraId="3F7E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C2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AE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茄子</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8A4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E6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D7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-62230</wp:posOffset>
                  </wp:positionH>
                  <wp:positionV relativeFrom="paragraph">
                    <wp:posOffset>8890</wp:posOffset>
                  </wp:positionV>
                  <wp:extent cx="1806575" cy="845820"/>
                  <wp:effectExtent l="0" t="0" r="3175" b="11430"/>
                  <wp:wrapNone/>
                  <wp:docPr id="69" name="图片_78"/>
                  <wp:cNvGraphicFramePr/>
                  <a:graphic xmlns:a="http://schemas.openxmlformats.org/drawingml/2006/main">
                    <a:graphicData uri="http://schemas.openxmlformats.org/drawingml/2006/picture">
                      <pic:pic xmlns:pic="http://schemas.openxmlformats.org/drawingml/2006/picture">
                        <pic:nvPicPr>
                          <pic:cNvPr id="69" name="图片_78"/>
                          <pic:cNvPicPr/>
                        </pic:nvPicPr>
                        <pic:blipFill>
                          <a:blip r:embed="rId37"/>
                          <a:stretch>
                            <a:fillRect/>
                          </a:stretch>
                        </pic:blipFill>
                        <pic:spPr>
                          <a:xfrm>
                            <a:off x="0" y="0"/>
                            <a:ext cx="1806575" cy="84582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177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3A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47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111250.00</w:t>
            </w:r>
          </w:p>
        </w:tc>
      </w:tr>
      <w:tr w14:paraId="13E1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30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25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青菜</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7E8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138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FF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FF"/>
                <w:lang w:val="en-US" w:eastAsia="zh-CN" w:bidi="ar"/>
              </w:rPr>
              <w:drawing>
                <wp:anchor distT="0" distB="0" distL="114300" distR="114300" simplePos="0" relativeHeight="251659264" behindDoc="0" locked="0" layoutInCell="1" allowOverlap="1">
                  <wp:simplePos x="0" y="0"/>
                  <wp:positionH relativeFrom="column">
                    <wp:posOffset>-27940</wp:posOffset>
                  </wp:positionH>
                  <wp:positionV relativeFrom="paragraph">
                    <wp:posOffset>18415</wp:posOffset>
                  </wp:positionV>
                  <wp:extent cx="1793240" cy="600710"/>
                  <wp:effectExtent l="0" t="0" r="16510" b="8890"/>
                  <wp:wrapNone/>
                  <wp:docPr id="71" name="图片_79"/>
                  <wp:cNvGraphicFramePr/>
                  <a:graphic xmlns:a="http://schemas.openxmlformats.org/drawingml/2006/main">
                    <a:graphicData uri="http://schemas.openxmlformats.org/drawingml/2006/picture">
                      <pic:pic xmlns:pic="http://schemas.openxmlformats.org/drawingml/2006/picture">
                        <pic:nvPicPr>
                          <pic:cNvPr id="71" name="图片_79"/>
                          <pic:cNvPicPr/>
                        </pic:nvPicPr>
                        <pic:blipFill>
                          <a:blip r:embed="rId38"/>
                          <a:stretch>
                            <a:fillRect/>
                          </a:stretch>
                        </pic:blipFill>
                        <pic:spPr>
                          <a:xfrm>
                            <a:off x="0" y="0"/>
                            <a:ext cx="1793240" cy="60071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6DF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64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9C4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108920.00</w:t>
            </w:r>
          </w:p>
        </w:tc>
      </w:tr>
      <w:tr w14:paraId="790B0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DAD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E1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魔芋豆腐</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FA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7500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75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9800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-31750</wp:posOffset>
                  </wp:positionH>
                  <wp:positionV relativeFrom="paragraph">
                    <wp:posOffset>29845</wp:posOffset>
                  </wp:positionV>
                  <wp:extent cx="1733550" cy="732790"/>
                  <wp:effectExtent l="0" t="0" r="0" b="10160"/>
                  <wp:wrapNone/>
                  <wp:docPr id="49" name="图片_9"/>
                  <wp:cNvGraphicFramePr/>
                  <a:graphic xmlns:a="http://schemas.openxmlformats.org/drawingml/2006/main">
                    <a:graphicData uri="http://schemas.openxmlformats.org/drawingml/2006/picture">
                      <pic:pic xmlns:pic="http://schemas.openxmlformats.org/drawingml/2006/picture">
                        <pic:nvPicPr>
                          <pic:cNvPr id="49" name="图片_9"/>
                          <pic:cNvPicPr/>
                        </pic:nvPicPr>
                        <pic:blipFill>
                          <a:blip r:embed="rId39"/>
                          <a:stretch>
                            <a:fillRect/>
                          </a:stretch>
                        </pic:blipFill>
                        <pic:spPr>
                          <a:xfrm>
                            <a:off x="0" y="0"/>
                            <a:ext cx="1733550" cy="73279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E7D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新鲜，符合国家相关质量和食品安全标准要求，无杂质、无腐烂、变质和异味。</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BA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AC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60000.00</w:t>
            </w:r>
          </w:p>
        </w:tc>
      </w:tr>
      <w:tr w14:paraId="581B2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9F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FF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玉米</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F6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669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CE9A">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68480" behindDoc="0" locked="0" layoutInCell="1" allowOverlap="1">
                  <wp:simplePos x="0" y="0"/>
                  <wp:positionH relativeFrom="column">
                    <wp:posOffset>55245</wp:posOffset>
                  </wp:positionH>
                  <wp:positionV relativeFrom="paragraph">
                    <wp:posOffset>42545</wp:posOffset>
                  </wp:positionV>
                  <wp:extent cx="1705610" cy="847725"/>
                  <wp:effectExtent l="0" t="0" r="0" b="9525"/>
                  <wp:wrapNone/>
                  <wp:docPr id="29" name="图片_17_SpCnt_1"/>
                  <wp:cNvGraphicFramePr/>
                  <a:graphic xmlns:a="http://schemas.openxmlformats.org/drawingml/2006/main">
                    <a:graphicData uri="http://schemas.openxmlformats.org/drawingml/2006/picture">
                      <pic:pic xmlns:pic="http://schemas.openxmlformats.org/drawingml/2006/picture">
                        <pic:nvPicPr>
                          <pic:cNvPr id="29" name="图片_17_SpCnt_1"/>
                          <pic:cNvPicPr/>
                        </pic:nvPicPr>
                        <pic:blipFill>
                          <a:blip r:embed="rId40"/>
                          <a:stretch>
                            <a:fillRect/>
                          </a:stretch>
                        </pic:blipFill>
                        <pic:spPr>
                          <a:xfrm>
                            <a:off x="0" y="0"/>
                            <a:ext cx="1705610" cy="847725"/>
                          </a:xfrm>
                          <a:prstGeom prst="rect">
                            <a:avLst/>
                          </a:prstGeom>
                          <a:noFill/>
                          <a:ln>
                            <a:noFill/>
                          </a:ln>
                        </pic:spPr>
                      </pic:pic>
                    </a:graphicData>
                  </a:graphic>
                </wp:anchor>
              </w:drawing>
            </w: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59264" behindDoc="0" locked="0" layoutInCell="1" allowOverlap="1">
                  <wp:simplePos x="0" y="0"/>
                  <wp:positionH relativeFrom="column">
                    <wp:posOffset>123825</wp:posOffset>
                  </wp:positionH>
                  <wp:positionV relativeFrom="paragraph">
                    <wp:posOffset>-6985</wp:posOffset>
                  </wp:positionV>
                  <wp:extent cx="1705610" cy="847725"/>
                  <wp:effectExtent l="0" t="0" r="0" b="9525"/>
                  <wp:wrapNone/>
                  <wp:docPr id="48" name="图片_17_SpCnt_1"/>
                  <wp:cNvGraphicFramePr/>
                  <a:graphic xmlns:a="http://schemas.openxmlformats.org/drawingml/2006/main">
                    <a:graphicData uri="http://schemas.openxmlformats.org/drawingml/2006/picture">
                      <pic:pic xmlns:pic="http://schemas.openxmlformats.org/drawingml/2006/picture">
                        <pic:nvPicPr>
                          <pic:cNvPr id="48" name="图片_17_SpCnt_1"/>
                          <pic:cNvPicPr/>
                        </pic:nvPicPr>
                        <pic:blipFill>
                          <a:blip r:embed="rId41"/>
                          <a:stretch>
                            <a:fillRect/>
                          </a:stretch>
                        </pic:blipFill>
                        <pic:spPr>
                          <a:xfrm>
                            <a:off x="0" y="0"/>
                            <a:ext cx="1705610" cy="84772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DB0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3A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6C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22500.00</w:t>
            </w:r>
          </w:p>
        </w:tc>
      </w:tr>
      <w:tr w14:paraId="395E0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25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58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红薯</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28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4403 </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8D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77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11430</wp:posOffset>
                  </wp:positionV>
                  <wp:extent cx="1221740" cy="819150"/>
                  <wp:effectExtent l="0" t="0" r="16510" b="0"/>
                  <wp:wrapNone/>
                  <wp:docPr id="44" name="图片_22"/>
                  <wp:cNvGraphicFramePr/>
                  <a:graphic xmlns:a="http://schemas.openxmlformats.org/drawingml/2006/main">
                    <a:graphicData uri="http://schemas.openxmlformats.org/drawingml/2006/picture">
                      <pic:pic xmlns:pic="http://schemas.openxmlformats.org/drawingml/2006/picture">
                        <pic:nvPicPr>
                          <pic:cNvPr id="44" name="图片_22"/>
                          <pic:cNvPicPr/>
                        </pic:nvPicPr>
                        <pic:blipFill>
                          <a:blip r:embed="rId42"/>
                          <a:stretch>
                            <a:fillRect/>
                          </a:stretch>
                        </pic:blipFill>
                        <pic:spPr>
                          <a:xfrm>
                            <a:off x="0" y="0"/>
                            <a:ext cx="1221740" cy="81915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D22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13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6F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15410.50</w:t>
            </w:r>
          </w:p>
        </w:tc>
      </w:tr>
      <w:tr w14:paraId="7F3BF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EB8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1061" w:type="dxa"/>
            <w:tcBorders>
              <w:top w:val="nil"/>
              <w:left w:val="nil"/>
              <w:bottom w:val="nil"/>
              <w:right w:val="nil"/>
            </w:tcBorders>
            <w:shd w:val="clear" w:color="auto" w:fill="auto"/>
            <w:noWrap/>
            <w:vAlign w:val="center"/>
          </w:tcPr>
          <w:p w14:paraId="35F2FF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蒜苔</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1FA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9990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52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839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177165</wp:posOffset>
                  </wp:positionH>
                  <wp:positionV relativeFrom="paragraph">
                    <wp:posOffset>10795</wp:posOffset>
                  </wp:positionV>
                  <wp:extent cx="1236345" cy="818515"/>
                  <wp:effectExtent l="0" t="0" r="1905" b="635"/>
                  <wp:wrapNone/>
                  <wp:docPr id="45" name="图片_23"/>
                  <wp:cNvGraphicFramePr/>
                  <a:graphic xmlns:a="http://schemas.openxmlformats.org/drawingml/2006/main">
                    <a:graphicData uri="http://schemas.openxmlformats.org/drawingml/2006/picture">
                      <pic:pic xmlns:pic="http://schemas.openxmlformats.org/drawingml/2006/picture">
                        <pic:nvPicPr>
                          <pic:cNvPr id="45" name="图片_23"/>
                          <pic:cNvPicPr/>
                        </pic:nvPicPr>
                        <pic:blipFill>
                          <a:blip r:embed="rId43"/>
                          <a:stretch>
                            <a:fillRect/>
                          </a:stretch>
                        </pic:blipFill>
                        <pic:spPr>
                          <a:xfrm>
                            <a:off x="0" y="0"/>
                            <a:ext cx="1236345" cy="818515"/>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423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蔬菜新鲜，符合国家相关质量和食品安全标准要求，提供农残检验凭证，无病虫害，无黄叶、无泥沙，无腐烂、无变质，去根。</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BA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9.44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EA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94305.60</w:t>
            </w:r>
          </w:p>
        </w:tc>
      </w:tr>
      <w:tr w14:paraId="231C7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A9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49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鲜鸡蛋</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03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35000 </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F6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69504" behindDoc="0" locked="0" layoutInCell="1" allowOverlap="1">
                  <wp:simplePos x="0" y="0"/>
                  <wp:positionH relativeFrom="column">
                    <wp:posOffset>685165</wp:posOffset>
                  </wp:positionH>
                  <wp:positionV relativeFrom="paragraph">
                    <wp:posOffset>894715</wp:posOffset>
                  </wp:positionV>
                  <wp:extent cx="1720215" cy="779780"/>
                  <wp:effectExtent l="0" t="0" r="13335" b="1270"/>
                  <wp:wrapNone/>
                  <wp:docPr id="30" name="图片_16_SpCnt_1"/>
                  <wp:cNvGraphicFramePr/>
                  <a:graphic xmlns:a="http://schemas.openxmlformats.org/drawingml/2006/main">
                    <a:graphicData uri="http://schemas.openxmlformats.org/drawingml/2006/picture">
                      <pic:pic xmlns:pic="http://schemas.openxmlformats.org/drawingml/2006/picture">
                        <pic:nvPicPr>
                          <pic:cNvPr id="30" name="图片_16_SpCnt_1"/>
                          <pic:cNvPicPr/>
                        </pic:nvPicPr>
                        <pic:blipFill>
                          <a:blip r:embed="rId44"/>
                          <a:stretch>
                            <a:fillRect/>
                          </a:stretch>
                        </pic:blipFill>
                        <pic:spPr>
                          <a:xfrm>
                            <a:off x="0" y="0"/>
                            <a:ext cx="1720215" cy="779780"/>
                          </a:xfrm>
                          <a:prstGeom prst="rect">
                            <a:avLst/>
                          </a:prstGeom>
                          <a:noFill/>
                          <a:ln>
                            <a:noFill/>
                          </a:ln>
                        </pic:spPr>
                      </pic:pic>
                    </a:graphicData>
                  </a:graphic>
                </wp:anchor>
              </w:drawing>
            </w: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E02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45720</wp:posOffset>
                  </wp:positionV>
                  <wp:extent cx="1607185" cy="834390"/>
                  <wp:effectExtent l="0" t="0" r="12065" b="3810"/>
                  <wp:wrapNone/>
                  <wp:docPr id="47" name="图片_90"/>
                  <wp:cNvGraphicFramePr/>
                  <a:graphic xmlns:a="http://schemas.openxmlformats.org/drawingml/2006/main">
                    <a:graphicData uri="http://schemas.openxmlformats.org/drawingml/2006/picture">
                      <pic:pic xmlns:pic="http://schemas.openxmlformats.org/drawingml/2006/picture">
                        <pic:nvPicPr>
                          <pic:cNvPr id="47" name="图片_90"/>
                          <pic:cNvPicPr/>
                        </pic:nvPicPr>
                        <pic:blipFill>
                          <a:blip r:embed="rId45"/>
                          <a:stretch>
                            <a:fillRect/>
                          </a:stretch>
                        </pic:blipFill>
                        <pic:spPr>
                          <a:xfrm>
                            <a:off x="0" y="0"/>
                            <a:ext cx="1607185" cy="83439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142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具有企业生产名称，符合国家相关质量和食品安全标准要求，符合食品安全包装要求，不空、不干、不臭，蛋体均匀，不采购疫区鸡蛋。</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E9E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9.44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33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330400.00</w:t>
            </w:r>
          </w:p>
        </w:tc>
      </w:tr>
      <w:tr w14:paraId="4EDF6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31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86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洗衣粉</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8C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w:t>
            </w:r>
          </w:p>
        </w:tc>
        <w:tc>
          <w:tcPr>
            <w:tcW w:w="1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DB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公斤</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797B3">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bdr w:val="single" w:color="000000" w:sz="4" w:space="0"/>
                <w:shd w:val="clear" w:fill="FFFF00"/>
                <w:lang w:val="en-US" w:eastAsia="zh-CN" w:bidi="ar"/>
              </w:rPr>
              <w:drawing>
                <wp:anchor distT="0" distB="0" distL="114300" distR="114300" simplePos="0" relativeHeight="251659264" behindDoc="0" locked="0" layoutInCell="1" allowOverlap="1">
                  <wp:simplePos x="0" y="0"/>
                  <wp:positionH relativeFrom="column">
                    <wp:posOffset>-12700</wp:posOffset>
                  </wp:positionH>
                  <wp:positionV relativeFrom="paragraph">
                    <wp:posOffset>9525</wp:posOffset>
                  </wp:positionV>
                  <wp:extent cx="1720215" cy="779780"/>
                  <wp:effectExtent l="0" t="0" r="13335" b="1270"/>
                  <wp:wrapNone/>
                  <wp:docPr id="46" name="图片_16_SpCnt_1"/>
                  <wp:cNvGraphicFramePr/>
                  <a:graphic xmlns:a="http://schemas.openxmlformats.org/drawingml/2006/main">
                    <a:graphicData uri="http://schemas.openxmlformats.org/drawingml/2006/picture">
                      <pic:pic xmlns:pic="http://schemas.openxmlformats.org/drawingml/2006/picture">
                        <pic:nvPicPr>
                          <pic:cNvPr id="46" name="图片_16_SpCnt_1"/>
                          <pic:cNvPicPr/>
                        </pic:nvPicPr>
                        <pic:blipFill>
                          <a:blip r:embed="rId46"/>
                          <a:stretch>
                            <a:fillRect/>
                          </a:stretch>
                        </pic:blipFill>
                        <pic:spPr>
                          <a:xfrm>
                            <a:off x="0" y="0"/>
                            <a:ext cx="1720215" cy="779780"/>
                          </a:xfrm>
                          <a:prstGeom prst="rect">
                            <a:avLst/>
                          </a:prstGeom>
                          <a:noFill/>
                          <a:ln>
                            <a:noFill/>
                          </a:ln>
                        </pic:spPr>
                      </pic:pic>
                    </a:graphicData>
                  </a:graphic>
                </wp:anchor>
              </w:drawing>
            </w:r>
          </w:p>
        </w:tc>
        <w:tc>
          <w:tcPr>
            <w:tcW w:w="3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C7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国内知名品牌，按甲方要求包装，符合国家相关质量和安全标准要求，具有企业生产名称，符合包装要求，无破损、无板结、无变质。</w:t>
            </w:r>
          </w:p>
        </w:tc>
        <w:tc>
          <w:tcPr>
            <w:tcW w:w="14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93E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20.14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0D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40280.00</w:t>
            </w:r>
          </w:p>
        </w:tc>
      </w:tr>
      <w:tr w14:paraId="02C1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686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D7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合计（元）</w:t>
            </w:r>
          </w:p>
        </w:tc>
        <w:tc>
          <w:tcPr>
            <w:tcW w:w="689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D2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2000000.00 </w:t>
            </w:r>
          </w:p>
        </w:tc>
      </w:tr>
    </w:tbl>
    <w:p w14:paraId="1182F7C6">
      <w:pPr>
        <w:tabs>
          <w:tab w:val="left" w:pos="360"/>
        </w:tabs>
        <w:spacing w:line="360" w:lineRule="auto"/>
        <w:rPr>
          <w:rFonts w:hint="eastAsia" w:ascii="宋体" w:hAnsi="宋体" w:eastAsia="宋体" w:cs="宋体"/>
          <w:b/>
          <w:bCs/>
          <w:color w:val="auto"/>
          <w:kern w:val="2"/>
          <w:sz w:val="24"/>
          <w:szCs w:val="24"/>
          <w:highlight w:val="none"/>
          <w:lang w:val="en-US" w:eastAsia="zh-CN"/>
        </w:rPr>
      </w:pPr>
    </w:p>
    <w:p w14:paraId="4DC55910">
      <w:pPr>
        <w:tabs>
          <w:tab w:val="left" w:pos="360"/>
        </w:tabs>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注：1、开标时带</w:t>
      </w:r>
      <w:r>
        <w:rPr>
          <w:rFonts w:hint="eastAsia" w:ascii="宋体" w:hAnsi="宋体" w:cs="宋体"/>
          <w:b/>
          <w:bCs/>
          <w:color w:val="auto"/>
          <w:kern w:val="2"/>
          <w:sz w:val="24"/>
          <w:szCs w:val="24"/>
          <w:highlight w:val="none"/>
          <w:lang w:val="en-US" w:eastAsia="zh-CN"/>
        </w:rPr>
        <w:t>9</w:t>
      </w:r>
      <w:r>
        <w:rPr>
          <w:rFonts w:hint="eastAsia" w:ascii="宋体" w:hAnsi="宋体" w:eastAsia="宋体" w:cs="宋体"/>
          <w:b/>
          <w:bCs/>
          <w:color w:val="auto"/>
          <w:kern w:val="2"/>
          <w:sz w:val="24"/>
          <w:szCs w:val="24"/>
          <w:highlight w:val="none"/>
          <w:lang w:val="en-US" w:eastAsia="zh-CN"/>
        </w:rPr>
        <w:t>类样品各1KG至开标现场，样品为：</w:t>
      </w:r>
      <w:r>
        <w:rPr>
          <w:rFonts w:hint="eastAsia" w:ascii="宋体" w:hAnsi="宋体" w:cs="宋体"/>
          <w:b/>
          <w:bCs/>
          <w:color w:val="auto"/>
          <w:kern w:val="2"/>
          <w:sz w:val="24"/>
          <w:szCs w:val="24"/>
          <w:highlight w:val="none"/>
          <w:lang w:val="en-US" w:eastAsia="zh-CN"/>
        </w:rPr>
        <w:t>大白菜</w:t>
      </w:r>
      <w:r>
        <w:rPr>
          <w:rFonts w:hint="eastAsia" w:ascii="宋体" w:hAnsi="宋体" w:eastAsia="宋体" w:cs="宋体"/>
          <w:b/>
          <w:bCs/>
          <w:color w:val="auto"/>
          <w:kern w:val="2"/>
          <w:sz w:val="24"/>
          <w:szCs w:val="24"/>
          <w:highlight w:val="none"/>
          <w:lang w:val="en-US" w:eastAsia="zh-CN"/>
        </w:rPr>
        <w:t>、</w:t>
      </w:r>
      <w:r>
        <w:rPr>
          <w:rFonts w:hint="eastAsia" w:ascii="宋体" w:hAnsi="宋体" w:cs="宋体"/>
          <w:b/>
          <w:bCs/>
          <w:color w:val="auto"/>
          <w:kern w:val="2"/>
          <w:sz w:val="24"/>
          <w:szCs w:val="24"/>
          <w:highlight w:val="none"/>
          <w:lang w:val="en-US" w:eastAsia="zh-CN"/>
        </w:rPr>
        <w:t>南瓜</w:t>
      </w:r>
      <w:r>
        <w:rPr>
          <w:rFonts w:hint="eastAsia" w:ascii="宋体" w:hAnsi="宋体" w:eastAsia="宋体" w:cs="宋体"/>
          <w:b/>
          <w:bCs/>
          <w:color w:val="auto"/>
          <w:kern w:val="2"/>
          <w:sz w:val="24"/>
          <w:szCs w:val="24"/>
          <w:highlight w:val="none"/>
          <w:lang w:val="en-US" w:eastAsia="zh-CN"/>
        </w:rPr>
        <w:t>、洋芋</w:t>
      </w:r>
      <w:r>
        <w:rPr>
          <w:rFonts w:hint="eastAsia" w:ascii="宋体" w:hAnsi="宋体" w:cs="宋体"/>
          <w:b/>
          <w:bCs/>
          <w:color w:val="auto"/>
          <w:kern w:val="2"/>
          <w:sz w:val="24"/>
          <w:szCs w:val="24"/>
          <w:highlight w:val="none"/>
          <w:lang w:val="en-US" w:eastAsia="zh-CN"/>
        </w:rPr>
        <w:t>、青椒、番茄</w:t>
      </w:r>
      <w:r>
        <w:rPr>
          <w:rFonts w:hint="eastAsia" w:ascii="宋体" w:hAnsi="宋体" w:eastAsia="宋体" w:cs="宋体"/>
          <w:b/>
          <w:bCs/>
          <w:color w:val="auto"/>
          <w:kern w:val="2"/>
          <w:sz w:val="24"/>
          <w:szCs w:val="24"/>
          <w:highlight w:val="none"/>
          <w:lang w:val="en-US" w:eastAsia="zh-CN"/>
        </w:rPr>
        <w:t>、</w:t>
      </w:r>
      <w:r>
        <w:rPr>
          <w:rFonts w:hint="eastAsia" w:ascii="宋体" w:hAnsi="宋体" w:cs="宋体"/>
          <w:b/>
          <w:bCs/>
          <w:color w:val="auto"/>
          <w:kern w:val="2"/>
          <w:sz w:val="24"/>
          <w:szCs w:val="24"/>
          <w:highlight w:val="none"/>
          <w:lang w:val="en-US" w:eastAsia="zh-CN"/>
        </w:rPr>
        <w:t>胡萝卜</w:t>
      </w:r>
      <w:r>
        <w:rPr>
          <w:rFonts w:hint="eastAsia" w:ascii="宋体" w:hAnsi="宋体" w:eastAsia="宋体" w:cs="宋体"/>
          <w:b/>
          <w:bCs/>
          <w:color w:val="auto"/>
          <w:kern w:val="2"/>
          <w:sz w:val="24"/>
          <w:szCs w:val="24"/>
          <w:highlight w:val="none"/>
          <w:lang w:val="en-US" w:eastAsia="zh-CN"/>
        </w:rPr>
        <w:t>、</w:t>
      </w:r>
      <w:r>
        <w:rPr>
          <w:rFonts w:hint="eastAsia" w:ascii="宋体" w:hAnsi="宋体" w:cs="宋体"/>
          <w:b/>
          <w:bCs/>
          <w:color w:val="auto"/>
          <w:kern w:val="2"/>
          <w:sz w:val="24"/>
          <w:szCs w:val="24"/>
          <w:highlight w:val="none"/>
          <w:lang w:val="en-US" w:eastAsia="zh-CN"/>
        </w:rPr>
        <w:t>姜、</w:t>
      </w:r>
      <w:r>
        <w:rPr>
          <w:rFonts w:hint="eastAsia" w:ascii="宋体" w:hAnsi="宋体" w:eastAsia="宋体" w:cs="宋体"/>
          <w:b/>
          <w:bCs/>
          <w:color w:val="auto"/>
          <w:kern w:val="2"/>
          <w:sz w:val="24"/>
          <w:szCs w:val="24"/>
          <w:highlight w:val="none"/>
          <w:lang w:val="en-US" w:eastAsia="zh-CN"/>
        </w:rPr>
        <w:t>蒜</w:t>
      </w:r>
      <w:r>
        <w:rPr>
          <w:rFonts w:hint="eastAsia" w:ascii="宋体" w:hAnsi="宋体" w:cs="宋体"/>
          <w:b/>
          <w:bCs/>
          <w:color w:val="auto"/>
          <w:kern w:val="2"/>
          <w:sz w:val="24"/>
          <w:szCs w:val="24"/>
          <w:highlight w:val="none"/>
          <w:lang w:val="en-US" w:eastAsia="zh-CN"/>
        </w:rPr>
        <w:t>、茄子</w:t>
      </w:r>
      <w:r>
        <w:rPr>
          <w:rFonts w:hint="eastAsia" w:ascii="宋体" w:hAnsi="宋体" w:cs="宋体"/>
          <w:b/>
          <w:bCs/>
          <w:color w:val="auto"/>
          <w:sz w:val="24"/>
          <w:szCs w:val="24"/>
          <w:highlight w:val="none"/>
          <w:lang w:val="en-US" w:eastAsia="zh-CN"/>
        </w:rPr>
        <w:t>。</w:t>
      </w:r>
    </w:p>
    <w:p w14:paraId="17B4246E">
      <w:pPr>
        <w:tabs>
          <w:tab w:val="left" w:pos="360"/>
        </w:tabs>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2、样品要求：</w:t>
      </w:r>
      <w:r>
        <w:rPr>
          <w:rFonts w:hint="eastAsia" w:ascii="宋体" w:hAnsi="宋体" w:cs="宋体"/>
          <w:b w:val="0"/>
          <w:bCs w:val="0"/>
          <w:color w:val="auto"/>
          <w:sz w:val="24"/>
          <w:szCs w:val="24"/>
          <w:highlight w:val="none"/>
          <w:lang w:val="en-US" w:eastAsia="zh-CN"/>
        </w:rPr>
        <w:t>每个样品须单独密封，</w:t>
      </w:r>
      <w:r>
        <w:rPr>
          <w:rFonts w:hint="eastAsia" w:ascii="宋体" w:hAnsi="宋体" w:eastAsia="宋体" w:cs="宋体"/>
          <w:b w:val="0"/>
          <w:bCs w:val="0"/>
          <w:color w:val="auto"/>
          <w:sz w:val="24"/>
          <w:szCs w:val="24"/>
          <w:highlight w:val="none"/>
        </w:rPr>
        <w:t>正中位置粘贴加盖有清晰</w:t>
      </w:r>
      <w:r>
        <w:rPr>
          <w:rFonts w:hint="eastAsia" w:ascii="宋体" w:hAnsi="宋体" w:cs="宋体"/>
          <w:b w:val="0"/>
          <w:bCs w:val="0"/>
          <w:color w:val="auto"/>
          <w:sz w:val="24"/>
          <w:szCs w:val="24"/>
          <w:highlight w:val="none"/>
          <w:lang w:val="en-US" w:eastAsia="zh-CN"/>
        </w:rPr>
        <w:t>供货商</w:t>
      </w:r>
      <w:r>
        <w:rPr>
          <w:rFonts w:hint="eastAsia" w:ascii="宋体" w:hAnsi="宋体" w:eastAsia="宋体" w:cs="宋体"/>
          <w:b w:val="0"/>
          <w:bCs w:val="0"/>
          <w:color w:val="auto"/>
          <w:sz w:val="24"/>
          <w:szCs w:val="24"/>
          <w:highlight w:val="none"/>
        </w:rPr>
        <w:t>公章</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标贴，</w:t>
      </w:r>
      <w:r>
        <w:rPr>
          <w:rFonts w:hint="eastAsia" w:ascii="宋体" w:hAnsi="宋体" w:cs="宋体"/>
          <w:b w:val="0"/>
          <w:bCs w:val="0"/>
          <w:color w:val="auto"/>
          <w:sz w:val="24"/>
          <w:szCs w:val="24"/>
          <w:highlight w:val="none"/>
          <w:lang w:val="en-US" w:eastAsia="zh-CN"/>
        </w:rPr>
        <w:t>每个样品须标注名称、制造商制造商/生产企业名称、</w:t>
      </w:r>
      <w:r>
        <w:rPr>
          <w:rFonts w:hint="eastAsia" w:ascii="宋体" w:hAnsi="宋体" w:eastAsia="宋体" w:cs="宋体"/>
          <w:b w:val="0"/>
          <w:bCs w:val="0"/>
          <w:color w:val="auto"/>
          <w:sz w:val="24"/>
          <w:szCs w:val="24"/>
          <w:highlight w:val="none"/>
        </w:rPr>
        <w:t>品牌</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如有</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等常规标识。中标后投标样品作为验收</w:t>
      </w:r>
      <w:r>
        <w:rPr>
          <w:rFonts w:hint="eastAsia" w:ascii="宋体" w:hAnsi="宋体" w:eastAsia="宋体" w:cs="宋体"/>
          <w:b w:val="0"/>
          <w:bCs w:val="0"/>
          <w:color w:val="auto"/>
          <w:sz w:val="24"/>
          <w:szCs w:val="24"/>
          <w:highlight w:val="none"/>
          <w:lang w:val="en-US" w:eastAsia="zh-CN"/>
        </w:rPr>
        <w:t>依据</w:t>
      </w:r>
      <w:r>
        <w:rPr>
          <w:rFonts w:hint="eastAsia" w:ascii="宋体" w:hAnsi="宋体" w:eastAsia="宋体" w:cs="宋体"/>
          <w:b w:val="0"/>
          <w:bCs w:val="0"/>
          <w:color w:val="auto"/>
          <w:sz w:val="24"/>
          <w:szCs w:val="24"/>
          <w:highlight w:val="none"/>
        </w:rPr>
        <w:t>，供货商提供的商品必须是与投标文件中所报明细清单</w:t>
      </w:r>
      <w:r>
        <w:rPr>
          <w:rFonts w:hint="eastAsia" w:ascii="宋体" w:hAnsi="宋体" w:eastAsia="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rPr>
        <w:t>样品一致</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如因特殊原因导致不能提供所提供样品的商品，必须与采购人协商一致并签订补充协议</w:t>
      </w:r>
      <w:r>
        <w:rPr>
          <w:rFonts w:hint="eastAsia" w:ascii="宋体" w:hAnsi="宋体" w:cs="宋体"/>
          <w:b w:val="0"/>
          <w:bCs w:val="0"/>
          <w:color w:val="auto"/>
          <w:sz w:val="24"/>
          <w:szCs w:val="24"/>
          <w:highlight w:val="none"/>
          <w:lang w:val="en-US" w:eastAsia="zh-CN"/>
        </w:rPr>
        <w:t>。</w:t>
      </w:r>
    </w:p>
    <w:p w14:paraId="69386522">
      <w:pPr>
        <w:tabs>
          <w:tab w:val="left" w:pos="360"/>
        </w:tabs>
        <w:spacing w:line="360" w:lineRule="auto"/>
        <w:ind w:firstLine="480" w:firstLineChars="200"/>
        <w:rPr>
          <w:rFonts w:hint="eastAsia" w:ascii="宋体" w:hAnsi="宋体" w:eastAsia="宋体" w:cs="宋体"/>
          <w:b w:val="0"/>
          <w:bCs w:val="0"/>
          <w:color w:val="auto"/>
          <w:kern w:val="2"/>
          <w:sz w:val="24"/>
          <w:szCs w:val="24"/>
          <w:highlight w:val="none"/>
          <w:lang w:val="en-US" w:eastAsia="zh-CN"/>
        </w:rPr>
      </w:pPr>
      <w:r>
        <w:rPr>
          <w:rFonts w:hint="eastAsia" w:ascii="宋体" w:hAnsi="宋体" w:cs="宋体"/>
          <w:b w:val="0"/>
          <w:bCs w:val="0"/>
          <w:color w:val="auto"/>
          <w:sz w:val="24"/>
          <w:szCs w:val="24"/>
          <w:highlight w:val="none"/>
          <w:lang w:val="en-US" w:eastAsia="zh-CN"/>
        </w:rPr>
        <w:t>3、投标人对</w:t>
      </w:r>
      <w:r>
        <w:rPr>
          <w:rFonts w:hint="eastAsia" w:ascii="宋体" w:hAnsi="宋体" w:eastAsia="宋体" w:cs="宋体"/>
          <w:b w:val="0"/>
          <w:bCs w:val="0"/>
          <w:color w:val="auto"/>
          <w:sz w:val="24"/>
          <w:szCs w:val="24"/>
          <w:highlight w:val="none"/>
        </w:rPr>
        <w:t>所有清单内货物单价</w:t>
      </w:r>
      <w:r>
        <w:rPr>
          <w:rFonts w:hint="eastAsia" w:ascii="宋体" w:hAnsi="宋体" w:cs="宋体"/>
          <w:b w:val="0"/>
          <w:bCs w:val="0"/>
          <w:color w:val="auto"/>
          <w:sz w:val="24"/>
          <w:szCs w:val="24"/>
          <w:highlight w:val="none"/>
          <w:lang w:val="en-US" w:eastAsia="zh-CN"/>
        </w:rPr>
        <w:t>报价</w:t>
      </w:r>
      <w:r>
        <w:rPr>
          <w:rFonts w:hint="eastAsia" w:ascii="宋体" w:hAnsi="宋体" w:eastAsia="宋体" w:cs="宋体"/>
          <w:b w:val="0"/>
          <w:bCs w:val="0"/>
          <w:color w:val="auto"/>
          <w:sz w:val="24"/>
          <w:szCs w:val="24"/>
          <w:highlight w:val="none"/>
        </w:rPr>
        <w:t>均不得超过采购人公布的</w:t>
      </w:r>
      <w:r>
        <w:rPr>
          <w:rFonts w:hint="eastAsia" w:ascii="宋体" w:hAnsi="宋体" w:cs="宋体"/>
          <w:b w:val="0"/>
          <w:bCs w:val="0"/>
          <w:color w:val="auto"/>
          <w:sz w:val="24"/>
          <w:szCs w:val="24"/>
          <w:highlight w:val="none"/>
          <w:lang w:eastAsia="zh-CN"/>
        </w:rPr>
        <w:t>单价最高限价</w:t>
      </w:r>
      <w:r>
        <w:rPr>
          <w:rFonts w:hint="eastAsia" w:ascii="宋体" w:hAnsi="宋体" w:eastAsia="宋体" w:cs="宋体"/>
          <w:b w:val="0"/>
          <w:bCs w:val="0"/>
          <w:color w:val="auto"/>
          <w:sz w:val="24"/>
          <w:szCs w:val="24"/>
          <w:highlight w:val="none"/>
        </w:rPr>
        <w:t>，报价保留</w:t>
      </w:r>
      <w:r>
        <w:rPr>
          <w:rFonts w:hint="eastAsia" w:ascii="宋体" w:hAnsi="宋体" w:eastAsia="宋体" w:cs="宋体"/>
          <w:b w:val="0"/>
          <w:bCs w:val="0"/>
          <w:color w:val="auto"/>
          <w:sz w:val="24"/>
          <w:szCs w:val="24"/>
          <w:highlight w:val="none"/>
          <w:lang w:val="en-US" w:eastAsia="zh-CN"/>
        </w:rPr>
        <w:t>两</w:t>
      </w:r>
      <w:r>
        <w:rPr>
          <w:rFonts w:hint="eastAsia" w:ascii="宋体" w:hAnsi="宋体" w:eastAsia="宋体" w:cs="宋体"/>
          <w:b w:val="0"/>
          <w:bCs w:val="0"/>
          <w:color w:val="auto"/>
          <w:sz w:val="24"/>
          <w:szCs w:val="24"/>
          <w:highlight w:val="none"/>
        </w:rPr>
        <w:t>位小数，否则作</w:t>
      </w:r>
      <w:r>
        <w:rPr>
          <w:rFonts w:hint="eastAsia" w:ascii="宋体" w:hAnsi="宋体" w:cs="宋体"/>
          <w:b w:val="0"/>
          <w:bCs w:val="0"/>
          <w:color w:val="auto"/>
          <w:sz w:val="24"/>
          <w:szCs w:val="24"/>
          <w:highlight w:val="none"/>
          <w:lang w:eastAsia="zh-CN"/>
        </w:rPr>
        <w:t>否决投标处理</w:t>
      </w:r>
      <w:r>
        <w:rPr>
          <w:rFonts w:hint="eastAsia" w:ascii="宋体" w:hAnsi="宋体" w:eastAsia="宋体" w:cs="宋体"/>
          <w:b w:val="0"/>
          <w:bCs w:val="0"/>
          <w:color w:val="auto"/>
          <w:sz w:val="24"/>
          <w:szCs w:val="24"/>
          <w:highlight w:val="none"/>
        </w:rPr>
        <w:t>。中标以后，货物中标</w:t>
      </w:r>
      <w:r>
        <w:rPr>
          <w:rFonts w:hint="eastAsia" w:ascii="宋体" w:hAnsi="宋体" w:cs="宋体"/>
          <w:b w:val="0"/>
          <w:bCs w:val="0"/>
          <w:color w:val="auto"/>
          <w:sz w:val="24"/>
          <w:szCs w:val="24"/>
          <w:highlight w:val="none"/>
          <w:lang w:val="en-US" w:eastAsia="zh-CN"/>
        </w:rPr>
        <w:t>单</w:t>
      </w:r>
      <w:r>
        <w:rPr>
          <w:rFonts w:hint="eastAsia" w:ascii="宋体" w:hAnsi="宋体" w:eastAsia="宋体" w:cs="宋体"/>
          <w:b w:val="0"/>
          <w:bCs w:val="0"/>
          <w:color w:val="auto"/>
          <w:sz w:val="24"/>
          <w:szCs w:val="24"/>
          <w:highlight w:val="none"/>
        </w:rPr>
        <w:t>价在合同执行期间不做调整。</w:t>
      </w:r>
      <w:r>
        <w:rPr>
          <w:rFonts w:hint="eastAsia" w:ascii="宋体" w:hAnsi="宋体" w:eastAsia="宋体" w:cs="宋体"/>
          <w:b w:val="0"/>
          <w:bCs w:val="0"/>
          <w:color w:val="auto"/>
          <w:kern w:val="2"/>
          <w:sz w:val="24"/>
          <w:szCs w:val="24"/>
          <w:highlight w:val="none"/>
          <w:lang w:val="en-US" w:eastAsia="zh-CN"/>
        </w:rPr>
        <w:t>项目预算不随单价的变化而变化。</w:t>
      </w:r>
    </w:p>
    <w:p w14:paraId="6EB649EA">
      <w:pPr>
        <w:tabs>
          <w:tab w:val="left" w:pos="360"/>
        </w:tabs>
        <w:spacing w:line="360" w:lineRule="auto"/>
        <w:ind w:firstLine="480" w:firstLineChars="200"/>
        <w:rPr>
          <w:rFonts w:hint="eastAsia" w:ascii="宋体" w:hAnsi="宋体" w:eastAsia="宋体" w:cs="宋体"/>
          <w:b w:val="0"/>
          <w:bCs w:val="0"/>
          <w:color w:val="auto"/>
          <w:kern w:val="2"/>
          <w:sz w:val="24"/>
          <w:szCs w:val="24"/>
          <w:highlight w:val="none"/>
          <w:lang w:val="en-US" w:eastAsia="zh-CN"/>
        </w:rPr>
      </w:pPr>
      <w:r>
        <w:rPr>
          <w:rFonts w:hint="eastAsia" w:ascii="宋体" w:hAnsi="宋体" w:cs="宋体"/>
          <w:b w:val="0"/>
          <w:bCs w:val="0"/>
          <w:color w:val="auto"/>
          <w:sz w:val="24"/>
          <w:szCs w:val="24"/>
          <w:highlight w:val="none"/>
          <w:lang w:val="en-US" w:eastAsia="zh-CN"/>
        </w:rPr>
        <w:t>4、本项目只对单价进行限价，最终</w:t>
      </w:r>
      <w:r>
        <w:rPr>
          <w:rFonts w:hint="eastAsia" w:ascii="宋体" w:hAnsi="宋体" w:eastAsia="宋体" w:cs="宋体"/>
          <w:bCs/>
          <w:color w:val="auto"/>
          <w:sz w:val="24"/>
          <w:szCs w:val="24"/>
          <w:highlight w:val="none"/>
        </w:rPr>
        <w:t>结算以</w:t>
      </w:r>
      <w:r>
        <w:rPr>
          <w:rFonts w:hint="eastAsia" w:ascii="宋体" w:hAnsi="宋体" w:eastAsia="宋体" w:cs="宋体"/>
          <w:bCs/>
          <w:color w:val="auto"/>
          <w:sz w:val="24"/>
          <w:szCs w:val="24"/>
          <w:highlight w:val="none"/>
          <w:lang w:eastAsia="zh-CN"/>
        </w:rPr>
        <w:t>中标</w:t>
      </w:r>
      <w:r>
        <w:rPr>
          <w:rFonts w:hint="eastAsia" w:ascii="宋体" w:hAnsi="宋体" w:eastAsia="宋体" w:cs="宋体"/>
          <w:bCs/>
          <w:color w:val="auto"/>
          <w:sz w:val="24"/>
          <w:szCs w:val="24"/>
          <w:highlight w:val="none"/>
        </w:rPr>
        <w:t>单价×实际供货量进行结算，在不超</w:t>
      </w:r>
      <w:r>
        <w:rPr>
          <w:rFonts w:hint="eastAsia" w:ascii="宋体" w:hAnsi="宋体" w:eastAsia="宋体" w:cs="宋体"/>
          <w:bCs/>
          <w:color w:val="auto"/>
          <w:sz w:val="24"/>
          <w:szCs w:val="24"/>
          <w:highlight w:val="none"/>
          <w:lang w:eastAsia="zh-CN"/>
        </w:rPr>
        <w:t>合同总价</w:t>
      </w:r>
      <w:r>
        <w:rPr>
          <w:rFonts w:hint="eastAsia" w:ascii="宋体" w:hAnsi="宋体" w:eastAsia="宋体" w:cs="宋体"/>
          <w:bCs/>
          <w:color w:val="auto"/>
          <w:sz w:val="24"/>
          <w:szCs w:val="24"/>
          <w:highlight w:val="none"/>
        </w:rPr>
        <w:t>的情况下按实际发生量结算</w:t>
      </w:r>
      <w:r>
        <w:rPr>
          <w:rFonts w:hint="eastAsia" w:ascii="宋体" w:hAnsi="宋体" w:cs="宋体"/>
          <w:b w:val="0"/>
          <w:bCs w:val="0"/>
          <w:color w:val="auto"/>
          <w:sz w:val="24"/>
          <w:szCs w:val="24"/>
          <w:highlight w:val="none"/>
          <w:lang w:val="en-US" w:eastAsia="zh-CN"/>
        </w:rPr>
        <w:t>。采购清单中的采购量为预计采购量，实际采购量以实际发生为准</w:t>
      </w:r>
      <w:r>
        <w:rPr>
          <w:rFonts w:hint="eastAsia" w:ascii="宋体" w:hAnsi="宋体" w:eastAsia="宋体" w:cs="宋体"/>
          <w:b w:val="0"/>
          <w:bCs w:val="0"/>
          <w:color w:val="auto"/>
          <w:kern w:val="2"/>
          <w:sz w:val="24"/>
          <w:szCs w:val="24"/>
          <w:highlight w:val="none"/>
          <w:lang w:val="en-US" w:eastAsia="zh-CN"/>
        </w:rPr>
        <w:t>，因影响实际采购量的因素多且复杂，</w:t>
      </w:r>
      <w:r>
        <w:rPr>
          <w:rFonts w:hint="eastAsia" w:ascii="宋体" w:hAnsi="宋体" w:cs="宋体"/>
          <w:b w:val="0"/>
          <w:bCs w:val="0"/>
          <w:color w:val="auto"/>
          <w:sz w:val="24"/>
          <w:szCs w:val="24"/>
          <w:highlight w:val="none"/>
          <w:lang w:val="en-US" w:eastAsia="zh-CN"/>
        </w:rPr>
        <w:t>预计采购量</w:t>
      </w:r>
      <w:r>
        <w:rPr>
          <w:rFonts w:hint="eastAsia" w:ascii="宋体" w:hAnsi="宋体" w:eastAsia="宋体" w:cs="宋体"/>
          <w:b w:val="0"/>
          <w:bCs w:val="0"/>
          <w:color w:val="auto"/>
          <w:kern w:val="2"/>
          <w:sz w:val="24"/>
          <w:szCs w:val="24"/>
          <w:highlight w:val="none"/>
          <w:lang w:val="en-US" w:eastAsia="zh-CN"/>
        </w:rPr>
        <w:t>与实际采购量的差异</w:t>
      </w:r>
      <w:r>
        <w:rPr>
          <w:rFonts w:hint="eastAsia" w:ascii="宋体" w:hAnsi="宋体" w:cs="宋体"/>
          <w:b w:val="0"/>
          <w:bCs w:val="0"/>
          <w:color w:val="auto"/>
          <w:kern w:val="2"/>
          <w:sz w:val="24"/>
          <w:szCs w:val="24"/>
          <w:highlight w:val="none"/>
          <w:lang w:val="en-US" w:eastAsia="zh-CN"/>
        </w:rPr>
        <w:t>投标人应予认可，不视为采购人违约，</w:t>
      </w:r>
      <w:r>
        <w:rPr>
          <w:rFonts w:hint="eastAsia" w:ascii="宋体" w:hAnsi="宋体" w:eastAsia="宋体" w:cs="宋体"/>
          <w:b w:val="0"/>
          <w:bCs w:val="0"/>
          <w:color w:val="auto"/>
          <w:kern w:val="2"/>
          <w:sz w:val="24"/>
          <w:szCs w:val="24"/>
          <w:highlight w:val="none"/>
          <w:lang w:val="en-US" w:eastAsia="zh-CN"/>
        </w:rPr>
        <w:t>不作为采购方过错而受到投诉、质疑和承担任何责任</w:t>
      </w:r>
      <w:r>
        <w:rPr>
          <w:rFonts w:hint="eastAsia" w:ascii="宋体" w:hAnsi="宋体" w:cs="宋体"/>
          <w:b w:val="0"/>
          <w:bCs w:val="0"/>
          <w:color w:val="auto"/>
          <w:sz w:val="24"/>
          <w:szCs w:val="24"/>
          <w:highlight w:val="none"/>
          <w:lang w:eastAsia="zh-CN"/>
        </w:rPr>
        <w:t>。</w:t>
      </w:r>
    </w:p>
    <w:p w14:paraId="1B7FE304">
      <w:pPr>
        <w:spacing w:line="500" w:lineRule="exact"/>
        <w:outlineLvl w:val="1"/>
        <w:rPr>
          <w:rFonts w:hint="eastAsia" w:ascii="宋体" w:hAnsi="宋体" w:eastAsia="宋体" w:cs="宋体"/>
          <w:b/>
          <w:bCs/>
          <w:color w:val="auto"/>
          <w:sz w:val="28"/>
          <w:szCs w:val="28"/>
          <w:highlight w:val="none"/>
          <w:lang w:eastAsia="zh-CN"/>
        </w:rPr>
        <w:sectPr>
          <w:pgSz w:w="16838" w:h="11906" w:orient="landscape"/>
          <w:pgMar w:top="1083" w:right="1440" w:bottom="1083" w:left="1440" w:header="720" w:footer="720" w:gutter="0"/>
          <w:pgNumType w:fmt="numberInDash"/>
          <w:cols w:space="720" w:num="1"/>
          <w:docGrid w:type="lines" w:linePitch="317" w:charSpace="0"/>
        </w:sectPr>
      </w:pPr>
      <w:bookmarkStart w:id="296" w:name="_Toc31208"/>
      <w:bookmarkStart w:id="297" w:name="_Toc7131"/>
      <w:bookmarkStart w:id="298" w:name="_Toc2172"/>
      <w:bookmarkStart w:id="299" w:name="_Toc16383"/>
    </w:p>
    <w:p w14:paraId="599590D5">
      <w:pPr>
        <w:spacing w:line="500" w:lineRule="exact"/>
        <w:outlineLvl w:val="9"/>
        <w:rPr>
          <w:rFonts w:hint="eastAsia" w:ascii="宋体" w:hAnsi="宋体" w:eastAsia="宋体" w:cs="宋体"/>
          <w:b/>
          <w:bCs/>
          <w:color w:val="auto"/>
          <w:sz w:val="30"/>
          <w:szCs w:val="30"/>
          <w:highlight w:val="none"/>
        </w:rPr>
      </w:pPr>
      <w:r>
        <w:rPr>
          <w:rFonts w:hint="eastAsia" w:ascii="宋体" w:hAnsi="宋体" w:eastAsia="宋体" w:cs="宋体"/>
          <w:b/>
          <w:bCs/>
          <w:color w:val="auto"/>
          <w:sz w:val="28"/>
          <w:szCs w:val="28"/>
          <w:highlight w:val="none"/>
          <w:lang w:eastAsia="zh-CN"/>
        </w:rPr>
        <w:t>三</w:t>
      </w:r>
      <w:r>
        <w:rPr>
          <w:rFonts w:hint="eastAsia" w:ascii="宋体" w:hAnsi="宋体" w:eastAsia="宋体" w:cs="宋体"/>
          <w:b/>
          <w:bCs/>
          <w:color w:val="auto"/>
          <w:sz w:val="28"/>
          <w:szCs w:val="28"/>
          <w:highlight w:val="none"/>
        </w:rPr>
        <w:t>、服务要求</w:t>
      </w:r>
      <w:bookmarkEnd w:id="296"/>
      <w:bookmarkEnd w:id="297"/>
      <w:bookmarkEnd w:id="298"/>
      <w:bookmarkEnd w:id="299"/>
    </w:p>
    <w:p w14:paraId="74208849">
      <w:pPr>
        <w:pStyle w:val="3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固定配送车辆及驾驶人员，驾驶人员至少需2名。配送车辆的车厢要严格执行清洁消毒制度，接触食品的内壁不得影响货物的味道和气味。运输车辆应具有篷有盖，避免灰尘等,不得将成品与污染物同车运输。搬运过程中注意保护好产品，防止丢失或损坏，不得破坏包装，防止跌落、磕碰、挤压。</w:t>
      </w:r>
    </w:p>
    <w:p w14:paraId="576B3F2A">
      <w:pPr>
        <w:pStyle w:val="3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在配送过程中，必须保持运输车辆卫生清洁，避免受到污染，若因此造成食源性中毒或其它后果的，一切责任和损失由乙方负责。</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在运送过程中如发生交通事故等由</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自己承担一切后果和经济损失，</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驾驶员、押运员必须遵守监狱相关规定，不得与犯人接触、或帮助携带物品及钱物，不得带通讯工具入监等。一经发现，</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有权单方面解除合同，并不予退还</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履约保证金，造成法律后果的将移送司法机关追究法律责任</w:t>
      </w:r>
      <w:r>
        <w:rPr>
          <w:rFonts w:hint="eastAsia" w:ascii="宋体" w:hAnsi="宋体" w:cs="宋体"/>
          <w:color w:val="auto"/>
          <w:sz w:val="24"/>
          <w:szCs w:val="24"/>
          <w:highlight w:val="none"/>
          <w:lang w:val="en-US" w:eastAsia="zh-CN"/>
        </w:rPr>
        <w:t>。</w:t>
      </w:r>
    </w:p>
    <w:p w14:paraId="77077F70">
      <w:pPr>
        <w:pStyle w:val="3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（二）车辆在运输过程中发生的一切不当行为及经济损失由乙方自行承担，即运输途中货物损毁、灭失的风险由乙方承担。</w:t>
      </w:r>
    </w:p>
    <w:p w14:paraId="467B75DB">
      <w:pPr>
        <w:pStyle w:val="3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（三）乙方所供货物的所有权以及风险自货物交付并经甲方验收合格时转移。</w:t>
      </w:r>
    </w:p>
    <w:p w14:paraId="55F78B57">
      <w:pPr>
        <w:pStyle w:val="33"/>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（四）乙方必须在甲方要求的期限内将每批次罪犯物资送达甲方指定的地点，运输费以及产生的货物搬运、装卸费用由乙方自行承担。</w:t>
      </w:r>
    </w:p>
    <w:p w14:paraId="0C692F45">
      <w:pPr>
        <w:pStyle w:val="33"/>
        <w:spacing w:line="500" w:lineRule="exact"/>
        <w:ind w:firstLine="480"/>
        <w:rPr>
          <w:rFonts w:hint="default" w:ascii="宋体" w:hAnsi="宋体" w:eastAsia="宋体" w:cs="宋体"/>
          <w:color w:val="auto"/>
          <w:sz w:val="24"/>
          <w:szCs w:val="24"/>
          <w:highlight w:val="none"/>
          <w:lang w:val="en-US" w:eastAsia="zh-CN"/>
        </w:rPr>
      </w:pPr>
    </w:p>
    <w:p w14:paraId="0501B9FD">
      <w:pPr>
        <w:rPr>
          <w:rFonts w:ascii="宋体" w:hAnsi="宋体" w:cs="宋体"/>
          <w:color w:val="auto"/>
          <w:highlight w:val="none"/>
        </w:rPr>
      </w:pPr>
      <w:r>
        <w:rPr>
          <w:rFonts w:ascii="宋体" w:hAnsi="宋体" w:cs="宋体"/>
          <w:color w:val="auto"/>
          <w:highlight w:val="none"/>
        </w:rPr>
        <w:br w:type="page"/>
      </w:r>
    </w:p>
    <w:p w14:paraId="1783B9F1">
      <w:pPr>
        <w:outlineLvl w:val="9"/>
        <w:rPr>
          <w:color w:val="auto"/>
          <w:highlight w:val="none"/>
        </w:rPr>
      </w:pPr>
    </w:p>
    <w:p w14:paraId="43F10E83">
      <w:pPr>
        <w:spacing w:line="360" w:lineRule="auto"/>
        <w:jc w:val="center"/>
        <w:rPr>
          <w:rFonts w:ascii="宋体" w:hAnsi="宋体" w:cs="宋体"/>
          <w:color w:val="auto"/>
          <w:highlight w:val="none"/>
        </w:rPr>
      </w:pPr>
    </w:p>
    <w:p w14:paraId="2119268E">
      <w:pPr>
        <w:spacing w:line="360" w:lineRule="auto"/>
        <w:jc w:val="center"/>
        <w:rPr>
          <w:rFonts w:ascii="宋体" w:hAnsi="宋体" w:cs="宋体"/>
          <w:color w:val="auto"/>
          <w:highlight w:val="none"/>
        </w:rPr>
      </w:pPr>
    </w:p>
    <w:p w14:paraId="4DE09AD0">
      <w:pPr>
        <w:spacing w:line="360" w:lineRule="auto"/>
        <w:jc w:val="center"/>
        <w:rPr>
          <w:rFonts w:ascii="宋体" w:hAnsi="宋体" w:cs="宋体"/>
          <w:color w:val="auto"/>
          <w:highlight w:val="none"/>
        </w:rPr>
      </w:pPr>
    </w:p>
    <w:p w14:paraId="54761DDB">
      <w:pPr>
        <w:spacing w:line="360" w:lineRule="auto"/>
        <w:jc w:val="center"/>
        <w:rPr>
          <w:rFonts w:ascii="宋体" w:hAnsi="宋体" w:cs="宋体"/>
          <w:color w:val="auto"/>
          <w:highlight w:val="none"/>
        </w:rPr>
      </w:pPr>
    </w:p>
    <w:p w14:paraId="3E9CEA97">
      <w:pPr>
        <w:spacing w:line="360" w:lineRule="auto"/>
        <w:jc w:val="center"/>
        <w:rPr>
          <w:rFonts w:ascii="宋体" w:hAnsi="宋体" w:cs="宋体"/>
          <w:color w:val="auto"/>
          <w:highlight w:val="none"/>
        </w:rPr>
      </w:pPr>
    </w:p>
    <w:p w14:paraId="1BC36F25">
      <w:pPr>
        <w:spacing w:line="360" w:lineRule="auto"/>
        <w:jc w:val="center"/>
        <w:rPr>
          <w:rFonts w:ascii="宋体" w:hAnsi="宋体" w:cs="宋体"/>
          <w:color w:val="auto"/>
          <w:highlight w:val="none"/>
        </w:rPr>
      </w:pPr>
    </w:p>
    <w:p w14:paraId="13143507">
      <w:pPr>
        <w:spacing w:line="360" w:lineRule="auto"/>
        <w:jc w:val="center"/>
        <w:rPr>
          <w:rFonts w:ascii="宋体" w:hAnsi="宋体" w:cs="宋体"/>
          <w:color w:val="auto"/>
          <w:highlight w:val="none"/>
        </w:rPr>
      </w:pPr>
    </w:p>
    <w:p w14:paraId="2700D2E8">
      <w:pPr>
        <w:spacing w:line="360" w:lineRule="auto"/>
        <w:jc w:val="center"/>
        <w:rPr>
          <w:rFonts w:ascii="宋体" w:hAnsi="宋体" w:cs="宋体"/>
          <w:color w:val="auto"/>
          <w:highlight w:val="none"/>
        </w:rPr>
      </w:pPr>
    </w:p>
    <w:p w14:paraId="0DFEED7C">
      <w:pPr>
        <w:spacing w:line="360" w:lineRule="auto"/>
        <w:jc w:val="center"/>
        <w:rPr>
          <w:rFonts w:ascii="宋体" w:hAnsi="宋体" w:cs="宋体"/>
          <w:color w:val="auto"/>
          <w:highlight w:val="none"/>
        </w:rPr>
      </w:pPr>
    </w:p>
    <w:p w14:paraId="389FD64C">
      <w:pPr>
        <w:spacing w:line="360" w:lineRule="auto"/>
        <w:jc w:val="center"/>
        <w:rPr>
          <w:rFonts w:ascii="宋体" w:hAnsi="宋体" w:cs="宋体"/>
          <w:color w:val="auto"/>
          <w:highlight w:val="none"/>
        </w:rPr>
      </w:pPr>
    </w:p>
    <w:p w14:paraId="348E3767">
      <w:pPr>
        <w:spacing w:line="360" w:lineRule="auto"/>
        <w:jc w:val="center"/>
        <w:rPr>
          <w:rFonts w:ascii="宋体" w:hAnsi="宋体" w:cs="宋体"/>
          <w:color w:val="auto"/>
          <w:highlight w:val="none"/>
        </w:rPr>
      </w:pPr>
    </w:p>
    <w:p w14:paraId="598C3BE6">
      <w:pPr>
        <w:spacing w:line="360" w:lineRule="auto"/>
        <w:jc w:val="center"/>
        <w:rPr>
          <w:rFonts w:ascii="宋体" w:hAnsi="宋体" w:cs="宋体"/>
          <w:color w:val="auto"/>
          <w:highlight w:val="none"/>
        </w:rPr>
      </w:pPr>
    </w:p>
    <w:p w14:paraId="6107BB22">
      <w:pPr>
        <w:pStyle w:val="4"/>
        <w:spacing w:before="0" w:after="0" w:line="360" w:lineRule="auto"/>
        <w:jc w:val="center"/>
        <w:rPr>
          <w:rFonts w:ascii="宋体" w:hAnsi="宋体" w:cs="宋体"/>
          <w:color w:val="auto"/>
          <w:highlight w:val="none"/>
        </w:rPr>
      </w:pPr>
      <w:bookmarkStart w:id="300" w:name="_Toc22530"/>
      <w:bookmarkStart w:id="301" w:name="_Toc11743"/>
      <w:r>
        <w:rPr>
          <w:rFonts w:hint="eastAsia" w:ascii="宋体" w:hAnsi="宋体" w:cs="宋体"/>
          <w:color w:val="auto"/>
          <w:highlight w:val="none"/>
        </w:rPr>
        <w:t>第七章 投标文件格式</w:t>
      </w:r>
      <w:bookmarkEnd w:id="290"/>
      <w:bookmarkEnd w:id="291"/>
      <w:bookmarkEnd w:id="300"/>
      <w:bookmarkEnd w:id="301"/>
    </w:p>
    <w:p w14:paraId="5EEBDFF8">
      <w:pPr>
        <w:rPr>
          <w:rFonts w:ascii="宋体" w:hAnsi="宋体" w:cs="宋体"/>
          <w:color w:val="auto"/>
          <w:highlight w:val="none"/>
        </w:rPr>
      </w:pPr>
      <w:r>
        <w:rPr>
          <w:rFonts w:hint="eastAsia" w:ascii="宋体" w:hAnsi="宋体" w:cs="宋体"/>
          <w:color w:val="auto"/>
          <w:highlight w:val="none"/>
        </w:rPr>
        <w:t xml:space="preserve"> </w:t>
      </w:r>
    </w:p>
    <w:p w14:paraId="083BC31A">
      <w:pPr>
        <w:rPr>
          <w:rFonts w:ascii="宋体" w:hAnsi="宋体" w:cs="宋体"/>
          <w:color w:val="auto"/>
          <w:highlight w:val="none"/>
        </w:rPr>
      </w:pPr>
      <w:r>
        <w:rPr>
          <w:rFonts w:hint="eastAsia" w:ascii="宋体" w:hAnsi="宋体" w:cs="宋体"/>
          <w:color w:val="auto"/>
          <w:highlight w:val="none"/>
        </w:rPr>
        <w:t xml:space="preserve"> </w:t>
      </w:r>
    </w:p>
    <w:p w14:paraId="78C05738">
      <w:pPr>
        <w:rPr>
          <w:rFonts w:ascii="宋体" w:hAnsi="宋体" w:cs="宋体"/>
          <w:color w:val="auto"/>
          <w:highlight w:val="none"/>
        </w:rPr>
      </w:pPr>
      <w:r>
        <w:rPr>
          <w:rFonts w:hint="eastAsia" w:ascii="宋体" w:hAnsi="宋体" w:cs="宋体"/>
          <w:color w:val="auto"/>
          <w:highlight w:val="none"/>
        </w:rPr>
        <w:t xml:space="preserve"> </w:t>
      </w:r>
    </w:p>
    <w:p w14:paraId="6EF1393F">
      <w:pPr>
        <w:rPr>
          <w:rFonts w:ascii="宋体" w:hAnsi="宋体"/>
          <w:b/>
          <w:bCs/>
          <w:color w:val="auto"/>
          <w:sz w:val="32"/>
          <w:szCs w:val="32"/>
          <w:highlight w:val="none"/>
        </w:rPr>
      </w:pPr>
      <w:r>
        <w:rPr>
          <w:rFonts w:hint="eastAsia" w:ascii="宋体" w:hAnsi="宋体"/>
          <w:b/>
          <w:bCs/>
          <w:color w:val="auto"/>
          <w:sz w:val="32"/>
          <w:szCs w:val="32"/>
          <w:highlight w:val="none"/>
        </w:rPr>
        <w:br w:type="page"/>
      </w:r>
    </w:p>
    <w:p w14:paraId="59EA30A4">
      <w:pPr>
        <w:jc w:val="center"/>
        <w:rPr>
          <w:rFonts w:ascii="宋体" w:hAnsi="宋体"/>
          <w:b/>
          <w:bCs/>
          <w:color w:val="auto"/>
          <w:sz w:val="36"/>
          <w:szCs w:val="36"/>
          <w:highlight w:val="none"/>
        </w:rPr>
      </w:pPr>
      <w:r>
        <w:rPr>
          <w:rFonts w:hint="eastAsia" w:ascii="宋体" w:hAnsi="宋体"/>
          <w:b/>
          <w:bCs/>
          <w:color w:val="auto"/>
          <w:sz w:val="36"/>
          <w:szCs w:val="36"/>
          <w:highlight w:val="none"/>
          <w:lang w:eastAsia="zh-CN"/>
        </w:rPr>
        <w:t>云南省建水监狱2025年—2026年罪犯蛋类、蔬菜类生活物资采购项目</w:t>
      </w:r>
    </w:p>
    <w:p w14:paraId="3FC6441F">
      <w:pPr>
        <w:pStyle w:val="12"/>
        <w:spacing w:before="158" w:beforeLines="50" w:after="158" w:afterLines="50"/>
        <w:jc w:val="center"/>
        <w:rPr>
          <w:rFonts w:hint="eastAsia" w:ascii="宋体" w:hAnsi="宋体" w:eastAsia="宋体" w:cs="宋体"/>
          <w:b/>
          <w:color w:val="auto"/>
          <w:sz w:val="36"/>
          <w:szCs w:val="36"/>
          <w:highlight w:val="none"/>
          <w:lang w:eastAsia="zh-CN"/>
        </w:rPr>
      </w:pPr>
    </w:p>
    <w:p w14:paraId="6E1A4363">
      <w:pPr>
        <w:pStyle w:val="12"/>
        <w:spacing w:before="158" w:beforeLines="50" w:after="158" w:afterLines="50"/>
        <w:jc w:val="center"/>
        <w:rPr>
          <w:rFonts w:ascii="宋体" w:hAnsi="宋体" w:cs="宋体"/>
          <w:b/>
          <w:color w:val="auto"/>
          <w:sz w:val="30"/>
          <w:szCs w:val="30"/>
          <w:highlight w:val="none"/>
        </w:rPr>
      </w:pPr>
    </w:p>
    <w:p w14:paraId="60B60BEB">
      <w:pPr>
        <w:jc w:val="center"/>
        <w:rPr>
          <w:rFonts w:hint="eastAsia" w:ascii="宋体" w:hAnsi="宋体" w:cs="宋体"/>
          <w:b/>
          <w:bCs/>
          <w:color w:val="auto"/>
          <w:sz w:val="72"/>
          <w:szCs w:val="72"/>
          <w:highlight w:val="none"/>
        </w:rPr>
      </w:pPr>
    </w:p>
    <w:p w14:paraId="1D9D1453">
      <w:pPr>
        <w:jc w:val="center"/>
        <w:rPr>
          <w:rFonts w:hint="eastAsia" w:ascii="宋体" w:hAnsi="宋体" w:cs="宋体"/>
          <w:b/>
          <w:bCs/>
          <w:color w:val="auto"/>
          <w:sz w:val="72"/>
          <w:szCs w:val="72"/>
          <w:highlight w:val="none"/>
        </w:rPr>
      </w:pPr>
    </w:p>
    <w:p w14:paraId="3595CED9">
      <w:pPr>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投 标 文 件</w:t>
      </w:r>
    </w:p>
    <w:p w14:paraId="04C60167">
      <w:pPr>
        <w:pStyle w:val="12"/>
        <w:spacing w:before="158" w:beforeLines="50" w:after="158" w:afterLines="50"/>
        <w:jc w:val="center"/>
        <w:rPr>
          <w:rFonts w:ascii="宋体" w:hAnsi="宋体" w:cs="宋体"/>
          <w:b/>
          <w:color w:val="auto"/>
          <w:sz w:val="30"/>
          <w:szCs w:val="30"/>
          <w:highlight w:val="none"/>
        </w:rPr>
      </w:pPr>
    </w:p>
    <w:p w14:paraId="1284F2D7">
      <w:pPr>
        <w:pStyle w:val="12"/>
        <w:spacing w:before="158" w:beforeLines="50" w:after="158" w:afterLines="50"/>
        <w:jc w:val="center"/>
        <w:rPr>
          <w:rFonts w:ascii="宋体" w:hAnsi="宋体" w:cs="宋体"/>
          <w:b/>
          <w:color w:val="auto"/>
          <w:sz w:val="30"/>
          <w:szCs w:val="30"/>
          <w:highlight w:val="none"/>
        </w:rPr>
      </w:pPr>
    </w:p>
    <w:p w14:paraId="1E1AF508">
      <w:pPr>
        <w:jc w:val="center"/>
        <w:rPr>
          <w:rFonts w:hint="eastAsia" w:ascii="宋体" w:hAnsi="宋体" w:eastAsia="宋体" w:cs="宋体"/>
          <w:b/>
          <w:bCs/>
          <w:color w:val="auto"/>
          <w:sz w:val="44"/>
          <w:szCs w:val="44"/>
          <w:highlight w:val="none"/>
          <w:lang w:eastAsia="zh-CN"/>
        </w:rPr>
      </w:pPr>
      <w:r>
        <w:rPr>
          <w:rFonts w:hint="eastAsia" w:ascii="宋体" w:hAnsi="宋体" w:cs="宋体"/>
          <w:b/>
          <w:color w:val="auto"/>
          <w:sz w:val="30"/>
          <w:szCs w:val="30"/>
          <w:highlight w:val="none"/>
        </w:rPr>
        <w:t>政采云项目编号：</w:t>
      </w:r>
      <w:r>
        <w:rPr>
          <w:rFonts w:hint="eastAsia" w:ascii="宋体" w:hAnsi="宋体" w:cs="宋体"/>
          <w:b/>
          <w:color w:val="auto"/>
          <w:sz w:val="30"/>
          <w:szCs w:val="30"/>
          <w:highlight w:val="none"/>
          <w:lang w:eastAsia="zh-CN"/>
        </w:rPr>
        <w:t>YNZC2025-G1-02974-SBGC-0006</w:t>
      </w:r>
    </w:p>
    <w:p w14:paraId="2B58766A">
      <w:pPr>
        <w:rPr>
          <w:rFonts w:ascii="宋体" w:hAnsi="宋体" w:cs="宋体"/>
          <w:b/>
          <w:bCs/>
          <w:color w:val="auto"/>
          <w:sz w:val="44"/>
          <w:szCs w:val="44"/>
          <w:highlight w:val="none"/>
        </w:rPr>
      </w:pPr>
    </w:p>
    <w:p w14:paraId="3A3CE47C">
      <w:pPr>
        <w:rPr>
          <w:rFonts w:ascii="宋体" w:hAnsi="宋体" w:cs="宋体"/>
          <w:b/>
          <w:bCs/>
          <w:color w:val="auto"/>
          <w:sz w:val="44"/>
          <w:szCs w:val="44"/>
          <w:highlight w:val="none"/>
        </w:rPr>
      </w:pPr>
    </w:p>
    <w:p w14:paraId="1E9C1B5B">
      <w:pPr>
        <w:pStyle w:val="8"/>
        <w:rPr>
          <w:rFonts w:hint="eastAsia"/>
          <w:color w:val="auto"/>
          <w:highlight w:val="none"/>
        </w:rPr>
      </w:pPr>
    </w:p>
    <w:p w14:paraId="054B734E">
      <w:pPr>
        <w:rPr>
          <w:rFonts w:ascii="宋体" w:hAnsi="宋体" w:cs="宋体"/>
          <w:b/>
          <w:bCs/>
          <w:color w:val="auto"/>
          <w:sz w:val="44"/>
          <w:szCs w:val="44"/>
          <w:highlight w:val="none"/>
        </w:rPr>
      </w:pPr>
    </w:p>
    <w:p w14:paraId="34AC2DE0">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4CC2D388">
      <w:pPr>
        <w:rPr>
          <w:rFonts w:ascii="宋体" w:hAnsi="宋体" w:cs="宋体"/>
          <w:b/>
          <w:bCs/>
          <w:color w:val="auto"/>
          <w:sz w:val="24"/>
          <w:szCs w:val="24"/>
          <w:highlight w:val="none"/>
        </w:rPr>
      </w:pPr>
    </w:p>
    <w:p w14:paraId="4D402294">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w:t>
      </w:r>
    </w:p>
    <w:p w14:paraId="2365C249">
      <w:pPr>
        <w:ind w:firstLine="1205" w:firstLineChars="500"/>
        <w:rPr>
          <w:rFonts w:ascii="宋体" w:hAnsi="宋体" w:cs="宋体"/>
          <w:b/>
          <w:bCs/>
          <w:color w:val="auto"/>
          <w:sz w:val="24"/>
          <w:szCs w:val="24"/>
          <w:highlight w:val="none"/>
        </w:rPr>
      </w:pPr>
    </w:p>
    <w:p w14:paraId="1C398A09">
      <w:pPr>
        <w:ind w:firstLine="1205" w:firstLineChars="500"/>
        <w:rPr>
          <w:rFonts w:ascii="宋体" w:hAnsi="宋体" w:cs="宋体"/>
          <w:color w:val="auto"/>
          <w:sz w:val="44"/>
          <w:szCs w:val="44"/>
          <w:highlight w:val="none"/>
        </w:rPr>
      </w:pPr>
      <w:r>
        <w:rPr>
          <w:rFonts w:hint="eastAsia" w:ascii="宋体" w:hAnsi="宋体" w:cs="宋体"/>
          <w:b/>
          <w:bCs/>
          <w:color w:val="auto"/>
          <w:sz w:val="24"/>
          <w:szCs w:val="24"/>
          <w:highlight w:val="none"/>
        </w:rPr>
        <w:t xml:space="preserve">日期：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bookmarkStart w:id="302" w:name="_Toc184"/>
      <w:bookmarkEnd w:id="302"/>
      <w:bookmarkStart w:id="303" w:name="_Toc14917"/>
      <w:bookmarkEnd w:id="303"/>
      <w:bookmarkStart w:id="304" w:name="_Toc25438"/>
    </w:p>
    <w:bookmarkEnd w:id="304"/>
    <w:p w14:paraId="358707A0">
      <w:pPr>
        <w:jc w:val="center"/>
        <w:rPr>
          <w:rFonts w:ascii="宋体" w:hAnsi="宋体" w:cs="宋体"/>
          <w:color w:val="auto"/>
          <w:szCs w:val="28"/>
          <w:highlight w:val="none"/>
        </w:rPr>
      </w:pPr>
      <w:bookmarkStart w:id="305" w:name="_Toc24434"/>
      <w:bookmarkEnd w:id="305"/>
      <w:r>
        <w:rPr>
          <w:rFonts w:hint="eastAsia" w:ascii="宋体" w:hAnsi="宋体" w:cs="宋体"/>
          <w:color w:val="auto"/>
          <w:szCs w:val="28"/>
          <w:highlight w:val="none"/>
        </w:rPr>
        <w:br w:type="page"/>
      </w:r>
      <w:bookmarkStart w:id="306" w:name="_Toc21499"/>
      <w:bookmarkStart w:id="307" w:name="_Toc4760"/>
    </w:p>
    <w:p w14:paraId="59711AA3">
      <w:pPr>
        <w:jc w:val="center"/>
        <w:rPr>
          <w:rFonts w:ascii="宋体" w:hAnsi="宋体" w:cs="宋体"/>
          <w:color w:val="auto"/>
          <w:szCs w:val="28"/>
          <w:highlight w:val="none"/>
        </w:rPr>
      </w:pPr>
    </w:p>
    <w:p w14:paraId="0F066F37">
      <w:pPr>
        <w:jc w:val="center"/>
        <w:rPr>
          <w:rFonts w:ascii="宋体" w:hAnsi="宋体" w:cs="宋体"/>
          <w:color w:val="auto"/>
          <w:szCs w:val="28"/>
          <w:highlight w:val="none"/>
        </w:rPr>
      </w:pPr>
    </w:p>
    <w:p w14:paraId="4550338C">
      <w:pPr>
        <w:pStyle w:val="6"/>
        <w:jc w:val="left"/>
        <w:rPr>
          <w:color w:val="auto"/>
          <w:highlight w:val="none"/>
        </w:rPr>
      </w:pPr>
      <w:bookmarkStart w:id="308" w:name="_Toc513"/>
      <w:bookmarkStart w:id="309" w:name="_Toc836"/>
      <w:r>
        <w:rPr>
          <w:rFonts w:hint="eastAsia"/>
          <w:color w:val="auto"/>
          <w:highlight w:val="none"/>
        </w:rPr>
        <w:t>第一部分 资格审查部分</w:t>
      </w:r>
      <w:bookmarkEnd w:id="306"/>
      <w:bookmarkEnd w:id="308"/>
      <w:bookmarkEnd w:id="309"/>
    </w:p>
    <w:bookmarkEnd w:id="307"/>
    <w:p w14:paraId="772C9A71">
      <w:pPr>
        <w:pStyle w:val="6"/>
        <w:spacing w:line="720" w:lineRule="auto"/>
        <w:rPr>
          <w:rFonts w:ascii="宋体" w:hAnsi="宋体"/>
          <w:color w:val="auto"/>
          <w:szCs w:val="28"/>
          <w:highlight w:val="none"/>
        </w:rPr>
      </w:pPr>
      <w:bookmarkStart w:id="310" w:name="_Toc10621"/>
      <w:bookmarkStart w:id="311" w:name="_Toc16048"/>
      <w:bookmarkStart w:id="312" w:name="_Toc26937"/>
      <w:bookmarkStart w:id="313" w:name="_Toc9757"/>
      <w:bookmarkStart w:id="314" w:name="_Toc2720"/>
      <w:bookmarkStart w:id="315" w:name="_Toc22285"/>
      <w:bookmarkStart w:id="316" w:name="_Toc5379"/>
      <w:r>
        <w:rPr>
          <w:rFonts w:hint="eastAsia" w:ascii="宋体" w:hAnsi="宋体" w:cs="宋体"/>
          <w:color w:val="auto"/>
          <w:szCs w:val="28"/>
          <w:highlight w:val="none"/>
        </w:rPr>
        <w:t>一、</w:t>
      </w:r>
      <w:r>
        <w:rPr>
          <w:rFonts w:hint="eastAsia" w:ascii="宋体" w:hAnsi="宋体"/>
          <w:color w:val="auto"/>
          <w:szCs w:val="28"/>
          <w:highlight w:val="none"/>
        </w:rPr>
        <w:t>具有独立承担民事责任的能力</w:t>
      </w:r>
      <w:bookmarkEnd w:id="310"/>
      <w:bookmarkEnd w:id="311"/>
      <w:bookmarkEnd w:id="312"/>
      <w:bookmarkEnd w:id="313"/>
      <w:bookmarkEnd w:id="314"/>
      <w:bookmarkEnd w:id="315"/>
      <w:bookmarkEnd w:id="316"/>
    </w:p>
    <w:p w14:paraId="4B0ED843">
      <w:pPr>
        <w:pStyle w:val="14"/>
        <w:tabs>
          <w:tab w:val="left" w:pos="5580"/>
        </w:tabs>
        <w:spacing w:line="360" w:lineRule="auto"/>
        <w:ind w:left="540" w:leftChars="257" w:firstLine="539"/>
        <w:rPr>
          <w:rFonts w:hAnsi="宋体" w:cs="宋体"/>
          <w:color w:val="auto"/>
          <w:sz w:val="24"/>
          <w:szCs w:val="24"/>
          <w:highlight w:val="none"/>
        </w:rPr>
      </w:pPr>
      <w:r>
        <w:rPr>
          <w:rFonts w:hint="eastAsia" w:hAnsi="宋体" w:cs="宋体"/>
          <w:color w:val="auto"/>
          <w:kern w:val="2"/>
          <w:sz w:val="24"/>
          <w:szCs w:val="24"/>
          <w:highlight w:val="none"/>
        </w:rPr>
        <w:t>具有独立承担民事责任的能力，提供法人或者其他组织的营业执照等证明文件。</w:t>
      </w:r>
    </w:p>
    <w:p w14:paraId="0AF33719">
      <w:pPr>
        <w:rPr>
          <w:rFonts w:ascii="宋体" w:hAnsi="宋体" w:cs="宋体"/>
          <w:color w:val="auto"/>
          <w:highlight w:val="none"/>
        </w:rPr>
      </w:pPr>
      <w:bookmarkStart w:id="317" w:name="_Toc24593"/>
      <w:bookmarkEnd w:id="317"/>
      <w:bookmarkStart w:id="318" w:name="_Toc10328"/>
    </w:p>
    <w:p w14:paraId="15A1B2D2">
      <w:pPr>
        <w:rPr>
          <w:rFonts w:ascii="宋体" w:hAnsi="宋体" w:cs="宋体"/>
          <w:color w:val="auto"/>
          <w:highlight w:val="none"/>
        </w:rPr>
      </w:pPr>
    </w:p>
    <w:p w14:paraId="10FC756F">
      <w:pPr>
        <w:rPr>
          <w:rFonts w:ascii="宋体" w:hAnsi="宋体" w:cs="宋体"/>
          <w:color w:val="auto"/>
          <w:highlight w:val="none"/>
        </w:rPr>
      </w:pPr>
    </w:p>
    <w:p w14:paraId="2985D63E">
      <w:pPr>
        <w:rPr>
          <w:rFonts w:ascii="宋体" w:hAnsi="宋体" w:cs="宋体"/>
          <w:color w:val="auto"/>
          <w:highlight w:val="none"/>
        </w:rPr>
      </w:pPr>
    </w:p>
    <w:p w14:paraId="7E9BA667">
      <w:pPr>
        <w:rPr>
          <w:rFonts w:ascii="宋体" w:hAnsi="宋体" w:cs="宋体"/>
          <w:color w:val="auto"/>
          <w:highlight w:val="none"/>
        </w:rPr>
      </w:pPr>
    </w:p>
    <w:p w14:paraId="059F9C75">
      <w:pPr>
        <w:rPr>
          <w:rFonts w:ascii="宋体" w:hAnsi="宋体" w:cs="宋体"/>
          <w:color w:val="auto"/>
          <w:highlight w:val="none"/>
        </w:rPr>
      </w:pPr>
    </w:p>
    <w:p w14:paraId="38A103F6">
      <w:pPr>
        <w:rPr>
          <w:rFonts w:ascii="宋体" w:hAnsi="宋体" w:cs="宋体"/>
          <w:color w:val="auto"/>
          <w:highlight w:val="none"/>
        </w:rPr>
      </w:pPr>
    </w:p>
    <w:p w14:paraId="16AAB589">
      <w:pPr>
        <w:rPr>
          <w:rFonts w:ascii="宋体" w:hAnsi="宋体" w:cs="宋体"/>
          <w:color w:val="auto"/>
          <w:highlight w:val="none"/>
        </w:rPr>
      </w:pPr>
    </w:p>
    <w:p w14:paraId="430F61E9">
      <w:pPr>
        <w:rPr>
          <w:rFonts w:ascii="宋体" w:hAnsi="宋体" w:cs="宋体"/>
          <w:color w:val="auto"/>
          <w:highlight w:val="none"/>
        </w:rPr>
      </w:pPr>
    </w:p>
    <w:p w14:paraId="2BB444F5">
      <w:pPr>
        <w:rPr>
          <w:rFonts w:ascii="宋体" w:hAnsi="宋体" w:cs="宋体"/>
          <w:color w:val="auto"/>
          <w:highlight w:val="none"/>
        </w:rPr>
      </w:pPr>
    </w:p>
    <w:p w14:paraId="085BAF97">
      <w:pPr>
        <w:rPr>
          <w:rFonts w:ascii="宋体" w:hAnsi="宋体" w:cs="宋体"/>
          <w:color w:val="auto"/>
          <w:highlight w:val="none"/>
        </w:rPr>
      </w:pPr>
    </w:p>
    <w:p w14:paraId="1DEA27B9">
      <w:pPr>
        <w:rPr>
          <w:rFonts w:ascii="宋体" w:hAnsi="宋体" w:cs="宋体"/>
          <w:color w:val="auto"/>
          <w:highlight w:val="none"/>
        </w:rPr>
      </w:pPr>
    </w:p>
    <w:p w14:paraId="085C5E6F">
      <w:pPr>
        <w:rPr>
          <w:rFonts w:ascii="宋体" w:hAnsi="宋体" w:cs="宋体"/>
          <w:color w:val="auto"/>
          <w:highlight w:val="none"/>
        </w:rPr>
      </w:pPr>
    </w:p>
    <w:p w14:paraId="04B009CB">
      <w:pPr>
        <w:rPr>
          <w:rFonts w:ascii="宋体" w:hAnsi="宋体" w:cs="宋体"/>
          <w:color w:val="auto"/>
          <w:highlight w:val="none"/>
        </w:rPr>
      </w:pPr>
    </w:p>
    <w:p w14:paraId="61DDDA88">
      <w:pPr>
        <w:rPr>
          <w:rFonts w:ascii="宋体" w:hAnsi="宋体" w:cs="宋体"/>
          <w:color w:val="auto"/>
          <w:highlight w:val="none"/>
        </w:rPr>
      </w:pPr>
    </w:p>
    <w:p w14:paraId="10280E87">
      <w:pPr>
        <w:rPr>
          <w:rFonts w:ascii="宋体" w:hAnsi="宋体" w:cs="宋体"/>
          <w:color w:val="auto"/>
          <w:highlight w:val="none"/>
        </w:rPr>
      </w:pPr>
    </w:p>
    <w:p w14:paraId="4C07EC86">
      <w:pPr>
        <w:rPr>
          <w:rFonts w:ascii="宋体" w:hAnsi="宋体" w:cs="宋体"/>
          <w:color w:val="auto"/>
          <w:highlight w:val="none"/>
        </w:rPr>
      </w:pPr>
    </w:p>
    <w:p w14:paraId="7190D615">
      <w:pPr>
        <w:rPr>
          <w:rFonts w:ascii="宋体" w:hAnsi="宋体" w:cs="宋体"/>
          <w:color w:val="auto"/>
          <w:highlight w:val="none"/>
        </w:rPr>
      </w:pPr>
    </w:p>
    <w:p w14:paraId="573EA0DC">
      <w:pPr>
        <w:rPr>
          <w:rFonts w:ascii="宋体" w:hAnsi="宋体" w:cs="宋体"/>
          <w:color w:val="auto"/>
          <w:highlight w:val="none"/>
        </w:rPr>
      </w:pPr>
    </w:p>
    <w:p w14:paraId="059973C7">
      <w:pPr>
        <w:rPr>
          <w:rFonts w:ascii="宋体" w:hAnsi="宋体" w:cs="宋体"/>
          <w:color w:val="auto"/>
          <w:highlight w:val="none"/>
        </w:rPr>
      </w:pPr>
    </w:p>
    <w:p w14:paraId="21746971">
      <w:pPr>
        <w:rPr>
          <w:rFonts w:ascii="宋体" w:hAnsi="宋体" w:cs="宋体"/>
          <w:color w:val="auto"/>
          <w:highlight w:val="none"/>
        </w:rPr>
      </w:pPr>
    </w:p>
    <w:p w14:paraId="464DBB18">
      <w:pPr>
        <w:rPr>
          <w:rFonts w:ascii="宋体" w:hAnsi="宋体" w:cs="宋体"/>
          <w:color w:val="auto"/>
          <w:highlight w:val="none"/>
        </w:rPr>
      </w:pPr>
    </w:p>
    <w:p w14:paraId="434006DA">
      <w:pPr>
        <w:pStyle w:val="6"/>
        <w:spacing w:line="720" w:lineRule="auto"/>
        <w:rPr>
          <w:rFonts w:ascii="宋体" w:hAnsi="宋体" w:cs="宋体"/>
          <w:color w:val="auto"/>
          <w:highlight w:val="none"/>
        </w:rPr>
      </w:pPr>
      <w:r>
        <w:rPr>
          <w:rFonts w:hint="eastAsia" w:ascii="宋体" w:hAnsi="宋体" w:cs="宋体"/>
          <w:color w:val="auto"/>
          <w:highlight w:val="none"/>
        </w:rPr>
        <w:br w:type="page"/>
      </w:r>
      <w:bookmarkEnd w:id="318"/>
      <w:bookmarkStart w:id="319" w:name="_Toc13241"/>
      <w:bookmarkStart w:id="320" w:name="_Toc13952"/>
      <w:bookmarkStart w:id="321" w:name="_Toc19104"/>
      <w:bookmarkStart w:id="322" w:name="_Toc24027"/>
      <w:bookmarkStart w:id="323" w:name="_Toc30323"/>
      <w:bookmarkStart w:id="324" w:name="_Toc11747"/>
      <w:bookmarkStart w:id="325" w:name="_Toc24801"/>
      <w:bookmarkStart w:id="326" w:name="_Toc22018"/>
      <w:bookmarkStart w:id="327" w:name="_Toc9622"/>
      <w:r>
        <w:rPr>
          <w:rFonts w:hint="eastAsia" w:ascii="宋体" w:hAnsi="宋体" w:cs="宋体"/>
          <w:color w:val="auto"/>
          <w:szCs w:val="28"/>
          <w:highlight w:val="none"/>
        </w:rPr>
        <w:t>二、具有良好的商业信誉和健全的财务会计制度</w:t>
      </w:r>
      <w:bookmarkEnd w:id="319"/>
      <w:bookmarkEnd w:id="320"/>
      <w:bookmarkEnd w:id="321"/>
      <w:bookmarkEnd w:id="322"/>
      <w:bookmarkEnd w:id="323"/>
      <w:bookmarkEnd w:id="324"/>
      <w:bookmarkEnd w:id="325"/>
      <w:bookmarkEnd w:id="326"/>
      <w:bookmarkEnd w:id="327"/>
    </w:p>
    <w:p w14:paraId="6B2D083C">
      <w:pPr>
        <w:widowControl w:val="0"/>
        <w:spacing w:line="500" w:lineRule="exact"/>
        <w:ind w:firstLine="600" w:firstLineChars="25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lang w:bidi="ar"/>
        </w:rPr>
        <w:t>投标人提供以下两者其一即可</w:t>
      </w:r>
      <w:r>
        <w:rPr>
          <w:rFonts w:hint="eastAsia" w:ascii="宋体" w:hAnsi="宋体" w:cs="宋体"/>
          <w:color w:val="auto"/>
          <w:kern w:val="2"/>
          <w:sz w:val="24"/>
          <w:szCs w:val="24"/>
          <w:highlight w:val="none"/>
        </w:rPr>
        <w:t>：</w:t>
      </w:r>
    </w:p>
    <w:p w14:paraId="7A970360">
      <w:pPr>
        <w:widowControl w:val="0"/>
        <w:spacing w:line="500" w:lineRule="exact"/>
        <w:ind w:firstLine="600" w:firstLineChars="25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①提供2022年或</w:t>
      </w:r>
      <w:r>
        <w:rPr>
          <w:rFonts w:hint="eastAsia" w:ascii="宋体" w:hAnsi="宋体" w:cs="宋体"/>
          <w:color w:val="auto"/>
          <w:kern w:val="2"/>
          <w:sz w:val="24"/>
          <w:szCs w:val="24"/>
          <w:highlight w:val="none"/>
          <w:lang w:eastAsia="zh-CN"/>
        </w:rPr>
        <w:t>2023年或2024年经审计</w:t>
      </w:r>
      <w:r>
        <w:rPr>
          <w:rFonts w:hint="eastAsia" w:ascii="宋体" w:hAnsi="宋体" w:cs="宋体"/>
          <w:color w:val="auto"/>
          <w:kern w:val="2"/>
          <w:sz w:val="24"/>
          <w:szCs w:val="24"/>
          <w:highlight w:val="none"/>
        </w:rPr>
        <w:t>的财务报告(至少包括资产负债表、利润表、现金流量表)，新成立不满1年的投标人提供自成立至今的财务报表</w:t>
      </w:r>
      <w:r>
        <w:rPr>
          <w:rFonts w:hint="eastAsia" w:ascii="宋体" w:hAnsi="宋体" w:cs="宋体"/>
          <w:color w:val="auto"/>
          <w:kern w:val="2"/>
          <w:sz w:val="24"/>
          <w:szCs w:val="24"/>
          <w:highlight w:val="none"/>
          <w:lang w:val="en-US" w:eastAsia="zh-CN"/>
        </w:rPr>
        <w:t>复印件</w:t>
      </w:r>
      <w:r>
        <w:rPr>
          <w:rFonts w:hint="eastAsia" w:ascii="宋体" w:hAnsi="宋体" w:cs="宋体"/>
          <w:color w:val="auto"/>
          <w:kern w:val="2"/>
          <w:sz w:val="24"/>
          <w:szCs w:val="24"/>
          <w:highlight w:val="none"/>
        </w:rPr>
        <w:t>；</w:t>
      </w:r>
    </w:p>
    <w:p w14:paraId="622876F0">
      <w:pPr>
        <w:widowControl w:val="0"/>
        <w:spacing w:line="500" w:lineRule="exact"/>
        <w:ind w:firstLine="600" w:firstLineChars="25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②提供自投标文件上传截止时间</w:t>
      </w:r>
      <w:r>
        <w:rPr>
          <w:rFonts w:hint="eastAsia" w:ascii="宋体" w:hAnsi="宋体" w:cs="宋体"/>
          <w:color w:val="auto"/>
          <w:kern w:val="2"/>
          <w:sz w:val="24"/>
          <w:szCs w:val="24"/>
          <w:highlight w:val="none"/>
          <w:lang w:eastAsia="zh-CN"/>
        </w:rPr>
        <w:t>前三个月内基本开户银行出具的资信证明</w:t>
      </w:r>
      <w:r>
        <w:rPr>
          <w:rFonts w:hint="eastAsia" w:ascii="宋体" w:hAnsi="宋体" w:cs="宋体"/>
          <w:color w:val="auto"/>
          <w:kern w:val="2"/>
          <w:sz w:val="24"/>
          <w:szCs w:val="24"/>
          <w:highlight w:val="none"/>
          <w:lang w:val="en-US" w:eastAsia="zh-CN"/>
        </w:rPr>
        <w:t>复印件</w:t>
      </w:r>
      <w:r>
        <w:rPr>
          <w:rFonts w:hint="eastAsia" w:ascii="宋体" w:hAnsi="宋体" w:cs="宋体"/>
          <w:color w:val="auto"/>
          <w:kern w:val="2"/>
          <w:sz w:val="24"/>
          <w:szCs w:val="24"/>
          <w:highlight w:val="none"/>
          <w:lang w:eastAsia="zh-CN"/>
        </w:rPr>
        <w:t>或承诺函</w:t>
      </w:r>
      <w:r>
        <w:rPr>
          <w:rFonts w:hint="eastAsia" w:ascii="宋体" w:hAnsi="宋体" w:cs="宋体"/>
          <w:color w:val="auto"/>
          <w:kern w:val="2"/>
          <w:sz w:val="24"/>
          <w:szCs w:val="24"/>
          <w:highlight w:val="none"/>
        </w:rPr>
        <w:t>。</w:t>
      </w:r>
    </w:p>
    <w:p w14:paraId="2FC0A7BB">
      <w:pPr>
        <w:pStyle w:val="6"/>
        <w:spacing w:line="720" w:lineRule="auto"/>
        <w:rPr>
          <w:rFonts w:ascii="宋体" w:hAnsi="宋体" w:cs="宋体"/>
          <w:color w:val="auto"/>
          <w:highlight w:val="none"/>
        </w:rPr>
      </w:pPr>
      <w:r>
        <w:rPr>
          <w:rFonts w:hint="eastAsia" w:ascii="宋体" w:hAnsi="宋体" w:cs="宋体"/>
          <w:color w:val="auto"/>
          <w:highlight w:val="none"/>
        </w:rPr>
        <w:br w:type="page"/>
      </w:r>
      <w:bookmarkStart w:id="328" w:name="_Toc25770"/>
      <w:bookmarkStart w:id="329" w:name="_Toc27285"/>
      <w:bookmarkStart w:id="330" w:name="_Toc12116"/>
      <w:bookmarkStart w:id="331" w:name="_Toc378"/>
      <w:bookmarkStart w:id="332" w:name="_Toc3423"/>
      <w:bookmarkStart w:id="333" w:name="_Toc13745"/>
      <w:bookmarkStart w:id="334" w:name="_Toc2931"/>
      <w:bookmarkStart w:id="335" w:name="_Toc4898"/>
      <w:bookmarkStart w:id="336" w:name="_Toc30868"/>
      <w:r>
        <w:rPr>
          <w:rFonts w:hint="eastAsia" w:ascii="宋体" w:hAnsi="宋体" w:cs="宋体"/>
          <w:color w:val="auto"/>
          <w:szCs w:val="28"/>
          <w:highlight w:val="none"/>
        </w:rPr>
        <w:t>三、</w:t>
      </w:r>
      <w:bookmarkEnd w:id="328"/>
      <w:bookmarkEnd w:id="329"/>
      <w:r>
        <w:rPr>
          <w:rFonts w:hint="eastAsia" w:ascii="宋体" w:hAnsi="宋体" w:cs="宋体"/>
          <w:color w:val="auto"/>
          <w:szCs w:val="28"/>
          <w:highlight w:val="none"/>
        </w:rPr>
        <w:t>具有履行合同所必需的设备和专业技术能力</w:t>
      </w:r>
      <w:bookmarkEnd w:id="330"/>
      <w:bookmarkEnd w:id="331"/>
      <w:bookmarkEnd w:id="332"/>
      <w:bookmarkEnd w:id="333"/>
      <w:bookmarkEnd w:id="334"/>
      <w:bookmarkEnd w:id="335"/>
      <w:bookmarkEnd w:id="336"/>
    </w:p>
    <w:p w14:paraId="6E17B542">
      <w:pPr>
        <w:pStyle w:val="34"/>
        <w:ind w:firstLine="720" w:firstLineChars="300"/>
        <w:rPr>
          <w:rFonts w:ascii="宋体" w:hAnsi="宋体" w:eastAsia="宋体"/>
          <w:color w:val="auto"/>
          <w:sz w:val="24"/>
          <w:szCs w:val="24"/>
          <w:highlight w:val="none"/>
        </w:rPr>
      </w:pPr>
      <w:bookmarkStart w:id="337" w:name="_Toc14504"/>
      <w:bookmarkEnd w:id="337"/>
      <w:bookmarkStart w:id="338" w:name="_Toc20341"/>
      <w:r>
        <w:rPr>
          <w:rFonts w:hint="eastAsia" w:ascii="宋体" w:hAnsi="宋体" w:eastAsia="宋体"/>
          <w:color w:val="auto"/>
          <w:sz w:val="24"/>
          <w:szCs w:val="24"/>
          <w:highlight w:val="none"/>
        </w:rPr>
        <w:t>提供相关证明材料或承诺书</w:t>
      </w:r>
      <w:r>
        <w:rPr>
          <w:rFonts w:hint="eastAsia" w:ascii="宋体" w:hAnsi="宋体" w:eastAsia="宋体"/>
          <w:color w:val="auto"/>
          <w:kern w:val="2"/>
          <w:sz w:val="24"/>
          <w:szCs w:val="24"/>
          <w:highlight w:val="none"/>
        </w:rPr>
        <w:t>。</w:t>
      </w:r>
    </w:p>
    <w:bookmarkEnd w:id="338"/>
    <w:p w14:paraId="2F3D1891">
      <w:pPr>
        <w:pStyle w:val="6"/>
        <w:spacing w:line="720" w:lineRule="auto"/>
        <w:rPr>
          <w:rFonts w:ascii="宋体" w:hAnsi="宋体" w:cs="宋体"/>
          <w:color w:val="auto"/>
          <w:highlight w:val="none"/>
        </w:rPr>
      </w:pPr>
      <w:r>
        <w:rPr>
          <w:rFonts w:hint="eastAsia" w:ascii="宋体" w:hAnsi="宋体" w:cs="宋体"/>
          <w:color w:val="auto"/>
          <w:highlight w:val="none"/>
        </w:rPr>
        <w:br w:type="page"/>
      </w:r>
      <w:bookmarkStart w:id="339" w:name="_Toc1209"/>
      <w:bookmarkStart w:id="340" w:name="_Toc23521"/>
      <w:bookmarkStart w:id="341" w:name="_Toc17848"/>
      <w:bookmarkStart w:id="342" w:name="_Toc21991"/>
      <w:bookmarkStart w:id="343" w:name="_Toc28972"/>
      <w:bookmarkStart w:id="344" w:name="_Toc6760"/>
      <w:bookmarkStart w:id="345" w:name="_Toc13026"/>
      <w:bookmarkStart w:id="346" w:name="_Toc6793"/>
      <w:bookmarkStart w:id="347" w:name="_Toc5780"/>
      <w:r>
        <w:rPr>
          <w:rFonts w:hint="eastAsia" w:ascii="宋体" w:hAnsi="宋体" w:cs="宋体"/>
          <w:color w:val="auto"/>
          <w:szCs w:val="28"/>
          <w:highlight w:val="none"/>
        </w:rPr>
        <w:t>四、</w:t>
      </w:r>
      <w:bookmarkEnd w:id="339"/>
      <w:bookmarkEnd w:id="340"/>
      <w:r>
        <w:rPr>
          <w:rFonts w:hint="eastAsia" w:ascii="宋体" w:hAnsi="宋体" w:cs="宋体"/>
          <w:color w:val="auto"/>
          <w:szCs w:val="28"/>
          <w:highlight w:val="none"/>
        </w:rPr>
        <w:t>有依法缴纳税收和社会保障资金的良好记录</w:t>
      </w:r>
      <w:bookmarkEnd w:id="341"/>
      <w:bookmarkEnd w:id="342"/>
      <w:bookmarkEnd w:id="343"/>
      <w:bookmarkEnd w:id="344"/>
      <w:bookmarkEnd w:id="345"/>
      <w:bookmarkEnd w:id="346"/>
      <w:bookmarkEnd w:id="347"/>
    </w:p>
    <w:p w14:paraId="053E77EB">
      <w:pPr>
        <w:widowControl w:val="0"/>
        <w:spacing w:line="500" w:lineRule="exact"/>
        <w:ind w:firstLine="600" w:firstLineChars="25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lang w:bidi="ar"/>
        </w:rPr>
        <w:t>具有依法缴纳税收和社会保障资金的良好记录。提供2024年1月至今</w:t>
      </w:r>
      <w:r>
        <w:rPr>
          <w:rFonts w:hint="eastAsia" w:ascii="宋体" w:hAnsi="宋体" w:cs="宋体"/>
          <w:color w:val="auto"/>
          <w:kern w:val="2"/>
          <w:sz w:val="24"/>
          <w:szCs w:val="24"/>
          <w:highlight w:val="none"/>
          <w:lang w:eastAsia="zh-CN" w:bidi="ar"/>
        </w:rPr>
        <w:t>任意3个月</w:t>
      </w:r>
      <w:r>
        <w:rPr>
          <w:rFonts w:hint="eastAsia" w:ascii="宋体" w:hAnsi="宋体" w:cs="宋体"/>
          <w:color w:val="auto"/>
          <w:kern w:val="2"/>
          <w:sz w:val="24"/>
          <w:szCs w:val="24"/>
          <w:highlight w:val="none"/>
          <w:lang w:bidi="ar"/>
        </w:rPr>
        <w:t>依法缴纳税收和缴纳社会保障资金的证明(</w:t>
      </w:r>
      <w:r>
        <w:rPr>
          <w:rFonts w:hint="eastAsia" w:ascii="宋体" w:hAnsi="宋体" w:cs="宋体"/>
          <w:color w:val="auto"/>
          <w:kern w:val="2"/>
          <w:sz w:val="24"/>
          <w:szCs w:val="24"/>
          <w:highlight w:val="none"/>
          <w:lang w:eastAsia="zh-CN" w:bidi="ar"/>
        </w:rPr>
        <w:t>成立未满3个月的提供成立</w:t>
      </w:r>
      <w:r>
        <w:rPr>
          <w:rFonts w:hint="eastAsia" w:ascii="宋体" w:hAnsi="宋体" w:cs="宋体"/>
          <w:color w:val="auto"/>
          <w:kern w:val="2"/>
          <w:sz w:val="24"/>
          <w:szCs w:val="24"/>
          <w:highlight w:val="none"/>
          <w:lang w:bidi="ar"/>
        </w:rPr>
        <w:t>以来的税收和社会保障资金缴纳凭据；依法免税或不需要缴纳社会保障资金的投标人，应提供相应文件证明)。</w:t>
      </w:r>
    </w:p>
    <w:p w14:paraId="2A054178">
      <w:pPr>
        <w:spacing w:line="360" w:lineRule="auto"/>
        <w:ind w:firstLine="480" w:firstLineChars="200"/>
        <w:jc w:val="center"/>
        <w:rPr>
          <w:rFonts w:ascii="宋体" w:hAnsi="宋体"/>
          <w:color w:val="auto"/>
          <w:sz w:val="24"/>
          <w:szCs w:val="24"/>
          <w:highlight w:val="none"/>
        </w:rPr>
      </w:pPr>
    </w:p>
    <w:p w14:paraId="428EA0FE">
      <w:pPr>
        <w:autoSpaceDE w:val="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2C7C5533">
      <w:pPr>
        <w:pStyle w:val="6"/>
        <w:spacing w:line="720" w:lineRule="auto"/>
        <w:rPr>
          <w:rFonts w:ascii="宋体" w:hAnsi="宋体" w:cs="宋体"/>
          <w:color w:val="auto"/>
          <w:highlight w:val="none"/>
        </w:rPr>
      </w:pPr>
      <w:bookmarkStart w:id="348" w:name="_Toc8069"/>
      <w:bookmarkEnd w:id="348"/>
      <w:r>
        <w:rPr>
          <w:rFonts w:hint="eastAsia" w:ascii="宋体" w:hAnsi="宋体" w:cs="宋体"/>
          <w:color w:val="auto"/>
          <w:highlight w:val="none"/>
        </w:rPr>
        <w:br w:type="page"/>
      </w:r>
      <w:bookmarkStart w:id="349" w:name="_Toc29508"/>
      <w:bookmarkStart w:id="350" w:name="_Toc3162"/>
      <w:bookmarkStart w:id="351" w:name="_Toc5162"/>
      <w:bookmarkStart w:id="352" w:name="_Toc29829"/>
      <w:bookmarkStart w:id="353" w:name="_Toc6632"/>
      <w:bookmarkStart w:id="354" w:name="_Toc3229"/>
      <w:bookmarkStart w:id="355" w:name="_Toc21819"/>
      <w:r>
        <w:rPr>
          <w:rFonts w:hint="eastAsia" w:ascii="宋体" w:hAnsi="宋体" w:cs="宋体"/>
          <w:color w:val="auto"/>
          <w:highlight w:val="none"/>
        </w:rPr>
        <w:t>五、</w:t>
      </w:r>
      <w:bookmarkStart w:id="356" w:name="_Toc4022"/>
      <w:bookmarkEnd w:id="356"/>
      <w:bookmarkStart w:id="357" w:name="_Toc30512"/>
      <w:r>
        <w:rPr>
          <w:rFonts w:hint="eastAsia" w:ascii="宋体" w:hAnsi="宋体" w:cs="宋体"/>
          <w:color w:val="auto"/>
          <w:szCs w:val="28"/>
          <w:highlight w:val="none"/>
        </w:rPr>
        <w:t>参加政府采购活动前三年内，在经营活动中没有重大违法记录</w:t>
      </w:r>
      <w:bookmarkEnd w:id="349"/>
      <w:bookmarkEnd w:id="350"/>
      <w:bookmarkEnd w:id="351"/>
      <w:bookmarkEnd w:id="352"/>
      <w:bookmarkEnd w:id="353"/>
      <w:bookmarkEnd w:id="354"/>
      <w:bookmarkEnd w:id="355"/>
    </w:p>
    <w:p w14:paraId="764403D8">
      <w:pPr>
        <w:spacing w:line="72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声明函</w:t>
      </w:r>
    </w:p>
    <w:p w14:paraId="694CA1C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734983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（投标人自行承诺及说明，内容自拟）               </w:t>
      </w:r>
    </w:p>
    <w:p w14:paraId="092F408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BD10467">
      <w:pPr>
        <w:spacing w:line="360" w:lineRule="auto"/>
        <w:ind w:firstLine="480" w:firstLineChars="200"/>
        <w:rPr>
          <w:rFonts w:ascii="宋体" w:hAnsi="宋体" w:cs="宋体"/>
          <w:color w:val="auto"/>
          <w:sz w:val="24"/>
          <w:szCs w:val="24"/>
          <w:highlight w:val="none"/>
        </w:rPr>
      </w:pPr>
    </w:p>
    <w:p w14:paraId="0BA64FD1">
      <w:pPr>
        <w:spacing w:line="360" w:lineRule="auto"/>
        <w:ind w:firstLine="480" w:firstLineChars="200"/>
        <w:rPr>
          <w:rFonts w:ascii="宋体" w:hAnsi="宋体" w:cs="宋体"/>
          <w:color w:val="auto"/>
          <w:sz w:val="24"/>
          <w:szCs w:val="24"/>
          <w:highlight w:val="none"/>
        </w:rPr>
      </w:pPr>
    </w:p>
    <w:p w14:paraId="51A6ECA8">
      <w:pPr>
        <w:spacing w:line="360" w:lineRule="auto"/>
        <w:ind w:firstLine="480" w:firstLineChars="200"/>
        <w:rPr>
          <w:rFonts w:ascii="宋体" w:hAnsi="宋体" w:cs="宋体"/>
          <w:color w:val="auto"/>
          <w:sz w:val="24"/>
          <w:szCs w:val="24"/>
          <w:highlight w:val="none"/>
        </w:rPr>
      </w:pPr>
    </w:p>
    <w:p w14:paraId="47C8B0F1">
      <w:pPr>
        <w:ind w:firstLine="1205" w:firstLineChars="500"/>
        <w:rPr>
          <w:rFonts w:ascii="宋体" w:hAnsi="宋体" w:cs="宋体"/>
          <w:b/>
          <w:bCs/>
          <w:color w:val="auto"/>
          <w:sz w:val="24"/>
          <w:szCs w:val="24"/>
          <w:highlight w:val="none"/>
        </w:rPr>
      </w:pPr>
    </w:p>
    <w:p w14:paraId="4DAE6487">
      <w:pPr>
        <w:ind w:firstLine="1205" w:firstLineChars="500"/>
        <w:rPr>
          <w:rFonts w:ascii="宋体" w:hAnsi="宋体" w:cs="宋体"/>
          <w:b/>
          <w:bCs/>
          <w:color w:val="auto"/>
          <w:sz w:val="24"/>
          <w:szCs w:val="24"/>
          <w:highlight w:val="none"/>
        </w:rPr>
      </w:pPr>
    </w:p>
    <w:p w14:paraId="6990944C">
      <w:pPr>
        <w:ind w:firstLine="1205" w:firstLineChars="500"/>
        <w:rPr>
          <w:rFonts w:ascii="宋体" w:hAnsi="宋体" w:cs="宋体"/>
          <w:b/>
          <w:bCs/>
          <w:color w:val="auto"/>
          <w:sz w:val="24"/>
          <w:szCs w:val="24"/>
          <w:highlight w:val="none"/>
        </w:rPr>
      </w:pPr>
    </w:p>
    <w:p w14:paraId="215DC82A">
      <w:pPr>
        <w:pStyle w:val="12"/>
        <w:rPr>
          <w:rFonts w:ascii="宋体" w:hAnsi="宋体"/>
          <w:color w:val="auto"/>
          <w:highlight w:val="none"/>
        </w:rPr>
      </w:pPr>
    </w:p>
    <w:p w14:paraId="1F103090">
      <w:pPr>
        <w:ind w:firstLine="1205" w:firstLineChars="500"/>
        <w:rPr>
          <w:rFonts w:ascii="宋体" w:hAnsi="宋体" w:cs="宋体"/>
          <w:b/>
          <w:bCs/>
          <w:color w:val="auto"/>
          <w:sz w:val="24"/>
          <w:szCs w:val="24"/>
          <w:highlight w:val="none"/>
        </w:rPr>
      </w:pPr>
    </w:p>
    <w:p w14:paraId="30449CA9">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462DFD53">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5B12DA48">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5F509981">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16D8244C">
      <w:pPr>
        <w:ind w:firstLine="1205" w:firstLineChars="500"/>
        <w:rPr>
          <w:rFonts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22D2091A">
      <w:pPr>
        <w:pStyle w:val="12"/>
        <w:rPr>
          <w:rFonts w:ascii="宋体" w:hAnsi="宋体"/>
          <w:b/>
          <w:color w:val="auto"/>
          <w:sz w:val="28"/>
          <w:szCs w:val="28"/>
          <w:highlight w:val="none"/>
        </w:rPr>
      </w:pPr>
    </w:p>
    <w:p w14:paraId="401CFE2C">
      <w:pPr>
        <w:pStyle w:val="12"/>
        <w:rPr>
          <w:rFonts w:ascii="宋体" w:hAnsi="宋体"/>
          <w:b/>
          <w:color w:val="auto"/>
          <w:sz w:val="28"/>
          <w:szCs w:val="28"/>
          <w:highlight w:val="none"/>
        </w:rPr>
      </w:pPr>
    </w:p>
    <w:p w14:paraId="3717FED0">
      <w:pPr>
        <w:pStyle w:val="12"/>
        <w:rPr>
          <w:rFonts w:ascii="宋体" w:hAnsi="宋体"/>
          <w:b/>
          <w:color w:val="auto"/>
          <w:sz w:val="28"/>
          <w:szCs w:val="28"/>
          <w:highlight w:val="none"/>
        </w:rPr>
      </w:pPr>
    </w:p>
    <w:p w14:paraId="4B062822">
      <w:pPr>
        <w:pStyle w:val="12"/>
        <w:rPr>
          <w:rFonts w:ascii="宋体" w:hAnsi="宋体" w:cs="宋体"/>
          <w:color w:val="auto"/>
          <w:sz w:val="24"/>
          <w:highlight w:val="none"/>
        </w:rPr>
      </w:pPr>
    </w:p>
    <w:p w14:paraId="14A84D69">
      <w:pPr>
        <w:pStyle w:val="12"/>
        <w:rPr>
          <w:rFonts w:ascii="宋体" w:hAnsi="宋体" w:cs="宋体"/>
          <w:color w:val="auto"/>
          <w:sz w:val="24"/>
          <w:highlight w:val="none"/>
        </w:rPr>
      </w:pPr>
    </w:p>
    <w:p w14:paraId="02DE72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注：重大违法记录，是指投标人因违法经营受到刑事处罚或者责令停产停业、吊销许可证或者执照、较大数额罚款等行政处罚。</w:t>
      </w:r>
    </w:p>
    <w:bookmarkEnd w:id="357"/>
    <w:p w14:paraId="18F30B5A">
      <w:pPr>
        <w:widowControl w:val="0"/>
        <w:spacing w:line="360" w:lineRule="auto"/>
        <w:rPr>
          <w:rFonts w:ascii="宋体" w:hAnsi="宋体"/>
          <w:color w:val="auto"/>
          <w:highlight w:val="none"/>
        </w:rPr>
      </w:pPr>
      <w:bookmarkStart w:id="358" w:name="_Toc16296"/>
      <w:bookmarkEnd w:id="358"/>
      <w:bookmarkStart w:id="359" w:name="_Toc15638"/>
      <w:bookmarkEnd w:id="359"/>
      <w:bookmarkStart w:id="360" w:name="_Toc15765"/>
    </w:p>
    <w:bookmarkEnd w:id="360"/>
    <w:p w14:paraId="3F7AF5E5">
      <w:pPr>
        <w:pStyle w:val="6"/>
        <w:spacing w:line="720" w:lineRule="auto"/>
        <w:rPr>
          <w:rFonts w:ascii="宋体" w:hAnsi="宋体" w:cs="宋体"/>
          <w:color w:val="auto"/>
          <w:highlight w:val="none"/>
          <w:lang w:val="zh-CN"/>
        </w:rPr>
      </w:pPr>
      <w:bookmarkStart w:id="361" w:name="_Toc3481"/>
      <w:bookmarkStart w:id="362" w:name="_Toc11903"/>
      <w:bookmarkStart w:id="363" w:name="_Toc1552"/>
      <w:bookmarkStart w:id="364" w:name="_Toc32765"/>
      <w:bookmarkStart w:id="365" w:name="_Toc1954"/>
      <w:bookmarkStart w:id="366" w:name="_Toc23422"/>
      <w:bookmarkStart w:id="367" w:name="_Toc18"/>
      <w:r>
        <w:rPr>
          <w:rFonts w:hint="eastAsia" w:ascii="宋体" w:hAnsi="宋体" w:cs="宋体"/>
          <w:color w:val="auto"/>
          <w:highlight w:val="none"/>
          <w:lang w:val="zh-CN"/>
        </w:rPr>
        <w:t>六、</w:t>
      </w:r>
      <w:r>
        <w:rPr>
          <w:rFonts w:hint="eastAsia" w:ascii="宋体" w:hAnsi="宋体" w:cs="宋体"/>
          <w:color w:val="auto"/>
          <w:kern w:val="2"/>
          <w:sz w:val="24"/>
          <w:szCs w:val="24"/>
          <w:highlight w:val="none"/>
          <w:lang w:bidi="ar"/>
        </w:rPr>
        <w:t>法律、行政法规规定的其他条件</w:t>
      </w:r>
      <w:bookmarkEnd w:id="361"/>
      <w:bookmarkEnd w:id="362"/>
    </w:p>
    <w:p w14:paraId="7AFA63B7">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 </w:t>
      </w:r>
      <w:r>
        <w:rPr>
          <w:rFonts w:hint="eastAsia" w:ascii="宋体" w:hAnsi="宋体" w:cs="宋体"/>
          <w:color w:val="auto"/>
          <w:kern w:val="2"/>
          <w:sz w:val="24"/>
          <w:szCs w:val="24"/>
          <w:highlight w:val="none"/>
          <w:lang w:eastAsia="zh-CN" w:bidi="ar"/>
        </w:rPr>
        <w:t>单位负责人为同一人或者存在直接控股、管理关系的不同供应商，不得参加同一合同项下的政府采购活动；</w:t>
      </w:r>
      <w:r>
        <w:rPr>
          <w:rFonts w:hint="eastAsia" w:ascii="宋体" w:hAnsi="宋体" w:cs="宋体"/>
          <w:color w:val="auto"/>
          <w:kern w:val="2"/>
          <w:sz w:val="24"/>
          <w:szCs w:val="24"/>
          <w:highlight w:val="none"/>
          <w:lang w:bidi="ar"/>
        </w:rPr>
        <w:t>为采购项目提供整体设计、规范编制或者项目管理、监理、检测等服务的供应商，不得再参加该采购项目的其他采购活动。</w:t>
      </w:r>
    </w:p>
    <w:p w14:paraId="38DBB3F6">
      <w:pPr>
        <w:pStyle w:val="8"/>
        <w:rPr>
          <w:rFonts w:ascii="宋体" w:hAnsi="宋体" w:cs="宋体"/>
          <w:color w:val="auto"/>
          <w:kern w:val="2"/>
          <w:sz w:val="24"/>
          <w:szCs w:val="24"/>
          <w:highlight w:val="none"/>
          <w:lang w:bidi="ar"/>
        </w:rPr>
      </w:pPr>
    </w:p>
    <w:p w14:paraId="175D8AE6">
      <w:pPr>
        <w:spacing w:line="720" w:lineRule="auto"/>
        <w:jc w:val="center"/>
        <w:rPr>
          <w:rFonts w:ascii="宋体" w:hAnsi="宋体" w:cs="宋体"/>
          <w:b/>
          <w:bCs/>
          <w:color w:val="auto"/>
          <w:kern w:val="2"/>
          <w:sz w:val="24"/>
          <w:szCs w:val="24"/>
          <w:highlight w:val="none"/>
          <w:lang w:bidi="ar"/>
        </w:rPr>
      </w:pPr>
      <w:r>
        <w:rPr>
          <w:rFonts w:hint="eastAsia" w:ascii="宋体" w:hAnsi="宋体" w:cs="宋体"/>
          <w:b/>
          <w:bCs/>
          <w:color w:val="auto"/>
          <w:kern w:val="2"/>
          <w:sz w:val="24"/>
          <w:szCs w:val="24"/>
          <w:highlight w:val="none"/>
          <w:lang w:bidi="ar"/>
        </w:rPr>
        <w:t>承诺书</w:t>
      </w:r>
    </w:p>
    <w:p w14:paraId="6DC2EA0B">
      <w:pPr>
        <w:pStyle w:val="9"/>
        <w:ind w:left="1470" w:right="1470"/>
        <w:rPr>
          <w:rFonts w:ascii="宋体" w:hAnsi="宋体" w:cs="宋体"/>
          <w:color w:val="auto"/>
          <w:kern w:val="2"/>
          <w:sz w:val="24"/>
          <w:szCs w:val="24"/>
          <w:highlight w:val="none"/>
          <w:lang w:bidi="ar"/>
        </w:rPr>
      </w:pPr>
    </w:p>
    <w:p w14:paraId="785B80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 xml:space="preserve">   </w:t>
      </w: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4235114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（投标人自行承诺及说明，内容自拟）               </w:t>
      </w:r>
    </w:p>
    <w:p w14:paraId="63B6DF0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D1EB727">
      <w:pPr>
        <w:spacing w:line="360" w:lineRule="auto"/>
        <w:ind w:firstLine="480" w:firstLineChars="200"/>
        <w:rPr>
          <w:rFonts w:ascii="宋体" w:hAnsi="宋体" w:cs="宋体"/>
          <w:color w:val="auto"/>
          <w:sz w:val="24"/>
          <w:szCs w:val="24"/>
          <w:highlight w:val="none"/>
        </w:rPr>
      </w:pPr>
    </w:p>
    <w:p w14:paraId="33F130CA">
      <w:pPr>
        <w:spacing w:line="360" w:lineRule="auto"/>
        <w:ind w:firstLine="480" w:firstLineChars="200"/>
        <w:rPr>
          <w:rFonts w:ascii="宋体" w:hAnsi="宋体" w:cs="宋体"/>
          <w:color w:val="auto"/>
          <w:sz w:val="24"/>
          <w:szCs w:val="24"/>
          <w:highlight w:val="none"/>
        </w:rPr>
      </w:pPr>
    </w:p>
    <w:p w14:paraId="0F3E7CB9">
      <w:pPr>
        <w:spacing w:line="360" w:lineRule="auto"/>
        <w:ind w:firstLine="480" w:firstLineChars="200"/>
        <w:rPr>
          <w:rFonts w:ascii="宋体" w:hAnsi="宋体" w:cs="宋体"/>
          <w:color w:val="auto"/>
          <w:sz w:val="24"/>
          <w:szCs w:val="24"/>
          <w:highlight w:val="none"/>
        </w:rPr>
      </w:pPr>
    </w:p>
    <w:p w14:paraId="3F0465E5">
      <w:pPr>
        <w:ind w:firstLine="1205" w:firstLineChars="500"/>
        <w:rPr>
          <w:rFonts w:ascii="宋体" w:hAnsi="宋体" w:cs="宋体"/>
          <w:b/>
          <w:bCs/>
          <w:color w:val="auto"/>
          <w:sz w:val="24"/>
          <w:szCs w:val="24"/>
          <w:highlight w:val="none"/>
        </w:rPr>
      </w:pPr>
    </w:p>
    <w:p w14:paraId="34E2B9F0">
      <w:pPr>
        <w:ind w:firstLine="1205" w:firstLineChars="500"/>
        <w:rPr>
          <w:rFonts w:ascii="宋体" w:hAnsi="宋体" w:cs="宋体"/>
          <w:b/>
          <w:bCs/>
          <w:color w:val="auto"/>
          <w:sz w:val="24"/>
          <w:szCs w:val="24"/>
          <w:highlight w:val="none"/>
        </w:rPr>
      </w:pPr>
    </w:p>
    <w:p w14:paraId="2961E654">
      <w:pPr>
        <w:ind w:firstLine="1205" w:firstLineChars="500"/>
        <w:rPr>
          <w:rFonts w:ascii="宋体" w:hAnsi="宋体" w:cs="宋体"/>
          <w:b/>
          <w:bCs/>
          <w:color w:val="auto"/>
          <w:sz w:val="24"/>
          <w:szCs w:val="24"/>
          <w:highlight w:val="none"/>
        </w:rPr>
      </w:pPr>
    </w:p>
    <w:p w14:paraId="2CA55371">
      <w:pPr>
        <w:pStyle w:val="12"/>
        <w:rPr>
          <w:rFonts w:ascii="宋体" w:hAnsi="宋体"/>
          <w:color w:val="auto"/>
          <w:highlight w:val="none"/>
        </w:rPr>
      </w:pPr>
    </w:p>
    <w:p w14:paraId="0A4C9A08">
      <w:pPr>
        <w:ind w:firstLine="1205" w:firstLineChars="500"/>
        <w:rPr>
          <w:rFonts w:ascii="宋体" w:hAnsi="宋体" w:cs="宋体"/>
          <w:b/>
          <w:bCs/>
          <w:color w:val="auto"/>
          <w:sz w:val="24"/>
          <w:szCs w:val="24"/>
          <w:highlight w:val="none"/>
        </w:rPr>
      </w:pPr>
    </w:p>
    <w:p w14:paraId="22C53A02">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645DFEF1">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2BD25892">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51D7AE1C">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7CA43C6B">
      <w:pPr>
        <w:ind w:firstLine="1205" w:firstLineChars="500"/>
        <w:rPr>
          <w:rFonts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1CEA4DA2">
      <w:pPr>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br w:type="page"/>
      </w:r>
    </w:p>
    <w:p w14:paraId="57AF1F87">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 投标人应在“信用中国”网站(www.creditchina.gov.cn)未被列入失信被执行人记录、重大税收违法失信主体及中国政府采购网(www.ccgp.gov.cn)没有政府采购严重违法失信行为记录</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提供查询时间为本公告发布之日起至提交投标文件截止时间止的网站截图</w:t>
      </w:r>
      <w:r>
        <w:rPr>
          <w:rFonts w:hint="eastAsia" w:ascii="宋体" w:hAnsi="宋体" w:cs="宋体"/>
          <w:color w:val="auto"/>
          <w:sz w:val="24"/>
          <w:highlight w:val="none"/>
          <w:lang w:eastAsia="zh-CN"/>
        </w:rPr>
        <w:t>，</w:t>
      </w:r>
      <w:r>
        <w:rPr>
          <w:rFonts w:hint="eastAsia" w:ascii="宋体" w:hAnsi="宋体" w:cs="宋体"/>
          <w:color w:val="auto"/>
          <w:sz w:val="24"/>
          <w:highlight w:val="none"/>
        </w:rPr>
        <w:t>查询结果</w:t>
      </w:r>
      <w:r>
        <w:rPr>
          <w:rFonts w:hint="eastAsia" w:ascii="宋体" w:hAnsi="宋体" w:cs="宋体"/>
          <w:color w:val="auto"/>
          <w:sz w:val="24"/>
          <w:highlight w:val="none"/>
          <w:lang w:val="en-US" w:eastAsia="zh-CN"/>
        </w:rPr>
        <w:t>最终</w:t>
      </w:r>
      <w:r>
        <w:rPr>
          <w:rFonts w:hint="eastAsia" w:ascii="宋体" w:hAnsi="宋体" w:cs="宋体"/>
          <w:color w:val="auto"/>
          <w:sz w:val="24"/>
          <w:highlight w:val="none"/>
        </w:rPr>
        <w:t>以采购人、采购代理机构在开标后评标开始前查询结果为准，并将查询记录留存）</w:t>
      </w:r>
      <w:r>
        <w:rPr>
          <w:rFonts w:hint="eastAsia" w:ascii="宋体" w:hAnsi="宋体" w:cs="宋体"/>
          <w:color w:val="auto"/>
          <w:kern w:val="2"/>
          <w:sz w:val="24"/>
          <w:szCs w:val="24"/>
          <w:highlight w:val="none"/>
          <w:lang w:bidi="ar"/>
        </w:rPr>
        <w:t>。</w:t>
      </w:r>
    </w:p>
    <w:p w14:paraId="2EA5333E">
      <w:pPr>
        <w:rPr>
          <w:color w:val="auto"/>
          <w:highlight w:val="none"/>
        </w:rPr>
      </w:pPr>
      <w:r>
        <w:rPr>
          <w:rFonts w:hint="eastAsia" w:ascii="宋体" w:hAnsi="宋体" w:cs="宋体"/>
          <w:color w:val="auto"/>
          <w:kern w:val="2"/>
          <w:sz w:val="24"/>
          <w:szCs w:val="24"/>
          <w:highlight w:val="none"/>
          <w:lang w:bidi="ar"/>
        </w:rPr>
        <w:br w:type="page"/>
      </w:r>
    </w:p>
    <w:p w14:paraId="02BDA282">
      <w:pPr>
        <w:pStyle w:val="6"/>
        <w:spacing w:line="720" w:lineRule="auto"/>
        <w:rPr>
          <w:rFonts w:hint="eastAsia" w:ascii="宋体" w:hAnsi="宋体" w:cs="宋体"/>
          <w:color w:val="auto"/>
          <w:highlight w:val="none"/>
          <w:lang w:val="zh-CN"/>
        </w:rPr>
      </w:pPr>
      <w:bookmarkStart w:id="368" w:name="_Toc2285"/>
      <w:bookmarkStart w:id="369" w:name="_Toc25114"/>
      <w:r>
        <w:rPr>
          <w:rFonts w:hint="eastAsia" w:ascii="宋体" w:hAnsi="宋体" w:cs="宋体"/>
          <w:color w:val="auto"/>
          <w:highlight w:val="none"/>
        </w:rPr>
        <w:t>七、</w:t>
      </w:r>
      <w:r>
        <w:rPr>
          <w:rFonts w:hint="eastAsia" w:ascii="宋体" w:hAnsi="宋体" w:cs="宋体"/>
          <w:color w:val="auto"/>
          <w:highlight w:val="none"/>
          <w:lang w:val="en-US" w:eastAsia="zh-CN"/>
        </w:rPr>
        <w:t>特定</w:t>
      </w:r>
      <w:r>
        <w:rPr>
          <w:rFonts w:hint="eastAsia" w:ascii="宋体" w:hAnsi="宋体" w:cs="宋体"/>
          <w:color w:val="auto"/>
          <w:highlight w:val="none"/>
          <w:lang w:val="zh-CN"/>
        </w:rPr>
        <w:t>要求</w:t>
      </w:r>
      <w:bookmarkEnd w:id="368"/>
    </w:p>
    <w:p w14:paraId="41BC906E">
      <w:pPr>
        <w:widowControl w:val="0"/>
        <w:spacing w:line="360" w:lineRule="auto"/>
        <w:ind w:firstLine="480" w:firstLineChars="200"/>
        <w:jc w:val="both"/>
        <w:rPr>
          <w:rFonts w:hint="eastAsia" w:ascii="宋体" w:hAnsi="宋体" w:eastAsia="宋体" w:cs="宋体"/>
          <w:b w:val="0"/>
          <w:bCs w:val="0"/>
          <w:color w:val="auto"/>
          <w:kern w:val="0"/>
          <w:sz w:val="24"/>
          <w:szCs w:val="21"/>
          <w:highlight w:val="none"/>
          <w:lang w:val="en-US" w:eastAsia="zh-CN" w:bidi="ar"/>
        </w:rPr>
      </w:pPr>
      <w:r>
        <w:rPr>
          <w:rFonts w:hint="eastAsia" w:ascii="宋体" w:hAnsi="宋体" w:eastAsia="宋体" w:cs="宋体"/>
          <w:color w:val="auto"/>
          <w:kern w:val="0"/>
          <w:sz w:val="24"/>
          <w:highlight w:val="none"/>
          <w:lang w:bidi="ar"/>
        </w:rPr>
        <w:t>投标人须具备有效的《食品生产许可证》或《食品经营许可证》</w:t>
      </w:r>
      <w:r>
        <w:rPr>
          <w:rFonts w:hint="eastAsia" w:ascii="宋体" w:hAnsi="宋体" w:eastAsia="宋体" w:cs="宋体"/>
          <w:color w:val="auto"/>
          <w:kern w:val="0"/>
          <w:sz w:val="24"/>
          <w:highlight w:val="none"/>
          <w:lang w:val="en-US" w:eastAsia="zh-CN" w:bidi="ar"/>
        </w:rPr>
        <w:t>或相关证明材料</w:t>
      </w:r>
      <w:r>
        <w:rPr>
          <w:rFonts w:hint="eastAsia" w:ascii="宋体" w:hAnsi="宋体" w:eastAsia="宋体" w:cs="宋体"/>
          <w:b w:val="0"/>
          <w:bCs w:val="0"/>
          <w:color w:val="auto"/>
          <w:kern w:val="0"/>
          <w:sz w:val="24"/>
          <w:szCs w:val="21"/>
          <w:highlight w:val="none"/>
          <w:lang w:val="en-US" w:eastAsia="zh-CN" w:bidi="ar"/>
        </w:rPr>
        <w:t>（属于销售食用农产品等法律、法规规定的不需要取得食品经营许可情形的，提供相关情况说明）；</w:t>
      </w:r>
    </w:p>
    <w:p w14:paraId="461DBC8E">
      <w:pPr>
        <w:spacing w:line="360" w:lineRule="auto"/>
        <w:ind w:firstLine="480" w:firstLineChars="200"/>
        <w:rPr>
          <w:rFonts w:hint="eastAsia" w:ascii="宋体" w:hAnsi="宋体"/>
          <w:color w:val="auto"/>
          <w:sz w:val="24"/>
          <w:szCs w:val="24"/>
          <w:highlight w:val="none"/>
        </w:rPr>
      </w:pPr>
    </w:p>
    <w:p w14:paraId="7B397B77">
      <w:pPr>
        <w:rPr>
          <w:rFonts w:ascii="宋体" w:hAnsi="宋体"/>
          <w:color w:val="auto"/>
          <w:highlight w:val="none"/>
        </w:rPr>
      </w:pPr>
    </w:p>
    <w:p w14:paraId="4B54E20A">
      <w:pPr>
        <w:rPr>
          <w:rFonts w:ascii="宋体" w:hAnsi="宋体"/>
          <w:color w:val="auto"/>
          <w:sz w:val="24"/>
          <w:szCs w:val="24"/>
          <w:highlight w:val="none"/>
          <w:u w:val="single"/>
        </w:rPr>
      </w:pPr>
    </w:p>
    <w:p w14:paraId="2D25F14E">
      <w:pPr>
        <w:rPr>
          <w:rFonts w:ascii="宋体" w:hAnsi="宋体"/>
          <w:b/>
          <w:bCs/>
          <w:color w:val="auto"/>
          <w:sz w:val="44"/>
          <w:szCs w:val="44"/>
          <w:highlight w:val="none"/>
        </w:rPr>
      </w:pPr>
      <w:r>
        <w:rPr>
          <w:rFonts w:hint="eastAsia" w:ascii="宋体" w:hAnsi="宋体"/>
          <w:b/>
          <w:bCs/>
          <w:color w:val="auto"/>
          <w:sz w:val="44"/>
          <w:szCs w:val="44"/>
          <w:highlight w:val="none"/>
        </w:rPr>
        <w:br w:type="page"/>
      </w:r>
    </w:p>
    <w:p w14:paraId="4EF55AFC">
      <w:pPr>
        <w:rPr>
          <w:rFonts w:hint="eastAsia" w:ascii="宋体" w:hAnsi="宋体" w:cs="宋体"/>
          <w:color w:val="auto"/>
          <w:highlight w:val="none"/>
        </w:rPr>
      </w:pPr>
    </w:p>
    <w:p w14:paraId="1D08880C">
      <w:pPr>
        <w:pStyle w:val="6"/>
        <w:spacing w:line="720" w:lineRule="auto"/>
        <w:rPr>
          <w:rFonts w:ascii="宋体" w:hAnsi="宋体" w:cs="宋体"/>
          <w:color w:val="auto"/>
          <w:highlight w:val="none"/>
          <w:lang w:val="zh-CN"/>
        </w:rPr>
      </w:pPr>
      <w:bookmarkStart w:id="370" w:name="_Toc3597"/>
      <w:r>
        <w:rPr>
          <w:rFonts w:hint="eastAsia" w:ascii="宋体" w:hAnsi="宋体" w:cs="宋体"/>
          <w:color w:val="auto"/>
          <w:highlight w:val="none"/>
          <w:lang w:val="en-US" w:eastAsia="zh-CN"/>
        </w:rPr>
        <w:t>八</w:t>
      </w:r>
      <w:r>
        <w:rPr>
          <w:rFonts w:hint="eastAsia" w:ascii="宋体" w:hAnsi="宋体" w:cs="宋体"/>
          <w:color w:val="auto"/>
          <w:highlight w:val="none"/>
        </w:rPr>
        <w:t>、</w:t>
      </w:r>
      <w:r>
        <w:rPr>
          <w:rFonts w:hint="eastAsia" w:ascii="宋体" w:hAnsi="宋体" w:cs="宋体"/>
          <w:color w:val="auto"/>
          <w:highlight w:val="none"/>
          <w:lang w:val="zh-CN"/>
        </w:rPr>
        <w:t>其他资格要求</w:t>
      </w:r>
      <w:bookmarkEnd w:id="363"/>
      <w:bookmarkEnd w:id="364"/>
      <w:bookmarkEnd w:id="365"/>
      <w:bookmarkEnd w:id="366"/>
      <w:bookmarkEnd w:id="367"/>
      <w:bookmarkEnd w:id="369"/>
      <w:bookmarkEnd w:id="370"/>
    </w:p>
    <w:p w14:paraId="6F49C48E">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1、本项目不接受联合体投标。</w:t>
      </w:r>
    </w:p>
    <w:p w14:paraId="5D61D01D">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本项目</w:t>
      </w:r>
      <w:r>
        <w:rPr>
          <w:rFonts w:hint="eastAsia" w:ascii="宋体" w:hAnsi="宋体" w:eastAsia="宋体" w:cs="Times New Roman"/>
          <w:color w:val="auto"/>
          <w:sz w:val="24"/>
          <w:szCs w:val="24"/>
          <w:highlight w:val="none"/>
          <w:lang w:val="en-US" w:eastAsia="zh-CN"/>
        </w:rPr>
        <w:t>不允许转包及分包。</w:t>
      </w:r>
    </w:p>
    <w:p w14:paraId="77E3209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、招标文件要求及投标人认为需要提交的其他资格证明材料。</w:t>
      </w:r>
    </w:p>
    <w:p w14:paraId="5EF7BCBA">
      <w:pPr>
        <w:spacing w:line="360" w:lineRule="auto"/>
        <w:ind w:firstLine="480" w:firstLineChars="200"/>
        <w:rPr>
          <w:rFonts w:hint="eastAsia" w:ascii="宋体" w:hAnsi="宋体" w:eastAsia="宋体" w:cs="Times New Roman"/>
          <w:color w:val="auto"/>
          <w:sz w:val="24"/>
          <w:szCs w:val="24"/>
          <w:highlight w:val="none"/>
        </w:rPr>
      </w:pPr>
    </w:p>
    <w:p w14:paraId="107C4AFA">
      <w:pPr>
        <w:rPr>
          <w:rFonts w:ascii="宋体" w:hAnsi="宋体"/>
          <w:color w:val="auto"/>
          <w:sz w:val="24"/>
          <w:szCs w:val="24"/>
          <w:highlight w:val="none"/>
          <w:u w:val="single"/>
        </w:rPr>
      </w:pPr>
    </w:p>
    <w:p w14:paraId="73FB460F">
      <w:pPr>
        <w:rPr>
          <w:rFonts w:ascii="宋体" w:hAnsi="宋体"/>
          <w:b/>
          <w:bCs/>
          <w:color w:val="auto"/>
          <w:sz w:val="44"/>
          <w:szCs w:val="44"/>
          <w:highlight w:val="none"/>
        </w:rPr>
      </w:pPr>
      <w:r>
        <w:rPr>
          <w:rFonts w:hint="eastAsia" w:ascii="宋体" w:hAnsi="宋体"/>
          <w:b/>
          <w:bCs/>
          <w:color w:val="auto"/>
          <w:sz w:val="44"/>
          <w:szCs w:val="44"/>
          <w:highlight w:val="none"/>
        </w:rPr>
        <w:br w:type="page"/>
      </w:r>
    </w:p>
    <w:p w14:paraId="4EF48D24">
      <w:pPr>
        <w:pStyle w:val="6"/>
        <w:spacing w:line="720" w:lineRule="auto"/>
        <w:rPr>
          <w:rFonts w:hint="eastAsia" w:ascii="宋体" w:hAnsi="宋体" w:cs="宋体"/>
          <w:color w:val="auto"/>
          <w:highlight w:val="none"/>
          <w:lang w:val="en-US" w:eastAsia="zh-CN"/>
        </w:rPr>
      </w:pPr>
      <w:bookmarkStart w:id="371" w:name="_Toc468"/>
      <w:bookmarkEnd w:id="371"/>
      <w:bookmarkStart w:id="372" w:name="_Toc12254"/>
      <w:bookmarkEnd w:id="372"/>
      <w:bookmarkStart w:id="373" w:name="_Toc20317"/>
      <w:bookmarkStart w:id="374" w:name="_Toc924"/>
      <w:bookmarkStart w:id="375" w:name="_Toc31127"/>
      <w:bookmarkStart w:id="376" w:name="_Toc6557"/>
      <w:bookmarkStart w:id="377" w:name="_Toc3043"/>
      <w:bookmarkStart w:id="378" w:name="_Toc4782"/>
      <w:bookmarkStart w:id="379" w:name="_Toc7177"/>
      <w:bookmarkStart w:id="380" w:name="_Toc25369"/>
      <w:bookmarkStart w:id="381" w:name="_Toc13860"/>
      <w:bookmarkStart w:id="382" w:name="_Toc19216"/>
      <w:bookmarkStart w:id="383" w:name="_Toc785"/>
      <w:bookmarkStart w:id="384" w:name="_Toc9101"/>
      <w:bookmarkStart w:id="385" w:name="_Toc18901"/>
      <w:bookmarkStart w:id="386" w:name="_Toc10191"/>
      <w:bookmarkStart w:id="387" w:name="_Toc2016"/>
      <w:bookmarkStart w:id="388" w:name="_Toc4624"/>
      <w:r>
        <w:rPr>
          <w:rFonts w:hint="eastAsia" w:ascii="宋体" w:hAnsi="宋体" w:cs="宋体"/>
          <w:color w:val="auto"/>
          <w:highlight w:val="none"/>
          <w:lang w:val="en-US" w:eastAsia="zh-CN"/>
        </w:rPr>
        <w:t>九</w:t>
      </w:r>
      <w:r>
        <w:rPr>
          <w:rFonts w:hint="eastAsia" w:ascii="宋体" w:hAnsi="宋体" w:cs="宋体"/>
          <w:color w:val="auto"/>
          <w:highlight w:val="none"/>
        </w:rPr>
        <w:t>、</w:t>
      </w:r>
      <w:r>
        <w:rPr>
          <w:rFonts w:hint="eastAsia" w:ascii="宋体" w:hAnsi="宋体" w:cs="宋体"/>
          <w:color w:val="auto"/>
          <w:highlight w:val="none"/>
          <w:lang w:val="en-US" w:eastAsia="zh-CN"/>
        </w:rPr>
        <w:t>承诺书</w:t>
      </w:r>
      <w:bookmarkEnd w:id="373"/>
    </w:p>
    <w:p w14:paraId="3176AF29">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1.真实性承诺</w:t>
      </w:r>
    </w:p>
    <w:p w14:paraId="1AC115C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56E651DE">
      <w:pPr>
        <w:spacing w:line="360" w:lineRule="auto"/>
        <w:ind w:firstLine="480" w:firstLineChars="200"/>
        <w:rPr>
          <w:rFonts w:hint="eastAsia" w:ascii="宋体" w:hAnsi="宋体" w:cs="宋体"/>
          <w:color w:val="auto"/>
          <w:sz w:val="24"/>
          <w:szCs w:val="24"/>
          <w:highlight w:val="none"/>
          <w:lang w:val="en-US" w:eastAsia="zh-CN"/>
        </w:rPr>
      </w:pPr>
    </w:p>
    <w:p w14:paraId="307DEC83">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rPr>
          <w:rFonts w:hint="eastAsia" w:ascii="宋体" w:hAnsi="宋体"/>
          <w:color w:val="auto"/>
          <w:sz w:val="24"/>
          <w:szCs w:val="24"/>
          <w:highlight w:val="none"/>
          <w:lang w:eastAsia="zh-CN"/>
        </w:rPr>
      </w:pPr>
      <w:r>
        <w:rPr>
          <w:rFonts w:hint="eastAsia" w:ascii="宋体" w:hAnsi="宋体" w:cs="宋体"/>
          <w:color w:val="auto"/>
          <w:sz w:val="24"/>
          <w:szCs w:val="24"/>
          <w:highlight w:val="none"/>
          <w:lang w:val="en-US" w:eastAsia="zh-CN"/>
        </w:rPr>
        <w:t>我公司</w:t>
      </w:r>
      <w:r>
        <w:rPr>
          <w:rFonts w:hint="eastAsia" w:ascii="宋体" w:hAnsi="宋体"/>
          <w:color w:val="auto"/>
          <w:sz w:val="24"/>
          <w:szCs w:val="24"/>
          <w:highlight w:val="none"/>
        </w:rPr>
        <w:t>保证</w:t>
      </w:r>
      <w:r>
        <w:rPr>
          <w:rFonts w:hint="eastAsia" w:ascii="宋体" w:hAnsi="宋体"/>
          <w:color w:val="auto"/>
          <w:sz w:val="24"/>
          <w:szCs w:val="24"/>
          <w:highlight w:val="none"/>
          <w:lang w:val="en-US" w:eastAsia="zh-CN"/>
        </w:rPr>
        <w:t>投标文件中所有</w:t>
      </w:r>
      <w:r>
        <w:rPr>
          <w:rFonts w:hint="eastAsia" w:ascii="宋体" w:hAnsi="宋体"/>
          <w:color w:val="auto"/>
          <w:sz w:val="24"/>
          <w:szCs w:val="24"/>
          <w:highlight w:val="none"/>
        </w:rPr>
        <w:t>材料</w:t>
      </w:r>
      <w:r>
        <w:rPr>
          <w:rFonts w:hint="eastAsia" w:ascii="宋体" w:hAnsi="宋体"/>
          <w:color w:val="auto"/>
          <w:sz w:val="24"/>
          <w:szCs w:val="24"/>
          <w:highlight w:val="none"/>
          <w:lang w:val="en-US" w:eastAsia="zh-CN"/>
        </w:rPr>
        <w:t>的</w:t>
      </w:r>
      <w:r>
        <w:rPr>
          <w:rFonts w:hint="eastAsia" w:ascii="宋体" w:hAnsi="宋体"/>
          <w:color w:val="auto"/>
          <w:sz w:val="24"/>
          <w:szCs w:val="24"/>
          <w:highlight w:val="none"/>
        </w:rPr>
        <w:t>真实性，一致性，准确性，</w:t>
      </w:r>
      <w:r>
        <w:rPr>
          <w:rFonts w:hint="eastAsia" w:ascii="宋体" w:hAnsi="宋体"/>
          <w:color w:val="auto"/>
          <w:sz w:val="24"/>
          <w:szCs w:val="24"/>
          <w:highlight w:val="none"/>
          <w:lang w:val="en-US" w:eastAsia="zh-CN"/>
        </w:rPr>
        <w:t>如</w:t>
      </w:r>
      <w:r>
        <w:rPr>
          <w:rFonts w:hint="eastAsia" w:ascii="宋体" w:hAnsi="宋体"/>
          <w:color w:val="auto"/>
          <w:sz w:val="24"/>
          <w:szCs w:val="24"/>
          <w:highlight w:val="none"/>
        </w:rPr>
        <w:t>发现弄虚作假</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采购人有权取消我公司投标（中标）资格，并</w:t>
      </w:r>
      <w:r>
        <w:rPr>
          <w:rFonts w:hint="eastAsia" w:ascii="宋体" w:hAnsi="宋体"/>
          <w:color w:val="auto"/>
          <w:sz w:val="24"/>
          <w:szCs w:val="24"/>
          <w:highlight w:val="none"/>
        </w:rPr>
        <w:t>追究</w:t>
      </w:r>
      <w:r>
        <w:rPr>
          <w:rFonts w:hint="eastAsia" w:ascii="宋体" w:hAnsi="宋体"/>
          <w:color w:val="auto"/>
          <w:sz w:val="24"/>
          <w:szCs w:val="24"/>
          <w:highlight w:val="none"/>
          <w:lang w:val="en-US" w:eastAsia="zh-CN"/>
        </w:rPr>
        <w:t>我公司</w:t>
      </w:r>
      <w:r>
        <w:rPr>
          <w:rFonts w:hint="eastAsia" w:ascii="宋体" w:hAnsi="宋体"/>
          <w:color w:val="auto"/>
          <w:sz w:val="24"/>
          <w:szCs w:val="24"/>
          <w:highlight w:val="none"/>
        </w:rPr>
        <w:t>法律责任</w:t>
      </w:r>
      <w:r>
        <w:rPr>
          <w:rFonts w:hint="eastAsia" w:ascii="宋体" w:hAnsi="宋体"/>
          <w:color w:val="auto"/>
          <w:sz w:val="24"/>
          <w:szCs w:val="24"/>
          <w:highlight w:val="none"/>
          <w:lang w:eastAsia="zh-CN"/>
        </w:rPr>
        <w:t>，</w:t>
      </w:r>
      <w:r>
        <w:rPr>
          <w:rFonts w:hint="eastAsia" w:ascii="宋体" w:hAnsi="宋体"/>
          <w:color w:val="auto"/>
          <w:sz w:val="24"/>
          <w:szCs w:val="24"/>
          <w:highlight w:val="none"/>
        </w:rPr>
        <w:t>并</w:t>
      </w:r>
      <w:r>
        <w:rPr>
          <w:rFonts w:hint="eastAsia" w:ascii="宋体" w:hAnsi="宋体"/>
          <w:color w:val="auto"/>
          <w:sz w:val="24"/>
          <w:szCs w:val="24"/>
          <w:highlight w:val="none"/>
          <w:lang w:val="en-US" w:eastAsia="zh-CN"/>
        </w:rPr>
        <w:t>要求</w:t>
      </w:r>
      <w:r>
        <w:rPr>
          <w:rFonts w:hint="eastAsia" w:ascii="宋体" w:hAnsi="宋体"/>
          <w:color w:val="auto"/>
          <w:sz w:val="24"/>
          <w:szCs w:val="24"/>
          <w:highlight w:val="none"/>
        </w:rPr>
        <w:t>赔偿相应损失</w:t>
      </w:r>
      <w:r>
        <w:rPr>
          <w:rFonts w:hint="eastAsia" w:ascii="宋体" w:hAnsi="宋体"/>
          <w:color w:val="auto"/>
          <w:sz w:val="24"/>
          <w:szCs w:val="24"/>
          <w:highlight w:val="none"/>
          <w:lang w:eastAsia="zh-CN"/>
        </w:rPr>
        <w:t>。</w:t>
      </w:r>
    </w:p>
    <w:p w14:paraId="16EE53F7">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我公司对</w:t>
      </w:r>
      <w:r>
        <w:rPr>
          <w:rFonts w:hint="eastAsia" w:ascii="宋体" w:hAnsi="宋体"/>
          <w:color w:val="auto"/>
          <w:sz w:val="24"/>
          <w:szCs w:val="24"/>
          <w:highlight w:val="none"/>
          <w:lang w:val="en-US" w:eastAsia="zh-CN"/>
        </w:rPr>
        <w:t>此无</w:t>
      </w:r>
      <w:r>
        <w:rPr>
          <w:rFonts w:hint="eastAsia" w:ascii="宋体" w:hAnsi="宋体" w:eastAsia="宋体"/>
          <w:color w:val="auto"/>
          <w:sz w:val="24"/>
          <w:szCs w:val="24"/>
          <w:highlight w:val="none"/>
          <w:lang w:val="en-US" w:eastAsia="zh-CN"/>
        </w:rPr>
        <w:t>异议。</w:t>
      </w:r>
    </w:p>
    <w:p w14:paraId="0748411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ABF85D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B762F4D">
      <w:pPr>
        <w:spacing w:line="360" w:lineRule="auto"/>
        <w:ind w:firstLine="480" w:firstLineChars="200"/>
        <w:rPr>
          <w:rFonts w:ascii="宋体" w:hAnsi="宋体" w:cs="宋体"/>
          <w:color w:val="auto"/>
          <w:sz w:val="24"/>
          <w:szCs w:val="24"/>
          <w:highlight w:val="none"/>
        </w:rPr>
      </w:pPr>
    </w:p>
    <w:p w14:paraId="2BFE669B">
      <w:pPr>
        <w:spacing w:line="360" w:lineRule="auto"/>
        <w:ind w:firstLine="480" w:firstLineChars="200"/>
        <w:rPr>
          <w:rFonts w:ascii="宋体" w:hAnsi="宋体" w:cs="宋体"/>
          <w:color w:val="auto"/>
          <w:sz w:val="24"/>
          <w:szCs w:val="24"/>
          <w:highlight w:val="none"/>
        </w:rPr>
      </w:pPr>
    </w:p>
    <w:p w14:paraId="01072C0C">
      <w:pPr>
        <w:spacing w:line="360" w:lineRule="auto"/>
        <w:ind w:firstLine="480" w:firstLineChars="200"/>
        <w:rPr>
          <w:rFonts w:ascii="宋体" w:hAnsi="宋体" w:cs="宋体"/>
          <w:color w:val="auto"/>
          <w:sz w:val="24"/>
          <w:szCs w:val="24"/>
          <w:highlight w:val="none"/>
        </w:rPr>
      </w:pPr>
    </w:p>
    <w:p w14:paraId="1626D474">
      <w:pPr>
        <w:ind w:firstLine="1205" w:firstLineChars="500"/>
        <w:rPr>
          <w:rFonts w:ascii="宋体" w:hAnsi="宋体" w:cs="宋体"/>
          <w:b/>
          <w:bCs/>
          <w:color w:val="auto"/>
          <w:sz w:val="24"/>
          <w:szCs w:val="24"/>
          <w:highlight w:val="none"/>
        </w:rPr>
      </w:pPr>
    </w:p>
    <w:p w14:paraId="58A2C314">
      <w:pPr>
        <w:ind w:firstLine="1205" w:firstLineChars="500"/>
        <w:rPr>
          <w:rFonts w:ascii="宋体" w:hAnsi="宋体" w:cs="宋体"/>
          <w:b/>
          <w:bCs/>
          <w:color w:val="auto"/>
          <w:sz w:val="24"/>
          <w:szCs w:val="24"/>
          <w:highlight w:val="none"/>
        </w:rPr>
      </w:pPr>
    </w:p>
    <w:p w14:paraId="528B13C5">
      <w:pPr>
        <w:ind w:firstLine="1205" w:firstLineChars="500"/>
        <w:rPr>
          <w:rFonts w:ascii="宋体" w:hAnsi="宋体" w:cs="宋体"/>
          <w:b/>
          <w:bCs/>
          <w:color w:val="auto"/>
          <w:sz w:val="24"/>
          <w:szCs w:val="24"/>
          <w:highlight w:val="none"/>
        </w:rPr>
      </w:pPr>
    </w:p>
    <w:p w14:paraId="01F34942">
      <w:pPr>
        <w:pStyle w:val="12"/>
        <w:rPr>
          <w:rFonts w:ascii="宋体" w:hAnsi="宋体"/>
          <w:color w:val="auto"/>
          <w:highlight w:val="none"/>
        </w:rPr>
      </w:pPr>
    </w:p>
    <w:p w14:paraId="5E2B1049">
      <w:pPr>
        <w:ind w:firstLine="1205" w:firstLineChars="500"/>
        <w:rPr>
          <w:rFonts w:ascii="宋体" w:hAnsi="宋体" w:cs="宋体"/>
          <w:b/>
          <w:bCs/>
          <w:color w:val="auto"/>
          <w:sz w:val="24"/>
          <w:szCs w:val="24"/>
          <w:highlight w:val="none"/>
        </w:rPr>
      </w:pPr>
    </w:p>
    <w:p w14:paraId="01D40084">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010764A9">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1DB92954">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2018620E">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74F2C51E">
      <w:pPr>
        <w:ind w:firstLine="1205" w:firstLineChars="5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574538D4">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05849F26">
      <w:pPr>
        <w:jc w:val="center"/>
        <w:rPr>
          <w:rFonts w:hint="eastAsia" w:ascii="宋体" w:hAnsi="宋体" w:eastAsia="宋体" w:cs="宋体"/>
          <w:b/>
          <w:bCs/>
          <w:color w:val="auto"/>
          <w:sz w:val="24"/>
          <w:szCs w:val="24"/>
          <w:highlight w:val="none"/>
          <w:lang w:val="en-US" w:eastAsia="zh-CN"/>
        </w:rPr>
      </w:pPr>
    </w:p>
    <w:p w14:paraId="002CFD1D">
      <w:pPr>
        <w:jc w:val="center"/>
        <w:rPr>
          <w:rFonts w:hint="eastAsia" w:ascii="宋体" w:hAnsi="宋体" w:eastAsia="宋体" w:cs="宋体"/>
          <w:b/>
          <w:bCs/>
          <w:color w:val="auto"/>
          <w:sz w:val="24"/>
          <w:szCs w:val="24"/>
          <w:highlight w:val="none"/>
          <w:lang w:val="en-US" w:eastAsia="zh-CN"/>
        </w:rPr>
      </w:pPr>
    </w:p>
    <w:p w14:paraId="2F4E16FE">
      <w:pPr>
        <w:jc w:val="center"/>
        <w:rPr>
          <w:rFonts w:hint="eastAsia" w:ascii="宋体" w:hAnsi="宋体" w:eastAsia="宋体" w:cs="宋体"/>
          <w:b/>
          <w:bCs/>
          <w:color w:val="auto"/>
          <w:sz w:val="24"/>
          <w:szCs w:val="24"/>
          <w:highlight w:val="none"/>
          <w:lang w:val="en-US" w:eastAsia="zh-CN"/>
        </w:rPr>
      </w:pPr>
    </w:p>
    <w:p w14:paraId="552033DD">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2.承诺</w:t>
      </w:r>
    </w:p>
    <w:p w14:paraId="4E46BA64">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3D6373EA">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color w:val="auto"/>
          <w:sz w:val="24"/>
          <w:szCs w:val="24"/>
          <w:highlight w:val="none"/>
          <w:lang w:eastAsia="zh-CN"/>
        </w:rPr>
      </w:pPr>
      <w:r>
        <w:rPr>
          <w:rFonts w:hint="eastAsia" w:ascii="宋体" w:hAnsi="宋体" w:cs="宋体"/>
          <w:color w:val="auto"/>
          <w:sz w:val="24"/>
          <w:szCs w:val="24"/>
          <w:highlight w:val="none"/>
          <w:lang w:val="en-US" w:eastAsia="zh-CN"/>
        </w:rPr>
        <w:t>1、我公司</w:t>
      </w:r>
      <w:r>
        <w:rPr>
          <w:rFonts w:hint="eastAsia" w:ascii="宋体" w:hAnsi="宋体"/>
          <w:color w:val="auto"/>
          <w:sz w:val="24"/>
          <w:szCs w:val="24"/>
          <w:highlight w:val="none"/>
        </w:rPr>
        <w:t>保证</w:t>
      </w:r>
      <w:r>
        <w:rPr>
          <w:rFonts w:hint="eastAsia" w:ascii="宋体" w:hAnsi="宋体"/>
          <w:color w:val="auto"/>
          <w:sz w:val="24"/>
          <w:szCs w:val="24"/>
          <w:highlight w:val="none"/>
          <w:lang w:val="en-US" w:eastAsia="zh-CN"/>
        </w:rPr>
        <w:t>不存在以下</w:t>
      </w:r>
      <w:r>
        <w:rPr>
          <w:rFonts w:hint="eastAsia" w:ascii="宋体" w:hAnsi="宋体" w:cs="宋体"/>
          <w:bCs/>
          <w:color w:val="auto"/>
          <w:sz w:val="24"/>
          <w:szCs w:val="24"/>
          <w:highlight w:val="none"/>
          <w:lang w:val="en-US" w:eastAsia="zh-CN"/>
        </w:rPr>
        <w:t>情形</w:t>
      </w:r>
      <w:r>
        <w:rPr>
          <w:rFonts w:hint="eastAsia" w:ascii="宋体" w:hAnsi="宋体"/>
          <w:color w:val="auto"/>
          <w:sz w:val="24"/>
          <w:szCs w:val="24"/>
          <w:highlight w:val="none"/>
          <w:lang w:eastAsia="zh-CN"/>
        </w:rPr>
        <w:t>：</w:t>
      </w:r>
    </w:p>
    <w:p w14:paraId="6AF85D14">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（1）不同投标人的投标文件由同一单位或者个人编制；</w:t>
      </w:r>
    </w:p>
    <w:p w14:paraId="0F25109D">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（2）不同投标人委托同一单位或者个人办理投标事宜；</w:t>
      </w:r>
    </w:p>
    <w:p w14:paraId="67133D7C">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（3）不同投标人的投标文件载明的项目管理成员或者联系人员为同一人；</w:t>
      </w:r>
    </w:p>
    <w:p w14:paraId="4BB9C021">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（4）不同投标人的投标文件异常一致或者投标报价呈规律性差异；</w:t>
      </w:r>
    </w:p>
    <w:p w14:paraId="5E26C8ED">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（5）不同投标人的投标文件相互混装；</w:t>
      </w:r>
    </w:p>
    <w:p w14:paraId="48CB6544">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（6）不同投标人的投标保证金从同一单位或者个人的账户转出；</w:t>
      </w:r>
    </w:p>
    <w:p w14:paraId="2B381751">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（7）与采购人存在利害关系可能影响招标公正性的法人、其他组织或者个人。</w:t>
      </w:r>
    </w:p>
    <w:p w14:paraId="41A952E1">
      <w:pPr>
        <w:keepNext w:val="0"/>
        <w:keepLines w:val="0"/>
        <w:pageBreakBefore w:val="0"/>
        <w:widowControl/>
        <w:kinsoku/>
        <w:wordWrap/>
        <w:overflowPunct/>
        <w:topLinePunct w:val="0"/>
        <w:autoSpaceDE/>
        <w:autoSpaceDN/>
        <w:bidi w:val="0"/>
        <w:adjustRightInd/>
        <w:snapToGrid/>
        <w:spacing w:before="160" w:beforeLines="5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）法律、法规和招标文件规定的其他无效情形。</w:t>
      </w:r>
    </w:p>
    <w:p w14:paraId="5719182D">
      <w:pPr>
        <w:spacing w:line="360" w:lineRule="auto"/>
        <w:ind w:firstLine="480" w:firstLineChars="200"/>
        <w:rPr>
          <w:rFonts w:ascii="宋体" w:hAnsi="宋体" w:cs="宋体"/>
          <w:color w:val="auto"/>
          <w:sz w:val="24"/>
          <w:szCs w:val="24"/>
          <w:highlight w:val="none"/>
        </w:rPr>
      </w:pPr>
    </w:p>
    <w:p w14:paraId="0F683585">
      <w:pPr>
        <w:spacing w:line="360" w:lineRule="auto"/>
        <w:ind w:firstLine="480" w:firstLineChars="200"/>
        <w:rPr>
          <w:rFonts w:ascii="宋体" w:hAnsi="宋体" w:cs="宋体"/>
          <w:color w:val="auto"/>
          <w:sz w:val="24"/>
          <w:szCs w:val="24"/>
          <w:highlight w:val="none"/>
        </w:rPr>
      </w:pPr>
    </w:p>
    <w:p w14:paraId="223C4733">
      <w:pPr>
        <w:ind w:firstLine="1205" w:firstLineChars="500"/>
        <w:rPr>
          <w:rFonts w:ascii="宋体" w:hAnsi="宋体" w:cs="宋体"/>
          <w:b/>
          <w:bCs/>
          <w:color w:val="auto"/>
          <w:sz w:val="24"/>
          <w:szCs w:val="24"/>
          <w:highlight w:val="none"/>
        </w:rPr>
      </w:pPr>
    </w:p>
    <w:p w14:paraId="0E3C5F62">
      <w:pPr>
        <w:ind w:firstLine="1205" w:firstLineChars="500"/>
        <w:rPr>
          <w:rFonts w:ascii="宋体" w:hAnsi="宋体" w:cs="宋体"/>
          <w:b/>
          <w:bCs/>
          <w:color w:val="auto"/>
          <w:sz w:val="24"/>
          <w:szCs w:val="24"/>
          <w:highlight w:val="none"/>
        </w:rPr>
      </w:pPr>
    </w:p>
    <w:p w14:paraId="35656B37">
      <w:pPr>
        <w:ind w:firstLine="1205" w:firstLineChars="500"/>
        <w:rPr>
          <w:rFonts w:ascii="宋体" w:hAnsi="宋体" w:cs="宋体"/>
          <w:b/>
          <w:bCs/>
          <w:color w:val="auto"/>
          <w:sz w:val="24"/>
          <w:szCs w:val="24"/>
          <w:highlight w:val="none"/>
        </w:rPr>
      </w:pPr>
    </w:p>
    <w:p w14:paraId="31141272">
      <w:pPr>
        <w:pStyle w:val="12"/>
        <w:rPr>
          <w:rFonts w:ascii="宋体" w:hAnsi="宋体"/>
          <w:color w:val="auto"/>
          <w:highlight w:val="none"/>
        </w:rPr>
      </w:pPr>
    </w:p>
    <w:p w14:paraId="6E93BE3C">
      <w:pPr>
        <w:ind w:firstLine="1205" w:firstLineChars="500"/>
        <w:rPr>
          <w:rFonts w:ascii="宋体" w:hAnsi="宋体" w:cs="宋体"/>
          <w:b/>
          <w:bCs/>
          <w:color w:val="auto"/>
          <w:sz w:val="24"/>
          <w:szCs w:val="24"/>
          <w:highlight w:val="none"/>
        </w:rPr>
      </w:pPr>
    </w:p>
    <w:p w14:paraId="6A3BE540">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37CDECE1">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28724A3C">
      <w:pPr>
        <w:ind w:firstLine="1205" w:firstLineChars="500"/>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726E8802">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2BC5192E">
      <w:pPr>
        <w:ind w:firstLine="1205" w:firstLineChars="500"/>
        <w:rPr>
          <w:rFonts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44FB7108">
      <w:pPr>
        <w:jc w:val="center"/>
        <w:rPr>
          <w:rFonts w:hint="eastAsia" w:ascii="宋体" w:hAnsi="宋体" w:cs="宋体"/>
          <w:b/>
          <w:bCs/>
          <w:color w:val="auto"/>
          <w:sz w:val="24"/>
          <w:szCs w:val="24"/>
          <w:highlight w:val="none"/>
          <w:lang w:val="en-US" w:eastAsia="zh-CN"/>
        </w:rPr>
      </w:pPr>
      <w:r>
        <w:rPr>
          <w:rFonts w:hint="eastAsia" w:ascii="宋体" w:hAnsi="宋体"/>
          <w:color w:val="auto"/>
          <w:sz w:val="24"/>
          <w:szCs w:val="24"/>
          <w:highlight w:val="none"/>
        </w:rPr>
        <w:br w:type="page"/>
      </w:r>
    </w:p>
    <w:p w14:paraId="2FB38C12">
      <w:pPr>
        <w:pStyle w:val="6"/>
        <w:widowControl/>
        <w:autoSpaceDE w:val="0"/>
        <w:spacing w:line="360" w:lineRule="auto"/>
        <w:rPr>
          <w:rFonts w:ascii="宋体" w:hAnsi="宋体" w:cs="宋体"/>
          <w:color w:val="auto"/>
          <w:szCs w:val="28"/>
          <w:highlight w:val="none"/>
        </w:rPr>
      </w:pPr>
      <w:bookmarkStart w:id="389" w:name="_Toc12174"/>
      <w:bookmarkStart w:id="390" w:name="_Toc28548"/>
      <w:r>
        <w:rPr>
          <w:rFonts w:hint="eastAsia" w:ascii="宋体" w:hAnsi="宋体" w:cs="宋体"/>
          <w:color w:val="auto"/>
          <w:szCs w:val="28"/>
          <w:highlight w:val="none"/>
          <w:lang w:val="en-US" w:eastAsia="zh-CN"/>
        </w:rPr>
        <w:t>十</w:t>
      </w:r>
      <w:r>
        <w:rPr>
          <w:rFonts w:hint="eastAsia" w:ascii="宋体" w:hAnsi="宋体" w:cs="宋体"/>
          <w:color w:val="auto"/>
          <w:szCs w:val="28"/>
          <w:highlight w:val="none"/>
        </w:rPr>
        <w:t>、落实政府采购政策需满足的资格要求</w:t>
      </w:r>
      <w:bookmarkEnd w:id="389"/>
      <w:bookmarkEnd w:id="390"/>
    </w:p>
    <w:p w14:paraId="2D4436DF">
      <w:pPr>
        <w:spacing w:line="48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投标人须按招标文件要求提供《中小企业声明函》，否则，其提供的中小企业声明将被判定为无效声明函，由此造成的后果（涉及资格的按无效投标处理；涉及价格评审优惠的，不予认定）由投标人自行承担）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残疾人企业和监狱企业视同为小微企业。</w:t>
      </w:r>
    </w:p>
    <w:p w14:paraId="7EEA7F6A">
      <w:pPr>
        <w:spacing w:line="48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相关格式如下：</w:t>
      </w:r>
    </w:p>
    <w:p w14:paraId="56D1163A">
      <w:pPr>
        <w:rPr>
          <w:rFonts w:hint="eastAsia"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br w:type="page"/>
      </w:r>
    </w:p>
    <w:p w14:paraId="3AAC7B47">
      <w:pPr>
        <w:spacing w:line="480" w:lineRule="auto"/>
        <w:jc w:val="center"/>
        <w:rPr>
          <w:rFonts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t>中小企业声明函(货物)</w:t>
      </w:r>
    </w:p>
    <w:p w14:paraId="6833AEC9">
      <w:pPr>
        <w:spacing w:line="560" w:lineRule="exact"/>
        <w:jc w:val="center"/>
        <w:rPr>
          <w:rFonts w:ascii="宋体" w:hAnsi="宋体" w:cs="宋体"/>
          <w:color w:val="auto"/>
          <w:highlight w:val="none"/>
        </w:rPr>
      </w:pPr>
      <w:r>
        <w:rPr>
          <w:rFonts w:hint="eastAsia" w:ascii="宋体" w:hAnsi="宋体" w:cs="宋体"/>
          <w:color w:val="auto"/>
          <w:highlight w:val="none"/>
        </w:rPr>
        <w:t>（注：投标人根据自身情况填写，不属于无需提供）</w:t>
      </w:r>
    </w:p>
    <w:p w14:paraId="41CB2EE3">
      <w:pPr>
        <w:pStyle w:val="8"/>
        <w:rPr>
          <w:color w:val="auto"/>
          <w:highlight w:val="none"/>
        </w:rPr>
      </w:pPr>
    </w:p>
    <w:p w14:paraId="097E83C0">
      <w:pPr>
        <w:widowControl w:val="0"/>
        <w:spacing w:line="480" w:lineRule="auto"/>
        <w:ind w:firstLine="480" w:firstLineChars="200"/>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 本公司（联合体)郑重声明，根据《政府采购促进中小企业发展管理办法》(财库( 2020 )46号)的规定，本公司(联合体)参加</w:t>
      </w:r>
      <w:r>
        <w:rPr>
          <w:rFonts w:hint="eastAsia" w:ascii="宋体" w:hAnsi="宋体"/>
          <w:color w:val="auto"/>
          <w:sz w:val="24"/>
          <w:szCs w:val="24"/>
          <w:highlight w:val="none"/>
          <w:u w:val="single"/>
          <w:shd w:val="clear" w:color="auto" w:fill="FFFFFF"/>
        </w:rPr>
        <w:t xml:space="preserve">       (单位名称) </w:t>
      </w:r>
      <w:r>
        <w:rPr>
          <w:rFonts w:hint="eastAsia" w:ascii="宋体" w:hAnsi="宋体"/>
          <w:color w:val="auto"/>
          <w:sz w:val="24"/>
          <w:szCs w:val="24"/>
          <w:highlight w:val="none"/>
          <w:shd w:val="clear" w:color="auto" w:fill="FFFFFF"/>
        </w:rPr>
        <w:t>的</w:t>
      </w:r>
      <w:r>
        <w:rPr>
          <w:rFonts w:hint="eastAsia" w:ascii="宋体" w:hAnsi="宋体"/>
          <w:color w:val="auto"/>
          <w:sz w:val="24"/>
          <w:szCs w:val="24"/>
          <w:highlight w:val="none"/>
          <w:u w:val="single"/>
          <w:shd w:val="clear" w:color="auto" w:fill="FFFFFF"/>
        </w:rPr>
        <w:t xml:space="preserve">    (项目名称)</w:t>
      </w:r>
      <w:r>
        <w:rPr>
          <w:rFonts w:hint="eastAsia" w:ascii="宋体" w:hAnsi="宋体"/>
          <w:color w:val="auto"/>
          <w:sz w:val="24"/>
          <w:szCs w:val="24"/>
          <w:highlight w:val="none"/>
          <w:shd w:val="clear" w:color="auto" w:fill="FFFFFF"/>
        </w:rPr>
        <w:t>采购活动，提供的货物全部由符合政策要求的中小企业制造。相关企业(含联合体中的中小企业、签订分包意向协议的中小企业)的具体情况如下:</w:t>
      </w:r>
    </w:p>
    <w:p w14:paraId="6AED27C4">
      <w:pPr>
        <w:widowControl w:val="0"/>
        <w:spacing w:line="480" w:lineRule="auto"/>
        <w:ind w:firstLine="480" w:firstLineChars="200"/>
        <w:jc w:val="both"/>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1. </w:t>
      </w:r>
      <w:r>
        <w:rPr>
          <w:rFonts w:hint="eastAsia" w:ascii="宋体" w:hAnsi="宋体"/>
          <w:color w:val="auto"/>
          <w:sz w:val="24"/>
          <w:szCs w:val="24"/>
          <w:highlight w:val="none"/>
          <w:u w:val="single"/>
          <w:shd w:val="clear" w:color="auto" w:fill="FFFFFF"/>
        </w:rPr>
        <w:t xml:space="preserve">       (标的名称)</w:t>
      </w:r>
      <w:r>
        <w:rPr>
          <w:rFonts w:hint="eastAsia" w:ascii="宋体" w:hAnsi="宋体"/>
          <w:color w:val="auto"/>
          <w:sz w:val="24"/>
          <w:szCs w:val="24"/>
          <w:highlight w:val="none"/>
          <w:shd w:val="clear" w:color="auto" w:fill="FFFFFF"/>
        </w:rPr>
        <w:t>，属于</w:t>
      </w:r>
      <w:r>
        <w:rPr>
          <w:rFonts w:hint="eastAsia" w:ascii="宋体" w:hAnsi="宋体"/>
          <w:b/>
          <w:bCs/>
          <w:color w:val="auto"/>
          <w:sz w:val="24"/>
          <w:szCs w:val="24"/>
          <w:highlight w:val="none"/>
          <w:u w:val="single"/>
          <w:shd w:val="clear" w:color="auto" w:fill="FFFFFF"/>
        </w:rPr>
        <w:t xml:space="preserve"> </w:t>
      </w:r>
      <w:r>
        <w:rPr>
          <w:rFonts w:hint="eastAsia" w:ascii="宋体" w:hAnsi="宋体" w:cs="宋体"/>
          <w:b/>
          <w:color w:val="auto"/>
          <w:sz w:val="24"/>
          <w:szCs w:val="24"/>
          <w:highlight w:val="none"/>
          <w:u w:val="single"/>
          <w:lang w:eastAsia="zh-CN"/>
        </w:rPr>
        <w:t>农、林、牧、渔业或批发或零售</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u w:val="single"/>
          <w:shd w:val="clear" w:color="auto" w:fill="FFFFFF"/>
          <w:lang w:eastAsia="zh-CN"/>
        </w:rPr>
        <w:t>招标文件</w:t>
      </w:r>
      <w:r>
        <w:rPr>
          <w:rFonts w:hint="eastAsia" w:ascii="宋体" w:hAnsi="宋体"/>
          <w:color w:val="auto"/>
          <w:sz w:val="24"/>
          <w:szCs w:val="24"/>
          <w:highlight w:val="none"/>
          <w:u w:val="single"/>
          <w:shd w:val="clear" w:color="auto" w:fill="FFFFFF"/>
        </w:rPr>
        <w:t>中明确的所属行业</w:t>
      </w:r>
      <w:r>
        <w:rPr>
          <w:rFonts w:hint="eastAsia" w:ascii="宋体" w:hAnsi="宋体"/>
          <w:color w:val="auto"/>
          <w:sz w:val="24"/>
          <w:szCs w:val="24"/>
          <w:highlight w:val="none"/>
          <w:u w:val="single"/>
          <w:shd w:val="clear" w:color="auto" w:fill="FFFFFF"/>
          <w:lang w:eastAsia="zh-CN"/>
        </w:rPr>
        <w:t>，</w:t>
      </w:r>
      <w:r>
        <w:rPr>
          <w:rFonts w:hint="eastAsia" w:ascii="宋体" w:hAnsi="宋体"/>
          <w:color w:val="auto"/>
          <w:sz w:val="24"/>
          <w:szCs w:val="24"/>
          <w:highlight w:val="none"/>
          <w:u w:val="single"/>
          <w:shd w:val="clear" w:color="auto" w:fill="FFFFFF"/>
          <w:lang w:val="en-US" w:eastAsia="zh-CN"/>
        </w:rPr>
        <w:t>投标人自行选择填写</w:t>
      </w:r>
      <w:r>
        <w:rPr>
          <w:rFonts w:hint="eastAsia" w:ascii="宋体" w:hAnsi="宋体"/>
          <w:color w:val="auto"/>
          <w:sz w:val="24"/>
          <w:szCs w:val="24"/>
          <w:highlight w:val="none"/>
          <w:u w:val="single"/>
          <w:shd w:val="clear" w:color="auto" w:fill="FFFFFF"/>
        </w:rPr>
        <w:t>)</w:t>
      </w:r>
      <w:r>
        <w:rPr>
          <w:rFonts w:hint="eastAsia" w:ascii="宋体" w:hAnsi="宋体"/>
          <w:color w:val="auto"/>
          <w:sz w:val="24"/>
          <w:szCs w:val="24"/>
          <w:highlight w:val="none"/>
          <w:shd w:val="clear" w:color="auto" w:fill="FFFFFF"/>
        </w:rPr>
        <w:t>行业；制造商为</w:t>
      </w:r>
      <w:r>
        <w:rPr>
          <w:rFonts w:hint="eastAsia" w:ascii="宋体" w:hAnsi="宋体"/>
          <w:color w:val="auto"/>
          <w:sz w:val="24"/>
          <w:szCs w:val="24"/>
          <w:highlight w:val="none"/>
          <w:u w:val="single"/>
          <w:shd w:val="clear" w:color="auto" w:fill="FFFFFF"/>
        </w:rPr>
        <w:t xml:space="preserve">    (企业名称)</w:t>
      </w:r>
      <w:r>
        <w:rPr>
          <w:rFonts w:hint="eastAsia" w:ascii="宋体" w:hAnsi="宋体"/>
          <w:color w:val="auto"/>
          <w:sz w:val="24"/>
          <w:szCs w:val="24"/>
          <w:highlight w:val="none"/>
          <w:shd w:val="clear" w:color="auto" w:fill="FFFFFF"/>
        </w:rPr>
        <w:t>，从业人员</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shd w:val="clear" w:color="auto" w:fill="FFFFFF"/>
        </w:rPr>
        <w:t>人， 营业收入为</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shd w:val="clear" w:color="auto" w:fill="FFFFFF"/>
        </w:rPr>
        <w:t>万元，资产总额为___ 万元</w:t>
      </w:r>
      <w:r>
        <w:rPr>
          <w:rFonts w:hint="eastAsia" w:ascii="宋体" w:hAnsi="宋体"/>
          <w:color w:val="auto"/>
          <w:sz w:val="24"/>
          <w:szCs w:val="24"/>
          <w:highlight w:val="none"/>
          <w:shd w:val="clear" w:color="auto" w:fill="FFFFFF"/>
          <w:vertAlign w:val="superscript"/>
        </w:rPr>
        <w:t>1</w:t>
      </w:r>
      <w:r>
        <w:rPr>
          <w:rFonts w:hint="eastAsia" w:ascii="宋体" w:hAnsi="宋体"/>
          <w:color w:val="auto"/>
          <w:sz w:val="24"/>
          <w:szCs w:val="24"/>
          <w:highlight w:val="none"/>
          <w:shd w:val="clear" w:color="auto" w:fill="FFFFFF"/>
        </w:rPr>
        <w:t>，属于</w:t>
      </w:r>
      <w:r>
        <w:rPr>
          <w:rFonts w:hint="eastAsia" w:ascii="宋体" w:hAnsi="宋体"/>
          <w:color w:val="auto"/>
          <w:sz w:val="24"/>
          <w:szCs w:val="24"/>
          <w:highlight w:val="none"/>
          <w:u w:val="single"/>
          <w:shd w:val="clear" w:color="auto" w:fill="FFFFFF"/>
        </w:rPr>
        <w:t xml:space="preserve">     （中型企业、小型企业、微型企业）</w:t>
      </w:r>
      <w:r>
        <w:rPr>
          <w:rFonts w:hint="eastAsia" w:ascii="宋体" w:hAnsi="宋体"/>
          <w:color w:val="auto"/>
          <w:sz w:val="24"/>
          <w:szCs w:val="24"/>
          <w:highlight w:val="none"/>
          <w:shd w:val="clear" w:color="auto" w:fill="FFFFFF"/>
        </w:rPr>
        <w:t>；</w:t>
      </w:r>
    </w:p>
    <w:p w14:paraId="53C35A8E">
      <w:pPr>
        <w:widowControl w:val="0"/>
        <w:spacing w:line="360" w:lineRule="auto"/>
        <w:ind w:firstLine="480" w:firstLineChars="200"/>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2.</w:t>
      </w:r>
      <w:r>
        <w:rPr>
          <w:rFonts w:hint="eastAsia" w:ascii="宋体" w:hAnsi="宋体"/>
          <w:color w:val="auto"/>
          <w:sz w:val="24"/>
          <w:szCs w:val="24"/>
          <w:highlight w:val="none"/>
          <w:u w:val="single"/>
          <w:shd w:val="clear" w:color="auto" w:fill="FFFFFF"/>
        </w:rPr>
        <w:t xml:space="preserve">      （标的名称)</w:t>
      </w:r>
      <w:r>
        <w:rPr>
          <w:rFonts w:hint="eastAsia" w:ascii="宋体" w:hAnsi="宋体"/>
          <w:color w:val="auto"/>
          <w:sz w:val="24"/>
          <w:szCs w:val="24"/>
          <w:highlight w:val="none"/>
          <w:shd w:val="clear" w:color="auto" w:fill="FFFFFF"/>
        </w:rPr>
        <w:t>， 属于</w:t>
      </w:r>
      <w:r>
        <w:rPr>
          <w:rFonts w:hint="eastAsia" w:ascii="宋体" w:hAnsi="宋体" w:cs="宋体"/>
          <w:b/>
          <w:color w:val="auto"/>
          <w:sz w:val="24"/>
          <w:szCs w:val="24"/>
          <w:highlight w:val="none"/>
          <w:u w:val="single"/>
          <w:lang w:eastAsia="zh-CN"/>
        </w:rPr>
        <w:t>农、林、牧、渔业或批发或零售</w:t>
      </w:r>
      <w:r>
        <w:rPr>
          <w:rFonts w:hint="eastAsia" w:ascii="宋体" w:hAnsi="宋体"/>
          <w:color w:val="auto"/>
          <w:sz w:val="24"/>
          <w:szCs w:val="24"/>
          <w:highlight w:val="none"/>
          <w:u w:val="single"/>
          <w:shd w:val="clear" w:color="auto" w:fill="FFFFFF"/>
        </w:rPr>
        <w:t>（</w:t>
      </w:r>
      <w:r>
        <w:rPr>
          <w:rFonts w:hint="eastAsia" w:ascii="宋体" w:hAnsi="宋体"/>
          <w:color w:val="auto"/>
          <w:sz w:val="24"/>
          <w:szCs w:val="24"/>
          <w:highlight w:val="none"/>
          <w:u w:val="single"/>
          <w:shd w:val="clear" w:color="auto" w:fill="FFFFFF"/>
          <w:lang w:eastAsia="zh-CN"/>
        </w:rPr>
        <w:t>招标文件</w:t>
      </w:r>
      <w:r>
        <w:rPr>
          <w:rFonts w:hint="eastAsia" w:ascii="宋体" w:hAnsi="宋体"/>
          <w:color w:val="auto"/>
          <w:sz w:val="24"/>
          <w:szCs w:val="24"/>
          <w:highlight w:val="none"/>
          <w:u w:val="single"/>
          <w:shd w:val="clear" w:color="auto" w:fill="FFFFFF"/>
        </w:rPr>
        <w:t>中明确的所属行业</w:t>
      </w:r>
      <w:r>
        <w:rPr>
          <w:rFonts w:hint="eastAsia" w:ascii="宋体" w:hAnsi="宋体"/>
          <w:color w:val="auto"/>
          <w:sz w:val="24"/>
          <w:szCs w:val="24"/>
          <w:highlight w:val="none"/>
          <w:u w:val="single"/>
          <w:shd w:val="clear" w:color="auto" w:fill="FFFFFF"/>
          <w:lang w:eastAsia="zh-CN"/>
        </w:rPr>
        <w:t>，</w:t>
      </w:r>
      <w:r>
        <w:rPr>
          <w:rFonts w:hint="eastAsia" w:ascii="宋体" w:hAnsi="宋体"/>
          <w:color w:val="auto"/>
          <w:sz w:val="24"/>
          <w:szCs w:val="24"/>
          <w:highlight w:val="none"/>
          <w:u w:val="single"/>
          <w:shd w:val="clear" w:color="auto" w:fill="FFFFFF"/>
          <w:lang w:val="en-US" w:eastAsia="zh-CN"/>
        </w:rPr>
        <w:t>投标人自行选择填写</w:t>
      </w:r>
      <w:r>
        <w:rPr>
          <w:rFonts w:hint="eastAsia" w:ascii="宋体" w:hAnsi="宋体"/>
          <w:color w:val="auto"/>
          <w:sz w:val="24"/>
          <w:szCs w:val="24"/>
          <w:highlight w:val="none"/>
          <w:u w:val="single"/>
          <w:shd w:val="clear" w:color="auto" w:fill="FFFFFF"/>
        </w:rPr>
        <w:t>)</w:t>
      </w:r>
      <w:r>
        <w:rPr>
          <w:rFonts w:hint="eastAsia" w:ascii="宋体" w:hAnsi="宋体"/>
          <w:color w:val="auto"/>
          <w:sz w:val="24"/>
          <w:szCs w:val="24"/>
          <w:highlight w:val="none"/>
          <w:shd w:val="clear" w:color="auto" w:fill="FFFFFF"/>
        </w:rPr>
        <w:t>行业；制造商为</w:t>
      </w:r>
      <w:r>
        <w:rPr>
          <w:rFonts w:hint="eastAsia" w:ascii="宋体" w:hAnsi="宋体"/>
          <w:color w:val="auto"/>
          <w:sz w:val="24"/>
          <w:szCs w:val="24"/>
          <w:highlight w:val="none"/>
          <w:u w:val="single"/>
          <w:shd w:val="clear" w:color="auto" w:fill="FFFFFF"/>
        </w:rPr>
        <w:t xml:space="preserve">       (企业名称)</w:t>
      </w:r>
      <w:r>
        <w:rPr>
          <w:rFonts w:hint="eastAsia" w:ascii="宋体" w:hAnsi="宋体"/>
          <w:color w:val="auto"/>
          <w:sz w:val="24"/>
          <w:szCs w:val="24"/>
          <w:highlight w:val="none"/>
          <w:shd w:val="clear" w:color="auto" w:fill="FFFFFF"/>
        </w:rPr>
        <w:t>，从业人员</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shd w:val="clear" w:color="auto" w:fill="FFFFFF"/>
        </w:rPr>
        <w:t>人， 营业收入为</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shd w:val="clear" w:color="auto" w:fill="FFFFFF"/>
        </w:rPr>
        <w:t>万元， 资产总额为</w:t>
      </w:r>
      <w:r>
        <w:rPr>
          <w:rFonts w:hint="eastAsia" w:ascii="宋体" w:hAnsi="宋体"/>
          <w:color w:val="auto"/>
          <w:sz w:val="24"/>
          <w:szCs w:val="24"/>
          <w:highlight w:val="none"/>
          <w:u w:val="single"/>
          <w:shd w:val="clear" w:color="auto" w:fill="FFFFFF"/>
        </w:rPr>
        <w:t xml:space="preserve">      </w:t>
      </w:r>
      <w:r>
        <w:rPr>
          <w:rFonts w:hint="eastAsia" w:ascii="宋体" w:hAnsi="宋体"/>
          <w:color w:val="auto"/>
          <w:sz w:val="24"/>
          <w:szCs w:val="24"/>
          <w:highlight w:val="none"/>
          <w:shd w:val="clear" w:color="auto" w:fill="FFFFFF"/>
        </w:rPr>
        <w:t>万元，属于</w:t>
      </w:r>
      <w:r>
        <w:rPr>
          <w:rFonts w:hint="eastAsia" w:ascii="宋体" w:hAnsi="宋体"/>
          <w:color w:val="auto"/>
          <w:sz w:val="24"/>
          <w:szCs w:val="24"/>
          <w:highlight w:val="none"/>
          <w:u w:val="single"/>
          <w:shd w:val="clear" w:color="auto" w:fill="FFFFFF"/>
        </w:rPr>
        <w:t xml:space="preserve">   （中型企业、 小型企业、微型企业)</w:t>
      </w:r>
      <w:r>
        <w:rPr>
          <w:rFonts w:hint="eastAsia" w:ascii="宋体" w:hAnsi="宋体"/>
          <w:color w:val="auto"/>
          <w:sz w:val="24"/>
          <w:szCs w:val="24"/>
          <w:highlight w:val="none"/>
          <w:shd w:val="clear" w:color="auto" w:fill="FFFFFF"/>
        </w:rPr>
        <w:t>；</w:t>
      </w:r>
    </w:p>
    <w:p w14:paraId="4E9444D0">
      <w:pPr>
        <w:widowControl w:val="0"/>
        <w:spacing w:line="480" w:lineRule="auto"/>
        <w:ind w:firstLine="480" w:firstLineChars="200"/>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w:t>
      </w:r>
    </w:p>
    <w:p w14:paraId="148AED08">
      <w:pPr>
        <w:widowControl w:val="0"/>
        <w:spacing w:line="480" w:lineRule="auto"/>
        <w:ind w:firstLine="480" w:firstLineChars="200"/>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以上企业，不属于大企业的分支机构，不存在控股股东为大企业的情形，也不存在与大企业的负责人为同一人的情形。</w:t>
      </w:r>
    </w:p>
    <w:p w14:paraId="4EAEFAA8">
      <w:pPr>
        <w:widowControl w:val="0"/>
        <w:spacing w:line="480" w:lineRule="auto"/>
        <w:ind w:firstLine="480" w:firstLineChars="200"/>
        <w:jc w:val="both"/>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本企业对上述声明内容的真实性负责。如有虛假，将依法承担相应责任。</w:t>
      </w:r>
    </w:p>
    <w:p w14:paraId="1BFE360C">
      <w:pPr>
        <w:spacing w:line="480" w:lineRule="auto"/>
        <w:ind w:left="3360" w:hanging="3360" w:hangingChars="1400"/>
        <w:jc w:val="center"/>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 企业名称(盖章):</w:t>
      </w:r>
    </w:p>
    <w:p w14:paraId="2E966A5E">
      <w:pPr>
        <w:spacing w:line="480" w:lineRule="auto"/>
        <w:ind w:left="3352" w:leftChars="1596" w:firstLine="720" w:firstLineChars="300"/>
        <w:jc w:val="both"/>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日 期:</w:t>
      </w:r>
    </w:p>
    <w:p w14:paraId="76C9C48C">
      <w:pPr>
        <w:spacing w:line="360" w:lineRule="auto"/>
        <w:ind w:firstLine="480" w:firstLineChars="200"/>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注：1.从业人员、营业收入、资产总额填报上一年度数据，无上一年度数据的新成立企业可不填报。</w:t>
      </w:r>
    </w:p>
    <w:p w14:paraId="22FF0C9D">
      <w:pPr>
        <w:spacing w:line="360" w:lineRule="auto"/>
        <w:ind w:firstLine="496" w:firstLineChars="200"/>
        <w:rPr>
          <w:rFonts w:ascii="宋体" w:hAnsi="宋体"/>
          <w:color w:val="auto"/>
          <w:sz w:val="24"/>
          <w:szCs w:val="24"/>
          <w:highlight w:val="none"/>
          <w:shd w:val="clear" w:color="auto" w:fill="FFFFFF"/>
        </w:rPr>
      </w:pPr>
      <w:r>
        <w:rPr>
          <w:rFonts w:hint="eastAsia" w:ascii="宋体" w:hAnsi="宋体" w:cs="宋体"/>
          <w:color w:val="auto"/>
          <w:spacing w:val="4"/>
          <w:sz w:val="24"/>
          <w:szCs w:val="24"/>
          <w:highlight w:val="none"/>
        </w:rPr>
        <w:t>所声明的从业人员人数、营业收入金额或资产总额不实的，依照《中华人民共和国政府采购法》等国家有关规定追究相应责任。</w:t>
      </w:r>
    </w:p>
    <w:p w14:paraId="2B476916">
      <w:pPr>
        <w:spacing w:line="360" w:lineRule="auto"/>
        <w:ind w:firstLine="480" w:firstLineChars="200"/>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2.投标人须根据制造商情况如实出具声明函。享受本招标文件规定的中小企业扶持政策的，将随中标结果公开中标人的《中小企业声明函》。</w:t>
      </w:r>
    </w:p>
    <w:p w14:paraId="6CB3A5AE">
      <w:pPr>
        <w:spacing w:line="360" w:lineRule="auto"/>
        <w:ind w:firstLine="480" w:firstLineChars="200"/>
        <w:rPr>
          <w:rFonts w:hint="eastAsia" w:ascii="宋体" w:hAnsi="宋体" w:eastAsia="宋体" w:cs="Times New Roman"/>
          <w:color w:val="auto"/>
          <w:sz w:val="24"/>
          <w:szCs w:val="24"/>
          <w:highlight w:val="none"/>
          <w:shd w:val="clear" w:color="auto" w:fill="FFFFFF"/>
          <w:lang w:val="en-US" w:eastAsia="zh-CN"/>
        </w:rPr>
      </w:pPr>
      <w:r>
        <w:rPr>
          <w:rFonts w:hint="eastAsia" w:ascii="宋体" w:hAnsi="宋体" w:eastAsia="宋体" w:cs="Times New Roman"/>
          <w:color w:val="auto"/>
          <w:sz w:val="24"/>
          <w:szCs w:val="24"/>
          <w:highlight w:val="none"/>
          <w:shd w:val="clear" w:color="auto" w:fill="FFFFFF"/>
          <w:lang w:val="en-US" w:eastAsia="zh-CN"/>
        </w:rPr>
        <w:t>3.投标人须核对《关于印发中小企业划型标准规定的通知》（工信部联企业〔2011〕300号）规定的中小企业划型标准，中小企业划型填写错误或所属行业填写错误的，由此造成的后果由投标人自行承担。</w:t>
      </w:r>
    </w:p>
    <w:p w14:paraId="5BA48168">
      <w:pPr>
        <w:spacing w:line="360" w:lineRule="auto"/>
        <w:ind w:firstLine="480" w:firstLineChars="200"/>
        <w:rPr>
          <w:rFonts w:hint="default" w:ascii="宋体" w:hAnsi="宋体" w:eastAsia="宋体" w:cs="Times New Roman"/>
          <w:color w:val="auto"/>
          <w:sz w:val="24"/>
          <w:szCs w:val="24"/>
          <w:highlight w:val="none"/>
          <w:shd w:val="clear" w:color="auto" w:fill="FFFFFF"/>
          <w:lang w:val="en-US" w:eastAsia="zh-CN"/>
        </w:rPr>
      </w:pPr>
      <w:r>
        <w:rPr>
          <w:rFonts w:hint="eastAsia" w:ascii="宋体" w:hAnsi="宋体" w:eastAsia="宋体" w:cs="Times New Roman"/>
          <w:color w:val="auto"/>
          <w:sz w:val="24"/>
          <w:szCs w:val="24"/>
          <w:highlight w:val="none"/>
          <w:shd w:val="clear" w:color="auto" w:fill="FFFFFF"/>
          <w:lang w:val="en-US" w:eastAsia="zh-CN"/>
        </w:rPr>
        <w:t>4.多品目项目中须按上表要求逐条填列（属于同一制造商的产品，可合并同类项集中填写），否则，其提供的中小企业声明将被判定为无效声明函。</w:t>
      </w:r>
    </w:p>
    <w:p w14:paraId="78045154">
      <w:pPr>
        <w:spacing w:before="158" w:beforeLines="50" w:line="360" w:lineRule="auto"/>
        <w:ind w:firstLine="480" w:firstLineChars="200"/>
        <w:rPr>
          <w:rFonts w:hint="eastAsia"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lang w:val="en-US" w:eastAsia="zh-CN"/>
        </w:rPr>
        <w:t>5</w:t>
      </w:r>
      <w:r>
        <w:rPr>
          <w:rFonts w:hint="eastAsia" w:ascii="宋体" w:hAnsi="宋体"/>
          <w:color w:val="auto"/>
          <w:sz w:val="24"/>
          <w:szCs w:val="24"/>
          <w:highlight w:val="none"/>
          <w:shd w:val="clear" w:color="auto" w:fill="FFFFFF"/>
        </w:rPr>
        <w:t>.行业划型标准为：</w:t>
      </w:r>
    </w:p>
    <w:p w14:paraId="58AC465E">
      <w:pPr>
        <w:spacing w:before="158" w:beforeLines="50" w:line="360" w:lineRule="auto"/>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农、林、牧、渔业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营业收入20000万元以下的为中小微型企业。其中，营业收入500万元及以上的为中型企业，营业收入50万元及以上的为小型企业，营业收入50万元以下的为微型企业。</w:t>
      </w:r>
    </w:p>
    <w:p w14:paraId="6415AE4F">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批发业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C98737">
      <w:pPr>
        <w:spacing w:before="158" w:beforeLines="5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零售业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BB1499">
      <w:pPr>
        <w:spacing w:line="480" w:lineRule="auto"/>
        <w:jc w:val="center"/>
        <w:rPr>
          <w:rFonts w:ascii="宋体" w:hAnsi="宋体"/>
          <w:color w:val="auto"/>
          <w:sz w:val="18"/>
          <w:szCs w:val="18"/>
          <w:highlight w:val="none"/>
          <w:shd w:val="clear" w:color="auto" w:fill="FFFFFF"/>
        </w:rPr>
      </w:pPr>
      <w:r>
        <w:rPr>
          <w:rFonts w:hint="eastAsia" w:ascii="宋体" w:hAnsi="宋体"/>
          <w:color w:val="auto"/>
          <w:sz w:val="18"/>
          <w:szCs w:val="18"/>
          <w:highlight w:val="none"/>
          <w:shd w:val="clear" w:color="auto" w:fill="FFFFFF"/>
        </w:rPr>
        <w:br w:type="page"/>
      </w:r>
    </w:p>
    <w:p w14:paraId="216FF4C0">
      <w:pPr>
        <w:spacing w:line="480" w:lineRule="auto"/>
        <w:jc w:val="center"/>
        <w:rPr>
          <w:rFonts w:ascii="宋体" w:hAnsi="宋体"/>
          <w:color w:val="auto"/>
          <w:sz w:val="18"/>
          <w:szCs w:val="18"/>
          <w:highlight w:val="none"/>
          <w:shd w:val="clear" w:color="auto" w:fill="FFFFFF"/>
        </w:rPr>
      </w:pPr>
    </w:p>
    <w:p w14:paraId="00205891">
      <w:pPr>
        <w:spacing w:line="480" w:lineRule="auto"/>
        <w:jc w:val="center"/>
        <w:rPr>
          <w:rFonts w:ascii="宋体" w:hAnsi="宋体"/>
          <w:color w:val="auto"/>
          <w:sz w:val="18"/>
          <w:szCs w:val="18"/>
          <w:highlight w:val="none"/>
          <w:shd w:val="clear" w:color="auto" w:fill="FFFFFF"/>
        </w:rPr>
      </w:pPr>
      <w:r>
        <w:rPr>
          <w:rFonts w:hint="eastAsia" w:ascii="宋体" w:hAnsi="宋体"/>
          <w:b/>
          <w:bCs/>
          <w:color w:val="auto"/>
          <w:sz w:val="24"/>
          <w:szCs w:val="24"/>
          <w:highlight w:val="none"/>
          <w:shd w:val="clear" w:color="auto" w:fill="FFFFFF"/>
        </w:rPr>
        <w:t>《残疾人福利性单位声明函》（符合《三部门联合发布关于促进残疾人就业政府采购政策的通知》（财库〔2017〕141号）价格扣减条件的投标人需提交）</w:t>
      </w:r>
    </w:p>
    <w:p w14:paraId="4DA75BFD">
      <w:pPr>
        <w:spacing w:line="480" w:lineRule="auto"/>
        <w:jc w:val="center"/>
        <w:rPr>
          <w:rFonts w:ascii="宋体" w:hAnsi="宋体"/>
          <w:b/>
          <w:bCs/>
          <w:color w:val="auto"/>
          <w:sz w:val="24"/>
          <w:szCs w:val="24"/>
          <w:highlight w:val="none"/>
          <w:shd w:val="clear" w:color="auto" w:fill="FFFFFF"/>
        </w:rPr>
      </w:pPr>
      <w:bookmarkStart w:id="391" w:name="OLE_LINK14"/>
      <w:bookmarkEnd w:id="391"/>
      <w:bookmarkStart w:id="392" w:name="OLE_LINK13"/>
      <w:bookmarkEnd w:id="392"/>
      <w:bookmarkStart w:id="393" w:name="_Toc528186508"/>
      <w:bookmarkEnd w:id="393"/>
      <w:r>
        <w:rPr>
          <w:rFonts w:hint="eastAsia" w:ascii="宋体" w:hAnsi="宋体"/>
          <w:b/>
          <w:bCs/>
          <w:color w:val="auto"/>
          <w:sz w:val="24"/>
          <w:szCs w:val="24"/>
          <w:highlight w:val="none"/>
          <w:shd w:val="clear" w:color="auto" w:fill="FFFFFF"/>
        </w:rPr>
        <w:t>残疾人福利性单位声明函</w:t>
      </w:r>
    </w:p>
    <w:p w14:paraId="76D6648A">
      <w:pPr>
        <w:spacing w:line="560" w:lineRule="exact"/>
        <w:jc w:val="center"/>
        <w:rPr>
          <w:rFonts w:ascii="宋体" w:hAnsi="宋体" w:cs="宋体"/>
          <w:color w:val="auto"/>
          <w:highlight w:val="none"/>
        </w:rPr>
      </w:pPr>
      <w:r>
        <w:rPr>
          <w:rFonts w:hint="eastAsia" w:ascii="宋体" w:hAnsi="宋体" w:cs="宋体"/>
          <w:color w:val="auto"/>
          <w:highlight w:val="none"/>
        </w:rPr>
        <w:t>（注：投标人根据自身情况填写，不属于无需提供）</w:t>
      </w:r>
    </w:p>
    <w:p w14:paraId="1A526CCC">
      <w:pPr>
        <w:spacing w:line="480" w:lineRule="auto"/>
        <w:jc w:val="center"/>
        <w:rPr>
          <w:rFonts w:ascii="宋体" w:hAnsi="宋体"/>
          <w:b/>
          <w:bCs/>
          <w:color w:val="auto"/>
          <w:sz w:val="24"/>
          <w:szCs w:val="24"/>
          <w:highlight w:val="none"/>
          <w:shd w:val="clear" w:color="auto" w:fill="FFFFFF"/>
        </w:rPr>
      </w:pPr>
    </w:p>
    <w:p w14:paraId="4EDCE1BB">
      <w:pPr>
        <w:spacing w:line="440" w:lineRule="exact"/>
        <w:ind w:firstLine="444"/>
        <w:rPr>
          <w:rFonts w:ascii="宋体" w:hAnsi="宋体"/>
          <w:color w:val="auto"/>
          <w:spacing w:val="6"/>
          <w:sz w:val="24"/>
          <w:szCs w:val="24"/>
          <w:highlight w:val="none"/>
        </w:rPr>
      </w:pPr>
      <w:r>
        <w:rPr>
          <w:rFonts w:hint="eastAsia" w:ascii="宋体" w:hAnsi="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olor w:val="auto"/>
          <w:sz w:val="24"/>
          <w:szCs w:val="24"/>
          <w:highlight w:val="none"/>
        </w:rPr>
        <w:t>〔2017〕 141</w:t>
      </w:r>
      <w:r>
        <w:rPr>
          <w:rFonts w:hint="eastAsia" w:ascii="宋体" w:hAnsi="宋体"/>
          <w:color w:val="auto"/>
          <w:spacing w:val="6"/>
          <w:sz w:val="24"/>
          <w:szCs w:val="24"/>
          <w:highlight w:val="none"/>
        </w:rPr>
        <w:t>号）的规定，本单位为符合条件的残疾人福利性单位，且本单位参加</w:t>
      </w:r>
      <w:r>
        <w:rPr>
          <w:rFonts w:hint="eastAsia" w:ascii="宋体" w:hAnsi="宋体"/>
          <w:color w:val="auto"/>
          <w:spacing w:val="6"/>
          <w:sz w:val="24"/>
          <w:szCs w:val="24"/>
          <w:highlight w:val="none"/>
          <w:u w:val="single"/>
        </w:rPr>
        <w:t xml:space="preserve">           </w:t>
      </w:r>
      <w:r>
        <w:rPr>
          <w:rFonts w:hint="eastAsia" w:ascii="宋体" w:hAnsi="宋体"/>
          <w:color w:val="auto"/>
          <w:spacing w:val="6"/>
          <w:sz w:val="24"/>
          <w:szCs w:val="24"/>
          <w:highlight w:val="none"/>
        </w:rPr>
        <w:t>单位的</w:t>
      </w:r>
      <w:r>
        <w:rPr>
          <w:rFonts w:hint="eastAsia" w:ascii="宋体" w:hAnsi="宋体"/>
          <w:color w:val="auto"/>
          <w:spacing w:val="6"/>
          <w:sz w:val="24"/>
          <w:szCs w:val="24"/>
          <w:highlight w:val="none"/>
          <w:u w:val="single"/>
        </w:rPr>
        <w:t xml:space="preserve">          </w:t>
      </w:r>
      <w:r>
        <w:rPr>
          <w:rFonts w:hint="eastAsia" w:ascii="宋体" w:hAnsi="宋体"/>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3DC68B8B">
      <w:pPr>
        <w:spacing w:line="440" w:lineRule="exact"/>
        <w:ind w:firstLine="444"/>
        <w:rPr>
          <w:rFonts w:ascii="宋体" w:hAnsi="宋体"/>
          <w:color w:val="auto"/>
          <w:spacing w:val="6"/>
          <w:sz w:val="24"/>
          <w:szCs w:val="24"/>
          <w:highlight w:val="none"/>
        </w:rPr>
      </w:pPr>
      <w:r>
        <w:rPr>
          <w:rFonts w:hint="eastAsia" w:ascii="宋体" w:hAnsi="宋体"/>
          <w:color w:val="auto"/>
          <w:spacing w:val="6"/>
          <w:sz w:val="24"/>
          <w:szCs w:val="24"/>
          <w:highlight w:val="none"/>
        </w:rPr>
        <w:t>本单位对上述声明的真实性负责。如有虚假，将依法承担相应责任。</w:t>
      </w:r>
    </w:p>
    <w:p w14:paraId="0658354E">
      <w:pPr>
        <w:spacing w:line="440" w:lineRule="exact"/>
        <w:ind w:firstLine="444"/>
        <w:rPr>
          <w:rFonts w:ascii="宋体" w:hAnsi="宋体"/>
          <w:color w:val="auto"/>
          <w:spacing w:val="6"/>
          <w:sz w:val="24"/>
          <w:szCs w:val="24"/>
          <w:highlight w:val="none"/>
        </w:rPr>
      </w:pPr>
    </w:p>
    <w:p w14:paraId="16A65C2B">
      <w:pPr>
        <w:spacing w:line="440" w:lineRule="exact"/>
        <w:ind w:firstLine="444"/>
        <w:rPr>
          <w:rFonts w:ascii="宋体" w:hAnsi="宋体"/>
          <w:color w:val="auto"/>
          <w:spacing w:val="6"/>
          <w:sz w:val="24"/>
          <w:szCs w:val="24"/>
          <w:highlight w:val="none"/>
        </w:rPr>
      </w:pPr>
    </w:p>
    <w:p w14:paraId="3F926B81">
      <w:pPr>
        <w:spacing w:line="440" w:lineRule="exact"/>
        <w:ind w:firstLine="444"/>
        <w:rPr>
          <w:rFonts w:ascii="宋体" w:hAnsi="宋体"/>
          <w:color w:val="auto"/>
          <w:spacing w:val="6"/>
          <w:sz w:val="24"/>
          <w:szCs w:val="24"/>
          <w:highlight w:val="none"/>
        </w:rPr>
      </w:pPr>
    </w:p>
    <w:p w14:paraId="08E70AF0">
      <w:pPr>
        <w:spacing w:line="440" w:lineRule="exact"/>
        <w:ind w:firstLine="444"/>
        <w:rPr>
          <w:rFonts w:ascii="宋体" w:hAnsi="宋体"/>
          <w:color w:val="auto"/>
          <w:spacing w:val="6"/>
          <w:sz w:val="24"/>
          <w:szCs w:val="24"/>
          <w:highlight w:val="none"/>
        </w:rPr>
      </w:pPr>
    </w:p>
    <w:p w14:paraId="523718B1">
      <w:pPr>
        <w:spacing w:line="440" w:lineRule="exact"/>
        <w:ind w:firstLine="444"/>
        <w:rPr>
          <w:rFonts w:ascii="宋体" w:hAnsi="宋体"/>
          <w:color w:val="auto"/>
          <w:spacing w:val="6"/>
          <w:sz w:val="24"/>
          <w:szCs w:val="24"/>
          <w:highlight w:val="none"/>
        </w:rPr>
      </w:pPr>
    </w:p>
    <w:p w14:paraId="66E82BC4">
      <w:pPr>
        <w:spacing w:line="440" w:lineRule="exact"/>
        <w:ind w:firstLine="444"/>
        <w:rPr>
          <w:rFonts w:ascii="宋体" w:hAnsi="宋体"/>
          <w:color w:val="auto"/>
          <w:spacing w:val="6"/>
          <w:sz w:val="24"/>
          <w:szCs w:val="24"/>
          <w:highlight w:val="none"/>
        </w:rPr>
      </w:pPr>
    </w:p>
    <w:p w14:paraId="02F4149D">
      <w:pPr>
        <w:spacing w:line="480" w:lineRule="auto"/>
        <w:ind w:left="3360" w:hanging="3360" w:hangingChars="1400"/>
        <w:jc w:val="center"/>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企业名称(盖章):</w:t>
      </w:r>
    </w:p>
    <w:p w14:paraId="3A513A55">
      <w:pPr>
        <w:spacing w:line="480" w:lineRule="auto"/>
        <w:ind w:left="3352" w:leftChars="1596" w:firstLine="720" w:firstLineChars="300"/>
        <w:jc w:val="both"/>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日 期:</w:t>
      </w:r>
    </w:p>
    <w:p w14:paraId="13163346">
      <w:pPr>
        <w:spacing w:line="440" w:lineRule="exact"/>
        <w:ind w:firstLine="420"/>
        <w:rPr>
          <w:rFonts w:ascii="宋体" w:hAnsi="宋体"/>
          <w:color w:val="auto"/>
          <w:sz w:val="24"/>
          <w:szCs w:val="24"/>
          <w:highlight w:val="none"/>
        </w:rPr>
      </w:pPr>
      <w:r>
        <w:rPr>
          <w:rFonts w:hint="eastAsia" w:ascii="宋体" w:hAnsi="宋体"/>
          <w:color w:val="auto"/>
          <w:sz w:val="24"/>
          <w:szCs w:val="24"/>
          <w:highlight w:val="none"/>
        </w:rPr>
        <w:t>　　</w:t>
      </w:r>
    </w:p>
    <w:p w14:paraId="172CA13C">
      <w:pPr>
        <w:spacing w:line="440" w:lineRule="exact"/>
        <w:rPr>
          <w:rFonts w:ascii="宋体" w:hAnsi="宋体"/>
          <w:b/>
          <w:color w:val="auto"/>
          <w:sz w:val="24"/>
          <w:szCs w:val="24"/>
          <w:highlight w:val="none"/>
        </w:rPr>
      </w:pPr>
    </w:p>
    <w:p w14:paraId="50DCD309">
      <w:pPr>
        <w:spacing w:line="44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注：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w:t>
      </w:r>
      <w:r>
        <w:rPr>
          <w:rFonts w:hint="eastAsia" w:ascii="宋体" w:hAnsi="宋体"/>
          <w:bCs/>
          <w:color w:val="auto"/>
          <w:sz w:val="24"/>
          <w:szCs w:val="24"/>
          <w:highlight w:val="none"/>
        </w:rPr>
        <w:br w:type="page"/>
      </w:r>
    </w:p>
    <w:p w14:paraId="5AA180CC">
      <w:pPr>
        <w:spacing w:line="480" w:lineRule="auto"/>
        <w:jc w:val="center"/>
        <w:rPr>
          <w:rFonts w:ascii="宋体" w:hAnsi="宋体"/>
          <w:b/>
          <w:bCs/>
          <w:color w:val="auto"/>
          <w:sz w:val="24"/>
          <w:szCs w:val="24"/>
          <w:highlight w:val="none"/>
          <w:shd w:val="clear" w:color="auto" w:fill="FFFFFF"/>
        </w:rPr>
      </w:pPr>
    </w:p>
    <w:p w14:paraId="5D0A427E">
      <w:pPr>
        <w:spacing w:line="480" w:lineRule="auto"/>
        <w:jc w:val="center"/>
        <w:rPr>
          <w:rFonts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t>《监狱企业证明文件》（符合《财政部 司法部关于政府采购支持监狱企业发展有关问题的通知》（财库[2014]68号）价格扣减条件的投标人需提交）</w:t>
      </w:r>
    </w:p>
    <w:p w14:paraId="0D7963B5">
      <w:pPr>
        <w:spacing w:line="480" w:lineRule="auto"/>
        <w:jc w:val="center"/>
        <w:rPr>
          <w:rFonts w:ascii="宋体" w:hAnsi="宋体"/>
          <w:b/>
          <w:bCs/>
          <w:color w:val="auto"/>
          <w:sz w:val="24"/>
          <w:szCs w:val="24"/>
          <w:highlight w:val="none"/>
          <w:shd w:val="clear" w:color="auto" w:fill="FFFFFF"/>
        </w:rPr>
      </w:pPr>
      <w:bookmarkStart w:id="394" w:name="_Toc528186509"/>
      <w:bookmarkEnd w:id="394"/>
      <w:r>
        <w:rPr>
          <w:rFonts w:hint="eastAsia" w:ascii="宋体" w:hAnsi="宋体"/>
          <w:b/>
          <w:bCs/>
          <w:color w:val="auto"/>
          <w:sz w:val="24"/>
          <w:szCs w:val="24"/>
          <w:highlight w:val="none"/>
          <w:shd w:val="clear" w:color="auto" w:fill="FFFFFF"/>
        </w:rPr>
        <w:t>监狱企业证明文件</w:t>
      </w:r>
    </w:p>
    <w:p w14:paraId="5975781C">
      <w:pPr>
        <w:spacing w:line="560" w:lineRule="exact"/>
        <w:jc w:val="center"/>
        <w:rPr>
          <w:rFonts w:ascii="宋体" w:hAnsi="宋体" w:cs="宋体"/>
          <w:color w:val="auto"/>
          <w:highlight w:val="none"/>
        </w:rPr>
      </w:pPr>
      <w:r>
        <w:rPr>
          <w:rFonts w:hint="eastAsia" w:ascii="宋体" w:hAnsi="宋体" w:cs="宋体"/>
          <w:color w:val="auto"/>
          <w:highlight w:val="none"/>
        </w:rPr>
        <w:t>（注：投标人根据自身情况填写，不属于无需提供）</w:t>
      </w:r>
    </w:p>
    <w:p w14:paraId="3C86702C">
      <w:pPr>
        <w:spacing w:line="480" w:lineRule="auto"/>
        <w:jc w:val="center"/>
        <w:rPr>
          <w:rFonts w:ascii="宋体" w:hAnsi="宋体"/>
          <w:b/>
          <w:bCs/>
          <w:color w:val="auto"/>
          <w:sz w:val="24"/>
          <w:szCs w:val="24"/>
          <w:highlight w:val="none"/>
          <w:shd w:val="clear" w:color="auto" w:fill="FFFFFF"/>
        </w:rPr>
      </w:pPr>
    </w:p>
    <w:p w14:paraId="45BA4FBA">
      <w:pPr>
        <w:spacing w:line="440" w:lineRule="exact"/>
        <w:ind w:firstLine="420"/>
        <w:rPr>
          <w:rFonts w:ascii="宋体" w:hAnsi="宋体"/>
          <w:color w:val="auto"/>
          <w:sz w:val="24"/>
          <w:szCs w:val="24"/>
          <w:highlight w:val="none"/>
        </w:rPr>
      </w:pPr>
      <w:r>
        <w:rPr>
          <w:rFonts w:hint="eastAsia" w:ascii="宋体" w:hAnsi="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8E912D">
      <w:pPr>
        <w:spacing w:line="440" w:lineRule="exact"/>
        <w:ind w:firstLine="420"/>
        <w:rPr>
          <w:rFonts w:ascii="宋体" w:hAnsi="宋体"/>
          <w:color w:val="auto"/>
          <w:sz w:val="24"/>
          <w:szCs w:val="24"/>
          <w:highlight w:val="none"/>
        </w:rPr>
      </w:pPr>
      <w:r>
        <w:rPr>
          <w:rFonts w:hint="eastAsia" w:ascii="宋体" w:hAnsi="宋体"/>
          <w:color w:val="auto"/>
          <w:sz w:val="24"/>
          <w:szCs w:val="24"/>
          <w:highlight w:val="none"/>
        </w:rPr>
        <w:t>监狱企业参加政府采购活动时，应当提供由省级以上监狱管理局、戒毒管理局（含新疆生产建设兵团）出具的属于监狱企业的证明文件。</w:t>
      </w:r>
    </w:p>
    <w:p w14:paraId="2AC85F82">
      <w:pPr>
        <w:spacing w:line="440" w:lineRule="exact"/>
        <w:rPr>
          <w:rFonts w:ascii="宋体" w:hAnsi="宋体"/>
          <w:b/>
          <w:color w:val="auto"/>
          <w:sz w:val="24"/>
          <w:szCs w:val="24"/>
          <w:highlight w:val="none"/>
        </w:rPr>
      </w:pPr>
    </w:p>
    <w:p w14:paraId="7A6D04C9">
      <w:pPr>
        <w:spacing w:line="440" w:lineRule="exact"/>
        <w:ind w:firstLine="444"/>
        <w:rPr>
          <w:rFonts w:ascii="宋体" w:hAnsi="宋体"/>
          <w:color w:val="auto"/>
          <w:spacing w:val="6"/>
          <w:sz w:val="24"/>
          <w:szCs w:val="24"/>
          <w:highlight w:val="none"/>
        </w:rPr>
      </w:pPr>
    </w:p>
    <w:p w14:paraId="309EF47F">
      <w:pPr>
        <w:spacing w:line="480" w:lineRule="auto"/>
        <w:ind w:left="3360" w:hanging="3360" w:hangingChars="1400"/>
        <w:jc w:val="center"/>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企业名称(盖章):</w:t>
      </w:r>
    </w:p>
    <w:p w14:paraId="55B3EC13">
      <w:pPr>
        <w:spacing w:line="480" w:lineRule="auto"/>
        <w:ind w:left="3352" w:leftChars="1596" w:firstLine="720" w:firstLineChars="300"/>
        <w:jc w:val="both"/>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日 期:</w:t>
      </w:r>
    </w:p>
    <w:p w14:paraId="3EFEAA68">
      <w:pPr>
        <w:spacing w:line="440" w:lineRule="exact"/>
        <w:rPr>
          <w:rFonts w:ascii="宋体" w:hAnsi="宋体"/>
          <w:b/>
          <w:color w:val="auto"/>
          <w:sz w:val="24"/>
          <w:szCs w:val="24"/>
          <w:highlight w:val="none"/>
        </w:rPr>
      </w:pPr>
    </w:p>
    <w:p w14:paraId="394E82D5">
      <w:pPr>
        <w:pStyle w:val="8"/>
        <w:rPr>
          <w:rFonts w:ascii="宋体" w:hAnsi="宋体"/>
          <w:b/>
          <w:color w:val="auto"/>
          <w:sz w:val="24"/>
          <w:szCs w:val="24"/>
          <w:highlight w:val="none"/>
        </w:rPr>
      </w:pPr>
    </w:p>
    <w:p w14:paraId="7A088F88">
      <w:pPr>
        <w:pStyle w:val="9"/>
        <w:ind w:left="1470" w:right="1470"/>
        <w:rPr>
          <w:rFonts w:ascii="宋体" w:hAnsi="宋体"/>
          <w:b/>
          <w:color w:val="auto"/>
          <w:sz w:val="24"/>
          <w:szCs w:val="24"/>
          <w:highlight w:val="none"/>
        </w:rPr>
      </w:pPr>
    </w:p>
    <w:p w14:paraId="600A763B">
      <w:pPr>
        <w:pStyle w:val="9"/>
        <w:ind w:left="1470" w:right="1470"/>
        <w:rPr>
          <w:rFonts w:ascii="宋体" w:hAnsi="宋体"/>
          <w:b/>
          <w:color w:val="auto"/>
          <w:sz w:val="24"/>
          <w:szCs w:val="24"/>
          <w:highlight w:val="none"/>
        </w:rPr>
      </w:pPr>
    </w:p>
    <w:p w14:paraId="1E75CE20">
      <w:pPr>
        <w:pStyle w:val="9"/>
        <w:ind w:left="1470" w:right="1470"/>
        <w:rPr>
          <w:rFonts w:ascii="宋体" w:hAnsi="宋体"/>
          <w:b/>
          <w:color w:val="auto"/>
          <w:sz w:val="24"/>
          <w:szCs w:val="24"/>
          <w:highlight w:val="none"/>
        </w:rPr>
      </w:pPr>
    </w:p>
    <w:p w14:paraId="12E0B731">
      <w:pPr>
        <w:pStyle w:val="9"/>
        <w:ind w:left="1470" w:right="1470"/>
        <w:rPr>
          <w:rFonts w:ascii="宋体" w:hAnsi="宋体"/>
          <w:b/>
          <w:color w:val="auto"/>
          <w:sz w:val="24"/>
          <w:szCs w:val="24"/>
          <w:highlight w:val="none"/>
        </w:rPr>
      </w:pPr>
    </w:p>
    <w:p w14:paraId="5AA4DB48">
      <w:pPr>
        <w:spacing w:line="360" w:lineRule="auto"/>
        <w:ind w:firstLine="480" w:firstLineChars="200"/>
        <w:rPr>
          <w:color w:val="auto"/>
          <w:sz w:val="24"/>
          <w:szCs w:val="24"/>
          <w:highlight w:val="none"/>
        </w:rPr>
      </w:pPr>
      <w:r>
        <w:rPr>
          <w:rFonts w:hint="eastAsia" w:hAnsi="宋体"/>
          <w:bCs/>
          <w:color w:val="auto"/>
          <w:sz w:val="24"/>
          <w:szCs w:val="24"/>
          <w:highlight w:val="none"/>
        </w:rPr>
        <w:t>注：符合条件的监狱企业在参加政府采购活动时，应当按《财政部 司法部关于政府采购支持监狱企业发展有关问题的通知》（财库[2014]68号）提供规定的《监狱企业证明文件》。</w:t>
      </w:r>
    </w:p>
    <w:p w14:paraId="67548DC3">
      <w:pPr>
        <w:spacing w:line="360" w:lineRule="auto"/>
        <w:rPr>
          <w:rFonts w:ascii="宋体" w:hAnsi="宋体" w:cs="宋体"/>
          <w:color w:val="auto"/>
          <w:szCs w:val="28"/>
          <w:highlight w:val="none"/>
        </w:rPr>
      </w:pPr>
      <w:r>
        <w:rPr>
          <w:rFonts w:hint="eastAsia" w:ascii="宋体" w:hAnsi="宋体" w:cs="宋体"/>
          <w:color w:val="auto"/>
          <w:szCs w:val="28"/>
          <w:highlight w:val="none"/>
        </w:rPr>
        <w:br w:type="page"/>
      </w:r>
    </w:p>
    <w:p w14:paraId="566F4690">
      <w:pPr>
        <w:outlineLvl w:val="2"/>
        <w:rPr>
          <w:rFonts w:ascii="宋体" w:hAnsi="宋体"/>
          <w:b/>
          <w:bCs/>
          <w:color w:val="auto"/>
          <w:sz w:val="32"/>
          <w:szCs w:val="32"/>
          <w:highlight w:val="none"/>
        </w:rPr>
      </w:pPr>
      <w:bookmarkStart w:id="395" w:name="_Toc8202"/>
      <w:r>
        <w:rPr>
          <w:rFonts w:hint="eastAsia" w:ascii="宋体" w:hAnsi="宋体"/>
          <w:b/>
          <w:bCs/>
          <w:color w:val="auto"/>
          <w:sz w:val="32"/>
          <w:szCs w:val="32"/>
          <w:highlight w:val="none"/>
        </w:rPr>
        <w:t>第二部分 商务报价部分</w:t>
      </w:r>
      <w:bookmarkEnd w:id="374"/>
      <w:bookmarkEnd w:id="375"/>
      <w:bookmarkEnd w:id="376"/>
      <w:bookmarkEnd w:id="377"/>
      <w:bookmarkEnd w:id="378"/>
      <w:bookmarkEnd w:id="379"/>
      <w:bookmarkEnd w:id="395"/>
    </w:p>
    <w:p w14:paraId="6FA9C943">
      <w:pPr>
        <w:pStyle w:val="6"/>
        <w:widowControl/>
        <w:autoSpaceDE w:val="0"/>
        <w:spacing w:line="360" w:lineRule="auto"/>
        <w:ind w:firstLine="562" w:firstLineChars="200"/>
        <w:rPr>
          <w:rFonts w:hint="eastAsia" w:ascii="宋体" w:hAnsi="宋体" w:cs="宋体"/>
          <w:color w:val="auto"/>
          <w:szCs w:val="28"/>
          <w:highlight w:val="none"/>
        </w:rPr>
      </w:pPr>
      <w:bookmarkStart w:id="396" w:name="_Toc25371"/>
      <w:bookmarkStart w:id="397" w:name="_Toc8730"/>
      <w:r>
        <w:rPr>
          <w:rFonts w:hint="eastAsia" w:ascii="宋体" w:hAnsi="宋体" w:cs="宋体"/>
          <w:color w:val="auto"/>
          <w:szCs w:val="28"/>
          <w:highlight w:val="none"/>
        </w:rPr>
        <w:t>一、开标一览表</w:t>
      </w:r>
      <w:bookmarkEnd w:id="380"/>
      <w:bookmarkEnd w:id="381"/>
      <w:bookmarkEnd w:id="382"/>
      <w:bookmarkEnd w:id="383"/>
      <w:bookmarkEnd w:id="384"/>
      <w:bookmarkEnd w:id="385"/>
      <w:bookmarkEnd w:id="386"/>
      <w:bookmarkEnd w:id="387"/>
      <w:bookmarkEnd w:id="388"/>
      <w:bookmarkEnd w:id="396"/>
      <w:bookmarkEnd w:id="397"/>
    </w:p>
    <w:p w14:paraId="4C737BB0">
      <w:pPr>
        <w:rPr>
          <w:rFonts w:hint="eastAsia"/>
          <w:color w:val="auto"/>
          <w:highlight w:val="none"/>
        </w:rPr>
      </w:pPr>
    </w:p>
    <w:p w14:paraId="566AB635">
      <w:pPr>
        <w:spacing w:line="480" w:lineRule="exact"/>
        <w:ind w:left="1199" w:leftChars="228" w:hanging="720" w:hangingChars="300"/>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项目名称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p>
    <w:p w14:paraId="2804A7BE">
      <w:pPr>
        <w:spacing w:line="480" w:lineRule="exact"/>
        <w:ind w:left="1199" w:leftChars="228" w:hanging="720" w:hangingChars="300"/>
        <w:rPr>
          <w:rFonts w:ascii="宋体" w:hAnsi="宋体" w:cs="宋体"/>
          <w:color w:val="auto"/>
          <w:sz w:val="24"/>
          <w:szCs w:val="24"/>
          <w:highlight w:val="none"/>
          <w:u w:val="single"/>
        </w:rPr>
      </w:pPr>
      <w:r>
        <w:rPr>
          <w:rFonts w:hint="eastAsia" w:ascii="宋体" w:hAnsi="宋体" w:cs="宋体"/>
          <w:color w:val="auto"/>
          <w:sz w:val="24"/>
          <w:szCs w:val="24"/>
          <w:highlight w:val="none"/>
        </w:rPr>
        <w:t>政采云项目编号：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6"/>
        <w:gridCol w:w="6756"/>
      </w:tblGrid>
      <w:tr w14:paraId="27CB2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316" w:type="dxa"/>
            <w:noWrap w:val="0"/>
            <w:vAlign w:val="center"/>
          </w:tcPr>
          <w:p w14:paraId="36426A5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6756" w:type="dxa"/>
            <w:noWrap w:val="0"/>
            <w:vAlign w:val="center"/>
          </w:tcPr>
          <w:p w14:paraId="54C88E0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r w14:paraId="25EC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2316" w:type="dxa"/>
            <w:noWrap w:val="0"/>
            <w:vAlign w:val="center"/>
          </w:tcPr>
          <w:p w14:paraId="61CE221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投标总价</w:t>
            </w:r>
          </w:p>
        </w:tc>
        <w:tc>
          <w:tcPr>
            <w:tcW w:w="6756" w:type="dxa"/>
            <w:noWrap w:val="0"/>
            <w:vAlign w:val="center"/>
          </w:tcPr>
          <w:p w14:paraId="0E3FA6B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lang w:val="en-US" w:eastAsia="zh-CN"/>
              </w:rPr>
              <w:t>小写：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元</w:t>
            </w:r>
          </w:p>
          <w:p w14:paraId="3F0088E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default"/>
                <w:color w:val="auto"/>
                <w:highlight w:val="none"/>
                <w:lang w:val="en-US" w:eastAsia="zh-CN"/>
              </w:rPr>
            </w:pPr>
            <w:r>
              <w:rPr>
                <w:rFonts w:hint="eastAsia" w:ascii="宋体" w:hAnsi="宋体" w:cs="宋体"/>
                <w:color w:val="auto"/>
                <w:sz w:val="24"/>
                <w:szCs w:val="24"/>
                <w:highlight w:val="none"/>
                <w:u w:val="none"/>
                <w:lang w:val="en-US" w:eastAsia="zh-CN"/>
              </w:rPr>
              <w:t>大写：</w:t>
            </w:r>
            <w:r>
              <w:rPr>
                <w:rFonts w:hint="eastAsia" w:ascii="宋体" w:hAnsi="宋体" w:cs="宋体"/>
                <w:color w:val="auto"/>
                <w:sz w:val="24"/>
                <w:szCs w:val="24"/>
                <w:highlight w:val="none"/>
                <w:u w:val="single"/>
                <w:lang w:val="en-US" w:eastAsia="zh-CN"/>
              </w:rPr>
              <w:t xml:space="preserve">              </w:t>
            </w:r>
          </w:p>
        </w:tc>
      </w:tr>
      <w:tr w14:paraId="2D61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316" w:type="dxa"/>
            <w:noWrap w:val="0"/>
            <w:vAlign w:val="center"/>
          </w:tcPr>
          <w:p w14:paraId="7687362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p>
        </w:tc>
        <w:tc>
          <w:tcPr>
            <w:tcW w:w="6756" w:type="dxa"/>
            <w:noWrap w:val="0"/>
            <w:vAlign w:val="center"/>
          </w:tcPr>
          <w:p w14:paraId="7485A39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r w14:paraId="11C1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316" w:type="dxa"/>
            <w:noWrap w:val="0"/>
            <w:vAlign w:val="center"/>
          </w:tcPr>
          <w:p w14:paraId="651C8D4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交货方式</w:t>
            </w:r>
          </w:p>
        </w:tc>
        <w:tc>
          <w:tcPr>
            <w:tcW w:w="6756" w:type="dxa"/>
            <w:noWrap w:val="0"/>
            <w:vAlign w:val="center"/>
          </w:tcPr>
          <w:p w14:paraId="25AAC19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r w14:paraId="7047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316" w:type="dxa"/>
            <w:noWrap w:val="0"/>
            <w:vAlign w:val="center"/>
          </w:tcPr>
          <w:p w14:paraId="05C61B1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交货地点</w:t>
            </w:r>
          </w:p>
        </w:tc>
        <w:tc>
          <w:tcPr>
            <w:tcW w:w="6756" w:type="dxa"/>
            <w:noWrap w:val="0"/>
            <w:vAlign w:val="center"/>
          </w:tcPr>
          <w:p w14:paraId="6DF8A05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r w14:paraId="709F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316" w:type="dxa"/>
            <w:noWrap w:val="0"/>
            <w:vAlign w:val="center"/>
          </w:tcPr>
          <w:p w14:paraId="64DE286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6756" w:type="dxa"/>
            <w:noWrap w:val="0"/>
            <w:vAlign w:val="center"/>
          </w:tcPr>
          <w:p w14:paraId="28E67AD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r w14:paraId="7BEB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316" w:type="dxa"/>
            <w:noWrap w:val="0"/>
            <w:vAlign w:val="center"/>
          </w:tcPr>
          <w:p w14:paraId="7EC2C4F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756" w:type="dxa"/>
            <w:noWrap w:val="0"/>
            <w:vAlign w:val="center"/>
          </w:tcPr>
          <w:p w14:paraId="16503C95">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auto"/>
                <w:sz w:val="24"/>
                <w:szCs w:val="24"/>
                <w:highlight w:val="none"/>
              </w:rPr>
            </w:pPr>
          </w:p>
        </w:tc>
      </w:tr>
    </w:tbl>
    <w:p w14:paraId="34DA85E6">
      <w:pPr>
        <w:rPr>
          <w:rFonts w:ascii="黑体" w:hAnsi="黑体" w:eastAsia="黑体" w:cs="黑体"/>
          <w:color w:val="auto"/>
          <w:highlight w:val="none"/>
        </w:rPr>
      </w:pPr>
    </w:p>
    <w:p w14:paraId="35A34E84">
      <w:pPr>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注：</w:t>
      </w:r>
    </w:p>
    <w:p w14:paraId="7497915A">
      <w:pPr>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1.表中的报价保留两位小数。</w:t>
      </w:r>
    </w:p>
    <w:p w14:paraId="54E9CAEE">
      <w:pPr>
        <w:pStyle w:val="14"/>
        <w:spacing w:line="360" w:lineRule="auto"/>
        <w:ind w:left="480" w:firstLine="482" w:firstLineChars="200"/>
        <w:jc w:val="lef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2.表中“</w:t>
      </w:r>
      <w:r>
        <w:rPr>
          <w:rFonts w:hint="eastAsia" w:hAnsi="宋体" w:cs="宋体"/>
          <w:b/>
          <w:bCs/>
          <w:color w:val="auto"/>
          <w:sz w:val="24"/>
          <w:szCs w:val="24"/>
          <w:highlight w:val="none"/>
          <w:lang w:val="en-US" w:eastAsia="zh-CN"/>
        </w:rPr>
        <w:t>投标总价</w:t>
      </w:r>
      <w:r>
        <w:rPr>
          <w:rFonts w:hint="eastAsia" w:ascii="宋体" w:hAnsi="宋体" w:cs="宋体"/>
          <w:b/>
          <w:bCs/>
          <w:color w:val="auto"/>
          <w:sz w:val="24"/>
          <w:szCs w:val="24"/>
          <w:highlight w:val="none"/>
        </w:rPr>
        <w:t>”</w:t>
      </w:r>
      <w:r>
        <w:rPr>
          <w:rFonts w:hint="eastAsia" w:hAnsi="宋体" w:cs="宋体"/>
          <w:b/>
          <w:bCs/>
          <w:color w:val="auto"/>
          <w:sz w:val="24"/>
          <w:szCs w:val="24"/>
          <w:highlight w:val="none"/>
          <w:lang w:val="en-US" w:eastAsia="zh-CN"/>
        </w:rPr>
        <w:t>仅用于投标报价评审，最终结算以分项报价表中的单价为准</w:t>
      </w:r>
      <w:r>
        <w:rPr>
          <w:rFonts w:hint="eastAsia" w:ascii="宋体" w:hAnsi="宋体" w:cs="宋体"/>
          <w:b/>
          <w:bCs/>
          <w:color w:val="auto"/>
          <w:sz w:val="24"/>
          <w:szCs w:val="24"/>
          <w:highlight w:val="none"/>
          <w:lang w:val="en-US" w:eastAsia="zh-CN"/>
        </w:rPr>
        <w:t>。</w:t>
      </w:r>
    </w:p>
    <w:p w14:paraId="67720C4F">
      <w:pPr>
        <w:spacing w:line="360" w:lineRule="auto"/>
        <w:ind w:firstLine="960" w:firstLineChars="400"/>
      </w:pPr>
      <w:r>
        <w:rPr>
          <w:rFonts w:hint="eastAsia" w:ascii="宋体" w:hAnsi="宋体" w:eastAsia="宋体" w:cs="宋体"/>
          <w:color w:val="auto"/>
          <w:sz w:val="24"/>
          <w:szCs w:val="24"/>
          <w:highlight w:val="none"/>
          <w:lang w:val="en-US" w:eastAsia="zh-CN"/>
        </w:rPr>
        <w:t>3.此表中的“投标总价”须与“分项报价表”中的“投标总价”一致。</w:t>
      </w:r>
    </w:p>
    <w:p w14:paraId="1B27723D">
      <w:pPr>
        <w:spacing w:line="360" w:lineRule="auto"/>
        <w:ind w:firstLine="960" w:firstLineChars="400"/>
        <w:rPr>
          <w:rFonts w:hint="eastAsia" w:ascii="宋体" w:hAnsi="宋体" w:eastAsia="宋体" w:cs="宋体"/>
          <w:color w:val="auto"/>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.投标文件中开标一览表内容与投标文件中相应内容不一致的，以开标一览表为准</w:t>
      </w:r>
      <w:r>
        <w:rPr>
          <w:rFonts w:hint="eastAsia" w:ascii="宋体" w:hAnsi="宋体" w:cs="宋体"/>
          <w:color w:val="auto"/>
          <w:highlight w:val="none"/>
          <w:lang w:eastAsia="zh-CN"/>
        </w:rPr>
        <w:t>。</w:t>
      </w:r>
    </w:p>
    <w:p w14:paraId="35F8B57D">
      <w:pPr>
        <w:spacing w:line="600" w:lineRule="atLeast"/>
        <w:rPr>
          <w:rFonts w:ascii="宋体" w:hAnsi="宋体" w:cs="宋体"/>
          <w:color w:val="auto"/>
          <w:sz w:val="28"/>
          <w:szCs w:val="28"/>
          <w:highlight w:val="none"/>
        </w:rPr>
      </w:pPr>
    </w:p>
    <w:p w14:paraId="22A81DC3">
      <w:pPr>
        <w:pStyle w:val="2"/>
        <w:rPr>
          <w:color w:val="auto"/>
          <w:highlight w:val="none"/>
        </w:rPr>
      </w:pPr>
    </w:p>
    <w:p w14:paraId="79831CEE">
      <w:pPr>
        <w:spacing w:line="360" w:lineRule="auto"/>
        <w:ind w:firstLine="1687" w:firstLineChars="700"/>
        <w:rPr>
          <w:rFonts w:ascii="宋体" w:hAnsi="宋体"/>
          <w:b/>
          <w:color w:val="auto"/>
          <w:sz w:val="24"/>
          <w:szCs w:val="24"/>
          <w:highlight w:val="none"/>
        </w:rPr>
      </w:pPr>
      <w:bookmarkStart w:id="398" w:name="OLE_LINK15"/>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16A73579">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4B1B8EC7">
      <w:pPr>
        <w:spacing w:line="360" w:lineRule="auto"/>
        <w:ind w:firstLine="1687" w:firstLineChars="700"/>
        <w:rPr>
          <w:rFonts w:ascii="宋体" w:hAnsi="宋体"/>
          <w:b/>
          <w:color w:val="auto"/>
          <w:sz w:val="24"/>
          <w:szCs w:val="24"/>
          <w:highlight w:val="none"/>
        </w:r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bookmarkEnd w:id="398"/>
    </w:p>
    <w:p w14:paraId="4CB0C792">
      <w:pPr>
        <w:rPr>
          <w:rFonts w:ascii="宋体" w:hAnsi="宋体"/>
          <w:b/>
          <w:color w:val="auto"/>
          <w:sz w:val="24"/>
          <w:szCs w:val="24"/>
          <w:highlight w:val="none"/>
        </w:rPr>
      </w:pPr>
      <w:r>
        <w:rPr>
          <w:rFonts w:ascii="宋体" w:hAnsi="宋体"/>
          <w:b/>
          <w:color w:val="auto"/>
          <w:sz w:val="24"/>
          <w:szCs w:val="24"/>
          <w:highlight w:val="none"/>
        </w:rPr>
        <w:br w:type="page"/>
      </w:r>
    </w:p>
    <w:p w14:paraId="497C5873">
      <w:pPr>
        <w:pStyle w:val="6"/>
        <w:widowControl/>
        <w:autoSpaceDE w:val="0"/>
        <w:spacing w:line="360" w:lineRule="auto"/>
        <w:ind w:firstLine="562" w:firstLineChars="200"/>
        <w:rPr>
          <w:rFonts w:ascii="宋体" w:hAnsi="宋体" w:cs="宋体"/>
          <w:color w:val="auto"/>
          <w:szCs w:val="28"/>
          <w:highlight w:val="none"/>
        </w:rPr>
      </w:pPr>
      <w:bookmarkStart w:id="399" w:name="_Toc17435"/>
      <w:bookmarkEnd w:id="399"/>
      <w:bookmarkStart w:id="400" w:name="_Toc914"/>
      <w:bookmarkStart w:id="401" w:name="_Toc31491"/>
      <w:bookmarkStart w:id="402" w:name="_Toc2521"/>
      <w:bookmarkStart w:id="403" w:name="_Toc13008"/>
      <w:bookmarkStart w:id="404" w:name="_Toc9661"/>
      <w:bookmarkStart w:id="405" w:name="_Toc6711"/>
      <w:bookmarkStart w:id="406" w:name="_Toc6208"/>
      <w:bookmarkStart w:id="407" w:name="_Toc15352"/>
      <w:bookmarkStart w:id="408" w:name="_Toc6101"/>
      <w:bookmarkStart w:id="409" w:name="_Toc9735"/>
      <w:bookmarkStart w:id="410" w:name="_Toc17735"/>
      <w:bookmarkStart w:id="411" w:name="_Toc32089"/>
      <w:r>
        <w:rPr>
          <w:rFonts w:hint="eastAsia" w:ascii="宋体" w:hAnsi="宋体" w:cs="宋体"/>
          <w:color w:val="auto"/>
          <w:szCs w:val="28"/>
          <w:highlight w:val="none"/>
        </w:rPr>
        <w:t>二、投标函</w:t>
      </w:r>
      <w:bookmarkEnd w:id="400"/>
      <w:bookmarkEnd w:id="401"/>
      <w:bookmarkEnd w:id="402"/>
      <w:bookmarkEnd w:id="403"/>
      <w:bookmarkEnd w:id="404"/>
      <w:bookmarkEnd w:id="405"/>
      <w:bookmarkEnd w:id="406"/>
      <w:bookmarkEnd w:id="407"/>
      <w:bookmarkEnd w:id="408"/>
      <w:bookmarkEnd w:id="409"/>
      <w:bookmarkEnd w:id="410"/>
      <w:bookmarkEnd w:id="411"/>
    </w:p>
    <w:p w14:paraId="27B15A1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2C11011A">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(项目名称)招标文件的全部内容，</w:t>
      </w:r>
      <w:r>
        <w:rPr>
          <w:rFonts w:hint="eastAsia" w:ascii="宋体" w:hAnsi="宋体" w:cs="宋体"/>
          <w:color w:val="auto"/>
          <w:sz w:val="24"/>
          <w:highlight w:val="none"/>
        </w:rPr>
        <w:t>且对招标文件无任何异议，并愿意以“</w:t>
      </w:r>
      <w:r>
        <w:rPr>
          <w:rFonts w:hint="eastAsia" w:ascii="宋体" w:hAnsi="宋体" w:cs="宋体"/>
          <w:color w:val="auto"/>
          <w:sz w:val="24"/>
          <w:highlight w:val="none"/>
          <w:lang w:val="en-US" w:eastAsia="zh-CN"/>
        </w:rPr>
        <w:t>分项报价表</w:t>
      </w:r>
      <w:r>
        <w:rPr>
          <w:rFonts w:hint="eastAsia" w:ascii="宋体" w:hAnsi="宋体" w:cs="宋体"/>
          <w:color w:val="auto"/>
          <w:sz w:val="24"/>
          <w:highlight w:val="none"/>
        </w:rPr>
        <w:t>”所填写的</w:t>
      </w:r>
      <w:r>
        <w:rPr>
          <w:rFonts w:hint="eastAsia" w:ascii="宋体" w:hAnsi="宋体" w:cs="宋体"/>
          <w:color w:val="auto"/>
          <w:sz w:val="24"/>
          <w:highlight w:val="none"/>
          <w:lang w:val="en-US" w:eastAsia="zh-CN"/>
        </w:rPr>
        <w:t>单价</w:t>
      </w:r>
      <w:r>
        <w:rPr>
          <w:rFonts w:hint="eastAsia" w:ascii="宋体" w:hAnsi="宋体" w:cs="宋体"/>
          <w:color w:val="auto"/>
          <w:sz w:val="24"/>
          <w:highlight w:val="none"/>
        </w:rPr>
        <w:t>，向你方提供招标文件要求的货物/服务。</w:t>
      </w:r>
    </w:p>
    <w:p w14:paraId="59FCBCAA">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1.我方承诺在投标有效期内不修改或撤销投标文件。</w:t>
      </w:r>
    </w:p>
    <w:p w14:paraId="4534F663">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2.本投标的投标有效期为自投标截止之日起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个日历天。</w:t>
      </w:r>
    </w:p>
    <w:p w14:paraId="4C96807B">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3.我方承诺所提交的投标文件及有关资料是完整的、真实的、准确的和有效的，否则，我方承担由此造成的任何损失及引起的任何后果。</w:t>
      </w:r>
    </w:p>
    <w:p w14:paraId="795C58FF">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4.同意招标文件中关于没收投标保证金的规定。</w:t>
      </w:r>
    </w:p>
    <w:p w14:paraId="7296C9E1">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5.完全理解贵方的采购要求。</w:t>
      </w:r>
    </w:p>
    <w:p w14:paraId="5F881B73">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6．如我方中标：</w:t>
      </w:r>
    </w:p>
    <w:p w14:paraId="385D2E0C">
      <w:pPr>
        <w:widowControl w:val="0"/>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（1）我方承诺在收到中标通知书后，在中标通知书规定的期限内与你方签订合同。</w:t>
      </w:r>
    </w:p>
    <w:p w14:paraId="48594117">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（2）我方承诺按照招标文件规定向你方递交履约保证金。</w:t>
      </w:r>
    </w:p>
    <w:p w14:paraId="4CF4E652">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（3）我方承诺按合同约定的期限和地点，提供符合招标文件要求的全部的招标货物/服务。</w:t>
      </w:r>
    </w:p>
    <w:p w14:paraId="6689D927">
      <w:pPr>
        <w:widowControl w:val="0"/>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7.我方在此声明，所递交的投标文件及有关资料内容完整、真实和准确。</w:t>
      </w:r>
    </w:p>
    <w:p w14:paraId="1AAF8AA9">
      <w:pPr>
        <w:widowControl w:val="0"/>
        <w:spacing w:line="360" w:lineRule="auto"/>
        <w:ind w:firstLine="480" w:firstLineChars="200"/>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我公司理解并完全接受本文件全部内容，并承诺参与投标后，不再对招标文件内容有任何疑问。</w:t>
      </w:r>
    </w:p>
    <w:p w14:paraId="7181BDA5">
      <w:pPr>
        <w:widowControl w:val="0"/>
        <w:spacing w:line="360" w:lineRule="auto"/>
        <w:ind w:firstLine="480" w:firstLineChars="200"/>
        <w:jc w:val="both"/>
        <w:rPr>
          <w:rFonts w:ascii="宋体" w:hAnsi="宋体" w:cs="宋体"/>
          <w:color w:val="auto"/>
          <w:kern w:val="0"/>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5695A5A5">
      <w:pPr>
        <w:pStyle w:val="12"/>
        <w:ind w:firstLine="480" w:firstLineChars="200"/>
        <w:rPr>
          <w:rFonts w:ascii="宋体" w:hAnsi="宋体" w:cs="宋体"/>
          <w:color w:val="auto"/>
          <w:kern w:val="0"/>
          <w:sz w:val="24"/>
          <w:highlight w:val="none"/>
        </w:rPr>
      </w:pPr>
    </w:p>
    <w:p w14:paraId="0608BC88">
      <w:pPr>
        <w:spacing w:line="360" w:lineRule="auto"/>
        <w:ind w:firstLine="2891" w:firstLineChars="1200"/>
        <w:rPr>
          <w:rFonts w:ascii="宋体" w:hAnsi="宋体"/>
          <w:b/>
          <w:bCs/>
          <w:color w:val="auto"/>
          <w:sz w:val="24"/>
          <w:szCs w:val="24"/>
          <w:highlight w:val="none"/>
        </w:rPr>
      </w:pPr>
      <w:r>
        <w:rPr>
          <w:rFonts w:hint="eastAsia" w:ascii="宋体" w:hAnsi="宋体"/>
          <w:b/>
          <w:bCs/>
          <w:color w:val="auto"/>
          <w:sz w:val="24"/>
          <w:szCs w:val="24"/>
          <w:highlight w:val="none"/>
        </w:rPr>
        <w:t>投 标 人：</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7321027C">
      <w:pPr>
        <w:spacing w:line="360" w:lineRule="auto"/>
        <w:ind w:left="2880"/>
        <w:rPr>
          <w:rFonts w:ascii="宋体" w:hAnsi="宋体" w:cs="宋体"/>
          <w:b/>
          <w:bCs/>
          <w:color w:val="auto"/>
          <w:sz w:val="24"/>
          <w:szCs w:val="24"/>
          <w:highlight w:val="none"/>
        </w:rPr>
      </w:pPr>
      <w:r>
        <w:rPr>
          <w:rFonts w:hint="eastAsia" w:ascii="宋体" w:hAnsi="宋体"/>
          <w:b/>
          <w:bCs/>
          <w:color w:val="auto"/>
          <w:sz w:val="24"/>
          <w:szCs w:val="24"/>
          <w:highlight w:val="none"/>
        </w:rPr>
        <w:t>法定代表人(单位负责人)或其委托代理人：</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44EC6745">
      <w:pPr>
        <w:spacing w:line="360" w:lineRule="auto"/>
        <w:ind w:left="2880"/>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地</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390BA6F6">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电</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话：</w:t>
      </w:r>
      <w:r>
        <w:rPr>
          <w:rFonts w:hint="eastAsia" w:ascii="宋体" w:hAnsi="宋体" w:cs="宋体"/>
          <w:b/>
          <w:bCs/>
          <w:color w:val="auto"/>
          <w:sz w:val="24"/>
          <w:szCs w:val="24"/>
          <w:highlight w:val="none"/>
          <w:u w:val="single"/>
        </w:rPr>
        <w:t xml:space="preserve">                                           </w:t>
      </w:r>
    </w:p>
    <w:p w14:paraId="0B384039">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传</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真：</w:t>
      </w:r>
      <w:r>
        <w:rPr>
          <w:rFonts w:hint="eastAsia" w:ascii="宋体" w:hAnsi="宋体" w:cs="宋体"/>
          <w:b/>
          <w:bCs/>
          <w:color w:val="auto"/>
          <w:sz w:val="24"/>
          <w:szCs w:val="24"/>
          <w:highlight w:val="none"/>
          <w:u w:val="single"/>
        </w:rPr>
        <w:t xml:space="preserve">                                           </w:t>
      </w:r>
    </w:p>
    <w:p w14:paraId="734D54E1">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邮政编码：</w:t>
      </w:r>
      <w:r>
        <w:rPr>
          <w:rFonts w:hint="eastAsia" w:ascii="宋体" w:hAnsi="宋体" w:cs="宋体"/>
          <w:b/>
          <w:bCs/>
          <w:color w:val="auto"/>
          <w:sz w:val="24"/>
          <w:szCs w:val="24"/>
          <w:highlight w:val="none"/>
          <w:u w:val="single"/>
        </w:rPr>
        <w:t xml:space="preserve">                                         </w:t>
      </w:r>
    </w:p>
    <w:p w14:paraId="5F8F7C16">
      <w:pPr>
        <w:spacing w:line="360" w:lineRule="auto"/>
        <w:ind w:left="2880"/>
        <w:rPr>
          <w:rFonts w:ascii="宋体" w:hAnsi="宋体" w:cs="宋体"/>
          <w:b/>
          <w:bCs/>
          <w:color w:val="auto"/>
          <w:sz w:val="24"/>
          <w:szCs w:val="24"/>
          <w:highlight w:val="none"/>
        </w:rPr>
      </w:pPr>
      <w:r>
        <w:rPr>
          <w:rFonts w:hint="eastAsia" w:ascii="宋体" w:hAnsi="宋体" w:cs="宋体"/>
          <w:b/>
          <w:bCs/>
          <w:color w:val="auto"/>
          <w:sz w:val="24"/>
          <w:szCs w:val="24"/>
          <w:highlight w:val="none"/>
        </w:rPr>
        <w:t>日  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667C778A">
      <w:pPr>
        <w:spacing w:line="360" w:lineRule="auto"/>
        <w:rPr>
          <w:rFonts w:ascii="宋体" w:hAnsi="宋体"/>
          <w:b/>
          <w:bCs/>
          <w:color w:val="auto"/>
          <w:sz w:val="44"/>
          <w:szCs w:val="44"/>
          <w:highlight w:val="none"/>
        </w:rPr>
      </w:pPr>
      <w:r>
        <w:rPr>
          <w:rFonts w:hint="eastAsia" w:ascii="宋体" w:hAnsi="宋体" w:cs="宋体"/>
          <w:b/>
          <w:bCs/>
          <w:color w:val="auto"/>
          <w:sz w:val="24"/>
          <w:szCs w:val="24"/>
          <w:highlight w:val="none"/>
        </w:rPr>
        <w:t xml:space="preserve"> </w:t>
      </w:r>
      <w:bookmarkStart w:id="412" w:name="_Toc17119"/>
      <w:bookmarkEnd w:id="412"/>
      <w:bookmarkStart w:id="413" w:name="_Toc13197"/>
    </w:p>
    <w:bookmarkEnd w:id="413"/>
    <w:p w14:paraId="5F6E8A41">
      <w:pPr>
        <w:pStyle w:val="6"/>
        <w:widowControl/>
        <w:autoSpaceDE w:val="0"/>
        <w:spacing w:line="360" w:lineRule="auto"/>
        <w:ind w:firstLine="562" w:firstLineChars="200"/>
        <w:rPr>
          <w:rFonts w:ascii="宋体" w:hAnsi="宋体"/>
          <w:color w:val="auto"/>
          <w:szCs w:val="28"/>
          <w:highlight w:val="none"/>
        </w:rPr>
      </w:pPr>
      <w:bookmarkStart w:id="414" w:name="_Toc16741"/>
      <w:bookmarkStart w:id="415" w:name="_Toc8662"/>
      <w:bookmarkStart w:id="416" w:name="_Toc21708"/>
      <w:bookmarkStart w:id="417" w:name="_Toc1278"/>
      <w:bookmarkStart w:id="418" w:name="_Toc5040"/>
      <w:bookmarkStart w:id="419" w:name="_Toc31832"/>
      <w:bookmarkStart w:id="420" w:name="_Toc2377"/>
      <w:r>
        <w:rPr>
          <w:rFonts w:hint="eastAsia" w:ascii="宋体" w:hAnsi="宋体"/>
          <w:color w:val="auto"/>
          <w:szCs w:val="28"/>
          <w:highlight w:val="none"/>
        </w:rPr>
        <w:t>三、法定代表人(单位负责人</w:t>
      </w:r>
      <w:r>
        <w:rPr>
          <w:rFonts w:hint="eastAsia" w:ascii="宋体" w:hAnsi="宋体" w:cs="Calibri"/>
          <w:color w:val="auto"/>
          <w:szCs w:val="28"/>
          <w:highlight w:val="none"/>
        </w:rPr>
        <w:t>)</w:t>
      </w:r>
      <w:r>
        <w:rPr>
          <w:rFonts w:hint="eastAsia" w:ascii="宋体" w:hAnsi="宋体"/>
          <w:color w:val="auto"/>
          <w:szCs w:val="28"/>
          <w:highlight w:val="none"/>
        </w:rPr>
        <w:t>身份证明书</w:t>
      </w:r>
      <w:bookmarkEnd w:id="414"/>
      <w:bookmarkEnd w:id="415"/>
      <w:bookmarkEnd w:id="416"/>
      <w:bookmarkEnd w:id="417"/>
      <w:bookmarkEnd w:id="418"/>
      <w:bookmarkEnd w:id="419"/>
      <w:bookmarkEnd w:id="420"/>
    </w:p>
    <w:p w14:paraId="5855408E">
      <w:pPr>
        <w:spacing w:line="200" w:lineRule="exact"/>
        <w:rPr>
          <w:rFonts w:ascii="宋体" w:hAnsi="宋体"/>
          <w:color w:val="auto"/>
          <w:highlight w:val="none"/>
        </w:rPr>
      </w:pPr>
      <w:r>
        <w:rPr>
          <w:rFonts w:ascii="宋体" w:hAnsi="宋体"/>
          <w:color w:val="auto"/>
          <w:highlight w:val="none"/>
        </w:rPr>
        <w:t xml:space="preserve"> </w:t>
      </w:r>
    </w:p>
    <w:p w14:paraId="3D0AC062">
      <w:pPr>
        <w:spacing w:line="200" w:lineRule="exact"/>
        <w:rPr>
          <w:rFonts w:ascii="宋体" w:hAnsi="宋体"/>
          <w:color w:val="auto"/>
          <w:highlight w:val="none"/>
        </w:rPr>
      </w:pPr>
      <w:r>
        <w:rPr>
          <w:rFonts w:ascii="宋体" w:hAnsi="宋体"/>
          <w:color w:val="auto"/>
          <w:highlight w:val="none"/>
        </w:rPr>
        <w:t xml:space="preserve"> </w:t>
      </w:r>
    </w:p>
    <w:p w14:paraId="65A65615">
      <w:pPr>
        <w:spacing w:line="200" w:lineRule="exact"/>
        <w:rPr>
          <w:rFonts w:ascii="宋体" w:hAnsi="宋体"/>
          <w:color w:val="auto"/>
          <w:highlight w:val="none"/>
        </w:rPr>
      </w:pPr>
      <w:r>
        <w:rPr>
          <w:rFonts w:ascii="宋体" w:hAnsi="宋体"/>
          <w:color w:val="auto"/>
          <w:highlight w:val="none"/>
        </w:rPr>
        <w:t xml:space="preserve"> </w:t>
      </w:r>
    </w:p>
    <w:p w14:paraId="121E841B">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投标人名称：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5A3ACD02">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单位性质：</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5E3C9727">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地    址：</w:t>
      </w:r>
      <w:r>
        <w:rPr>
          <w:rFonts w:hint="eastAsia" w:ascii="宋体" w:hAnsi="宋体" w:cs="仿宋_GB2312"/>
          <w:color w:val="auto"/>
          <w:sz w:val="24"/>
          <w:highlight w:val="none"/>
          <w:u w:val="single"/>
        </w:rPr>
        <w:t xml:space="preserve">                        </w:t>
      </w:r>
    </w:p>
    <w:p w14:paraId="6A81F18C">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成立时间：</w:t>
      </w:r>
      <w:r>
        <w:rPr>
          <w:rFonts w:hint="eastAsia" w:ascii="宋体" w:hAnsi="宋体" w:cs="仿宋_GB2312"/>
          <w:color w:val="auto"/>
          <w:sz w:val="24"/>
          <w:highlight w:val="none"/>
          <w:u w:val="single"/>
        </w:rPr>
        <w:t xml:space="preserve">     </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年</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月</w:t>
      </w:r>
      <w:r>
        <w:rPr>
          <w:rFonts w:hint="eastAsia" w:ascii="宋体" w:hAnsi="宋体" w:cs="仿宋_GB2312"/>
          <w:color w:val="auto"/>
          <w:sz w:val="24"/>
          <w:highlight w:val="none"/>
          <w:u w:val="single"/>
        </w:rPr>
        <w:t xml:space="preserve">  </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日</w:t>
      </w:r>
    </w:p>
    <w:p w14:paraId="068E5B12">
      <w:pPr>
        <w:autoSpaceDE w:val="0"/>
        <w:autoSpaceDN w:val="0"/>
        <w:adjustRightIn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经营期限：</w:t>
      </w:r>
      <w:r>
        <w:rPr>
          <w:rFonts w:hint="eastAsia" w:ascii="宋体" w:hAnsi="宋体" w:cs="仿宋_GB2312"/>
          <w:color w:val="auto"/>
          <w:sz w:val="24"/>
          <w:highlight w:val="none"/>
          <w:u w:val="single"/>
        </w:rPr>
        <w:t xml:space="preserve">                         </w:t>
      </w:r>
    </w:p>
    <w:p w14:paraId="384B492C">
      <w:pPr>
        <w:spacing w:line="360" w:lineRule="auto"/>
        <w:ind w:firstLine="480" w:firstLineChars="200"/>
        <w:rPr>
          <w:rFonts w:ascii="宋体" w:hAnsi="宋体"/>
          <w:color w:val="auto"/>
          <w:sz w:val="24"/>
          <w:szCs w:val="24"/>
          <w:highlight w:val="none"/>
        </w:rPr>
      </w:pPr>
    </w:p>
    <w:p w14:paraId="04A78FF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 xml:space="preserve">          </w:t>
      </w:r>
    </w:p>
    <w:p w14:paraId="1A280D6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(投标人名称)的法定代表人(单位负责人)。</w:t>
      </w:r>
    </w:p>
    <w:p w14:paraId="413B70F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特此证明。</w:t>
      </w:r>
    </w:p>
    <w:p w14:paraId="3A4587E2">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1252518F">
      <w:pPr>
        <w:spacing w:line="48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附：法定代表人(单位负责人)身份证扫描件。</w:t>
      </w:r>
    </w:p>
    <w:p w14:paraId="3E425BF4">
      <w:pPr>
        <w:spacing w:line="360" w:lineRule="auto"/>
        <w:ind w:left="4480"/>
        <w:jc w:val="both"/>
        <w:rPr>
          <w:rFonts w:ascii="宋体" w:hAnsi="宋体"/>
          <w:b/>
          <w:color w:val="auto"/>
          <w:sz w:val="24"/>
          <w:szCs w:val="24"/>
          <w:highlight w:val="none"/>
        </w:rPr>
      </w:pPr>
      <w:r>
        <w:rPr>
          <w:rFonts w:hint="eastAsia" w:ascii="宋体" w:hAnsi="宋体"/>
          <w:b/>
          <w:color w:val="auto"/>
          <w:sz w:val="24"/>
          <w:szCs w:val="24"/>
          <w:highlight w:val="none"/>
        </w:rPr>
        <w:t xml:space="preserve">  </w:t>
      </w:r>
    </w:p>
    <w:p w14:paraId="5F1490DF">
      <w:pPr>
        <w:spacing w:line="360" w:lineRule="auto"/>
        <w:ind w:left="4480"/>
        <w:jc w:val="both"/>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09450464">
      <w:pPr>
        <w:spacing w:line="20" w:lineRule="exact"/>
        <w:rPr>
          <w:rFonts w:ascii="宋体" w:hAnsi="宋体"/>
          <w:b/>
          <w:color w:val="auto"/>
          <w:sz w:val="24"/>
          <w:szCs w:val="24"/>
          <w:highlight w:val="none"/>
        </w:rPr>
      </w:pPr>
      <w:r>
        <w:rPr>
          <w:rFonts w:ascii="宋体" w:hAnsi="宋体"/>
          <w:b/>
          <w:color w:val="auto"/>
          <w:sz w:val="24"/>
          <w:szCs w:val="24"/>
          <w:highlight w:val="none"/>
        </w:rPr>
        <w:t xml:space="preserve"> </w:t>
      </w:r>
    </w:p>
    <w:p w14:paraId="3E4A5D38">
      <w:pPr>
        <w:spacing w:line="200" w:lineRule="exact"/>
        <w:rPr>
          <w:rFonts w:ascii="宋体" w:hAnsi="宋体"/>
          <w:b/>
          <w:color w:val="auto"/>
          <w:sz w:val="24"/>
          <w:szCs w:val="24"/>
          <w:highlight w:val="none"/>
        </w:rPr>
      </w:pPr>
      <w:r>
        <w:rPr>
          <w:rFonts w:ascii="宋体" w:hAnsi="宋体"/>
          <w:b/>
          <w:color w:val="auto"/>
          <w:sz w:val="24"/>
          <w:szCs w:val="24"/>
          <w:highlight w:val="none"/>
        </w:rPr>
        <w:t xml:space="preserve"> </w:t>
      </w:r>
    </w:p>
    <w:p w14:paraId="6283123C">
      <w:pPr>
        <w:spacing w:line="200" w:lineRule="exact"/>
        <w:rPr>
          <w:rFonts w:ascii="宋体" w:hAnsi="宋体"/>
          <w:b/>
          <w:color w:val="auto"/>
          <w:sz w:val="24"/>
          <w:szCs w:val="24"/>
          <w:highlight w:val="none"/>
        </w:rPr>
      </w:pPr>
      <w:r>
        <w:rPr>
          <w:rFonts w:ascii="宋体" w:hAnsi="宋体"/>
          <w:b/>
          <w:color w:val="auto"/>
          <w:sz w:val="24"/>
          <w:szCs w:val="24"/>
          <w:highlight w:val="none"/>
        </w:rPr>
        <w:t xml:space="preserve"> </w:t>
      </w:r>
    </w:p>
    <w:p w14:paraId="5F563618">
      <w:pPr>
        <w:wordWrap w:val="0"/>
        <w:ind w:right="480"/>
        <w:jc w:val="center"/>
        <w:rPr>
          <w:rFonts w:ascii="宋体" w:hAnsi="宋体"/>
          <w:b/>
          <w:color w:val="auto"/>
          <w:sz w:val="24"/>
          <w:szCs w:val="24"/>
          <w:highlight w:val="none"/>
        </w:rPr>
      </w:pPr>
      <w:r>
        <w:rPr>
          <w:rFonts w:hint="eastAsia" w:ascii="宋体" w:hAnsi="宋体"/>
          <w:b/>
          <w:color w:val="auto"/>
          <w:sz w:val="24"/>
          <w:szCs w:val="24"/>
          <w:highlight w:val="none"/>
        </w:rPr>
        <w:t xml:space="preserve">                         </w:t>
      </w:r>
    </w:p>
    <w:p w14:paraId="4E2B3887">
      <w:pPr>
        <w:wordWrap w:val="0"/>
        <w:ind w:right="480"/>
        <w:jc w:val="center"/>
        <w:rPr>
          <w:rFonts w:ascii="宋体" w:hAnsi="宋体"/>
          <w:b/>
          <w:color w:val="auto"/>
          <w:sz w:val="24"/>
          <w:szCs w:val="24"/>
          <w:highlight w:val="none"/>
        </w:rPr>
      </w:pPr>
      <w:r>
        <w:rPr>
          <w:rFonts w:hint="eastAsia" w:ascii="宋体" w:hAnsi="宋体"/>
          <w:b/>
          <w:color w:val="auto"/>
          <w:sz w:val="24"/>
          <w:szCs w:val="24"/>
          <w:highlight w:val="none"/>
        </w:rPr>
        <w:t xml:space="preserve">                       日  期：</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年</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月</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日</w:t>
      </w:r>
    </w:p>
    <w:p w14:paraId="4CBFE0FF">
      <w:pPr>
        <w:spacing w:line="360" w:lineRule="auto"/>
        <w:ind w:firstLine="5760" w:firstLineChars="2400"/>
        <w:jc w:val="both"/>
        <w:rPr>
          <w:rFonts w:ascii="宋体" w:hAnsi="宋体"/>
          <w:color w:val="auto"/>
          <w:sz w:val="24"/>
          <w:szCs w:val="24"/>
          <w:highlight w:val="none"/>
        </w:rPr>
      </w:pPr>
      <w:r>
        <w:rPr>
          <w:rFonts w:hint="eastAsia" w:ascii="宋体" w:hAnsi="宋体"/>
          <w:color w:val="auto"/>
          <w:sz w:val="24"/>
          <w:szCs w:val="24"/>
          <w:highlight w:val="none"/>
        </w:rPr>
        <w:t xml:space="preserve"> </w:t>
      </w:r>
    </w:p>
    <w:p w14:paraId="780C2259">
      <w:pPr>
        <w:spacing w:line="20" w:lineRule="exact"/>
        <w:rPr>
          <w:rFonts w:ascii="宋体" w:hAnsi="宋体"/>
          <w:b/>
          <w:bCs/>
          <w:color w:val="auto"/>
          <w:sz w:val="44"/>
          <w:szCs w:val="44"/>
          <w:highlight w:val="none"/>
        </w:rPr>
      </w:pPr>
      <w:r>
        <w:rPr>
          <w:rFonts w:ascii="宋体" w:hAnsi="宋体"/>
          <w:color w:val="auto"/>
          <w:highlight w:val="none"/>
        </w:rPr>
        <w:t xml:space="preserve"> </w:t>
      </w:r>
    </w:p>
    <w:tbl>
      <w:tblPr>
        <w:tblStyle w:val="22"/>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0FEE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29FCB8EC">
            <w:pPr>
              <w:widowControl w:val="0"/>
              <w:spacing w:before="317" w:beforeLines="100" w:after="317" w:afterLines="100" w:line="600" w:lineRule="exact"/>
              <w:jc w:val="center"/>
              <w:rPr>
                <w:rFonts w:ascii="宋体" w:hAnsi="宋体"/>
                <w:color w:val="auto"/>
                <w:highlight w:val="none"/>
              </w:rPr>
            </w:pPr>
            <w:bookmarkStart w:id="421" w:name="_Toc15398"/>
            <w:bookmarkEnd w:id="421"/>
            <w:bookmarkStart w:id="422" w:name="_Toc31847"/>
            <w:bookmarkEnd w:id="422"/>
            <w:bookmarkStart w:id="423" w:name="_Toc23744"/>
            <w:r>
              <w:rPr>
                <w:rFonts w:hint="eastAsia" w:ascii="宋体" w:hAnsi="宋体"/>
                <w:color w:val="auto"/>
                <w:sz w:val="24"/>
                <w:szCs w:val="24"/>
                <w:highlight w:val="none"/>
              </w:rPr>
              <w:t>法定代表人(单位负责人)身份证正面</w:t>
            </w:r>
          </w:p>
        </w:tc>
        <w:tc>
          <w:tcPr>
            <w:tcW w:w="4814" w:type="dxa"/>
            <w:vAlign w:val="center"/>
          </w:tcPr>
          <w:p w14:paraId="3BCD4428">
            <w:pPr>
              <w:widowControl w:val="0"/>
              <w:spacing w:before="317" w:beforeLines="100" w:after="317" w:afterLines="100" w:line="600" w:lineRule="exact"/>
              <w:jc w:val="center"/>
              <w:rPr>
                <w:rFonts w:ascii="宋体" w:hAnsi="宋体"/>
                <w:color w:val="auto"/>
                <w:highlight w:val="none"/>
              </w:rPr>
            </w:pPr>
            <w:r>
              <w:rPr>
                <w:rFonts w:hint="eastAsia" w:ascii="宋体" w:hAnsi="宋体"/>
                <w:color w:val="auto"/>
                <w:sz w:val="24"/>
                <w:szCs w:val="24"/>
                <w:highlight w:val="none"/>
              </w:rPr>
              <w:t>法定代表人(单位负责人)身份证反面</w:t>
            </w:r>
          </w:p>
        </w:tc>
      </w:tr>
    </w:tbl>
    <w:p w14:paraId="525B4299">
      <w:pPr>
        <w:pStyle w:val="6"/>
        <w:widowControl/>
        <w:autoSpaceDE w:val="0"/>
        <w:spacing w:line="360" w:lineRule="auto"/>
        <w:ind w:firstLine="562" w:firstLineChars="200"/>
        <w:rPr>
          <w:rFonts w:ascii="宋体" w:hAnsi="宋体"/>
          <w:color w:val="auto"/>
          <w:szCs w:val="28"/>
          <w:highlight w:val="none"/>
        </w:rPr>
      </w:pPr>
      <w:r>
        <w:rPr>
          <w:rFonts w:hint="eastAsia" w:ascii="宋体" w:hAnsi="宋体"/>
          <w:color w:val="auto"/>
          <w:szCs w:val="28"/>
          <w:highlight w:val="none"/>
        </w:rPr>
        <w:br w:type="page"/>
      </w:r>
      <w:bookmarkEnd w:id="423"/>
      <w:bookmarkStart w:id="424" w:name="_Toc7073"/>
      <w:bookmarkStart w:id="425" w:name="_Toc29110"/>
      <w:bookmarkStart w:id="426" w:name="_Toc2304"/>
      <w:bookmarkStart w:id="427" w:name="_Toc31982"/>
      <w:bookmarkStart w:id="428" w:name="_Toc26028"/>
      <w:bookmarkStart w:id="429" w:name="_Toc32211"/>
      <w:bookmarkStart w:id="430" w:name="_Toc13157"/>
      <w:bookmarkStart w:id="431" w:name="_Toc24289"/>
      <w:r>
        <w:rPr>
          <w:rFonts w:hint="eastAsia" w:ascii="宋体" w:hAnsi="宋体"/>
          <w:color w:val="auto"/>
          <w:szCs w:val="28"/>
          <w:highlight w:val="none"/>
        </w:rPr>
        <w:t>四、授权委托书</w:t>
      </w:r>
      <w:bookmarkEnd w:id="424"/>
      <w:bookmarkEnd w:id="425"/>
      <w:bookmarkEnd w:id="426"/>
      <w:bookmarkEnd w:id="427"/>
      <w:bookmarkEnd w:id="428"/>
      <w:bookmarkEnd w:id="429"/>
      <w:bookmarkEnd w:id="430"/>
      <w:bookmarkEnd w:id="431"/>
    </w:p>
    <w:p w14:paraId="0A06EEC4">
      <w:pPr>
        <w:spacing w:line="200" w:lineRule="exact"/>
        <w:rPr>
          <w:rFonts w:ascii="宋体" w:hAnsi="宋体"/>
          <w:color w:val="auto"/>
          <w:highlight w:val="none"/>
        </w:rPr>
      </w:pPr>
      <w:r>
        <w:rPr>
          <w:rFonts w:ascii="宋体" w:hAnsi="宋体"/>
          <w:color w:val="auto"/>
          <w:highlight w:val="none"/>
        </w:rPr>
        <w:t xml:space="preserve"> </w:t>
      </w:r>
    </w:p>
    <w:p w14:paraId="1AEF9367">
      <w:pPr>
        <w:spacing w:line="200" w:lineRule="exact"/>
        <w:rPr>
          <w:rFonts w:ascii="宋体" w:hAnsi="宋体"/>
          <w:color w:val="auto"/>
          <w:highlight w:val="none"/>
        </w:rPr>
      </w:pPr>
      <w:r>
        <w:rPr>
          <w:rFonts w:ascii="宋体" w:hAnsi="宋体"/>
          <w:color w:val="auto"/>
          <w:highlight w:val="none"/>
        </w:rPr>
        <w:t xml:space="preserve"> </w:t>
      </w:r>
    </w:p>
    <w:p w14:paraId="5EFA9DD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(投标人名称)的法定代表人(单位负责人)，现委托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(姓名)为我方代理人。代理人根据授权，以我方名义签署、澄清、说明、补正、撤回、修改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（项目名称）投标文件、签订合同和处理有关事宜，其法律后果由我方承担。</w:t>
      </w:r>
    </w:p>
    <w:p w14:paraId="61C406B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代理人无转委托权。</w:t>
      </w:r>
    </w:p>
    <w:p w14:paraId="38B8CD86">
      <w:pPr>
        <w:spacing w:before="468" w:line="360" w:lineRule="auto"/>
        <w:ind w:firstLine="3373" w:firstLineChars="1400"/>
        <w:rPr>
          <w:rFonts w:ascii="宋体" w:hAnsi="宋体"/>
          <w:b/>
          <w:color w:val="auto"/>
          <w:sz w:val="24"/>
          <w:szCs w:val="24"/>
          <w:highlight w:val="none"/>
        </w:rPr>
      </w:pPr>
      <w:r>
        <w:rPr>
          <w:rFonts w:hint="eastAsia" w:ascii="宋体" w:hAnsi="宋体"/>
          <w:b/>
          <w:color w:val="auto"/>
          <w:sz w:val="24"/>
          <w:szCs w:val="24"/>
          <w:highlight w:val="none"/>
        </w:rPr>
        <w:t>投 标 人：</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672CB01B">
      <w:pPr>
        <w:spacing w:before="468" w:line="360" w:lineRule="auto"/>
        <w:ind w:firstLine="3373" w:firstLineChars="1400"/>
        <w:rPr>
          <w:rFonts w:ascii="宋体" w:hAnsi="宋体"/>
          <w:b/>
          <w:color w:val="auto"/>
          <w:sz w:val="24"/>
          <w:szCs w:val="24"/>
          <w:highlight w:val="none"/>
        </w:rPr>
      </w:pPr>
      <w:r>
        <w:rPr>
          <w:rFonts w:hint="eastAsia" w:ascii="宋体" w:hAnsi="宋体"/>
          <w:b/>
          <w:color w:val="auto"/>
          <w:sz w:val="24"/>
          <w:szCs w:val="24"/>
          <w:highlight w:val="none"/>
        </w:rPr>
        <w:t>法定代表人(单位负责人)：</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4D71372A">
      <w:pPr>
        <w:autoSpaceDE w:val="0"/>
        <w:autoSpaceDN w:val="0"/>
        <w:adjustRightInd w:val="0"/>
        <w:spacing w:line="360" w:lineRule="auto"/>
        <w:ind w:firstLine="3373" w:firstLineChars="1400"/>
        <w:rPr>
          <w:rFonts w:ascii="宋体" w:hAnsi="宋体"/>
          <w:b/>
          <w:bCs/>
          <w:color w:val="auto"/>
          <w:sz w:val="24"/>
          <w:szCs w:val="24"/>
          <w:highlight w:val="none"/>
          <w:u w:val="single"/>
        </w:rPr>
      </w:pPr>
      <w:r>
        <w:rPr>
          <w:rFonts w:hint="eastAsia" w:ascii="宋体" w:hAnsi="宋体" w:cs="仿宋_GB2312"/>
          <w:b/>
          <w:bCs/>
          <w:color w:val="auto"/>
          <w:sz w:val="24"/>
          <w:szCs w:val="24"/>
          <w:highlight w:val="none"/>
        </w:rPr>
        <w:t>身份证号码：</w:t>
      </w:r>
      <w:r>
        <w:rPr>
          <w:rFonts w:hint="eastAsia" w:ascii="宋体" w:hAnsi="宋体" w:cs="仿宋_GB2312"/>
          <w:b/>
          <w:bCs/>
          <w:color w:val="auto"/>
          <w:sz w:val="24"/>
          <w:szCs w:val="24"/>
          <w:highlight w:val="none"/>
          <w:u w:val="single"/>
        </w:rPr>
        <w:t xml:space="preserve">                            </w:t>
      </w:r>
    </w:p>
    <w:p w14:paraId="55D82203">
      <w:pPr>
        <w:spacing w:before="468" w:line="360" w:lineRule="auto"/>
        <w:ind w:firstLine="3373" w:firstLineChars="1400"/>
        <w:rPr>
          <w:rFonts w:ascii="宋体" w:hAnsi="宋体"/>
          <w:b/>
          <w:color w:val="auto"/>
          <w:sz w:val="24"/>
          <w:szCs w:val="24"/>
          <w:highlight w:val="none"/>
        </w:rPr>
      </w:pPr>
      <w:r>
        <w:rPr>
          <w:rFonts w:hint="eastAsia" w:ascii="宋体" w:hAnsi="宋体"/>
          <w:b/>
          <w:color w:val="auto"/>
          <w:sz w:val="24"/>
          <w:szCs w:val="24"/>
          <w:highlight w:val="none"/>
        </w:rPr>
        <w:t>委托代理人：</w:t>
      </w:r>
      <w:r>
        <w:rPr>
          <w:rFonts w:hint="eastAsia" w:ascii="宋体" w:hAnsi="宋体"/>
          <w:b/>
          <w:color w:val="auto"/>
          <w:sz w:val="24"/>
          <w:szCs w:val="24"/>
          <w:highlight w:val="none"/>
          <w:u w:val="single"/>
        </w:rPr>
        <w:t xml:space="preserve">                            </w:t>
      </w:r>
    </w:p>
    <w:p w14:paraId="2D803B40">
      <w:pPr>
        <w:autoSpaceDE w:val="0"/>
        <w:autoSpaceDN w:val="0"/>
        <w:adjustRightInd w:val="0"/>
        <w:spacing w:line="360" w:lineRule="auto"/>
        <w:ind w:firstLine="3373" w:firstLineChars="1400"/>
        <w:rPr>
          <w:rFonts w:ascii="宋体" w:hAnsi="宋体"/>
          <w:color w:val="auto"/>
          <w:highlight w:val="none"/>
        </w:rPr>
      </w:pPr>
      <w:r>
        <w:rPr>
          <w:rFonts w:hint="eastAsia" w:ascii="宋体" w:hAnsi="宋体" w:cs="仿宋_GB2312"/>
          <w:b/>
          <w:bCs/>
          <w:color w:val="auto"/>
          <w:sz w:val="24"/>
          <w:highlight w:val="none"/>
        </w:rPr>
        <w:t>身份证号码：</w:t>
      </w:r>
      <w:r>
        <w:rPr>
          <w:rFonts w:hint="eastAsia" w:ascii="宋体" w:hAnsi="宋体" w:cs="仿宋_GB2312"/>
          <w:b/>
          <w:bCs/>
          <w:color w:val="auto"/>
          <w:sz w:val="24"/>
          <w:highlight w:val="none"/>
          <w:u w:val="single"/>
        </w:rPr>
        <w:t xml:space="preserve">                            </w:t>
      </w:r>
    </w:p>
    <w:p w14:paraId="218F152A">
      <w:pPr>
        <w:spacing w:before="468" w:line="360" w:lineRule="auto"/>
        <w:ind w:firstLine="3373" w:firstLineChars="1400"/>
        <w:rPr>
          <w:rFonts w:ascii="宋体" w:hAnsi="宋体"/>
          <w:b/>
          <w:color w:val="auto"/>
          <w:sz w:val="24"/>
          <w:szCs w:val="24"/>
          <w:highlight w:val="none"/>
        </w:rPr>
      </w:pPr>
      <w:r>
        <w:rPr>
          <w:rFonts w:hint="eastAsia" w:ascii="宋体" w:hAnsi="宋体"/>
          <w:b/>
          <w:color w:val="auto"/>
          <w:sz w:val="24"/>
          <w:szCs w:val="24"/>
          <w:highlight w:val="none"/>
        </w:rPr>
        <w:t>日期：</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年</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月</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日</w:t>
      </w:r>
    </w:p>
    <w:p w14:paraId="26D4898E">
      <w:pPr>
        <w:spacing w:line="360" w:lineRule="auto"/>
        <w:ind w:right="482"/>
        <w:rPr>
          <w:rFonts w:ascii="宋体" w:hAnsi="宋体"/>
          <w:color w:val="auto"/>
          <w:sz w:val="24"/>
          <w:szCs w:val="24"/>
          <w:highlight w:val="none"/>
        </w:rPr>
      </w:pPr>
      <w:r>
        <w:rPr>
          <w:rFonts w:hint="eastAsia" w:ascii="宋体" w:hAnsi="宋体"/>
          <w:b/>
          <w:color w:val="auto"/>
          <w:sz w:val="24"/>
          <w:szCs w:val="24"/>
          <w:highlight w:val="none"/>
        </w:rPr>
        <w:t>注：</w:t>
      </w:r>
      <w:r>
        <w:rPr>
          <w:rFonts w:ascii="宋体" w:hAnsi="宋体"/>
          <w:b/>
          <w:color w:val="auto"/>
          <w:sz w:val="24"/>
          <w:highlight w:val="none"/>
        </w:rPr>
        <w:t>附授权委托代理人身份证</w:t>
      </w:r>
      <w:r>
        <w:rPr>
          <w:rFonts w:hint="eastAsia" w:ascii="宋体" w:hAnsi="宋体"/>
          <w:b/>
          <w:color w:val="auto"/>
          <w:sz w:val="24"/>
          <w:szCs w:val="24"/>
          <w:highlight w:val="none"/>
        </w:rPr>
        <w:t>扫描件</w:t>
      </w:r>
      <w:r>
        <w:rPr>
          <w:rFonts w:hint="eastAsia" w:ascii="宋体" w:hAnsi="宋体"/>
          <w:b/>
          <w:color w:val="auto"/>
          <w:sz w:val="24"/>
          <w:highlight w:val="none"/>
        </w:rPr>
        <w:t>，</w:t>
      </w:r>
      <w:r>
        <w:rPr>
          <w:rFonts w:ascii="宋体" w:hAnsi="宋体"/>
          <w:b/>
          <w:color w:val="auto"/>
          <w:sz w:val="24"/>
          <w:highlight w:val="none"/>
        </w:rPr>
        <w:t>如由法定代表人亲自签署</w:t>
      </w:r>
      <w:r>
        <w:rPr>
          <w:rFonts w:ascii="宋体" w:hAnsi="宋体"/>
          <w:b/>
          <w:bCs/>
          <w:color w:val="auto"/>
          <w:sz w:val="24"/>
          <w:highlight w:val="none"/>
        </w:rPr>
        <w:t>投标文件</w:t>
      </w:r>
      <w:r>
        <w:rPr>
          <w:rFonts w:ascii="宋体" w:hAnsi="宋体"/>
          <w:b/>
          <w:color w:val="auto"/>
          <w:sz w:val="24"/>
          <w:highlight w:val="none"/>
        </w:rPr>
        <w:t>并参与相关活动</w:t>
      </w:r>
      <w:r>
        <w:rPr>
          <w:rFonts w:hint="eastAsia" w:ascii="宋体" w:hAnsi="宋体"/>
          <w:b/>
          <w:color w:val="auto"/>
          <w:sz w:val="24"/>
          <w:highlight w:val="none"/>
        </w:rPr>
        <w:t>，</w:t>
      </w:r>
      <w:r>
        <w:rPr>
          <w:rFonts w:ascii="宋体" w:hAnsi="宋体"/>
          <w:b/>
          <w:color w:val="auto"/>
          <w:sz w:val="24"/>
          <w:highlight w:val="none"/>
        </w:rPr>
        <w:t>则不需要办理授权。如由被授权的代理人签署上述文件</w:t>
      </w:r>
      <w:r>
        <w:rPr>
          <w:rFonts w:hint="eastAsia" w:ascii="宋体" w:hAnsi="宋体"/>
          <w:b/>
          <w:color w:val="auto"/>
          <w:sz w:val="24"/>
          <w:highlight w:val="none"/>
        </w:rPr>
        <w:t>，</w:t>
      </w:r>
      <w:r>
        <w:rPr>
          <w:rFonts w:ascii="宋体" w:hAnsi="宋体"/>
          <w:b/>
          <w:color w:val="auto"/>
          <w:sz w:val="24"/>
          <w:highlight w:val="none"/>
        </w:rPr>
        <w:t>则必须按本格式规定填报并提交授权书</w:t>
      </w:r>
      <w:r>
        <w:rPr>
          <w:rFonts w:hint="eastAsia" w:ascii="宋体" w:hAnsi="宋体"/>
          <w:b/>
          <w:color w:val="auto"/>
          <w:sz w:val="24"/>
          <w:highlight w:val="none"/>
        </w:rPr>
        <w:t>，</w:t>
      </w:r>
      <w:r>
        <w:rPr>
          <w:rFonts w:ascii="宋体" w:hAnsi="宋体"/>
          <w:b/>
          <w:color w:val="auto"/>
          <w:sz w:val="24"/>
          <w:highlight w:val="none"/>
        </w:rPr>
        <w:t>否则被授权的代理人将不被认可</w:t>
      </w:r>
      <w:r>
        <w:rPr>
          <w:rFonts w:hint="eastAsia" w:ascii="宋体" w:hAnsi="宋体"/>
          <w:b/>
          <w:color w:val="auto"/>
          <w:sz w:val="24"/>
          <w:highlight w:val="none"/>
        </w:rPr>
        <w:t>。</w:t>
      </w:r>
    </w:p>
    <w:p w14:paraId="4D280E3D">
      <w:pPr>
        <w:ind w:right="480"/>
        <w:rPr>
          <w:rFonts w:ascii="宋体" w:hAnsi="宋体"/>
          <w:color w:val="auto"/>
          <w:sz w:val="24"/>
          <w:szCs w:val="24"/>
          <w:highlight w:val="none"/>
        </w:rPr>
      </w:pPr>
    </w:p>
    <w:tbl>
      <w:tblPr>
        <w:tblStyle w:val="22"/>
        <w:tblW w:w="962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7219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6DCB833C">
            <w:pPr>
              <w:widowControl w:val="0"/>
              <w:spacing w:before="317" w:beforeLines="100" w:after="317" w:afterLines="100" w:line="600" w:lineRule="exact"/>
              <w:jc w:val="center"/>
              <w:rPr>
                <w:rFonts w:ascii="宋体" w:hAnsi="宋体"/>
                <w:color w:val="auto"/>
                <w:highlight w:val="none"/>
              </w:rPr>
            </w:pPr>
            <w:r>
              <w:rPr>
                <w:rFonts w:hint="eastAsia" w:ascii="宋体" w:hAnsi="宋体"/>
                <w:color w:val="auto"/>
                <w:sz w:val="24"/>
                <w:szCs w:val="24"/>
                <w:highlight w:val="none"/>
              </w:rPr>
              <w:t>代理人身份证正面</w:t>
            </w:r>
          </w:p>
        </w:tc>
        <w:tc>
          <w:tcPr>
            <w:tcW w:w="4814" w:type="dxa"/>
            <w:vAlign w:val="center"/>
          </w:tcPr>
          <w:p w14:paraId="26CF40A9">
            <w:pPr>
              <w:widowControl w:val="0"/>
              <w:spacing w:before="317" w:beforeLines="100" w:after="317" w:afterLines="100" w:line="600" w:lineRule="exact"/>
              <w:jc w:val="center"/>
              <w:rPr>
                <w:rFonts w:ascii="宋体" w:hAnsi="宋体"/>
                <w:color w:val="auto"/>
                <w:highlight w:val="none"/>
              </w:rPr>
            </w:pPr>
            <w:r>
              <w:rPr>
                <w:rFonts w:hint="eastAsia" w:ascii="宋体" w:hAnsi="宋体"/>
                <w:color w:val="auto"/>
                <w:sz w:val="24"/>
                <w:szCs w:val="24"/>
                <w:highlight w:val="none"/>
              </w:rPr>
              <w:t>代理人身份证反面</w:t>
            </w:r>
          </w:p>
        </w:tc>
      </w:tr>
    </w:tbl>
    <w:p w14:paraId="0B4CC994">
      <w:pPr>
        <w:pStyle w:val="6"/>
        <w:widowControl/>
        <w:autoSpaceDE w:val="0"/>
        <w:spacing w:line="360" w:lineRule="auto"/>
        <w:rPr>
          <w:rFonts w:ascii="宋体" w:hAnsi="宋体" w:cs="宋体"/>
          <w:color w:val="auto"/>
          <w:szCs w:val="28"/>
          <w:highlight w:val="none"/>
        </w:rPr>
      </w:pPr>
      <w:bookmarkStart w:id="432" w:name="_Toc26620"/>
      <w:bookmarkEnd w:id="432"/>
      <w:bookmarkStart w:id="433" w:name="_Toc19510"/>
      <w:r>
        <w:rPr>
          <w:rFonts w:hint="eastAsia" w:ascii="宋体" w:hAnsi="宋体" w:cs="宋体"/>
          <w:color w:val="auto"/>
          <w:szCs w:val="28"/>
          <w:highlight w:val="none"/>
        </w:rPr>
        <w:br w:type="page"/>
      </w:r>
      <w:bookmarkStart w:id="434" w:name="_Toc18549"/>
      <w:bookmarkStart w:id="435" w:name="_Toc20865"/>
      <w:bookmarkStart w:id="436" w:name="_Toc6151"/>
      <w:bookmarkStart w:id="437" w:name="_Toc23732"/>
      <w:bookmarkStart w:id="438" w:name="_Toc23751"/>
      <w:bookmarkStart w:id="439" w:name="_Toc28506"/>
      <w:bookmarkStart w:id="440" w:name="_Toc6035"/>
      <w:bookmarkStart w:id="441" w:name="_Toc12144"/>
      <w:bookmarkStart w:id="442" w:name="_Toc7721"/>
      <w:bookmarkStart w:id="443" w:name="_Toc18136"/>
      <w:bookmarkStart w:id="444" w:name="_Toc14260"/>
      <w:r>
        <w:rPr>
          <w:rFonts w:hint="eastAsia" w:ascii="宋体" w:hAnsi="宋体" w:cs="宋体"/>
          <w:color w:val="auto"/>
          <w:szCs w:val="28"/>
          <w:highlight w:val="none"/>
        </w:rPr>
        <w:t>五、投标人基本情况表</w:t>
      </w:r>
      <w:bookmarkEnd w:id="433"/>
      <w:bookmarkEnd w:id="434"/>
      <w:bookmarkEnd w:id="435"/>
      <w:bookmarkEnd w:id="436"/>
      <w:bookmarkEnd w:id="437"/>
      <w:bookmarkEnd w:id="438"/>
      <w:bookmarkEnd w:id="439"/>
      <w:bookmarkEnd w:id="440"/>
      <w:bookmarkEnd w:id="441"/>
      <w:bookmarkEnd w:id="442"/>
      <w:bookmarkEnd w:id="443"/>
      <w:bookmarkEnd w:id="444"/>
    </w:p>
    <w:tbl>
      <w:tblPr>
        <w:tblStyle w:val="22"/>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0358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B802EFE">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7457" w:type="dxa"/>
            <w:gridSpan w:val="4"/>
            <w:tcBorders>
              <w:top w:val="single" w:color="auto" w:sz="4" w:space="0"/>
              <w:left w:val="nil"/>
              <w:bottom w:val="single" w:color="auto" w:sz="4" w:space="0"/>
              <w:right w:val="single" w:color="auto" w:sz="4" w:space="0"/>
            </w:tcBorders>
            <w:vAlign w:val="center"/>
          </w:tcPr>
          <w:p w14:paraId="141E3648">
            <w:pPr>
              <w:spacing w:line="440" w:lineRule="exact"/>
              <w:jc w:val="center"/>
              <w:rPr>
                <w:rFonts w:ascii="宋体" w:hAnsi="宋体" w:cs="宋体"/>
                <w:color w:val="auto"/>
                <w:sz w:val="24"/>
                <w:szCs w:val="24"/>
                <w:highlight w:val="none"/>
              </w:rPr>
            </w:pPr>
          </w:p>
        </w:tc>
      </w:tr>
      <w:tr w14:paraId="3A26C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AE5E471">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vAlign w:val="center"/>
          </w:tcPr>
          <w:p w14:paraId="7BA6D188">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618AE32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2F2859B5">
            <w:pPr>
              <w:spacing w:line="440" w:lineRule="exact"/>
              <w:jc w:val="center"/>
              <w:rPr>
                <w:rFonts w:ascii="宋体" w:hAnsi="宋体" w:cs="宋体"/>
                <w:color w:val="auto"/>
                <w:sz w:val="24"/>
                <w:szCs w:val="24"/>
                <w:highlight w:val="none"/>
              </w:rPr>
            </w:pPr>
          </w:p>
        </w:tc>
      </w:tr>
      <w:tr w14:paraId="18B5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3AACDC0">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vAlign w:val="center"/>
          </w:tcPr>
          <w:p w14:paraId="1445BA56">
            <w:pPr>
              <w:spacing w:line="440" w:lineRule="exact"/>
              <w:jc w:val="center"/>
              <w:rPr>
                <w:rFonts w:ascii="宋体" w:hAnsi="宋体" w:cs="宋体"/>
                <w:color w:val="auto"/>
                <w:sz w:val="24"/>
                <w:szCs w:val="24"/>
                <w:highlight w:val="none"/>
              </w:rPr>
            </w:pPr>
          </w:p>
        </w:tc>
      </w:tr>
      <w:tr w14:paraId="4386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87BA2BA">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vAlign w:val="center"/>
          </w:tcPr>
          <w:p w14:paraId="46894368">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1767E026">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2E254F3A">
            <w:pPr>
              <w:spacing w:line="440" w:lineRule="exact"/>
              <w:jc w:val="center"/>
              <w:rPr>
                <w:rFonts w:ascii="宋体" w:hAnsi="宋体" w:cs="宋体"/>
                <w:color w:val="auto"/>
                <w:sz w:val="24"/>
                <w:szCs w:val="24"/>
                <w:highlight w:val="none"/>
              </w:rPr>
            </w:pPr>
          </w:p>
        </w:tc>
      </w:tr>
      <w:tr w14:paraId="0266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473C7A52">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350" w:type="dxa"/>
            <w:tcBorders>
              <w:top w:val="single" w:color="auto" w:sz="4" w:space="0"/>
              <w:left w:val="nil"/>
              <w:bottom w:val="single" w:color="auto" w:sz="4" w:space="0"/>
              <w:right w:val="single" w:color="auto" w:sz="4" w:space="0"/>
            </w:tcBorders>
            <w:vAlign w:val="center"/>
          </w:tcPr>
          <w:p w14:paraId="7399F09C">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vAlign w:val="center"/>
          </w:tcPr>
          <w:p w14:paraId="417F4BB1">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4FF5A2E8">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212599CD">
            <w:pPr>
              <w:spacing w:line="440" w:lineRule="exact"/>
              <w:jc w:val="center"/>
              <w:rPr>
                <w:rFonts w:ascii="宋体" w:hAnsi="宋体" w:cs="宋体"/>
                <w:color w:val="auto"/>
                <w:sz w:val="24"/>
                <w:szCs w:val="24"/>
                <w:highlight w:val="none"/>
              </w:rPr>
            </w:pPr>
          </w:p>
        </w:tc>
      </w:tr>
      <w:tr w14:paraId="56A0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3C3795BC">
            <w:pPr>
              <w:widowControl w:val="0"/>
              <w:jc w:val="both"/>
              <w:rPr>
                <w:rFonts w:ascii="宋体" w:hAnsi="宋体" w:cs="宋体"/>
                <w:color w:val="auto"/>
                <w:kern w:val="2"/>
                <w:sz w:val="24"/>
                <w:szCs w:val="24"/>
                <w:highlight w:val="none"/>
              </w:rPr>
            </w:pPr>
          </w:p>
        </w:tc>
        <w:tc>
          <w:tcPr>
            <w:tcW w:w="1350" w:type="dxa"/>
            <w:tcBorders>
              <w:top w:val="single" w:color="auto" w:sz="4" w:space="0"/>
              <w:left w:val="nil"/>
              <w:bottom w:val="single" w:color="auto" w:sz="4" w:space="0"/>
              <w:right w:val="single" w:color="auto" w:sz="4" w:space="0"/>
            </w:tcBorders>
            <w:vAlign w:val="center"/>
          </w:tcPr>
          <w:p w14:paraId="693B9FCA">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vAlign w:val="center"/>
          </w:tcPr>
          <w:p w14:paraId="2D1B2755">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63574964">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186938CA">
            <w:pPr>
              <w:spacing w:line="440" w:lineRule="exact"/>
              <w:jc w:val="center"/>
              <w:rPr>
                <w:rFonts w:ascii="宋体" w:hAnsi="宋体" w:cs="宋体"/>
                <w:color w:val="auto"/>
                <w:sz w:val="24"/>
                <w:szCs w:val="24"/>
                <w:highlight w:val="none"/>
              </w:rPr>
            </w:pPr>
          </w:p>
        </w:tc>
      </w:tr>
      <w:tr w14:paraId="3E2C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03C8EAF6">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法定代表人</w:t>
            </w:r>
          </w:p>
          <w:p w14:paraId="1B95673D">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(单位负责人)</w:t>
            </w:r>
          </w:p>
        </w:tc>
        <w:tc>
          <w:tcPr>
            <w:tcW w:w="1350" w:type="dxa"/>
            <w:tcBorders>
              <w:top w:val="single" w:color="auto" w:sz="4" w:space="0"/>
              <w:left w:val="nil"/>
              <w:bottom w:val="single" w:color="auto" w:sz="4" w:space="0"/>
              <w:right w:val="single" w:color="auto" w:sz="4" w:space="0"/>
            </w:tcBorders>
            <w:vAlign w:val="center"/>
          </w:tcPr>
          <w:p w14:paraId="703E7001">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vAlign w:val="center"/>
          </w:tcPr>
          <w:p w14:paraId="23653A58">
            <w:pPr>
              <w:spacing w:line="440" w:lineRule="exact"/>
              <w:jc w:val="center"/>
              <w:rPr>
                <w:rFonts w:ascii="宋体" w:hAnsi="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01E611E9">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294E19EB">
            <w:pPr>
              <w:spacing w:line="440" w:lineRule="exact"/>
              <w:jc w:val="center"/>
              <w:rPr>
                <w:rFonts w:ascii="宋体" w:hAnsi="宋体" w:cs="宋体"/>
                <w:color w:val="auto"/>
                <w:sz w:val="24"/>
                <w:szCs w:val="24"/>
                <w:highlight w:val="none"/>
              </w:rPr>
            </w:pPr>
          </w:p>
        </w:tc>
      </w:tr>
      <w:tr w14:paraId="21FE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5F649D3">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69A27FD7">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类型：                等级：                 证书号：</w:t>
            </w:r>
          </w:p>
        </w:tc>
      </w:tr>
      <w:tr w14:paraId="32E2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D87AE3B">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4F37020B">
            <w:pPr>
              <w:spacing w:line="440" w:lineRule="exact"/>
              <w:jc w:val="center"/>
              <w:rPr>
                <w:rFonts w:ascii="宋体" w:hAnsi="宋体" w:cs="宋体"/>
                <w:color w:val="auto"/>
                <w:sz w:val="24"/>
                <w:szCs w:val="24"/>
                <w:highlight w:val="none"/>
              </w:rPr>
            </w:pPr>
          </w:p>
        </w:tc>
      </w:tr>
      <w:tr w14:paraId="0A05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94A48E0">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2C8F951E">
            <w:pPr>
              <w:spacing w:line="440" w:lineRule="exact"/>
              <w:jc w:val="center"/>
              <w:rPr>
                <w:rFonts w:ascii="宋体" w:hAnsi="宋体" w:cs="宋体"/>
                <w:color w:val="auto"/>
                <w:sz w:val="24"/>
                <w:szCs w:val="24"/>
                <w:highlight w:val="none"/>
              </w:rPr>
            </w:pPr>
          </w:p>
        </w:tc>
      </w:tr>
      <w:tr w14:paraId="39B7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0F3392E9">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14:paraId="4F4FEFF2">
            <w:pPr>
              <w:spacing w:line="440" w:lineRule="exact"/>
              <w:jc w:val="center"/>
              <w:rPr>
                <w:rFonts w:ascii="宋体" w:hAnsi="宋体" w:cs="宋体"/>
                <w:color w:val="auto"/>
                <w:sz w:val="24"/>
                <w:szCs w:val="24"/>
                <w:highlight w:val="none"/>
              </w:rPr>
            </w:pPr>
          </w:p>
        </w:tc>
      </w:tr>
      <w:tr w14:paraId="3C61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5AC3B57">
            <w:pPr>
              <w:spacing w:line="44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vAlign w:val="center"/>
          </w:tcPr>
          <w:p w14:paraId="0B475C43">
            <w:pPr>
              <w:spacing w:line="440" w:lineRule="exact"/>
              <w:jc w:val="center"/>
              <w:rPr>
                <w:rFonts w:ascii="宋体" w:hAnsi="宋体" w:cs="宋体"/>
                <w:color w:val="auto"/>
                <w:sz w:val="24"/>
                <w:szCs w:val="24"/>
                <w:highlight w:val="none"/>
              </w:rPr>
            </w:pPr>
          </w:p>
        </w:tc>
      </w:tr>
    </w:tbl>
    <w:p w14:paraId="39EC0D2E">
      <w:pPr>
        <w:spacing w:line="240" w:lineRule="exact"/>
        <w:rPr>
          <w:rFonts w:ascii="宋体" w:hAnsi="宋体" w:cs="宋体"/>
          <w:color w:val="auto"/>
          <w:sz w:val="24"/>
          <w:szCs w:val="24"/>
          <w:highlight w:val="none"/>
        </w:rPr>
      </w:pPr>
    </w:p>
    <w:p w14:paraId="13CE1CE6">
      <w:pPr>
        <w:spacing w:line="276"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注：投标人应根据招标文件要求在本表后附相关证明材料，如营业执照、资质证书(若有)、开户许可证或基本存款账户信息等。</w:t>
      </w:r>
    </w:p>
    <w:p w14:paraId="5DBA82C3">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685C55A">
      <w:pPr>
        <w:autoSpaceDE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A950D94">
      <w:pPr>
        <w:pStyle w:val="6"/>
        <w:spacing w:before="0" w:after="0" w:line="360" w:lineRule="auto"/>
        <w:rPr>
          <w:rFonts w:ascii="宋体" w:hAnsi="宋体" w:cs="宋体"/>
          <w:color w:val="auto"/>
          <w:szCs w:val="28"/>
          <w:highlight w:val="none"/>
        </w:rPr>
      </w:pPr>
      <w:bookmarkStart w:id="445" w:name="_Toc23543"/>
      <w:bookmarkEnd w:id="445"/>
      <w:bookmarkStart w:id="446" w:name="_Toc25087"/>
      <w:r>
        <w:rPr>
          <w:rFonts w:hint="eastAsia" w:ascii="宋体" w:hAnsi="宋体" w:cs="宋体"/>
          <w:color w:val="auto"/>
          <w:szCs w:val="28"/>
          <w:highlight w:val="none"/>
        </w:rPr>
        <w:br w:type="page"/>
      </w:r>
      <w:bookmarkStart w:id="447" w:name="_Toc13251"/>
      <w:bookmarkStart w:id="448" w:name="_Toc2263"/>
      <w:bookmarkStart w:id="449" w:name="_Toc16038"/>
      <w:bookmarkStart w:id="450" w:name="_Toc12136"/>
      <w:bookmarkStart w:id="451" w:name="_Toc23132"/>
      <w:bookmarkStart w:id="452" w:name="_Toc7855"/>
      <w:bookmarkStart w:id="453" w:name="_Toc3378"/>
      <w:bookmarkStart w:id="454" w:name="_Toc8769"/>
      <w:bookmarkStart w:id="455" w:name="_Toc28629"/>
      <w:bookmarkStart w:id="456" w:name="_Toc10942"/>
      <w:bookmarkStart w:id="457" w:name="_Toc1426"/>
      <w:r>
        <w:rPr>
          <w:rFonts w:hint="eastAsia" w:ascii="宋体" w:hAnsi="宋体" w:cs="宋体"/>
          <w:color w:val="auto"/>
          <w:szCs w:val="28"/>
          <w:highlight w:val="none"/>
        </w:rPr>
        <w:t>六、投标保证金缴纳凭据</w:t>
      </w:r>
      <w:bookmarkEnd w:id="447"/>
      <w:bookmarkEnd w:id="448"/>
    </w:p>
    <w:p w14:paraId="0591A3F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(附凭据扫描件加盖电子公章)</w:t>
      </w:r>
    </w:p>
    <w:p w14:paraId="6DEDCCA4">
      <w:pPr>
        <w:autoSpaceDE w:val="0"/>
        <w:rPr>
          <w:rFonts w:ascii="宋体" w:hAnsi="宋体" w:cs="宋体"/>
          <w:color w:val="auto"/>
          <w:szCs w:val="28"/>
          <w:highlight w:val="none"/>
        </w:rPr>
      </w:pPr>
    </w:p>
    <w:p w14:paraId="3E3B14D7">
      <w:pPr>
        <w:rPr>
          <w:rFonts w:ascii="宋体" w:hAnsi="宋体" w:cs="宋体"/>
          <w:color w:val="auto"/>
          <w:szCs w:val="28"/>
          <w:highlight w:val="none"/>
        </w:rPr>
      </w:pPr>
      <w:r>
        <w:rPr>
          <w:rFonts w:hint="eastAsia" w:ascii="宋体" w:hAnsi="宋体" w:cs="宋体"/>
          <w:color w:val="auto"/>
          <w:szCs w:val="28"/>
          <w:highlight w:val="none"/>
        </w:rPr>
        <w:br w:type="page"/>
      </w:r>
    </w:p>
    <w:p w14:paraId="3B3F82FA">
      <w:pPr>
        <w:pStyle w:val="6"/>
        <w:widowControl/>
        <w:autoSpaceDE w:val="0"/>
        <w:spacing w:line="240" w:lineRule="auto"/>
        <w:rPr>
          <w:rFonts w:ascii="宋体" w:hAnsi="宋体" w:cs="宋体"/>
          <w:color w:val="auto"/>
          <w:szCs w:val="28"/>
          <w:highlight w:val="none"/>
        </w:rPr>
      </w:pPr>
      <w:bookmarkStart w:id="458" w:name="_Toc17670"/>
      <w:bookmarkStart w:id="459" w:name="_Toc18643"/>
      <w:r>
        <w:rPr>
          <w:rFonts w:hint="eastAsia" w:ascii="宋体" w:hAnsi="宋体" w:cs="宋体"/>
          <w:color w:val="auto"/>
          <w:szCs w:val="28"/>
          <w:highlight w:val="none"/>
        </w:rPr>
        <w:t>七、商务条款偏离表</w:t>
      </w:r>
      <w:bookmarkEnd w:id="446"/>
      <w:bookmarkEnd w:id="449"/>
      <w:bookmarkEnd w:id="450"/>
      <w:bookmarkEnd w:id="451"/>
      <w:bookmarkEnd w:id="452"/>
      <w:bookmarkEnd w:id="453"/>
      <w:bookmarkEnd w:id="454"/>
      <w:bookmarkEnd w:id="455"/>
      <w:bookmarkEnd w:id="456"/>
      <w:bookmarkEnd w:id="457"/>
      <w:bookmarkEnd w:id="458"/>
      <w:bookmarkEnd w:id="459"/>
    </w:p>
    <w:p w14:paraId="62C8B9DD">
      <w:pPr>
        <w:autoSpaceDE w:val="0"/>
        <w:spacing w:line="360" w:lineRule="auto"/>
        <w:ind w:firstLine="241" w:firstLineChars="100"/>
        <w:rPr>
          <w:rFonts w:ascii="宋体" w:hAnsi="宋体" w:cs="宋体"/>
          <w:b/>
          <w:bCs/>
          <w:color w:val="auto"/>
          <w:sz w:val="24"/>
          <w:szCs w:val="24"/>
          <w:highlight w:val="none"/>
        </w:rPr>
      </w:pPr>
      <w:r>
        <w:rPr>
          <w:rFonts w:hint="eastAsia" w:ascii="宋体" w:hAnsi="宋体" w:cs="宋体"/>
          <w:b/>
          <w:bCs/>
          <w:color w:val="auto"/>
          <w:sz w:val="24"/>
          <w:szCs w:val="24"/>
          <w:highlight w:val="none"/>
        </w:rPr>
        <w:t>(一)商务条款偏离表</w:t>
      </w:r>
    </w:p>
    <w:tbl>
      <w:tblPr>
        <w:tblStyle w:val="22"/>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2307"/>
        <w:gridCol w:w="3802"/>
        <w:gridCol w:w="1589"/>
        <w:gridCol w:w="1115"/>
        <w:gridCol w:w="575"/>
      </w:tblGrid>
      <w:tr w14:paraId="3AA3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14:paraId="05D9D8CD">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307" w:type="dxa"/>
            <w:tcBorders>
              <w:top w:val="single" w:color="auto" w:sz="4" w:space="0"/>
              <w:left w:val="nil"/>
              <w:bottom w:val="single" w:color="auto" w:sz="4" w:space="0"/>
              <w:right w:val="single" w:color="auto" w:sz="4" w:space="0"/>
            </w:tcBorders>
            <w:vAlign w:val="center"/>
          </w:tcPr>
          <w:p w14:paraId="0440917F">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招标文件条款号</w:t>
            </w:r>
          </w:p>
        </w:tc>
        <w:tc>
          <w:tcPr>
            <w:tcW w:w="3802" w:type="dxa"/>
            <w:tcBorders>
              <w:top w:val="single" w:color="auto" w:sz="4" w:space="0"/>
              <w:left w:val="nil"/>
              <w:bottom w:val="single" w:color="auto" w:sz="4" w:space="0"/>
              <w:right w:val="single" w:color="auto" w:sz="4" w:space="0"/>
            </w:tcBorders>
            <w:vAlign w:val="center"/>
          </w:tcPr>
          <w:p w14:paraId="458C20E1">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招标文件的商务条款内容</w:t>
            </w:r>
          </w:p>
        </w:tc>
        <w:tc>
          <w:tcPr>
            <w:tcW w:w="1589" w:type="dxa"/>
            <w:tcBorders>
              <w:top w:val="single" w:color="auto" w:sz="4" w:space="0"/>
              <w:left w:val="nil"/>
              <w:bottom w:val="single" w:color="auto" w:sz="4" w:space="0"/>
              <w:right w:val="single" w:color="auto" w:sz="4" w:space="0"/>
            </w:tcBorders>
            <w:vAlign w:val="center"/>
          </w:tcPr>
          <w:p w14:paraId="00D47BD2">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投标文件的商务条款响应情况</w:t>
            </w:r>
          </w:p>
        </w:tc>
        <w:tc>
          <w:tcPr>
            <w:tcW w:w="1115" w:type="dxa"/>
            <w:tcBorders>
              <w:top w:val="single" w:color="auto" w:sz="4" w:space="0"/>
              <w:left w:val="nil"/>
              <w:bottom w:val="single" w:color="auto" w:sz="4" w:space="0"/>
              <w:right w:val="single" w:color="auto" w:sz="4" w:space="0"/>
            </w:tcBorders>
            <w:vAlign w:val="center"/>
          </w:tcPr>
          <w:p w14:paraId="13B3D19A">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w:t>
            </w:r>
          </w:p>
          <w:p w14:paraId="68E3C9A1">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情况</w:t>
            </w:r>
          </w:p>
        </w:tc>
        <w:tc>
          <w:tcPr>
            <w:tcW w:w="575" w:type="dxa"/>
            <w:tcBorders>
              <w:top w:val="single" w:color="auto" w:sz="4" w:space="0"/>
              <w:left w:val="nil"/>
              <w:bottom w:val="single" w:color="auto" w:sz="4" w:space="0"/>
              <w:right w:val="single" w:color="auto" w:sz="4" w:space="0"/>
            </w:tcBorders>
            <w:vAlign w:val="center"/>
          </w:tcPr>
          <w:p w14:paraId="0D6A5751">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p>
        </w:tc>
      </w:tr>
      <w:tr w14:paraId="7D54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14:paraId="792CB914">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307" w:type="dxa"/>
            <w:tcBorders>
              <w:top w:val="single" w:color="auto" w:sz="4" w:space="0"/>
              <w:left w:val="nil"/>
              <w:bottom w:val="single" w:color="auto" w:sz="4" w:space="0"/>
              <w:right w:val="single" w:color="auto" w:sz="4" w:space="0"/>
            </w:tcBorders>
            <w:vAlign w:val="center"/>
          </w:tcPr>
          <w:p w14:paraId="7ACB2FEC">
            <w:pPr>
              <w:jc w:val="center"/>
              <w:rPr>
                <w:rFonts w:ascii="宋体" w:hAnsi="宋体" w:cs="宋体"/>
                <w:color w:val="auto"/>
                <w:sz w:val="24"/>
                <w:szCs w:val="24"/>
                <w:highlight w:val="none"/>
              </w:rPr>
            </w:pPr>
            <w:r>
              <w:rPr>
                <w:rFonts w:hint="eastAsia" w:ascii="宋体" w:hAnsi="宋体" w:cs="宋体"/>
                <w:color w:val="auto"/>
                <w:sz w:val="24"/>
                <w:szCs w:val="24"/>
                <w:highlight w:val="none"/>
              </w:rPr>
              <w:t>“投标人须知前附表”第1.3.2款</w:t>
            </w:r>
          </w:p>
        </w:tc>
        <w:tc>
          <w:tcPr>
            <w:tcW w:w="3802" w:type="dxa"/>
            <w:tcBorders>
              <w:top w:val="single" w:color="auto" w:sz="4" w:space="0"/>
              <w:left w:val="nil"/>
              <w:bottom w:val="single" w:color="auto" w:sz="4" w:space="0"/>
              <w:right w:val="single" w:color="auto" w:sz="4" w:space="0"/>
            </w:tcBorders>
            <w:vAlign w:val="center"/>
          </w:tcPr>
          <w:p w14:paraId="163BC689">
            <w:pPr>
              <w:spacing w:line="380" w:lineRule="exact"/>
              <w:jc w:val="both"/>
              <w:rPr>
                <w:rFonts w:ascii="宋体" w:hAnsi="宋体" w:cs="宋体"/>
                <w:color w:val="auto"/>
                <w:sz w:val="24"/>
                <w:szCs w:val="24"/>
                <w:highlight w:val="none"/>
              </w:rPr>
            </w:pPr>
            <w:r>
              <w:rPr>
                <w:rFonts w:hint="eastAsia" w:ascii="宋体" w:hAnsi="宋体" w:cs="宋体"/>
                <w:color w:val="auto"/>
                <w:kern w:val="2"/>
                <w:sz w:val="24"/>
                <w:szCs w:val="24"/>
                <w:highlight w:val="none"/>
              </w:rPr>
              <w:t>合同履行期限：</w:t>
            </w:r>
            <w:r>
              <w:rPr>
                <w:rFonts w:hint="eastAsia" w:ascii="宋体" w:hAnsi="宋体" w:cs="宋体"/>
                <w:color w:val="auto"/>
                <w:kern w:val="2"/>
                <w:sz w:val="24"/>
                <w:szCs w:val="24"/>
                <w:highlight w:val="none"/>
                <w:lang w:eastAsia="zh-CN" w:bidi="ar"/>
              </w:rPr>
              <w:t>自合同签订之日起1年</w:t>
            </w:r>
            <w:r>
              <w:rPr>
                <w:rFonts w:hint="eastAsia" w:ascii="宋体" w:hAnsi="宋体" w:cs="宋体"/>
                <w:color w:val="auto"/>
                <w:kern w:val="2"/>
                <w:sz w:val="24"/>
                <w:szCs w:val="24"/>
                <w:highlight w:val="none"/>
                <w:lang w:bidi="ar"/>
              </w:rPr>
              <w:t>。</w:t>
            </w:r>
          </w:p>
        </w:tc>
        <w:tc>
          <w:tcPr>
            <w:tcW w:w="1589" w:type="dxa"/>
            <w:tcBorders>
              <w:top w:val="single" w:color="auto" w:sz="4" w:space="0"/>
              <w:left w:val="nil"/>
              <w:bottom w:val="single" w:color="auto" w:sz="4" w:space="0"/>
              <w:right w:val="single" w:color="auto" w:sz="4" w:space="0"/>
            </w:tcBorders>
            <w:vAlign w:val="center"/>
          </w:tcPr>
          <w:p w14:paraId="293BB565">
            <w:pPr>
              <w:jc w:val="center"/>
              <w:rPr>
                <w:rFonts w:ascii="宋体" w:hAnsi="宋体" w:cs="宋体"/>
                <w:color w:val="auto"/>
                <w:sz w:val="24"/>
                <w:szCs w:val="24"/>
                <w:highlight w:val="none"/>
              </w:rPr>
            </w:pPr>
          </w:p>
        </w:tc>
        <w:tc>
          <w:tcPr>
            <w:tcW w:w="1115" w:type="dxa"/>
            <w:tcBorders>
              <w:top w:val="single" w:color="auto" w:sz="4" w:space="0"/>
              <w:left w:val="nil"/>
              <w:bottom w:val="single" w:color="auto" w:sz="4" w:space="0"/>
              <w:right w:val="single" w:color="auto" w:sz="4" w:space="0"/>
            </w:tcBorders>
            <w:vAlign w:val="center"/>
          </w:tcPr>
          <w:p w14:paraId="3F5A1C19">
            <w:pPr>
              <w:jc w:val="center"/>
              <w:rPr>
                <w:rFonts w:ascii="宋体" w:hAnsi="宋体" w:cs="宋体"/>
                <w:color w:val="auto"/>
                <w:sz w:val="24"/>
                <w:szCs w:val="24"/>
                <w:highlight w:val="none"/>
              </w:rPr>
            </w:pPr>
          </w:p>
        </w:tc>
        <w:tc>
          <w:tcPr>
            <w:tcW w:w="575" w:type="dxa"/>
            <w:tcBorders>
              <w:top w:val="single" w:color="auto" w:sz="4" w:space="0"/>
              <w:left w:val="nil"/>
              <w:bottom w:val="single" w:color="auto" w:sz="4" w:space="0"/>
              <w:right w:val="single" w:color="auto" w:sz="4" w:space="0"/>
            </w:tcBorders>
            <w:vAlign w:val="center"/>
          </w:tcPr>
          <w:p w14:paraId="4AC608FA">
            <w:pPr>
              <w:jc w:val="center"/>
              <w:rPr>
                <w:rFonts w:ascii="宋体" w:hAnsi="宋体" w:cs="宋体"/>
                <w:color w:val="auto"/>
                <w:sz w:val="24"/>
                <w:szCs w:val="24"/>
                <w:highlight w:val="none"/>
              </w:rPr>
            </w:pPr>
          </w:p>
        </w:tc>
      </w:tr>
      <w:tr w14:paraId="6EB8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14:paraId="2182D923">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307" w:type="dxa"/>
            <w:tcBorders>
              <w:top w:val="single" w:color="auto" w:sz="4" w:space="0"/>
              <w:left w:val="nil"/>
              <w:bottom w:val="single" w:color="auto" w:sz="4" w:space="0"/>
              <w:right w:val="single" w:color="auto" w:sz="4" w:space="0"/>
            </w:tcBorders>
            <w:vAlign w:val="center"/>
          </w:tcPr>
          <w:p w14:paraId="695FA381">
            <w:pPr>
              <w:jc w:val="center"/>
              <w:rPr>
                <w:rFonts w:ascii="宋体" w:hAnsi="宋体" w:cs="宋体"/>
                <w:color w:val="auto"/>
                <w:sz w:val="24"/>
                <w:szCs w:val="24"/>
                <w:highlight w:val="none"/>
              </w:rPr>
            </w:pPr>
            <w:r>
              <w:rPr>
                <w:rFonts w:hint="eastAsia" w:ascii="宋体" w:hAnsi="宋体" w:cs="宋体"/>
                <w:color w:val="auto"/>
                <w:sz w:val="24"/>
                <w:szCs w:val="24"/>
                <w:highlight w:val="none"/>
              </w:rPr>
              <w:t>“投标人须知前附表”第1.3.3款</w:t>
            </w:r>
          </w:p>
        </w:tc>
        <w:tc>
          <w:tcPr>
            <w:tcW w:w="3802" w:type="dxa"/>
            <w:tcBorders>
              <w:top w:val="single" w:color="auto" w:sz="4" w:space="0"/>
              <w:left w:val="nil"/>
              <w:bottom w:val="single" w:color="auto" w:sz="4" w:space="0"/>
              <w:right w:val="single" w:color="auto" w:sz="4" w:space="0"/>
            </w:tcBorders>
            <w:vAlign w:val="center"/>
          </w:tcPr>
          <w:p w14:paraId="561631FF">
            <w:pPr>
              <w:rPr>
                <w:rFonts w:ascii="宋体" w:hAnsi="宋体" w:cs="宋体"/>
                <w:color w:val="auto"/>
                <w:sz w:val="24"/>
                <w:szCs w:val="24"/>
                <w:highlight w:val="none"/>
              </w:rPr>
            </w:pPr>
            <w:r>
              <w:rPr>
                <w:rFonts w:hint="eastAsia" w:ascii="宋体" w:hAnsi="宋体" w:cs="宋体"/>
                <w:color w:val="auto"/>
                <w:sz w:val="24"/>
                <w:szCs w:val="24"/>
                <w:highlight w:val="none"/>
                <w:lang w:eastAsia="zh-CN"/>
              </w:rPr>
              <w:t>交货地点：云南省建水监狱（采购人指定地点）</w:t>
            </w:r>
            <w:r>
              <w:rPr>
                <w:rFonts w:hint="eastAsia" w:ascii="宋体" w:hAnsi="宋体" w:cs="宋体"/>
                <w:color w:val="auto"/>
                <w:sz w:val="24"/>
                <w:highlight w:val="none"/>
              </w:rPr>
              <w:t>。</w:t>
            </w:r>
          </w:p>
        </w:tc>
        <w:tc>
          <w:tcPr>
            <w:tcW w:w="1589" w:type="dxa"/>
            <w:tcBorders>
              <w:top w:val="single" w:color="auto" w:sz="4" w:space="0"/>
              <w:left w:val="nil"/>
              <w:bottom w:val="single" w:color="auto" w:sz="4" w:space="0"/>
              <w:right w:val="single" w:color="auto" w:sz="4" w:space="0"/>
            </w:tcBorders>
            <w:vAlign w:val="center"/>
          </w:tcPr>
          <w:p w14:paraId="703970A7">
            <w:pPr>
              <w:jc w:val="center"/>
              <w:rPr>
                <w:rFonts w:ascii="宋体" w:hAnsi="宋体" w:cs="宋体"/>
                <w:color w:val="auto"/>
                <w:sz w:val="24"/>
                <w:szCs w:val="24"/>
                <w:highlight w:val="none"/>
              </w:rPr>
            </w:pPr>
          </w:p>
        </w:tc>
        <w:tc>
          <w:tcPr>
            <w:tcW w:w="1115" w:type="dxa"/>
            <w:tcBorders>
              <w:top w:val="single" w:color="auto" w:sz="4" w:space="0"/>
              <w:left w:val="nil"/>
              <w:bottom w:val="single" w:color="auto" w:sz="4" w:space="0"/>
              <w:right w:val="single" w:color="auto" w:sz="4" w:space="0"/>
            </w:tcBorders>
            <w:vAlign w:val="center"/>
          </w:tcPr>
          <w:p w14:paraId="7CF75A72">
            <w:pPr>
              <w:jc w:val="center"/>
              <w:rPr>
                <w:rFonts w:ascii="宋体" w:hAnsi="宋体" w:cs="宋体"/>
                <w:color w:val="auto"/>
                <w:sz w:val="24"/>
                <w:szCs w:val="24"/>
                <w:highlight w:val="none"/>
              </w:rPr>
            </w:pPr>
          </w:p>
        </w:tc>
        <w:tc>
          <w:tcPr>
            <w:tcW w:w="575" w:type="dxa"/>
            <w:tcBorders>
              <w:top w:val="single" w:color="auto" w:sz="4" w:space="0"/>
              <w:left w:val="nil"/>
              <w:bottom w:val="single" w:color="auto" w:sz="4" w:space="0"/>
              <w:right w:val="single" w:color="auto" w:sz="4" w:space="0"/>
            </w:tcBorders>
            <w:vAlign w:val="center"/>
          </w:tcPr>
          <w:p w14:paraId="78E3161D">
            <w:pPr>
              <w:jc w:val="center"/>
              <w:rPr>
                <w:rFonts w:ascii="宋体" w:hAnsi="宋体" w:cs="宋体"/>
                <w:color w:val="auto"/>
                <w:sz w:val="24"/>
                <w:szCs w:val="24"/>
                <w:highlight w:val="none"/>
              </w:rPr>
            </w:pPr>
          </w:p>
        </w:tc>
      </w:tr>
      <w:tr w14:paraId="60D7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568" w:type="dxa"/>
            <w:tcBorders>
              <w:top w:val="single" w:color="auto" w:sz="4" w:space="0"/>
              <w:left w:val="single" w:color="auto" w:sz="4" w:space="0"/>
              <w:bottom w:val="single" w:color="auto" w:sz="4" w:space="0"/>
              <w:right w:val="single" w:color="auto" w:sz="4" w:space="0"/>
            </w:tcBorders>
            <w:vAlign w:val="center"/>
          </w:tcPr>
          <w:p w14:paraId="210B5512">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307" w:type="dxa"/>
            <w:tcBorders>
              <w:top w:val="single" w:color="auto" w:sz="4" w:space="0"/>
              <w:left w:val="nil"/>
              <w:bottom w:val="single" w:color="auto" w:sz="4" w:space="0"/>
              <w:right w:val="single" w:color="auto" w:sz="4" w:space="0"/>
            </w:tcBorders>
            <w:vAlign w:val="center"/>
          </w:tcPr>
          <w:p w14:paraId="4BC41949">
            <w:pPr>
              <w:jc w:val="center"/>
              <w:rPr>
                <w:rFonts w:ascii="宋体" w:hAnsi="宋体" w:cs="宋体"/>
                <w:color w:val="auto"/>
                <w:sz w:val="24"/>
                <w:szCs w:val="24"/>
                <w:highlight w:val="none"/>
              </w:rPr>
            </w:pPr>
            <w:r>
              <w:rPr>
                <w:rFonts w:hint="eastAsia" w:ascii="宋体" w:hAnsi="宋体" w:cs="宋体"/>
                <w:color w:val="auto"/>
                <w:sz w:val="24"/>
                <w:szCs w:val="24"/>
                <w:highlight w:val="none"/>
              </w:rPr>
              <w:t>“投标人须知前附表”第3.3.1款</w:t>
            </w:r>
          </w:p>
        </w:tc>
        <w:tc>
          <w:tcPr>
            <w:tcW w:w="3802" w:type="dxa"/>
            <w:tcBorders>
              <w:top w:val="single" w:color="auto" w:sz="4" w:space="0"/>
              <w:left w:val="nil"/>
              <w:bottom w:val="single" w:color="auto" w:sz="4" w:space="0"/>
              <w:right w:val="single" w:color="auto" w:sz="4" w:space="0"/>
            </w:tcBorders>
            <w:vAlign w:val="center"/>
          </w:tcPr>
          <w:p w14:paraId="43491191">
            <w:pPr>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r>
              <w:rPr>
                <w:rFonts w:hint="eastAsia" w:ascii="宋体" w:hAnsi="宋体" w:cs="宋体"/>
                <w:color w:val="auto"/>
                <w:sz w:val="24"/>
                <w:szCs w:val="24"/>
                <w:highlight w:val="none"/>
                <w:lang w:eastAsia="zh-CN"/>
              </w:rPr>
              <w:t>：</w:t>
            </w:r>
            <w:r>
              <w:rPr>
                <w:rFonts w:hint="eastAsia" w:ascii="宋体" w:hAnsi="宋体"/>
                <w:color w:val="auto"/>
                <w:kern w:val="2"/>
                <w:sz w:val="24"/>
                <w:szCs w:val="24"/>
                <w:highlight w:val="none"/>
              </w:rPr>
              <w:t>90日历天</w:t>
            </w:r>
            <w:r>
              <w:rPr>
                <w:rFonts w:hint="eastAsia" w:ascii="宋体" w:hAnsi="宋体"/>
                <w:color w:val="auto"/>
                <w:sz w:val="24"/>
                <w:szCs w:val="24"/>
                <w:highlight w:val="none"/>
              </w:rPr>
              <w:t>(从投标截止之日算起)</w:t>
            </w:r>
          </w:p>
        </w:tc>
        <w:tc>
          <w:tcPr>
            <w:tcW w:w="1589" w:type="dxa"/>
            <w:tcBorders>
              <w:top w:val="single" w:color="auto" w:sz="4" w:space="0"/>
              <w:left w:val="nil"/>
              <w:bottom w:val="single" w:color="auto" w:sz="4" w:space="0"/>
              <w:right w:val="single" w:color="auto" w:sz="4" w:space="0"/>
            </w:tcBorders>
            <w:vAlign w:val="center"/>
          </w:tcPr>
          <w:p w14:paraId="01AECC04">
            <w:pPr>
              <w:jc w:val="center"/>
              <w:rPr>
                <w:rFonts w:ascii="宋体" w:hAnsi="宋体" w:cs="宋体"/>
                <w:color w:val="auto"/>
                <w:sz w:val="24"/>
                <w:szCs w:val="24"/>
                <w:highlight w:val="none"/>
              </w:rPr>
            </w:pPr>
          </w:p>
        </w:tc>
        <w:tc>
          <w:tcPr>
            <w:tcW w:w="1115" w:type="dxa"/>
            <w:tcBorders>
              <w:top w:val="single" w:color="auto" w:sz="4" w:space="0"/>
              <w:left w:val="nil"/>
              <w:bottom w:val="single" w:color="auto" w:sz="4" w:space="0"/>
              <w:right w:val="single" w:color="auto" w:sz="4" w:space="0"/>
            </w:tcBorders>
            <w:vAlign w:val="center"/>
          </w:tcPr>
          <w:p w14:paraId="0441AC3C">
            <w:pPr>
              <w:jc w:val="center"/>
              <w:rPr>
                <w:rFonts w:ascii="宋体" w:hAnsi="宋体" w:cs="宋体"/>
                <w:color w:val="auto"/>
                <w:sz w:val="24"/>
                <w:szCs w:val="24"/>
                <w:highlight w:val="none"/>
              </w:rPr>
            </w:pPr>
          </w:p>
        </w:tc>
        <w:tc>
          <w:tcPr>
            <w:tcW w:w="575" w:type="dxa"/>
            <w:tcBorders>
              <w:top w:val="single" w:color="auto" w:sz="4" w:space="0"/>
              <w:left w:val="nil"/>
              <w:bottom w:val="single" w:color="auto" w:sz="4" w:space="0"/>
              <w:right w:val="single" w:color="auto" w:sz="4" w:space="0"/>
            </w:tcBorders>
            <w:vAlign w:val="center"/>
          </w:tcPr>
          <w:p w14:paraId="3CF43EB4">
            <w:pPr>
              <w:jc w:val="center"/>
              <w:rPr>
                <w:rFonts w:ascii="宋体" w:hAnsi="宋体" w:cs="宋体"/>
                <w:color w:val="auto"/>
                <w:sz w:val="24"/>
                <w:szCs w:val="24"/>
                <w:highlight w:val="none"/>
              </w:rPr>
            </w:pPr>
          </w:p>
        </w:tc>
      </w:tr>
    </w:tbl>
    <w:p w14:paraId="49AEA2C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注：1.投标人应仔细阅读招标文件中的各项商务要求，若由于投标人的疏忽大意或未能完整、如实填写，视为投标人全部满足。</w:t>
      </w:r>
    </w:p>
    <w:p w14:paraId="4A53414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2.“偏离情况”请如实填写：“正偏离”或“负偏离”并填写说明。</w:t>
      </w:r>
    </w:p>
    <w:p w14:paraId="26FC1C2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3.“无偏离”的无须填写本表且视为投标人全部满足采购需求，但本表须签章。</w:t>
      </w:r>
    </w:p>
    <w:p w14:paraId="751D4DA3">
      <w:pPr>
        <w:spacing w:before="158" w:beforeLines="50" w:line="360" w:lineRule="auto"/>
        <w:ind w:firstLine="241" w:firstLineChars="100"/>
        <w:rPr>
          <w:rFonts w:ascii="宋体" w:hAnsi="宋体" w:cs="宋体"/>
          <w:b/>
          <w:bCs/>
          <w:color w:val="auto"/>
          <w:sz w:val="24"/>
          <w:szCs w:val="24"/>
          <w:highlight w:val="none"/>
        </w:rPr>
      </w:pPr>
    </w:p>
    <w:p w14:paraId="5C8A041A">
      <w:pPr>
        <w:spacing w:before="158" w:beforeLines="50" w:line="360" w:lineRule="auto"/>
        <w:ind w:firstLine="241" w:firstLineChars="100"/>
        <w:rPr>
          <w:rFonts w:ascii="宋体" w:hAnsi="宋体" w:cs="宋体"/>
          <w:b/>
          <w:bCs/>
          <w:color w:val="auto"/>
          <w:sz w:val="24"/>
          <w:szCs w:val="24"/>
          <w:highlight w:val="none"/>
        </w:rPr>
      </w:pPr>
    </w:p>
    <w:p w14:paraId="39C0EA0D">
      <w:pPr>
        <w:spacing w:before="158" w:beforeLines="50" w:line="360" w:lineRule="auto"/>
        <w:ind w:firstLine="241" w:firstLineChars="100"/>
        <w:rPr>
          <w:rFonts w:ascii="宋体" w:hAnsi="宋体" w:cs="宋体"/>
          <w:b/>
          <w:bCs/>
          <w:color w:val="auto"/>
          <w:sz w:val="24"/>
          <w:szCs w:val="24"/>
          <w:highlight w:val="none"/>
        </w:rPr>
      </w:pPr>
    </w:p>
    <w:p w14:paraId="7490328B">
      <w:pPr>
        <w:spacing w:before="158" w:beforeLines="50" w:line="360" w:lineRule="auto"/>
        <w:ind w:firstLine="241" w:firstLineChars="100"/>
        <w:rPr>
          <w:rFonts w:ascii="宋体" w:hAnsi="宋体" w:cs="宋体"/>
          <w:b/>
          <w:bCs/>
          <w:color w:val="auto"/>
          <w:sz w:val="24"/>
          <w:szCs w:val="24"/>
          <w:highlight w:val="none"/>
        </w:rPr>
      </w:pPr>
    </w:p>
    <w:p w14:paraId="12589FEB">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3D524421">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08C349E1">
      <w:pPr>
        <w:spacing w:line="360" w:lineRule="auto"/>
        <w:ind w:firstLine="1687" w:firstLineChars="700"/>
        <w:rPr>
          <w:rFonts w:ascii="宋体" w:hAnsi="宋体" w:cs="宋体"/>
          <w:color w:val="auto"/>
          <w:sz w:val="24"/>
          <w:szCs w:val="24"/>
          <w:highlight w:val="none"/>
        </w:rPr>
        <w:sectPr>
          <w:pgSz w:w="11906" w:h="16838"/>
          <w:pgMar w:top="1440" w:right="1083" w:bottom="1440" w:left="1083" w:header="720" w:footer="720" w:gutter="0"/>
          <w:pgNumType w:fmt="numberInDash"/>
          <w:cols w:space="720" w:num="1"/>
          <w:docGrid w:type="lines" w:linePitch="317" w:charSpace="0"/>
        </w:sect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p>
    <w:p w14:paraId="54BA5D28">
      <w:pPr>
        <w:pStyle w:val="6"/>
        <w:keepNext/>
        <w:keepLines/>
        <w:pageBreakBefore w:val="0"/>
        <w:widowControl/>
        <w:kinsoku/>
        <w:wordWrap/>
        <w:overflowPunct/>
        <w:topLinePunct w:val="0"/>
        <w:autoSpaceDE w:val="0"/>
        <w:autoSpaceDN/>
        <w:bidi w:val="0"/>
        <w:adjustRightInd/>
        <w:snapToGrid/>
        <w:spacing w:before="10" w:after="10" w:line="360" w:lineRule="auto"/>
        <w:textAlignment w:val="auto"/>
        <w:rPr>
          <w:rFonts w:hint="eastAsia" w:ascii="宋体" w:hAnsi="宋体" w:cs="宋体"/>
          <w:color w:val="auto"/>
          <w:szCs w:val="28"/>
          <w:highlight w:val="none"/>
        </w:rPr>
      </w:pPr>
      <w:bookmarkStart w:id="460" w:name="_Toc10085"/>
      <w:bookmarkStart w:id="461" w:name="_Toc2820"/>
      <w:bookmarkStart w:id="462" w:name="_Toc5784"/>
      <w:bookmarkStart w:id="463" w:name="_Toc24555"/>
      <w:bookmarkStart w:id="464" w:name="_Toc26813"/>
      <w:bookmarkStart w:id="465" w:name="_Toc5064"/>
      <w:bookmarkStart w:id="466" w:name="_Toc16731"/>
      <w:bookmarkStart w:id="467" w:name="_Toc5017"/>
      <w:bookmarkStart w:id="468" w:name="_Toc23847"/>
      <w:bookmarkStart w:id="469" w:name="_Toc30869"/>
      <w:bookmarkStart w:id="470" w:name="_Toc12757"/>
      <w:bookmarkStart w:id="471" w:name="_Toc27344"/>
      <w:r>
        <w:rPr>
          <w:rFonts w:hint="eastAsia" w:ascii="宋体" w:hAnsi="宋体" w:cs="宋体"/>
          <w:color w:val="auto"/>
          <w:szCs w:val="28"/>
          <w:highlight w:val="none"/>
        </w:rPr>
        <w:t>八、分项报价表</w:t>
      </w:r>
      <w:bookmarkEnd w:id="460"/>
      <w:bookmarkEnd w:id="461"/>
      <w:bookmarkEnd w:id="462"/>
      <w:bookmarkEnd w:id="463"/>
      <w:bookmarkEnd w:id="464"/>
      <w:bookmarkEnd w:id="465"/>
      <w:bookmarkEnd w:id="466"/>
      <w:bookmarkEnd w:id="467"/>
      <w:bookmarkEnd w:id="468"/>
      <w:bookmarkEnd w:id="469"/>
      <w:bookmarkEnd w:id="470"/>
      <w:bookmarkEnd w:id="471"/>
    </w:p>
    <w:tbl>
      <w:tblPr>
        <w:tblStyle w:val="22"/>
        <w:tblpPr w:leftFromText="180" w:rightFromText="180" w:vertAnchor="text" w:horzAnchor="page" w:tblpX="1298" w:tblpY="296"/>
        <w:tblOverlap w:val="never"/>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032"/>
        <w:gridCol w:w="962"/>
        <w:gridCol w:w="1053"/>
        <w:gridCol w:w="1061"/>
        <w:gridCol w:w="724"/>
        <w:gridCol w:w="997"/>
        <w:gridCol w:w="963"/>
        <w:gridCol w:w="1298"/>
        <w:gridCol w:w="824"/>
      </w:tblGrid>
      <w:tr w14:paraId="5B1A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98" w:type="dxa"/>
            <w:noWrap w:val="0"/>
            <w:vAlign w:val="center"/>
          </w:tcPr>
          <w:p w14:paraId="5B156FBC">
            <w:pPr>
              <w:keepNext w:val="0"/>
              <w:keepLines w:val="0"/>
              <w:suppressLineNumbers w:val="0"/>
              <w:spacing w:before="0" w:beforeAutospacing="0" w:after="0" w:afterAutospacing="0" w:line="240" w:lineRule="auto"/>
              <w:ind w:left="0" w:right="0"/>
              <w:rPr>
                <w:rFonts w:hint="eastAsia" w:ascii="宋体" w:hAnsi="宋体" w:eastAsia="宋体" w:cs="宋体"/>
                <w:b/>
                <w:color w:val="auto"/>
                <w:sz w:val="21"/>
                <w:szCs w:val="21"/>
                <w:highlight w:val="none"/>
              </w:rPr>
            </w:pPr>
            <w:bookmarkStart w:id="472" w:name="_Toc10610"/>
            <w:bookmarkEnd w:id="472"/>
            <w:bookmarkStart w:id="473" w:name="_Toc15277"/>
            <w:bookmarkEnd w:id="473"/>
            <w:r>
              <w:rPr>
                <w:rFonts w:hint="eastAsia" w:ascii="宋体" w:hAnsi="宋体" w:eastAsia="宋体" w:cs="宋体"/>
                <w:b/>
                <w:color w:val="auto"/>
                <w:sz w:val="21"/>
                <w:szCs w:val="21"/>
                <w:highlight w:val="none"/>
              </w:rPr>
              <w:t>序号</w:t>
            </w:r>
          </w:p>
        </w:tc>
        <w:tc>
          <w:tcPr>
            <w:tcW w:w="1032" w:type="dxa"/>
            <w:noWrap w:val="0"/>
            <w:vAlign w:val="center"/>
          </w:tcPr>
          <w:p w14:paraId="10C17FD6">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商品名称</w:t>
            </w:r>
          </w:p>
        </w:tc>
        <w:tc>
          <w:tcPr>
            <w:tcW w:w="962" w:type="dxa"/>
            <w:noWrap w:val="0"/>
            <w:vAlign w:val="center"/>
          </w:tcPr>
          <w:p w14:paraId="5E6A0C61">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单价最高限价</w:t>
            </w:r>
          </w:p>
          <w:p w14:paraId="2880C14D">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（元/公斤）</w:t>
            </w:r>
          </w:p>
        </w:tc>
        <w:tc>
          <w:tcPr>
            <w:tcW w:w="1053" w:type="dxa"/>
            <w:noWrap w:val="0"/>
            <w:vAlign w:val="center"/>
          </w:tcPr>
          <w:p w14:paraId="2AA54D67">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投标单价</w:t>
            </w:r>
            <w:r>
              <w:rPr>
                <w:rFonts w:hint="eastAsia" w:ascii="宋体" w:hAnsi="宋体" w:eastAsia="宋体" w:cs="宋体"/>
                <w:b/>
                <w:color w:val="auto"/>
                <w:sz w:val="21"/>
                <w:szCs w:val="21"/>
                <w:highlight w:val="none"/>
              </w:rPr>
              <w:t>（元</w:t>
            </w:r>
            <w:r>
              <w:rPr>
                <w:rFonts w:hint="eastAsia" w:ascii="宋体" w:hAnsi="宋体" w:eastAsia="宋体" w:cs="宋体"/>
                <w:b/>
                <w:color w:val="auto"/>
                <w:sz w:val="21"/>
                <w:szCs w:val="2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公斤</w:t>
            </w:r>
            <w:r>
              <w:rPr>
                <w:rFonts w:hint="eastAsia" w:ascii="宋体" w:hAnsi="宋体" w:eastAsia="宋体" w:cs="宋体"/>
                <w:b/>
                <w:color w:val="auto"/>
                <w:sz w:val="21"/>
                <w:szCs w:val="21"/>
                <w:highlight w:val="none"/>
              </w:rPr>
              <w:t>）</w:t>
            </w:r>
          </w:p>
        </w:tc>
        <w:tc>
          <w:tcPr>
            <w:tcW w:w="1061" w:type="dxa"/>
            <w:noWrap w:val="0"/>
            <w:vAlign w:val="center"/>
          </w:tcPr>
          <w:p w14:paraId="2C041D06">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全年预计采购量</w:t>
            </w:r>
            <w:r>
              <w:rPr>
                <w:rFonts w:hint="eastAsia" w:ascii="宋体" w:hAnsi="宋体" w:cs="宋体"/>
                <w:b/>
                <w:color w:val="auto"/>
                <w:sz w:val="21"/>
                <w:szCs w:val="2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公斤</w:t>
            </w:r>
            <w:r>
              <w:rPr>
                <w:rFonts w:hint="eastAsia" w:ascii="宋体" w:hAnsi="宋体" w:cs="宋体"/>
                <w:b/>
                <w:color w:val="auto"/>
                <w:sz w:val="21"/>
                <w:szCs w:val="21"/>
                <w:highlight w:val="none"/>
                <w:lang w:val="en-US" w:eastAsia="zh-CN"/>
              </w:rPr>
              <w:t>）</w:t>
            </w:r>
          </w:p>
        </w:tc>
        <w:tc>
          <w:tcPr>
            <w:tcW w:w="724" w:type="dxa"/>
            <w:noWrap w:val="0"/>
            <w:vAlign w:val="center"/>
          </w:tcPr>
          <w:p w14:paraId="45DC9478">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cs="宋体"/>
                <w:b/>
                <w:bCs/>
                <w:i w:val="0"/>
                <w:iCs w:val="0"/>
                <w:color w:val="auto"/>
                <w:kern w:val="0"/>
                <w:sz w:val="21"/>
                <w:szCs w:val="21"/>
                <w:highlight w:val="none"/>
                <w:u w:val="none"/>
                <w:lang w:val="en-US" w:eastAsia="zh-CN" w:bidi="ar"/>
              </w:rPr>
              <w:t>合计</w:t>
            </w:r>
            <w:r>
              <w:rPr>
                <w:rFonts w:hint="eastAsia" w:ascii="宋体" w:hAnsi="宋体" w:eastAsia="宋体" w:cs="宋体"/>
                <w:b/>
                <w:bCs/>
                <w:i w:val="0"/>
                <w:iCs w:val="0"/>
                <w:color w:val="auto"/>
                <w:kern w:val="0"/>
                <w:sz w:val="21"/>
                <w:szCs w:val="21"/>
                <w:highlight w:val="none"/>
                <w:u w:val="none"/>
                <w:lang w:val="en-US" w:eastAsia="zh-CN" w:bidi="ar"/>
              </w:rPr>
              <w:t>金额（元）</w:t>
            </w:r>
          </w:p>
        </w:tc>
        <w:tc>
          <w:tcPr>
            <w:tcW w:w="997" w:type="dxa"/>
            <w:noWrap w:val="0"/>
            <w:vAlign w:val="center"/>
          </w:tcPr>
          <w:p w14:paraId="7C6BDBEE">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制造商制造商/生产企业名称</w:t>
            </w:r>
          </w:p>
        </w:tc>
        <w:tc>
          <w:tcPr>
            <w:tcW w:w="963" w:type="dxa"/>
            <w:noWrap w:val="0"/>
            <w:vAlign w:val="center"/>
          </w:tcPr>
          <w:p w14:paraId="0C2D5C08">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品牌</w:t>
            </w:r>
          </w:p>
          <w:p w14:paraId="1ECCDACE">
            <w:pPr>
              <w:keepNext w:val="0"/>
              <w:keepLines w:val="0"/>
              <w:suppressLineNumbers w:val="0"/>
              <w:spacing w:before="0" w:beforeAutospacing="0" w:after="0" w:afterAutospacing="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（如有）</w:t>
            </w:r>
          </w:p>
        </w:tc>
        <w:tc>
          <w:tcPr>
            <w:tcW w:w="1298" w:type="dxa"/>
            <w:noWrap w:val="0"/>
            <w:vAlign w:val="center"/>
          </w:tcPr>
          <w:p w14:paraId="7208AF4F">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产品要求</w:t>
            </w:r>
            <w:r>
              <w:rPr>
                <w:rFonts w:hint="eastAsia" w:hAnsi="宋体" w:cs="宋体"/>
                <w:b/>
                <w:bCs/>
                <w:color w:val="auto"/>
                <w:sz w:val="21"/>
                <w:szCs w:val="21"/>
                <w:highlight w:val="none"/>
                <w:lang w:val="en-US" w:eastAsia="zh-CN"/>
              </w:rPr>
              <w:t>（参数）</w:t>
            </w:r>
          </w:p>
        </w:tc>
        <w:tc>
          <w:tcPr>
            <w:tcW w:w="824" w:type="dxa"/>
            <w:noWrap w:val="0"/>
            <w:vAlign w:val="center"/>
          </w:tcPr>
          <w:p w14:paraId="3C719875">
            <w:pPr>
              <w:pStyle w:val="14"/>
              <w:keepNext w:val="0"/>
              <w:keepLines w:val="0"/>
              <w:suppressLineNumbers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备注</w:t>
            </w:r>
          </w:p>
        </w:tc>
      </w:tr>
      <w:tr w14:paraId="1902B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98" w:type="dxa"/>
            <w:noWrap w:val="0"/>
            <w:vAlign w:val="center"/>
          </w:tcPr>
          <w:p w14:paraId="1223B711">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32" w:type="dxa"/>
            <w:noWrap w:val="0"/>
            <w:vAlign w:val="center"/>
          </w:tcPr>
          <w:p w14:paraId="2E9C35E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大白菜</w:t>
            </w:r>
          </w:p>
        </w:tc>
        <w:tc>
          <w:tcPr>
            <w:tcW w:w="962" w:type="dxa"/>
            <w:noWrap w:val="0"/>
            <w:vAlign w:val="center"/>
          </w:tcPr>
          <w:p w14:paraId="3C4263D4">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2.25 </w:t>
            </w:r>
          </w:p>
        </w:tc>
        <w:tc>
          <w:tcPr>
            <w:tcW w:w="1053" w:type="dxa"/>
            <w:noWrap w:val="0"/>
            <w:vAlign w:val="center"/>
          </w:tcPr>
          <w:p w14:paraId="0059D5D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5555FC1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40000</w:t>
            </w:r>
          </w:p>
        </w:tc>
        <w:tc>
          <w:tcPr>
            <w:tcW w:w="724" w:type="dxa"/>
            <w:noWrap w:val="0"/>
            <w:vAlign w:val="center"/>
          </w:tcPr>
          <w:p w14:paraId="0048882B">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EF6231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BD6FBD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356E781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9A0759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540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98" w:type="dxa"/>
            <w:noWrap w:val="0"/>
            <w:vAlign w:val="center"/>
          </w:tcPr>
          <w:p w14:paraId="597B1D95">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32" w:type="dxa"/>
            <w:noWrap w:val="0"/>
            <w:vAlign w:val="center"/>
          </w:tcPr>
          <w:p w14:paraId="16B15A9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铁头白</w:t>
            </w:r>
          </w:p>
        </w:tc>
        <w:tc>
          <w:tcPr>
            <w:tcW w:w="962" w:type="dxa"/>
            <w:noWrap w:val="0"/>
            <w:vAlign w:val="center"/>
          </w:tcPr>
          <w:p w14:paraId="043AB0A2">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1.89 </w:t>
            </w:r>
          </w:p>
        </w:tc>
        <w:tc>
          <w:tcPr>
            <w:tcW w:w="1053" w:type="dxa"/>
            <w:noWrap w:val="0"/>
            <w:vAlign w:val="center"/>
          </w:tcPr>
          <w:p w14:paraId="50BD86D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61FF8BA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40000</w:t>
            </w:r>
          </w:p>
        </w:tc>
        <w:tc>
          <w:tcPr>
            <w:tcW w:w="724" w:type="dxa"/>
            <w:noWrap w:val="0"/>
            <w:vAlign w:val="center"/>
          </w:tcPr>
          <w:p w14:paraId="00D43B7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3EDCA14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1CD9B69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B89EF5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B11773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2CE8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98" w:type="dxa"/>
            <w:noWrap w:val="0"/>
            <w:vAlign w:val="center"/>
          </w:tcPr>
          <w:p w14:paraId="4E381598">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32" w:type="dxa"/>
            <w:noWrap w:val="0"/>
            <w:vAlign w:val="center"/>
          </w:tcPr>
          <w:p w14:paraId="2DC4DC0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萝卜</w:t>
            </w:r>
          </w:p>
        </w:tc>
        <w:tc>
          <w:tcPr>
            <w:tcW w:w="962" w:type="dxa"/>
            <w:noWrap w:val="0"/>
            <w:vAlign w:val="center"/>
          </w:tcPr>
          <w:p w14:paraId="4593495A">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1.34 </w:t>
            </w:r>
          </w:p>
        </w:tc>
        <w:tc>
          <w:tcPr>
            <w:tcW w:w="1053" w:type="dxa"/>
            <w:noWrap w:val="0"/>
            <w:vAlign w:val="center"/>
          </w:tcPr>
          <w:p w14:paraId="30089E1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11DD8ED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1F06C5D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0809DE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FD7373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4F1EE39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39FF114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44F4F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FEA05DE">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32" w:type="dxa"/>
            <w:noWrap w:val="0"/>
            <w:vAlign w:val="center"/>
          </w:tcPr>
          <w:p w14:paraId="35A5EB58">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南瓜</w:t>
            </w:r>
          </w:p>
        </w:tc>
        <w:tc>
          <w:tcPr>
            <w:tcW w:w="962" w:type="dxa"/>
            <w:noWrap w:val="0"/>
            <w:vAlign w:val="center"/>
          </w:tcPr>
          <w:p w14:paraId="7BD4BF71">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4.50 </w:t>
            </w:r>
          </w:p>
        </w:tc>
        <w:tc>
          <w:tcPr>
            <w:tcW w:w="1053" w:type="dxa"/>
            <w:noWrap w:val="0"/>
            <w:vAlign w:val="center"/>
          </w:tcPr>
          <w:p w14:paraId="0ACC7F7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42E6306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25000</w:t>
            </w:r>
          </w:p>
        </w:tc>
        <w:tc>
          <w:tcPr>
            <w:tcW w:w="724" w:type="dxa"/>
            <w:noWrap w:val="0"/>
            <w:vAlign w:val="center"/>
          </w:tcPr>
          <w:p w14:paraId="4E49BD5B">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1B6D743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3F6C799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3A90622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1DB3713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15DB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292094EA">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032" w:type="dxa"/>
            <w:noWrap w:val="0"/>
            <w:vAlign w:val="center"/>
          </w:tcPr>
          <w:p w14:paraId="5653407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藕</w:t>
            </w:r>
          </w:p>
        </w:tc>
        <w:tc>
          <w:tcPr>
            <w:tcW w:w="962" w:type="dxa"/>
            <w:noWrap w:val="0"/>
            <w:vAlign w:val="center"/>
          </w:tcPr>
          <w:p w14:paraId="4EC8297F">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3.49 </w:t>
            </w:r>
          </w:p>
        </w:tc>
        <w:tc>
          <w:tcPr>
            <w:tcW w:w="1053" w:type="dxa"/>
            <w:noWrap w:val="0"/>
            <w:vAlign w:val="center"/>
          </w:tcPr>
          <w:p w14:paraId="4BD83E4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030200D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375BA0C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4D8F36A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15E92C7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A6EA3E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A74A66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492B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0DEEB86">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032" w:type="dxa"/>
            <w:noWrap w:val="0"/>
            <w:vAlign w:val="center"/>
          </w:tcPr>
          <w:p w14:paraId="4CB689B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洋芋</w:t>
            </w:r>
          </w:p>
        </w:tc>
        <w:tc>
          <w:tcPr>
            <w:tcW w:w="962" w:type="dxa"/>
            <w:noWrap w:val="0"/>
            <w:vAlign w:val="center"/>
          </w:tcPr>
          <w:p w14:paraId="18997766">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1.95 </w:t>
            </w:r>
          </w:p>
        </w:tc>
        <w:tc>
          <w:tcPr>
            <w:tcW w:w="1053" w:type="dxa"/>
            <w:noWrap w:val="0"/>
            <w:vAlign w:val="center"/>
          </w:tcPr>
          <w:p w14:paraId="5D4B33F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01A2604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40000</w:t>
            </w:r>
          </w:p>
        </w:tc>
        <w:tc>
          <w:tcPr>
            <w:tcW w:w="724" w:type="dxa"/>
            <w:noWrap w:val="0"/>
            <w:vAlign w:val="center"/>
          </w:tcPr>
          <w:p w14:paraId="2B75758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0F4D453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1E65C3B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5BF0E7B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637A3F6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1406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7121D376">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032" w:type="dxa"/>
            <w:noWrap w:val="0"/>
            <w:vAlign w:val="center"/>
          </w:tcPr>
          <w:p w14:paraId="769630C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青椒</w:t>
            </w:r>
          </w:p>
        </w:tc>
        <w:tc>
          <w:tcPr>
            <w:tcW w:w="962" w:type="dxa"/>
            <w:noWrap w:val="0"/>
            <w:vAlign w:val="center"/>
          </w:tcPr>
          <w:p w14:paraId="38A53D8D">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5.95 </w:t>
            </w:r>
          </w:p>
        </w:tc>
        <w:tc>
          <w:tcPr>
            <w:tcW w:w="1053" w:type="dxa"/>
            <w:noWrap w:val="0"/>
            <w:vAlign w:val="center"/>
          </w:tcPr>
          <w:p w14:paraId="680EB56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6B16169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4599205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099E880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CE8365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F4C29D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1EBAAB8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7436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25FB439D">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032" w:type="dxa"/>
            <w:noWrap w:val="0"/>
            <w:vAlign w:val="center"/>
          </w:tcPr>
          <w:p w14:paraId="1F1302D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葱</w:t>
            </w:r>
          </w:p>
        </w:tc>
        <w:tc>
          <w:tcPr>
            <w:tcW w:w="962" w:type="dxa"/>
            <w:noWrap w:val="0"/>
            <w:vAlign w:val="center"/>
          </w:tcPr>
          <w:p w14:paraId="6B2471D0">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5.70 </w:t>
            </w:r>
          </w:p>
        </w:tc>
        <w:tc>
          <w:tcPr>
            <w:tcW w:w="1053" w:type="dxa"/>
            <w:noWrap w:val="0"/>
            <w:vAlign w:val="center"/>
          </w:tcPr>
          <w:p w14:paraId="7A7DD3A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color w:val="auto"/>
                <w:sz w:val="21"/>
                <w:szCs w:val="21"/>
                <w:highlight w:val="none"/>
              </w:rPr>
            </w:pPr>
          </w:p>
        </w:tc>
        <w:tc>
          <w:tcPr>
            <w:tcW w:w="1061" w:type="dxa"/>
            <w:noWrap w:val="0"/>
            <w:vAlign w:val="center"/>
          </w:tcPr>
          <w:p w14:paraId="1330EDB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7800</w:t>
            </w:r>
          </w:p>
        </w:tc>
        <w:tc>
          <w:tcPr>
            <w:tcW w:w="724" w:type="dxa"/>
            <w:noWrap w:val="0"/>
            <w:vAlign w:val="center"/>
          </w:tcPr>
          <w:p w14:paraId="037CAD4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1C4734B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885675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F837D5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6653671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85D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D21CED2">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032" w:type="dxa"/>
            <w:noWrap w:val="0"/>
            <w:vAlign w:val="center"/>
          </w:tcPr>
          <w:p w14:paraId="7EFF8AE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芹菜</w:t>
            </w:r>
          </w:p>
        </w:tc>
        <w:tc>
          <w:tcPr>
            <w:tcW w:w="962" w:type="dxa"/>
            <w:noWrap w:val="0"/>
            <w:vAlign w:val="center"/>
          </w:tcPr>
          <w:p w14:paraId="20AEDC9C">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3.25 </w:t>
            </w:r>
          </w:p>
        </w:tc>
        <w:tc>
          <w:tcPr>
            <w:tcW w:w="1053" w:type="dxa"/>
            <w:noWrap w:val="0"/>
            <w:vAlign w:val="center"/>
          </w:tcPr>
          <w:p w14:paraId="55838F4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2898E70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4594E40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40C3238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6595625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70D0C2C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D750CF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04A9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451770B5">
            <w:pPr>
              <w:pStyle w:val="14"/>
              <w:keepNext w:val="0"/>
              <w:keepLines w:val="0"/>
              <w:suppressLineNumbers w:val="0"/>
              <w:spacing w:before="0" w:beforeAutospacing="0" w:after="0" w:afterAutospacing="0" w:line="240" w:lineRule="auto"/>
              <w:ind w:left="0" w:leftChars="0" w:right="0" w:rightChars="0"/>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10</w:t>
            </w:r>
          </w:p>
        </w:tc>
        <w:tc>
          <w:tcPr>
            <w:tcW w:w="1032" w:type="dxa"/>
            <w:noWrap w:val="0"/>
            <w:vAlign w:val="center"/>
          </w:tcPr>
          <w:p w14:paraId="0249B64C">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削皮冬瓜</w:t>
            </w:r>
          </w:p>
        </w:tc>
        <w:tc>
          <w:tcPr>
            <w:tcW w:w="962" w:type="dxa"/>
            <w:noWrap w:val="0"/>
            <w:vAlign w:val="center"/>
          </w:tcPr>
          <w:p w14:paraId="366B86B4">
            <w:pPr>
              <w:keepNext w:val="0"/>
              <w:keepLines w:val="0"/>
              <w:widowControl/>
              <w:suppressLineNumbers w:val="0"/>
              <w:jc w:val="righ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2.99 </w:t>
            </w:r>
          </w:p>
        </w:tc>
        <w:tc>
          <w:tcPr>
            <w:tcW w:w="1053" w:type="dxa"/>
            <w:noWrap w:val="0"/>
            <w:vAlign w:val="center"/>
          </w:tcPr>
          <w:p w14:paraId="19D09EA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40CE73F5">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724" w:type="dxa"/>
            <w:noWrap w:val="0"/>
            <w:vAlign w:val="center"/>
          </w:tcPr>
          <w:p w14:paraId="2F1B084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61405D0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12820AF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D5DE05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019446F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17AF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11D7F9A9">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p>
        </w:tc>
        <w:tc>
          <w:tcPr>
            <w:tcW w:w="1032" w:type="dxa"/>
            <w:noWrap w:val="0"/>
            <w:vAlign w:val="center"/>
          </w:tcPr>
          <w:p w14:paraId="537C3C3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小瓜</w:t>
            </w:r>
          </w:p>
        </w:tc>
        <w:tc>
          <w:tcPr>
            <w:tcW w:w="962" w:type="dxa"/>
            <w:noWrap w:val="0"/>
            <w:vAlign w:val="center"/>
          </w:tcPr>
          <w:p w14:paraId="430B46A4">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3.48 </w:t>
            </w:r>
          </w:p>
        </w:tc>
        <w:tc>
          <w:tcPr>
            <w:tcW w:w="1053" w:type="dxa"/>
            <w:noWrap w:val="0"/>
            <w:vAlign w:val="center"/>
          </w:tcPr>
          <w:p w14:paraId="4073C47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5EDFC0AC">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683E932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4C44110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576756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3EB4708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D1EE66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6C8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492A00AF">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p>
        </w:tc>
        <w:tc>
          <w:tcPr>
            <w:tcW w:w="1032" w:type="dxa"/>
            <w:noWrap w:val="0"/>
            <w:vAlign w:val="center"/>
          </w:tcPr>
          <w:p w14:paraId="4E7FE49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番茄</w:t>
            </w:r>
          </w:p>
        </w:tc>
        <w:tc>
          <w:tcPr>
            <w:tcW w:w="962" w:type="dxa"/>
            <w:noWrap w:val="0"/>
            <w:vAlign w:val="center"/>
          </w:tcPr>
          <w:p w14:paraId="0958427E">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1053" w:type="dxa"/>
            <w:noWrap w:val="0"/>
            <w:vAlign w:val="center"/>
          </w:tcPr>
          <w:p w14:paraId="626DD54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5595060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30000</w:t>
            </w:r>
          </w:p>
        </w:tc>
        <w:tc>
          <w:tcPr>
            <w:tcW w:w="724" w:type="dxa"/>
            <w:noWrap w:val="0"/>
            <w:vAlign w:val="center"/>
          </w:tcPr>
          <w:p w14:paraId="61A026E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716210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6D0356B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ADE66E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3AF4225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5DAB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2B02EEB6">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p>
        </w:tc>
        <w:tc>
          <w:tcPr>
            <w:tcW w:w="1032" w:type="dxa"/>
            <w:noWrap w:val="0"/>
            <w:vAlign w:val="center"/>
          </w:tcPr>
          <w:p w14:paraId="553CB36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黄瓜</w:t>
            </w:r>
          </w:p>
        </w:tc>
        <w:tc>
          <w:tcPr>
            <w:tcW w:w="962" w:type="dxa"/>
            <w:noWrap w:val="0"/>
            <w:vAlign w:val="center"/>
          </w:tcPr>
          <w:p w14:paraId="79535B80">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3.70 </w:t>
            </w:r>
          </w:p>
        </w:tc>
        <w:tc>
          <w:tcPr>
            <w:tcW w:w="1053" w:type="dxa"/>
            <w:noWrap w:val="0"/>
            <w:vAlign w:val="center"/>
          </w:tcPr>
          <w:p w14:paraId="0EA392D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1E31499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c>
          <w:tcPr>
            <w:tcW w:w="724" w:type="dxa"/>
            <w:noWrap w:val="0"/>
            <w:vAlign w:val="center"/>
          </w:tcPr>
          <w:p w14:paraId="557B077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7AD7BA0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B5DB72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023CD39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406402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56E3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60765400">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4</w:t>
            </w:r>
          </w:p>
        </w:tc>
        <w:tc>
          <w:tcPr>
            <w:tcW w:w="1032" w:type="dxa"/>
            <w:noWrap w:val="0"/>
            <w:vAlign w:val="center"/>
          </w:tcPr>
          <w:p w14:paraId="36E35AB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丰收瓜</w:t>
            </w:r>
          </w:p>
        </w:tc>
        <w:tc>
          <w:tcPr>
            <w:tcW w:w="962" w:type="dxa"/>
            <w:noWrap w:val="0"/>
            <w:vAlign w:val="center"/>
          </w:tcPr>
          <w:p w14:paraId="58E87F68">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2.20 </w:t>
            </w:r>
          </w:p>
        </w:tc>
        <w:tc>
          <w:tcPr>
            <w:tcW w:w="1053" w:type="dxa"/>
            <w:noWrap w:val="0"/>
            <w:vAlign w:val="center"/>
          </w:tcPr>
          <w:p w14:paraId="7670DBB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A46B38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15000</w:t>
            </w:r>
          </w:p>
        </w:tc>
        <w:tc>
          <w:tcPr>
            <w:tcW w:w="724" w:type="dxa"/>
            <w:noWrap w:val="0"/>
            <w:vAlign w:val="center"/>
          </w:tcPr>
          <w:p w14:paraId="39974D4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16DE108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F4C9A7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245BB6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4FBA3BB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7D26B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14DF7B32">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5</w:t>
            </w:r>
          </w:p>
        </w:tc>
        <w:tc>
          <w:tcPr>
            <w:tcW w:w="1032" w:type="dxa"/>
            <w:noWrap w:val="0"/>
            <w:vAlign w:val="center"/>
          </w:tcPr>
          <w:p w14:paraId="1CFA634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胡萝卜</w:t>
            </w:r>
          </w:p>
        </w:tc>
        <w:tc>
          <w:tcPr>
            <w:tcW w:w="962" w:type="dxa"/>
            <w:noWrap w:val="0"/>
            <w:vAlign w:val="center"/>
          </w:tcPr>
          <w:p w14:paraId="6B1A0AC9">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3.00 </w:t>
            </w:r>
          </w:p>
        </w:tc>
        <w:tc>
          <w:tcPr>
            <w:tcW w:w="1053" w:type="dxa"/>
            <w:noWrap w:val="0"/>
            <w:vAlign w:val="center"/>
          </w:tcPr>
          <w:p w14:paraId="2D98E3B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4444E77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20000.3</w:t>
            </w:r>
          </w:p>
        </w:tc>
        <w:tc>
          <w:tcPr>
            <w:tcW w:w="724" w:type="dxa"/>
            <w:noWrap w:val="0"/>
            <w:vAlign w:val="center"/>
          </w:tcPr>
          <w:p w14:paraId="75F91F1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D60E43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4DF2624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CD3735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2072E18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4A3A1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4BB57748">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032" w:type="dxa"/>
            <w:noWrap w:val="0"/>
            <w:vAlign w:val="center"/>
          </w:tcPr>
          <w:p w14:paraId="682074D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洋葱</w:t>
            </w:r>
          </w:p>
        </w:tc>
        <w:tc>
          <w:tcPr>
            <w:tcW w:w="962" w:type="dxa"/>
            <w:noWrap w:val="0"/>
            <w:vAlign w:val="center"/>
          </w:tcPr>
          <w:p w14:paraId="7C36A3F3">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1053" w:type="dxa"/>
            <w:noWrap w:val="0"/>
            <w:vAlign w:val="center"/>
          </w:tcPr>
          <w:p w14:paraId="1499B4B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F393EF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724" w:type="dxa"/>
            <w:noWrap w:val="0"/>
            <w:vAlign w:val="center"/>
          </w:tcPr>
          <w:p w14:paraId="48A65F4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48499B9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26D28D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2273914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97CD78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B5A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257E2D45">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032" w:type="dxa"/>
            <w:noWrap w:val="0"/>
            <w:vAlign w:val="center"/>
          </w:tcPr>
          <w:p w14:paraId="5015864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薄荷</w:t>
            </w:r>
          </w:p>
        </w:tc>
        <w:tc>
          <w:tcPr>
            <w:tcW w:w="962" w:type="dxa"/>
            <w:noWrap w:val="0"/>
            <w:vAlign w:val="center"/>
          </w:tcPr>
          <w:p w14:paraId="7654DBFF">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5.00 </w:t>
            </w:r>
          </w:p>
        </w:tc>
        <w:tc>
          <w:tcPr>
            <w:tcW w:w="1053" w:type="dxa"/>
            <w:noWrap w:val="0"/>
            <w:vAlign w:val="center"/>
          </w:tcPr>
          <w:p w14:paraId="48D6E14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2CEE28F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800</w:t>
            </w:r>
          </w:p>
        </w:tc>
        <w:tc>
          <w:tcPr>
            <w:tcW w:w="724" w:type="dxa"/>
            <w:noWrap w:val="0"/>
            <w:vAlign w:val="center"/>
          </w:tcPr>
          <w:p w14:paraId="7B4792C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008FB77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21C06BF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2B76B79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637EFB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1570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4E00D81A">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1032" w:type="dxa"/>
            <w:noWrap w:val="0"/>
            <w:vAlign w:val="center"/>
          </w:tcPr>
          <w:p w14:paraId="4BF8DA6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香菜</w:t>
            </w:r>
          </w:p>
        </w:tc>
        <w:tc>
          <w:tcPr>
            <w:tcW w:w="962" w:type="dxa"/>
            <w:noWrap w:val="0"/>
            <w:vAlign w:val="center"/>
          </w:tcPr>
          <w:p w14:paraId="21DB1BED">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7.00 </w:t>
            </w:r>
          </w:p>
        </w:tc>
        <w:tc>
          <w:tcPr>
            <w:tcW w:w="1053" w:type="dxa"/>
            <w:noWrap w:val="0"/>
            <w:vAlign w:val="center"/>
          </w:tcPr>
          <w:p w14:paraId="4CC9B07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47EBCEF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800</w:t>
            </w:r>
          </w:p>
        </w:tc>
        <w:tc>
          <w:tcPr>
            <w:tcW w:w="724" w:type="dxa"/>
            <w:noWrap w:val="0"/>
            <w:vAlign w:val="center"/>
          </w:tcPr>
          <w:p w14:paraId="30CCDD8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27A2918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50DA02C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CC64CA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244A01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700F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7257F250">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1032" w:type="dxa"/>
            <w:noWrap w:val="0"/>
            <w:vAlign w:val="center"/>
          </w:tcPr>
          <w:p w14:paraId="1225D03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姜</w:t>
            </w:r>
          </w:p>
        </w:tc>
        <w:tc>
          <w:tcPr>
            <w:tcW w:w="962" w:type="dxa"/>
            <w:noWrap w:val="0"/>
            <w:vAlign w:val="center"/>
          </w:tcPr>
          <w:p w14:paraId="314C1594">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8.25 </w:t>
            </w:r>
          </w:p>
        </w:tc>
        <w:tc>
          <w:tcPr>
            <w:tcW w:w="1053" w:type="dxa"/>
            <w:noWrap w:val="0"/>
            <w:vAlign w:val="center"/>
          </w:tcPr>
          <w:p w14:paraId="1F70759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17EF063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7800</w:t>
            </w:r>
          </w:p>
        </w:tc>
        <w:tc>
          <w:tcPr>
            <w:tcW w:w="724" w:type="dxa"/>
            <w:noWrap w:val="0"/>
            <w:vAlign w:val="center"/>
          </w:tcPr>
          <w:p w14:paraId="232AE11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2A8592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3D5A31D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90CEA5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7C3BF49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9713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EE39B8D">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032" w:type="dxa"/>
            <w:noWrap w:val="0"/>
            <w:vAlign w:val="center"/>
          </w:tcPr>
          <w:p w14:paraId="0E9F514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蒜</w:t>
            </w:r>
          </w:p>
        </w:tc>
        <w:tc>
          <w:tcPr>
            <w:tcW w:w="962" w:type="dxa"/>
            <w:noWrap w:val="0"/>
            <w:vAlign w:val="center"/>
          </w:tcPr>
          <w:p w14:paraId="458C4E02">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11.99 </w:t>
            </w:r>
          </w:p>
        </w:tc>
        <w:tc>
          <w:tcPr>
            <w:tcW w:w="1053" w:type="dxa"/>
            <w:noWrap w:val="0"/>
            <w:vAlign w:val="center"/>
          </w:tcPr>
          <w:p w14:paraId="17ABBAE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5A984B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724" w:type="dxa"/>
            <w:noWrap w:val="0"/>
            <w:vAlign w:val="center"/>
          </w:tcPr>
          <w:p w14:paraId="5628ED8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2B6A3E7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3F65BAE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69E1A4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4C8DD0F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47C5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6AEA1021">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032" w:type="dxa"/>
            <w:noWrap w:val="0"/>
            <w:vAlign w:val="center"/>
          </w:tcPr>
          <w:p w14:paraId="4694D88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小米辣</w:t>
            </w:r>
          </w:p>
        </w:tc>
        <w:tc>
          <w:tcPr>
            <w:tcW w:w="962" w:type="dxa"/>
            <w:noWrap w:val="0"/>
            <w:vAlign w:val="center"/>
          </w:tcPr>
          <w:p w14:paraId="3144989B">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13.95 </w:t>
            </w:r>
          </w:p>
        </w:tc>
        <w:tc>
          <w:tcPr>
            <w:tcW w:w="1053" w:type="dxa"/>
            <w:noWrap w:val="0"/>
            <w:vAlign w:val="center"/>
          </w:tcPr>
          <w:p w14:paraId="2E02A3F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43681B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724" w:type="dxa"/>
            <w:noWrap w:val="0"/>
            <w:vAlign w:val="center"/>
          </w:tcPr>
          <w:p w14:paraId="5DF01F3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1E22353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5777D3F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2EEF21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65F52F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2CFF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195DD243">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032" w:type="dxa"/>
            <w:noWrap w:val="0"/>
            <w:vAlign w:val="center"/>
          </w:tcPr>
          <w:p w14:paraId="2FB849E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蒜苗</w:t>
            </w:r>
          </w:p>
        </w:tc>
        <w:tc>
          <w:tcPr>
            <w:tcW w:w="962" w:type="dxa"/>
            <w:noWrap w:val="0"/>
            <w:vAlign w:val="center"/>
          </w:tcPr>
          <w:p w14:paraId="517A7EF1">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3.55 </w:t>
            </w:r>
          </w:p>
        </w:tc>
        <w:tc>
          <w:tcPr>
            <w:tcW w:w="1053" w:type="dxa"/>
            <w:noWrap w:val="0"/>
            <w:vAlign w:val="center"/>
          </w:tcPr>
          <w:p w14:paraId="4CE51D10">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72DFD07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3000</w:t>
            </w:r>
          </w:p>
        </w:tc>
        <w:tc>
          <w:tcPr>
            <w:tcW w:w="724" w:type="dxa"/>
            <w:noWrap w:val="0"/>
            <w:vAlign w:val="center"/>
          </w:tcPr>
          <w:p w14:paraId="70E80D4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19D407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B47C7E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4ED0DC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6498F35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0F88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0CA3501">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032" w:type="dxa"/>
            <w:noWrap w:val="0"/>
            <w:vAlign w:val="center"/>
          </w:tcPr>
          <w:p w14:paraId="3D4CE7E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白花菜</w:t>
            </w:r>
          </w:p>
        </w:tc>
        <w:tc>
          <w:tcPr>
            <w:tcW w:w="962" w:type="dxa"/>
            <w:noWrap w:val="0"/>
            <w:vAlign w:val="center"/>
          </w:tcPr>
          <w:p w14:paraId="1AA5BFF4">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2.00 </w:t>
            </w:r>
          </w:p>
        </w:tc>
        <w:tc>
          <w:tcPr>
            <w:tcW w:w="1053" w:type="dxa"/>
            <w:noWrap w:val="0"/>
            <w:vAlign w:val="center"/>
          </w:tcPr>
          <w:p w14:paraId="730D3B8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B4ACDC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5000</w:t>
            </w:r>
          </w:p>
        </w:tc>
        <w:tc>
          <w:tcPr>
            <w:tcW w:w="724" w:type="dxa"/>
            <w:noWrap w:val="0"/>
            <w:vAlign w:val="center"/>
          </w:tcPr>
          <w:p w14:paraId="32E5736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026AFFF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490B1D7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3C4957A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4CE2DE7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7261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35174D3A">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032" w:type="dxa"/>
            <w:noWrap w:val="0"/>
            <w:vAlign w:val="center"/>
          </w:tcPr>
          <w:p w14:paraId="26D6C47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韭菜</w:t>
            </w:r>
          </w:p>
        </w:tc>
        <w:tc>
          <w:tcPr>
            <w:tcW w:w="962" w:type="dxa"/>
            <w:noWrap w:val="0"/>
            <w:vAlign w:val="center"/>
          </w:tcPr>
          <w:p w14:paraId="5BE93AD1">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2.25 </w:t>
            </w:r>
          </w:p>
        </w:tc>
        <w:tc>
          <w:tcPr>
            <w:tcW w:w="1053" w:type="dxa"/>
            <w:noWrap w:val="0"/>
            <w:vAlign w:val="center"/>
          </w:tcPr>
          <w:p w14:paraId="17163F2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573FEC0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9000</w:t>
            </w:r>
          </w:p>
        </w:tc>
        <w:tc>
          <w:tcPr>
            <w:tcW w:w="724" w:type="dxa"/>
            <w:noWrap w:val="0"/>
            <w:vAlign w:val="center"/>
          </w:tcPr>
          <w:p w14:paraId="0E3E267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6E03C3A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640367E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44B40F4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6AD7081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323B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130E6EE5">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032" w:type="dxa"/>
            <w:noWrap w:val="0"/>
            <w:vAlign w:val="center"/>
          </w:tcPr>
          <w:p w14:paraId="39B431D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茄子</w:t>
            </w:r>
          </w:p>
        </w:tc>
        <w:tc>
          <w:tcPr>
            <w:tcW w:w="962" w:type="dxa"/>
            <w:noWrap w:val="0"/>
            <w:vAlign w:val="center"/>
          </w:tcPr>
          <w:p w14:paraId="3C2FCF72">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4.45 </w:t>
            </w:r>
          </w:p>
        </w:tc>
        <w:tc>
          <w:tcPr>
            <w:tcW w:w="1053" w:type="dxa"/>
            <w:noWrap w:val="0"/>
            <w:vAlign w:val="center"/>
          </w:tcPr>
          <w:p w14:paraId="09F702D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29F29335">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25000</w:t>
            </w:r>
          </w:p>
        </w:tc>
        <w:tc>
          <w:tcPr>
            <w:tcW w:w="724" w:type="dxa"/>
            <w:noWrap w:val="0"/>
            <w:vAlign w:val="center"/>
          </w:tcPr>
          <w:p w14:paraId="5B6839E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6BB1F83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1B873D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4D7C403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2FAFBCE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482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55879E62">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032" w:type="dxa"/>
            <w:noWrap w:val="0"/>
            <w:vAlign w:val="center"/>
          </w:tcPr>
          <w:p w14:paraId="690B7E8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青菜</w:t>
            </w:r>
          </w:p>
        </w:tc>
        <w:tc>
          <w:tcPr>
            <w:tcW w:w="962" w:type="dxa"/>
            <w:noWrap w:val="0"/>
            <w:vAlign w:val="center"/>
          </w:tcPr>
          <w:p w14:paraId="652491F3">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3.89 </w:t>
            </w:r>
          </w:p>
        </w:tc>
        <w:tc>
          <w:tcPr>
            <w:tcW w:w="1053" w:type="dxa"/>
            <w:noWrap w:val="0"/>
            <w:vAlign w:val="center"/>
          </w:tcPr>
          <w:p w14:paraId="6059CFB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4C5F272F">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28000</w:t>
            </w:r>
          </w:p>
        </w:tc>
        <w:tc>
          <w:tcPr>
            <w:tcW w:w="724" w:type="dxa"/>
            <w:noWrap w:val="0"/>
            <w:vAlign w:val="center"/>
          </w:tcPr>
          <w:p w14:paraId="75EE913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14B9829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4E851F0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BE5521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1DB23C7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6B67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5D81EA32">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032" w:type="dxa"/>
            <w:noWrap w:val="0"/>
            <w:vAlign w:val="center"/>
          </w:tcPr>
          <w:p w14:paraId="6397E087">
            <w:pPr>
              <w:keepNext w:val="0"/>
              <w:keepLines w:val="0"/>
              <w:widowControl/>
              <w:suppressLineNumbers w:val="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魔芋豆腐</w:t>
            </w:r>
          </w:p>
        </w:tc>
        <w:tc>
          <w:tcPr>
            <w:tcW w:w="962" w:type="dxa"/>
            <w:noWrap w:val="0"/>
            <w:vAlign w:val="center"/>
          </w:tcPr>
          <w:p w14:paraId="70EA8632">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8.00 </w:t>
            </w:r>
          </w:p>
        </w:tc>
        <w:tc>
          <w:tcPr>
            <w:tcW w:w="1053" w:type="dxa"/>
            <w:noWrap w:val="0"/>
            <w:vAlign w:val="center"/>
          </w:tcPr>
          <w:p w14:paraId="2DE2DF0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0D843F25">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7500</w:t>
            </w:r>
          </w:p>
        </w:tc>
        <w:tc>
          <w:tcPr>
            <w:tcW w:w="724" w:type="dxa"/>
            <w:noWrap w:val="0"/>
            <w:vAlign w:val="center"/>
          </w:tcPr>
          <w:p w14:paraId="66D9A766">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5B39529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399F672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470FF3B5">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00480E1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5E9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763EAE63">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032" w:type="dxa"/>
            <w:noWrap w:val="0"/>
            <w:vAlign w:val="center"/>
          </w:tcPr>
          <w:p w14:paraId="6E18023C">
            <w:pPr>
              <w:keepNext w:val="0"/>
              <w:keepLines w:val="0"/>
              <w:widowControl/>
              <w:suppressLineNumbers w:val="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玉米</w:t>
            </w:r>
          </w:p>
        </w:tc>
        <w:tc>
          <w:tcPr>
            <w:tcW w:w="962" w:type="dxa"/>
            <w:noWrap w:val="0"/>
            <w:vAlign w:val="center"/>
          </w:tcPr>
          <w:p w14:paraId="63E24AC9">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4.50 </w:t>
            </w:r>
          </w:p>
        </w:tc>
        <w:tc>
          <w:tcPr>
            <w:tcW w:w="1053" w:type="dxa"/>
            <w:noWrap w:val="0"/>
            <w:vAlign w:val="center"/>
          </w:tcPr>
          <w:p w14:paraId="1C040BB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1DAF11E5">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5000</w:t>
            </w:r>
          </w:p>
        </w:tc>
        <w:tc>
          <w:tcPr>
            <w:tcW w:w="724" w:type="dxa"/>
            <w:noWrap w:val="0"/>
            <w:vAlign w:val="center"/>
          </w:tcPr>
          <w:p w14:paraId="670061C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71B03E0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18C9DCB0">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7C14FDEF">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2D8AD56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1C13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59A6F68F">
            <w:pPr>
              <w:pStyle w:val="14"/>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032" w:type="dxa"/>
            <w:noWrap w:val="0"/>
            <w:vAlign w:val="center"/>
          </w:tcPr>
          <w:p w14:paraId="27E3BD05">
            <w:pPr>
              <w:keepNext w:val="0"/>
              <w:keepLines w:val="0"/>
              <w:widowControl/>
              <w:suppressLineNumbers w:val="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红薯</w:t>
            </w:r>
          </w:p>
        </w:tc>
        <w:tc>
          <w:tcPr>
            <w:tcW w:w="962" w:type="dxa"/>
            <w:noWrap w:val="0"/>
            <w:vAlign w:val="center"/>
          </w:tcPr>
          <w:p w14:paraId="5197ACA3">
            <w:pPr>
              <w:keepNext w:val="0"/>
              <w:keepLines w:val="0"/>
              <w:widowControl/>
              <w:suppressLineNumbers w:val="0"/>
              <w:jc w:val="righ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 xml:space="preserve">3.50 </w:t>
            </w:r>
          </w:p>
        </w:tc>
        <w:tc>
          <w:tcPr>
            <w:tcW w:w="1053" w:type="dxa"/>
            <w:noWrap w:val="0"/>
            <w:vAlign w:val="center"/>
          </w:tcPr>
          <w:p w14:paraId="512FAC9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2336801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4403 </w:t>
            </w:r>
          </w:p>
        </w:tc>
        <w:tc>
          <w:tcPr>
            <w:tcW w:w="724" w:type="dxa"/>
            <w:noWrap w:val="0"/>
            <w:vAlign w:val="center"/>
          </w:tcPr>
          <w:p w14:paraId="6CCC2014">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6266F7D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457E7CB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68F082A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25BECCAC">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3B1C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306F6008">
            <w:pPr>
              <w:pStyle w:val="14"/>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30</w:t>
            </w:r>
          </w:p>
        </w:tc>
        <w:tc>
          <w:tcPr>
            <w:tcW w:w="1032" w:type="dxa"/>
            <w:noWrap w:val="0"/>
            <w:vAlign w:val="center"/>
          </w:tcPr>
          <w:p w14:paraId="0C225C9C">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蒜苔</w:t>
            </w:r>
          </w:p>
        </w:tc>
        <w:tc>
          <w:tcPr>
            <w:tcW w:w="962" w:type="dxa"/>
            <w:noWrap w:val="0"/>
            <w:vAlign w:val="center"/>
          </w:tcPr>
          <w:p w14:paraId="117527FB">
            <w:pPr>
              <w:keepNext w:val="0"/>
              <w:keepLines w:val="0"/>
              <w:widowControl/>
              <w:suppressLineNumbers w:val="0"/>
              <w:jc w:val="right"/>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9.44 </w:t>
            </w:r>
          </w:p>
        </w:tc>
        <w:tc>
          <w:tcPr>
            <w:tcW w:w="1053" w:type="dxa"/>
            <w:noWrap w:val="0"/>
            <w:vAlign w:val="center"/>
          </w:tcPr>
          <w:p w14:paraId="29AF684F">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37B1ACD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9990</w:t>
            </w:r>
          </w:p>
        </w:tc>
        <w:tc>
          <w:tcPr>
            <w:tcW w:w="724" w:type="dxa"/>
            <w:noWrap w:val="0"/>
            <w:vAlign w:val="center"/>
          </w:tcPr>
          <w:p w14:paraId="5453A05A">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683C4B8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0F7637A1">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44BDC6C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5B2D330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59638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304A13DD">
            <w:pPr>
              <w:pStyle w:val="14"/>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31</w:t>
            </w:r>
          </w:p>
        </w:tc>
        <w:tc>
          <w:tcPr>
            <w:tcW w:w="1032" w:type="dxa"/>
            <w:noWrap w:val="0"/>
            <w:vAlign w:val="center"/>
          </w:tcPr>
          <w:p w14:paraId="73C69195">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鲜鸡蛋</w:t>
            </w:r>
          </w:p>
        </w:tc>
        <w:tc>
          <w:tcPr>
            <w:tcW w:w="962" w:type="dxa"/>
            <w:noWrap w:val="0"/>
            <w:vAlign w:val="center"/>
          </w:tcPr>
          <w:p w14:paraId="11C4BCCD">
            <w:pPr>
              <w:keepNext w:val="0"/>
              <w:keepLines w:val="0"/>
              <w:widowControl/>
              <w:suppressLineNumbers w:val="0"/>
              <w:jc w:val="right"/>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9.44 </w:t>
            </w:r>
          </w:p>
        </w:tc>
        <w:tc>
          <w:tcPr>
            <w:tcW w:w="1053" w:type="dxa"/>
            <w:noWrap w:val="0"/>
            <w:vAlign w:val="center"/>
          </w:tcPr>
          <w:p w14:paraId="3E402C33">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2FE7896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35000 </w:t>
            </w:r>
          </w:p>
        </w:tc>
        <w:tc>
          <w:tcPr>
            <w:tcW w:w="724" w:type="dxa"/>
            <w:noWrap w:val="0"/>
            <w:vAlign w:val="center"/>
          </w:tcPr>
          <w:p w14:paraId="3DEF6C98">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210E400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4AF8AE52">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5B70D133">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1AFE5F67">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0DB5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98" w:type="dxa"/>
            <w:noWrap w:val="0"/>
            <w:vAlign w:val="center"/>
          </w:tcPr>
          <w:p w14:paraId="0DEA5211">
            <w:pPr>
              <w:pStyle w:val="14"/>
              <w:keepNext w:val="0"/>
              <w:keepLines w:val="0"/>
              <w:suppressLineNumbers w:val="0"/>
              <w:spacing w:before="0" w:beforeAutospacing="0" w:after="0" w:afterAutospacing="0" w:line="240" w:lineRule="auto"/>
              <w:ind w:left="0" w:right="0"/>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32</w:t>
            </w:r>
          </w:p>
        </w:tc>
        <w:tc>
          <w:tcPr>
            <w:tcW w:w="1032" w:type="dxa"/>
            <w:noWrap w:val="0"/>
            <w:vAlign w:val="center"/>
          </w:tcPr>
          <w:p w14:paraId="14398ED0">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洗衣粉</w:t>
            </w:r>
          </w:p>
        </w:tc>
        <w:tc>
          <w:tcPr>
            <w:tcW w:w="962" w:type="dxa"/>
            <w:noWrap w:val="0"/>
            <w:vAlign w:val="center"/>
          </w:tcPr>
          <w:p w14:paraId="14469E6A">
            <w:pPr>
              <w:keepNext w:val="0"/>
              <w:keepLines w:val="0"/>
              <w:widowControl/>
              <w:suppressLineNumbers w:val="0"/>
              <w:jc w:val="right"/>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20.14 </w:t>
            </w:r>
          </w:p>
        </w:tc>
        <w:tc>
          <w:tcPr>
            <w:tcW w:w="1053" w:type="dxa"/>
            <w:noWrap w:val="0"/>
            <w:vAlign w:val="center"/>
          </w:tcPr>
          <w:p w14:paraId="37C4774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highlight w:val="none"/>
              </w:rPr>
            </w:pPr>
          </w:p>
        </w:tc>
        <w:tc>
          <w:tcPr>
            <w:tcW w:w="1061" w:type="dxa"/>
            <w:noWrap w:val="0"/>
            <w:vAlign w:val="center"/>
          </w:tcPr>
          <w:p w14:paraId="3012E2A6">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724" w:type="dxa"/>
            <w:noWrap w:val="0"/>
            <w:vAlign w:val="center"/>
          </w:tcPr>
          <w:p w14:paraId="57B66A9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97" w:type="dxa"/>
            <w:noWrap w:val="0"/>
            <w:vAlign w:val="center"/>
          </w:tcPr>
          <w:p w14:paraId="22F2D4FD">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963" w:type="dxa"/>
            <w:noWrap w:val="0"/>
            <w:vAlign w:val="center"/>
          </w:tcPr>
          <w:p w14:paraId="35CE9B19">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1298" w:type="dxa"/>
            <w:noWrap w:val="0"/>
            <w:vAlign w:val="center"/>
          </w:tcPr>
          <w:p w14:paraId="194766BE">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c>
          <w:tcPr>
            <w:tcW w:w="824" w:type="dxa"/>
            <w:noWrap w:val="0"/>
            <w:vAlign w:val="center"/>
          </w:tcPr>
          <w:p w14:paraId="0788F0BB">
            <w:pPr>
              <w:pStyle w:val="14"/>
              <w:keepNext w:val="0"/>
              <w:keepLines w:val="0"/>
              <w:suppressLineNumbers w:val="0"/>
              <w:spacing w:before="0" w:beforeAutospacing="0" w:after="0" w:afterAutospacing="0" w:line="240" w:lineRule="auto"/>
              <w:ind w:left="1080" w:leftChars="257" w:right="0" w:hanging="540"/>
              <w:jc w:val="center"/>
              <w:rPr>
                <w:rFonts w:hint="eastAsia" w:ascii="宋体" w:hAnsi="宋体" w:eastAsia="宋体" w:cs="宋体"/>
                <w:color w:val="auto"/>
                <w:sz w:val="21"/>
                <w:szCs w:val="21"/>
                <w:highlight w:val="none"/>
              </w:rPr>
            </w:pPr>
          </w:p>
        </w:tc>
      </w:tr>
      <w:tr w14:paraId="5F2F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2692" w:type="dxa"/>
            <w:gridSpan w:val="3"/>
            <w:noWrap w:val="0"/>
            <w:vAlign w:val="center"/>
          </w:tcPr>
          <w:p w14:paraId="76BD1E9E">
            <w:pPr>
              <w:keepNext w:val="0"/>
              <w:keepLines w:val="0"/>
              <w:suppressLineNumbers w:val="0"/>
              <w:spacing w:before="0" w:beforeAutospacing="0" w:after="0" w:afterAutospacing="0" w:line="240" w:lineRule="auto"/>
              <w:ind w:left="0" w:leftChars="0" w:right="0" w:rightChars="0"/>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投标总价（合计）</w:t>
            </w:r>
          </w:p>
        </w:tc>
        <w:tc>
          <w:tcPr>
            <w:tcW w:w="6920" w:type="dxa"/>
            <w:gridSpan w:val="7"/>
            <w:noWrap w:val="0"/>
            <w:vAlign w:val="center"/>
          </w:tcPr>
          <w:p w14:paraId="5DA6F178">
            <w:pPr>
              <w:pStyle w:val="14"/>
              <w:keepNext w:val="0"/>
              <w:keepLines w:val="0"/>
              <w:suppressLineNumbers w:val="0"/>
              <w:spacing w:before="0" w:beforeAutospacing="0" w:after="0" w:afterAutospacing="0" w:line="240" w:lineRule="auto"/>
              <w:ind w:right="0" w:firstLine="420" w:firstLine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元</w:t>
            </w:r>
          </w:p>
        </w:tc>
      </w:tr>
    </w:tbl>
    <w:p w14:paraId="465B0B44">
      <w:pPr>
        <w:rPr>
          <w:rFonts w:ascii="宋体" w:hAnsi="宋体" w:cs="宋体"/>
          <w:color w:val="auto"/>
          <w:szCs w:val="28"/>
          <w:highlight w:val="none"/>
        </w:rPr>
      </w:pPr>
    </w:p>
    <w:p w14:paraId="3A103D1A">
      <w:pPr>
        <w:pStyle w:val="14"/>
        <w:spacing w:line="500" w:lineRule="exact"/>
        <w:ind w:firstLine="480" w:firstLineChars="200"/>
        <w:rPr>
          <w:rFonts w:hAnsi="宋体" w:cs="宋体"/>
          <w:bCs/>
          <w:color w:val="auto"/>
          <w:sz w:val="24"/>
          <w:highlight w:val="none"/>
        </w:rPr>
      </w:pPr>
      <w:r>
        <w:rPr>
          <w:rFonts w:hint="eastAsia" w:hAnsi="宋体" w:cs="宋体"/>
          <w:bCs/>
          <w:color w:val="auto"/>
          <w:sz w:val="24"/>
          <w:szCs w:val="24"/>
          <w:highlight w:val="none"/>
        </w:rPr>
        <w:t>注：</w:t>
      </w:r>
      <w:r>
        <w:rPr>
          <w:rFonts w:hint="eastAsia" w:hAnsi="宋体" w:cs="宋体"/>
          <w:bCs/>
          <w:color w:val="auto"/>
          <w:sz w:val="24"/>
          <w:highlight w:val="none"/>
        </w:rPr>
        <w:t xml:space="preserve"> </w:t>
      </w:r>
    </w:p>
    <w:p w14:paraId="1983B582">
      <w:pPr>
        <w:pStyle w:val="14"/>
        <w:spacing w:line="500" w:lineRule="exact"/>
        <w:ind w:firstLine="480" w:firstLineChars="200"/>
        <w:rPr>
          <w:rFonts w:hint="eastAsia" w:hAnsi="宋体" w:cs="宋体"/>
          <w:bCs/>
          <w:color w:val="auto"/>
          <w:sz w:val="24"/>
          <w:szCs w:val="24"/>
          <w:highlight w:val="none"/>
        </w:rPr>
      </w:pPr>
      <w:r>
        <w:rPr>
          <w:rFonts w:hAnsi="宋体" w:cs="宋体"/>
          <w:bCs/>
          <w:color w:val="auto"/>
          <w:sz w:val="24"/>
          <w:szCs w:val="24"/>
          <w:highlight w:val="none"/>
        </w:rPr>
        <w:t>1.</w:t>
      </w:r>
      <w:r>
        <w:rPr>
          <w:rFonts w:hint="eastAsia" w:hAnsi="宋体" w:cs="宋体"/>
          <w:bCs/>
          <w:color w:val="auto"/>
          <w:sz w:val="24"/>
          <w:szCs w:val="24"/>
          <w:highlight w:val="none"/>
          <w:lang w:val="en-US" w:eastAsia="zh-CN"/>
        </w:rPr>
        <w:t>表中的采购量为预计采购量，</w:t>
      </w:r>
      <w:r>
        <w:rPr>
          <w:rFonts w:hint="eastAsia" w:ascii="宋体" w:hAnsi="宋体" w:cs="宋体"/>
          <w:b w:val="0"/>
          <w:bCs w:val="0"/>
          <w:color w:val="auto"/>
          <w:sz w:val="24"/>
          <w:szCs w:val="24"/>
          <w:highlight w:val="none"/>
          <w:lang w:val="en-US" w:eastAsia="zh-CN"/>
        </w:rPr>
        <w:t>实际采购量以实际发生为准</w:t>
      </w:r>
      <w:r>
        <w:rPr>
          <w:rFonts w:hint="eastAsia" w:hAnsi="宋体" w:cs="宋体"/>
          <w:bCs/>
          <w:color w:val="auto"/>
          <w:sz w:val="24"/>
          <w:szCs w:val="24"/>
          <w:highlight w:val="none"/>
          <w:lang w:val="en-US" w:eastAsia="zh-CN"/>
        </w:rPr>
        <w:t>（即总价＝中标单价×实际供货量）</w:t>
      </w:r>
      <w:r>
        <w:rPr>
          <w:rFonts w:hint="eastAsia" w:hAnsi="宋体" w:cs="宋体"/>
          <w:bCs/>
          <w:color w:val="auto"/>
          <w:sz w:val="24"/>
          <w:szCs w:val="24"/>
          <w:highlight w:val="none"/>
        </w:rPr>
        <w:t>。</w:t>
      </w:r>
    </w:p>
    <w:p w14:paraId="4F639DCE">
      <w:pPr>
        <w:spacing w:line="360" w:lineRule="auto"/>
        <w:ind w:firstLine="480" w:firstLineChars="200"/>
        <w:rPr>
          <w:color w:val="auto"/>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.此表中的</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单价即为最终报价，不允许另有折扣说明。</w:t>
      </w:r>
    </w:p>
    <w:p w14:paraId="3C848E3A">
      <w:pPr>
        <w:pStyle w:val="7"/>
        <w:spacing w:line="500" w:lineRule="exact"/>
        <w:ind w:firstLine="482" w:firstLineChars="200"/>
        <w:outlineLvl w:val="9"/>
        <w:rPr>
          <w:rFonts w:hint="eastAsia" w:ascii="宋体" w:hAnsi="宋体" w:eastAsia="宋体" w:cs="宋体"/>
          <w:b/>
          <w:bCs w:val="0"/>
          <w:color w:val="auto"/>
          <w:sz w:val="24"/>
          <w:szCs w:val="24"/>
          <w:highlight w:val="none"/>
          <w:lang w:val="en-US" w:eastAsia="zh-CN" w:bidi="ar-SA"/>
        </w:rPr>
      </w:pPr>
      <w:r>
        <w:rPr>
          <w:rFonts w:hint="eastAsia" w:hAnsi="宋体" w:cs="宋体"/>
          <w:b/>
          <w:bCs w:val="0"/>
          <w:color w:val="auto"/>
          <w:sz w:val="24"/>
          <w:szCs w:val="24"/>
          <w:highlight w:val="none"/>
          <w:lang w:val="en-US" w:eastAsia="zh-CN" w:bidi="ar-SA"/>
        </w:rPr>
        <w:t>3</w:t>
      </w:r>
      <w:r>
        <w:rPr>
          <w:rFonts w:hint="eastAsia" w:ascii="宋体" w:hAnsi="宋体" w:eastAsia="宋体" w:cs="宋体"/>
          <w:b/>
          <w:bCs w:val="0"/>
          <w:color w:val="auto"/>
          <w:sz w:val="24"/>
          <w:szCs w:val="24"/>
          <w:highlight w:val="none"/>
          <w:lang w:val="en-US" w:eastAsia="zh-CN" w:bidi="ar-SA"/>
        </w:rPr>
        <w:t>.投标人应保证表中所填写内容的真实性，一致性，准确性。</w:t>
      </w:r>
    </w:p>
    <w:p w14:paraId="0D8AB4AD">
      <w:pPr>
        <w:pStyle w:val="14"/>
        <w:spacing w:line="500" w:lineRule="exact"/>
        <w:ind w:firstLine="480" w:firstLineChars="200"/>
        <w:rPr>
          <w:rFonts w:hint="default"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.投标人仔细核对各项</w:t>
      </w:r>
      <w:r>
        <w:rPr>
          <w:rFonts w:hint="eastAsia" w:hAnsi="宋体" w:cs="宋体"/>
          <w:b/>
          <w:bCs w:val="0"/>
          <w:color w:val="auto"/>
          <w:sz w:val="24"/>
          <w:szCs w:val="24"/>
          <w:highlight w:val="none"/>
          <w:lang w:val="en-US" w:eastAsia="zh-CN"/>
        </w:rPr>
        <w:t>商品及产品要求（只允许正偏离或无偏离）</w:t>
      </w:r>
      <w:r>
        <w:rPr>
          <w:rFonts w:hint="eastAsia" w:ascii="宋体" w:hAnsi="宋体" w:eastAsia="宋体" w:cs="宋体"/>
          <w:b/>
          <w:bCs w:val="0"/>
          <w:color w:val="auto"/>
          <w:sz w:val="24"/>
          <w:szCs w:val="24"/>
          <w:highlight w:val="none"/>
          <w:lang w:val="en-US" w:eastAsia="zh-CN"/>
        </w:rPr>
        <w:t>，若经发现存在虚假应标，</w:t>
      </w:r>
      <w:r>
        <w:rPr>
          <w:rFonts w:hint="eastAsia" w:hAnsi="宋体" w:cs="宋体"/>
          <w:b/>
          <w:bCs w:val="0"/>
          <w:color w:val="auto"/>
          <w:sz w:val="24"/>
          <w:szCs w:val="24"/>
          <w:highlight w:val="none"/>
          <w:lang w:val="en-US" w:eastAsia="zh-CN"/>
        </w:rPr>
        <w:t>采购人</w:t>
      </w:r>
      <w:r>
        <w:rPr>
          <w:rFonts w:hint="eastAsia" w:ascii="宋体" w:hAnsi="宋体" w:eastAsia="宋体" w:cs="宋体"/>
          <w:b/>
          <w:bCs w:val="0"/>
          <w:color w:val="auto"/>
          <w:sz w:val="24"/>
          <w:szCs w:val="24"/>
          <w:highlight w:val="none"/>
          <w:lang w:val="en-US" w:eastAsia="zh-CN"/>
        </w:rPr>
        <w:t>将取消其投标（中标）资格并上报财政部门对其进行处罚。</w:t>
      </w:r>
    </w:p>
    <w:p w14:paraId="24DBC74E">
      <w:pPr>
        <w:pStyle w:val="14"/>
        <w:spacing w:line="500" w:lineRule="exact"/>
        <w:ind w:firstLine="480" w:firstLineChars="200"/>
        <w:rPr>
          <w:rFonts w:hint="eastAsia" w:hAnsi="宋体" w:eastAsia="宋体" w:cs="宋体"/>
          <w:bCs/>
          <w:color w:val="auto"/>
          <w:sz w:val="24"/>
          <w:szCs w:val="24"/>
          <w:highlight w:val="none"/>
          <w:lang w:eastAsia="zh-CN"/>
        </w:rPr>
      </w:pPr>
      <w:r>
        <w:rPr>
          <w:rFonts w:hint="eastAsia" w:hAnsi="宋体" w:cs="宋体"/>
          <w:bCs/>
          <w:color w:val="auto"/>
          <w:sz w:val="24"/>
          <w:szCs w:val="24"/>
          <w:highlight w:val="none"/>
          <w:lang w:val="en-US" w:eastAsia="zh-CN"/>
        </w:rPr>
        <w:t>5.</w:t>
      </w:r>
      <w:r>
        <w:rPr>
          <w:rFonts w:hint="eastAsia" w:hAnsi="宋体" w:cs="宋体"/>
          <w:bCs/>
          <w:color w:val="auto"/>
          <w:sz w:val="24"/>
          <w:szCs w:val="24"/>
          <w:highlight w:val="none"/>
        </w:rPr>
        <w:t>投标人应按照本招标文件第六章“采购需求”中</w:t>
      </w:r>
      <w:r>
        <w:rPr>
          <w:rFonts w:hint="eastAsia" w:hAnsi="宋体" w:cs="宋体"/>
          <w:bCs/>
          <w:color w:val="auto"/>
          <w:sz w:val="24"/>
          <w:szCs w:val="24"/>
          <w:highlight w:val="none"/>
          <w:lang w:val="en-US" w:eastAsia="zh-CN"/>
        </w:rPr>
        <w:t>采购清单</w:t>
      </w:r>
      <w:r>
        <w:rPr>
          <w:rFonts w:hint="eastAsia" w:hAnsi="宋体" w:cs="宋体"/>
          <w:bCs/>
          <w:color w:val="auto"/>
          <w:sz w:val="24"/>
          <w:szCs w:val="24"/>
          <w:highlight w:val="none"/>
        </w:rPr>
        <w:t>要求进行填写，不得缺项、漏项，投标报价不得超过采购</w:t>
      </w:r>
      <w:r>
        <w:rPr>
          <w:rFonts w:hint="eastAsia" w:hAnsi="宋体" w:cs="宋体"/>
          <w:bCs/>
          <w:color w:val="auto"/>
          <w:sz w:val="24"/>
          <w:szCs w:val="24"/>
          <w:highlight w:val="none"/>
          <w:lang w:eastAsia="zh-CN"/>
        </w:rPr>
        <w:t>单价最高限价和预算</w:t>
      </w:r>
      <w:r>
        <w:rPr>
          <w:rFonts w:hint="eastAsia" w:hAnsi="宋体" w:cs="宋体"/>
          <w:bCs/>
          <w:color w:val="auto"/>
          <w:sz w:val="24"/>
          <w:szCs w:val="24"/>
          <w:highlight w:val="none"/>
          <w:lang w:val="en-US" w:eastAsia="zh-CN"/>
        </w:rPr>
        <w:t>金额</w:t>
      </w:r>
      <w:r>
        <w:rPr>
          <w:rFonts w:hint="eastAsia" w:hAnsi="宋体" w:cs="宋体"/>
          <w:bCs/>
          <w:color w:val="auto"/>
          <w:sz w:val="24"/>
          <w:szCs w:val="24"/>
          <w:highlight w:val="none"/>
        </w:rPr>
        <w:t>，</w:t>
      </w:r>
      <w:r>
        <w:rPr>
          <w:rFonts w:hint="eastAsia" w:hAnsi="宋体" w:cs="宋体"/>
          <w:b/>
          <w:bCs w:val="0"/>
          <w:color w:val="auto"/>
          <w:sz w:val="24"/>
          <w:szCs w:val="24"/>
          <w:highlight w:val="none"/>
          <w:lang w:val="en-US" w:eastAsia="zh-CN"/>
        </w:rPr>
        <w:t>此表中的“投标总价”须与开标一览表中的“投标总价”</w:t>
      </w:r>
      <w:r>
        <w:rPr>
          <w:rFonts w:hint="eastAsia" w:hAnsi="宋体" w:cs="宋体"/>
          <w:bCs/>
          <w:color w:val="auto"/>
          <w:sz w:val="24"/>
          <w:szCs w:val="24"/>
          <w:highlight w:val="none"/>
          <w:lang w:val="en-US" w:eastAsia="zh-CN"/>
        </w:rPr>
        <w:t>一致，</w:t>
      </w:r>
      <w:r>
        <w:rPr>
          <w:rFonts w:hint="eastAsia" w:hAnsi="宋体" w:cs="宋体"/>
          <w:bCs/>
          <w:color w:val="auto"/>
          <w:sz w:val="24"/>
          <w:szCs w:val="24"/>
          <w:highlight w:val="none"/>
        </w:rPr>
        <w:t>投标报价保留两位小数。</w:t>
      </w:r>
      <w:r>
        <w:rPr>
          <w:rFonts w:hint="eastAsia" w:ascii="宋体" w:hAnsi="宋体" w:eastAsia="宋体" w:cs="宋体"/>
          <w:b/>
          <w:bCs/>
          <w:color w:val="auto"/>
          <w:sz w:val="24"/>
          <w:szCs w:val="24"/>
          <w:highlight w:val="none"/>
        </w:rPr>
        <w:t>如果按单价计算的结果与</w:t>
      </w:r>
      <w:r>
        <w:rPr>
          <w:rFonts w:hint="eastAsia" w:ascii="宋体" w:hAnsi="宋体" w:eastAsia="宋体" w:cs="宋体"/>
          <w:b/>
          <w:bCs/>
          <w:color w:val="auto"/>
          <w:sz w:val="24"/>
          <w:szCs w:val="24"/>
          <w:highlight w:val="none"/>
          <w:lang w:val="en-US" w:eastAsia="zh-CN"/>
        </w:rPr>
        <w:t>单价合价</w:t>
      </w:r>
      <w:r>
        <w:rPr>
          <w:rFonts w:hint="eastAsia" w:ascii="宋体" w:hAnsi="宋体" w:eastAsia="宋体" w:cs="宋体"/>
          <w:b/>
          <w:bCs/>
          <w:color w:val="auto"/>
          <w:sz w:val="24"/>
          <w:szCs w:val="24"/>
          <w:highlight w:val="none"/>
        </w:rPr>
        <w:t>不一致,以单价为准修正</w:t>
      </w:r>
      <w:r>
        <w:rPr>
          <w:rFonts w:hint="eastAsia" w:ascii="宋体" w:hAnsi="宋体" w:eastAsia="宋体" w:cs="宋体"/>
          <w:b/>
          <w:bCs/>
          <w:color w:val="auto"/>
          <w:sz w:val="24"/>
          <w:szCs w:val="24"/>
          <w:highlight w:val="none"/>
          <w:lang w:val="en-US" w:eastAsia="zh-CN"/>
        </w:rPr>
        <w:t>单价合价</w:t>
      </w:r>
      <w:r>
        <w:rPr>
          <w:rFonts w:hint="eastAsia" w:ascii="宋体" w:hAnsi="宋体" w:eastAsia="宋体" w:cs="宋体"/>
          <w:b/>
          <w:bCs/>
          <w:color w:val="auto"/>
          <w:sz w:val="24"/>
          <w:szCs w:val="24"/>
          <w:highlight w:val="none"/>
        </w:rPr>
        <w:t>，若修正后的</w:t>
      </w:r>
      <w:r>
        <w:rPr>
          <w:rFonts w:hint="eastAsia" w:ascii="宋体" w:hAnsi="宋体" w:eastAsia="宋体" w:cs="宋体"/>
          <w:b/>
          <w:bCs/>
          <w:color w:val="auto"/>
          <w:sz w:val="24"/>
          <w:szCs w:val="24"/>
          <w:highlight w:val="none"/>
          <w:lang w:val="en-US" w:eastAsia="zh-CN"/>
        </w:rPr>
        <w:t>单价合价</w:t>
      </w:r>
      <w:r>
        <w:rPr>
          <w:rFonts w:hint="eastAsia" w:ascii="宋体" w:hAnsi="宋体" w:eastAsia="宋体" w:cs="宋体"/>
          <w:b/>
          <w:bCs/>
          <w:color w:val="auto"/>
          <w:sz w:val="24"/>
          <w:szCs w:val="24"/>
          <w:highlight w:val="none"/>
        </w:rPr>
        <w:t>与开标一览表中的</w:t>
      </w:r>
      <w:r>
        <w:rPr>
          <w:rFonts w:hint="eastAsia" w:ascii="宋体" w:hAnsi="宋体" w:eastAsia="宋体" w:cs="宋体"/>
          <w:b/>
          <w:bCs/>
          <w:color w:val="auto"/>
          <w:sz w:val="24"/>
          <w:szCs w:val="24"/>
          <w:highlight w:val="none"/>
          <w:lang w:val="en-US" w:eastAsia="zh-CN"/>
        </w:rPr>
        <w:t>单价合价</w:t>
      </w:r>
      <w:r>
        <w:rPr>
          <w:rFonts w:hint="eastAsia" w:ascii="宋体" w:hAnsi="宋体" w:eastAsia="宋体" w:cs="宋体"/>
          <w:b/>
          <w:bCs/>
          <w:color w:val="auto"/>
          <w:sz w:val="24"/>
          <w:szCs w:val="24"/>
          <w:highlight w:val="none"/>
        </w:rPr>
        <w:t>不一致以修正后的</w:t>
      </w:r>
      <w:r>
        <w:rPr>
          <w:rFonts w:hint="eastAsia" w:ascii="宋体" w:hAnsi="宋体" w:eastAsia="宋体" w:cs="宋体"/>
          <w:b/>
          <w:bCs/>
          <w:color w:val="auto"/>
          <w:sz w:val="24"/>
          <w:szCs w:val="24"/>
          <w:highlight w:val="none"/>
          <w:lang w:val="en-US" w:eastAsia="zh-CN"/>
        </w:rPr>
        <w:t>单价合价</w:t>
      </w:r>
      <w:r>
        <w:rPr>
          <w:rFonts w:hint="eastAsia" w:ascii="宋体" w:hAnsi="宋体" w:eastAsia="宋体" w:cs="宋体"/>
          <w:b/>
          <w:bCs/>
          <w:color w:val="auto"/>
          <w:sz w:val="24"/>
          <w:szCs w:val="24"/>
          <w:highlight w:val="none"/>
        </w:rPr>
        <w:t>为准</w:t>
      </w:r>
      <w:r>
        <w:rPr>
          <w:rFonts w:hint="eastAsia" w:ascii="宋体" w:hAnsi="宋体" w:eastAsia="宋体" w:cs="宋体"/>
          <w:b/>
          <w:bCs/>
          <w:color w:val="auto"/>
          <w:sz w:val="24"/>
          <w:szCs w:val="24"/>
          <w:highlight w:val="none"/>
          <w:lang w:eastAsia="zh-CN"/>
        </w:rPr>
        <w:t>。</w:t>
      </w:r>
    </w:p>
    <w:p w14:paraId="32A97D24">
      <w:pPr>
        <w:pStyle w:val="8"/>
        <w:rPr>
          <w:rFonts w:ascii="宋体" w:hAnsi="宋体" w:cs="宋体"/>
          <w:color w:val="auto"/>
          <w:szCs w:val="28"/>
          <w:highlight w:val="none"/>
        </w:rPr>
      </w:pPr>
    </w:p>
    <w:p w14:paraId="66F15374">
      <w:pPr>
        <w:pStyle w:val="9"/>
        <w:ind w:left="1470" w:right="1470"/>
        <w:rPr>
          <w:rFonts w:ascii="宋体" w:hAnsi="宋体" w:cs="宋体"/>
          <w:color w:val="auto"/>
          <w:szCs w:val="28"/>
          <w:highlight w:val="none"/>
        </w:rPr>
      </w:pPr>
    </w:p>
    <w:p w14:paraId="0FD6A36D">
      <w:pPr>
        <w:pStyle w:val="9"/>
        <w:ind w:left="1470" w:right="1470"/>
        <w:rPr>
          <w:rFonts w:ascii="宋体" w:hAnsi="宋体" w:cs="宋体"/>
          <w:color w:val="auto"/>
          <w:szCs w:val="28"/>
          <w:highlight w:val="none"/>
        </w:rPr>
      </w:pPr>
    </w:p>
    <w:p w14:paraId="35366D86">
      <w:pPr>
        <w:pStyle w:val="9"/>
        <w:ind w:left="1470" w:right="1470"/>
        <w:rPr>
          <w:rFonts w:ascii="宋体" w:hAnsi="宋体" w:cs="宋体"/>
          <w:color w:val="auto"/>
          <w:szCs w:val="28"/>
          <w:highlight w:val="none"/>
        </w:rPr>
      </w:pPr>
    </w:p>
    <w:p w14:paraId="349848A8">
      <w:pPr>
        <w:pStyle w:val="9"/>
        <w:ind w:left="1470" w:right="1470"/>
        <w:rPr>
          <w:rFonts w:hint="eastAsia" w:ascii="宋体" w:hAnsi="宋体" w:cs="宋体"/>
          <w:color w:val="auto"/>
          <w:szCs w:val="28"/>
          <w:highlight w:val="none"/>
        </w:rPr>
      </w:pPr>
    </w:p>
    <w:p w14:paraId="0C95BEBD">
      <w:pPr>
        <w:pStyle w:val="9"/>
        <w:ind w:left="1470" w:right="1470"/>
        <w:rPr>
          <w:rFonts w:ascii="宋体" w:hAnsi="宋体" w:cs="宋体"/>
          <w:color w:val="auto"/>
          <w:szCs w:val="28"/>
          <w:highlight w:val="none"/>
        </w:rPr>
      </w:pPr>
    </w:p>
    <w:p w14:paraId="2433CABC">
      <w:pPr>
        <w:pStyle w:val="9"/>
        <w:ind w:left="1470" w:right="1470"/>
        <w:rPr>
          <w:rFonts w:ascii="宋体" w:hAnsi="宋体" w:cs="宋体"/>
          <w:color w:val="auto"/>
          <w:szCs w:val="28"/>
          <w:highlight w:val="none"/>
        </w:rPr>
      </w:pPr>
    </w:p>
    <w:p w14:paraId="057EDF8D">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6007BBDC">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法定代表人(单位负责人)或其委托代理人：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1D373B4A">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0D21D864">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2A5443BB">
      <w:pPr>
        <w:pStyle w:val="6"/>
        <w:rPr>
          <w:color w:val="auto"/>
          <w:highlight w:val="none"/>
        </w:rPr>
      </w:pPr>
      <w:bookmarkStart w:id="474" w:name="_Toc12693"/>
      <w:bookmarkStart w:id="475" w:name="_Toc30290"/>
      <w:r>
        <w:rPr>
          <w:rFonts w:hint="eastAsia"/>
          <w:color w:val="auto"/>
          <w:highlight w:val="none"/>
          <w:lang w:val="en-US" w:eastAsia="zh-CN"/>
        </w:rPr>
        <w:t>九</w:t>
      </w:r>
      <w:r>
        <w:rPr>
          <w:rFonts w:hint="eastAsia"/>
          <w:color w:val="auto"/>
          <w:highlight w:val="none"/>
        </w:rPr>
        <w:t>、投标人廉政承诺</w:t>
      </w:r>
      <w:bookmarkEnd w:id="474"/>
      <w:bookmarkEnd w:id="475"/>
    </w:p>
    <w:p w14:paraId="1330F135">
      <w:pPr>
        <w:spacing w:line="360" w:lineRule="auto"/>
        <w:rPr>
          <w:rFonts w:ascii="宋体" w:hAnsi="宋体" w:cs="宋体"/>
          <w:color w:val="auto"/>
          <w:highlight w:val="none"/>
        </w:rPr>
      </w:pPr>
    </w:p>
    <w:p w14:paraId="2CF3FB29">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w:t>
      </w:r>
    </w:p>
    <w:p w14:paraId="065370B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本企业参与 </w:t>
      </w:r>
      <w:r>
        <w:rPr>
          <w:rFonts w:hint="eastAsia" w:ascii="宋体" w:hAnsi="宋体" w:cs="宋体"/>
          <w:color w:val="auto"/>
          <w:sz w:val="24"/>
          <w:highlight w:val="none"/>
          <w:u w:val="single"/>
        </w:rPr>
        <w:t xml:space="preserve">           （填写</w:t>
      </w:r>
      <w:r>
        <w:rPr>
          <w:rFonts w:hint="eastAsia" w:ascii="宋体" w:hAnsi="宋体" w:cs="宋体"/>
          <w:color w:val="auto"/>
          <w:sz w:val="24"/>
          <w:highlight w:val="none"/>
          <w:u w:val="single"/>
          <w:lang w:eastAsia="zh-CN"/>
        </w:rPr>
        <w:t>项目名称</w:t>
      </w:r>
      <w:r>
        <w:rPr>
          <w:rFonts w:hint="eastAsia" w:ascii="宋体" w:hAnsi="宋体" w:cs="宋体"/>
          <w:color w:val="auto"/>
          <w:sz w:val="24"/>
          <w:highlight w:val="none"/>
          <w:u w:val="single"/>
        </w:rPr>
        <w:t>）</w:t>
      </w:r>
      <w:r>
        <w:rPr>
          <w:rFonts w:hint="eastAsia" w:ascii="宋体" w:hAnsi="宋体" w:cs="宋体"/>
          <w:color w:val="auto"/>
          <w:sz w:val="24"/>
          <w:highlight w:val="none"/>
        </w:rPr>
        <w:t>的投标，现作如下承诺：</w:t>
      </w:r>
    </w:p>
    <w:p w14:paraId="6F5D2D5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1、我公司参与此次投标活动所提交的所有资料都是合法、真实、有效的。</w:t>
      </w:r>
    </w:p>
    <w:p w14:paraId="45553ED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2、不与其他投标人串通投标、围标，依法、依规公平竞争，不损害采购人或其他投标人的合法权益。</w:t>
      </w:r>
    </w:p>
    <w:p w14:paraId="1C44E1D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3、不转让、出租、出借资质证书、人员岗位证书，不以法律、法规禁止的方式投标。</w:t>
      </w:r>
    </w:p>
    <w:p w14:paraId="74AB15A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4、不与采购人或采购代理机构串通投标，不损害国家利益、社会公共利益或其他当事人的合法权益。</w:t>
      </w:r>
    </w:p>
    <w:p w14:paraId="3B0CBB3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5、不向采购人、评标委员会成员、监督人员行贿。</w:t>
      </w:r>
    </w:p>
    <w:p w14:paraId="38CEB62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6、不扰乱招投标交易活动正常秩序。</w:t>
      </w:r>
    </w:p>
    <w:p w14:paraId="23B6C5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7、不进行虚假恶意投诉。</w:t>
      </w:r>
    </w:p>
    <w:p w14:paraId="6D10DC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8、因违反法律、法规或相关规定被查处的，不干预案件查处。</w:t>
      </w:r>
    </w:p>
    <w:p w14:paraId="6E8B360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如出现违法、违规或不良行为，甘愿接受相关部门调查处理。违法、违规或不良行为事实成立的，本投标人不再要求退还投标时所提交的投标保证金，并承担相关责任。给采购人造成损失的，依法承担赔偿责任。</w:t>
      </w:r>
    </w:p>
    <w:p w14:paraId="6DFCFA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特此承诺！</w:t>
      </w:r>
    </w:p>
    <w:p w14:paraId="5B3C3409">
      <w:pPr>
        <w:rPr>
          <w:color w:val="auto"/>
          <w:highlight w:val="none"/>
        </w:rPr>
      </w:pPr>
    </w:p>
    <w:p w14:paraId="7A010B79">
      <w:pPr>
        <w:pStyle w:val="8"/>
        <w:rPr>
          <w:color w:val="auto"/>
          <w:highlight w:val="none"/>
        </w:rPr>
      </w:pPr>
    </w:p>
    <w:p w14:paraId="6E38B723">
      <w:pPr>
        <w:rPr>
          <w:color w:val="auto"/>
          <w:highlight w:val="none"/>
        </w:rPr>
      </w:pPr>
    </w:p>
    <w:p w14:paraId="65DC6CFB">
      <w:pPr>
        <w:pStyle w:val="8"/>
        <w:rPr>
          <w:color w:val="auto"/>
          <w:highlight w:val="none"/>
        </w:rPr>
      </w:pPr>
    </w:p>
    <w:p w14:paraId="3D9E0474">
      <w:pPr>
        <w:rPr>
          <w:color w:val="auto"/>
          <w:highlight w:val="none"/>
        </w:rPr>
      </w:pPr>
    </w:p>
    <w:p w14:paraId="75D23B51">
      <w:pPr>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6B5F136D">
      <w:pPr>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68321E95">
      <w:pPr>
        <w:spacing w:line="360" w:lineRule="auto"/>
        <w:ind w:firstLine="241" w:firstLineChars="100"/>
        <w:rPr>
          <w:rFonts w:ascii="宋体" w:hAnsi="宋体" w:cs="宋体"/>
          <w:b/>
          <w:color w:val="auto"/>
          <w:sz w:val="24"/>
          <w:szCs w:val="24"/>
          <w:highlight w:val="none"/>
        </w:r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p>
    <w:p w14:paraId="1554746D">
      <w:pPr>
        <w:pStyle w:val="8"/>
        <w:rPr>
          <w:color w:val="auto"/>
          <w:highlight w:val="none"/>
        </w:rPr>
      </w:pPr>
    </w:p>
    <w:p w14:paraId="3FEE090E">
      <w:pPr>
        <w:rPr>
          <w:color w:val="auto"/>
          <w:highlight w:val="none"/>
        </w:rPr>
      </w:pPr>
      <w:r>
        <w:rPr>
          <w:rFonts w:hint="eastAsia"/>
          <w:color w:val="auto"/>
          <w:highlight w:val="none"/>
        </w:rPr>
        <w:br w:type="page"/>
      </w:r>
    </w:p>
    <w:p w14:paraId="4AEC2746">
      <w:pPr>
        <w:pStyle w:val="6"/>
        <w:rPr>
          <w:color w:val="auto"/>
          <w:highlight w:val="none"/>
        </w:rPr>
      </w:pPr>
      <w:bookmarkStart w:id="476" w:name="_Toc27312"/>
      <w:bookmarkStart w:id="477" w:name="_Toc9140"/>
      <w:r>
        <w:rPr>
          <w:rFonts w:hint="eastAsia"/>
          <w:color w:val="auto"/>
          <w:highlight w:val="none"/>
        </w:rPr>
        <w:t>十、保密承诺</w:t>
      </w:r>
      <w:bookmarkEnd w:id="476"/>
      <w:bookmarkEnd w:id="477"/>
    </w:p>
    <w:p w14:paraId="7ADD3CB5">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w:t>
      </w:r>
    </w:p>
    <w:p w14:paraId="5761117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鉴于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项目名称</w:t>
      </w:r>
      <w:r>
        <w:rPr>
          <w:rFonts w:hint="eastAsia" w:ascii="宋体" w:hAnsi="宋体" w:cs="宋体"/>
          <w:color w:val="auto"/>
          <w:sz w:val="24"/>
          <w:highlight w:val="none"/>
        </w:rPr>
        <w:t>）招投标过程中，涉及到贵单位的商业或技术秘密，为保证秘密不致外泄，我方做出以下保密承诺：</w:t>
      </w:r>
    </w:p>
    <w:p w14:paraId="253B7F4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1、此所述及的保密信息是指我方在投标过程中直接或间接获得的所有商业或技术信息(包括口头、书面信息及资料)。</w:t>
      </w:r>
    </w:p>
    <w:p w14:paraId="130CDAE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2、我方获得的保密信息只用于本次招标工作，绝不用于其它用途。</w:t>
      </w:r>
    </w:p>
    <w:p w14:paraId="6B6537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3、我方将对从贵单位处得到的信息进行保密管理，采取措施防止信息的全部或任一部分泄露给第三方。</w:t>
      </w:r>
    </w:p>
    <w:p w14:paraId="7AAF9A9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4、我方采取严格措施防止与本次投标工作无关的我方人员接触保密信息，防止其泄露信息，如果发生泄密，我方承担一切相关职责。</w:t>
      </w:r>
    </w:p>
    <w:p w14:paraId="30E099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5、我方对内部因工作原因接触到保密信息人员，进行保密教育，防止泄露信息。</w:t>
      </w:r>
    </w:p>
    <w:p w14:paraId="7DBFC99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6、如我方有幸中标，此承诺书将持续生效。</w:t>
      </w:r>
    </w:p>
    <w:p w14:paraId="24CAF9FF">
      <w:pPr>
        <w:spacing w:line="360" w:lineRule="auto"/>
        <w:rPr>
          <w:color w:val="auto"/>
          <w:highlight w:val="none"/>
        </w:rPr>
      </w:pPr>
    </w:p>
    <w:p w14:paraId="1EE3D155">
      <w:pPr>
        <w:spacing w:line="360" w:lineRule="auto"/>
        <w:ind w:firstLine="241" w:firstLineChars="100"/>
        <w:rPr>
          <w:rFonts w:ascii="宋体" w:hAnsi="宋体"/>
          <w:b/>
          <w:color w:val="auto"/>
          <w:sz w:val="24"/>
          <w:szCs w:val="24"/>
          <w:highlight w:val="none"/>
        </w:rPr>
      </w:pPr>
    </w:p>
    <w:p w14:paraId="377A7F57">
      <w:pPr>
        <w:spacing w:line="360" w:lineRule="auto"/>
        <w:ind w:firstLine="241" w:firstLineChars="100"/>
        <w:rPr>
          <w:rFonts w:ascii="宋体" w:hAnsi="宋体"/>
          <w:b/>
          <w:color w:val="auto"/>
          <w:sz w:val="24"/>
          <w:szCs w:val="24"/>
          <w:highlight w:val="none"/>
        </w:rPr>
      </w:pPr>
    </w:p>
    <w:p w14:paraId="58B324CC">
      <w:pPr>
        <w:pStyle w:val="8"/>
        <w:rPr>
          <w:color w:val="auto"/>
          <w:highlight w:val="none"/>
        </w:rPr>
      </w:pPr>
    </w:p>
    <w:p w14:paraId="6EAEE7E1">
      <w:pPr>
        <w:spacing w:line="360" w:lineRule="auto"/>
        <w:ind w:firstLine="241" w:firstLineChars="100"/>
        <w:rPr>
          <w:rFonts w:ascii="宋体" w:hAnsi="宋体"/>
          <w:b/>
          <w:color w:val="auto"/>
          <w:sz w:val="24"/>
          <w:szCs w:val="24"/>
          <w:highlight w:val="none"/>
        </w:rPr>
      </w:pPr>
    </w:p>
    <w:p w14:paraId="4864A857">
      <w:pPr>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111C54EF">
      <w:pPr>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6C47FFBD">
      <w:pPr>
        <w:spacing w:line="360" w:lineRule="auto"/>
        <w:ind w:firstLine="241" w:firstLineChars="100"/>
        <w:rPr>
          <w:rFonts w:ascii="宋体" w:hAnsi="宋体" w:cs="宋体"/>
          <w:b/>
          <w:color w:val="auto"/>
          <w:sz w:val="24"/>
          <w:szCs w:val="24"/>
          <w:highlight w:val="none"/>
        </w:r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p>
    <w:p w14:paraId="6D74979B">
      <w:pPr>
        <w:rPr>
          <w:color w:val="auto"/>
          <w:highlight w:val="none"/>
        </w:rPr>
      </w:pPr>
    </w:p>
    <w:p w14:paraId="77CD62CC">
      <w:pPr>
        <w:rPr>
          <w:color w:val="auto"/>
          <w:highlight w:val="none"/>
        </w:rPr>
      </w:pPr>
      <w:r>
        <w:rPr>
          <w:rFonts w:hint="eastAsia"/>
          <w:color w:val="auto"/>
          <w:highlight w:val="none"/>
        </w:rPr>
        <w:br w:type="page"/>
      </w:r>
    </w:p>
    <w:p w14:paraId="49045D35">
      <w:pPr>
        <w:pStyle w:val="6"/>
        <w:widowControl/>
        <w:autoSpaceDE w:val="0"/>
        <w:spacing w:line="240" w:lineRule="auto"/>
        <w:rPr>
          <w:rFonts w:ascii="宋体" w:hAnsi="宋体" w:cs="宋体"/>
          <w:color w:val="auto"/>
          <w:szCs w:val="28"/>
          <w:highlight w:val="none"/>
        </w:rPr>
      </w:pPr>
      <w:bookmarkStart w:id="478" w:name="_Toc13243"/>
      <w:bookmarkStart w:id="479" w:name="_Toc18172"/>
      <w:bookmarkStart w:id="480" w:name="_Toc26444"/>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一</w:t>
      </w:r>
      <w:r>
        <w:rPr>
          <w:rFonts w:hint="eastAsia" w:ascii="宋体" w:hAnsi="宋体" w:cs="宋体"/>
          <w:color w:val="auto"/>
          <w:szCs w:val="28"/>
          <w:highlight w:val="none"/>
        </w:rPr>
        <w:t>、类似项目业绩表</w:t>
      </w:r>
      <w:bookmarkEnd w:id="478"/>
      <w:bookmarkEnd w:id="479"/>
    </w:p>
    <w:tbl>
      <w:tblPr>
        <w:tblStyle w:val="22"/>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3D7C5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1BA482DD">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2107" w:type="dxa"/>
            <w:vAlign w:val="center"/>
          </w:tcPr>
          <w:p w14:paraId="484D7C88">
            <w:pPr>
              <w:jc w:val="center"/>
              <w:rPr>
                <w:rFonts w:ascii="宋体" w:hAnsi="宋体" w:cs="宋体"/>
                <w:color w:val="auto"/>
                <w:sz w:val="24"/>
                <w:highlight w:val="none"/>
              </w:rPr>
            </w:pPr>
            <w:r>
              <w:rPr>
                <w:rFonts w:hint="eastAsia" w:ascii="宋体" w:hAnsi="宋体" w:cs="宋体"/>
                <w:color w:val="auto"/>
                <w:sz w:val="24"/>
                <w:highlight w:val="none"/>
              </w:rPr>
              <w:t>合同名称</w:t>
            </w:r>
          </w:p>
        </w:tc>
        <w:tc>
          <w:tcPr>
            <w:tcW w:w="1254" w:type="dxa"/>
            <w:vAlign w:val="center"/>
          </w:tcPr>
          <w:p w14:paraId="2413D10F">
            <w:pPr>
              <w:jc w:val="center"/>
              <w:rPr>
                <w:rFonts w:ascii="宋体" w:hAnsi="宋体" w:cs="宋体"/>
                <w:color w:val="auto"/>
                <w:sz w:val="24"/>
                <w:highlight w:val="none"/>
              </w:rPr>
            </w:pPr>
            <w:r>
              <w:rPr>
                <w:rFonts w:hint="eastAsia" w:ascii="宋体" w:hAnsi="宋体" w:cs="宋体"/>
                <w:color w:val="auto"/>
                <w:sz w:val="24"/>
                <w:highlight w:val="none"/>
              </w:rPr>
              <w:t>合同总价</w:t>
            </w:r>
          </w:p>
        </w:tc>
        <w:tc>
          <w:tcPr>
            <w:tcW w:w="1685" w:type="dxa"/>
            <w:vAlign w:val="center"/>
          </w:tcPr>
          <w:p w14:paraId="438533A3">
            <w:pPr>
              <w:jc w:val="center"/>
              <w:rPr>
                <w:rFonts w:ascii="宋体" w:hAnsi="宋体" w:cs="宋体"/>
                <w:color w:val="auto"/>
                <w:sz w:val="24"/>
                <w:highlight w:val="none"/>
              </w:rPr>
            </w:pPr>
            <w:r>
              <w:rPr>
                <w:rFonts w:hint="eastAsia" w:ascii="宋体" w:hAnsi="宋体" w:cs="宋体"/>
                <w:color w:val="auto"/>
                <w:sz w:val="24"/>
                <w:highlight w:val="none"/>
              </w:rPr>
              <w:t>使用单位名称</w:t>
            </w:r>
          </w:p>
        </w:tc>
        <w:tc>
          <w:tcPr>
            <w:tcW w:w="1442" w:type="dxa"/>
          </w:tcPr>
          <w:p w14:paraId="2DA7B3D8">
            <w:pPr>
              <w:jc w:val="center"/>
              <w:rPr>
                <w:rFonts w:ascii="宋体" w:hAnsi="宋体" w:cs="宋体"/>
                <w:color w:val="auto"/>
                <w:sz w:val="24"/>
                <w:highlight w:val="none"/>
              </w:rPr>
            </w:pPr>
            <w:r>
              <w:rPr>
                <w:rFonts w:hint="eastAsia" w:ascii="宋体" w:hAnsi="宋体" w:cs="宋体"/>
                <w:color w:val="auto"/>
                <w:sz w:val="24"/>
                <w:highlight w:val="none"/>
              </w:rPr>
              <w:t>使用单位联系人及联系电话</w:t>
            </w:r>
          </w:p>
        </w:tc>
        <w:tc>
          <w:tcPr>
            <w:tcW w:w="1442" w:type="dxa"/>
            <w:vAlign w:val="center"/>
          </w:tcPr>
          <w:p w14:paraId="5DADB9B5">
            <w:pPr>
              <w:jc w:val="center"/>
              <w:rPr>
                <w:rFonts w:ascii="宋体" w:hAnsi="宋体" w:cs="宋体"/>
                <w:color w:val="auto"/>
                <w:sz w:val="24"/>
                <w:highlight w:val="none"/>
              </w:rPr>
            </w:pPr>
            <w:r>
              <w:rPr>
                <w:rFonts w:hint="eastAsia" w:ascii="宋体" w:hAnsi="宋体" w:cs="宋体"/>
                <w:color w:val="auto"/>
                <w:sz w:val="24"/>
                <w:highlight w:val="none"/>
              </w:rPr>
              <w:t>签订合同</w:t>
            </w:r>
          </w:p>
          <w:p w14:paraId="5A8C13AD">
            <w:pPr>
              <w:jc w:val="center"/>
              <w:rPr>
                <w:rFonts w:ascii="宋体" w:hAnsi="宋体" w:cs="宋体"/>
                <w:color w:val="auto"/>
                <w:sz w:val="24"/>
                <w:highlight w:val="none"/>
              </w:rPr>
            </w:pPr>
            <w:r>
              <w:rPr>
                <w:rFonts w:hint="eastAsia" w:ascii="宋体" w:hAnsi="宋体" w:cs="宋体"/>
                <w:color w:val="auto"/>
                <w:sz w:val="24"/>
                <w:highlight w:val="none"/>
              </w:rPr>
              <w:t>时间</w:t>
            </w:r>
          </w:p>
        </w:tc>
        <w:tc>
          <w:tcPr>
            <w:tcW w:w="1049" w:type="dxa"/>
            <w:vAlign w:val="center"/>
          </w:tcPr>
          <w:p w14:paraId="636BBC73">
            <w:pPr>
              <w:jc w:val="center"/>
              <w:rPr>
                <w:rFonts w:ascii="宋体" w:hAnsi="宋体" w:cs="宋体"/>
                <w:color w:val="auto"/>
                <w:sz w:val="24"/>
                <w:highlight w:val="none"/>
              </w:rPr>
            </w:pPr>
            <w:r>
              <w:rPr>
                <w:rFonts w:hint="eastAsia" w:ascii="宋体" w:hAnsi="宋体" w:cs="宋体"/>
                <w:color w:val="auto"/>
                <w:sz w:val="24"/>
                <w:highlight w:val="none"/>
              </w:rPr>
              <w:t>备注</w:t>
            </w:r>
          </w:p>
        </w:tc>
      </w:tr>
      <w:tr w14:paraId="03C3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8A9DEF0">
            <w:pPr>
              <w:jc w:val="center"/>
              <w:rPr>
                <w:rFonts w:ascii="宋体" w:hAnsi="宋体" w:cs="宋体"/>
                <w:color w:val="auto"/>
                <w:sz w:val="24"/>
                <w:highlight w:val="none"/>
              </w:rPr>
            </w:pPr>
            <w:r>
              <w:rPr>
                <w:rFonts w:hint="eastAsia" w:ascii="宋体" w:hAnsi="宋体" w:cs="宋体"/>
                <w:color w:val="auto"/>
                <w:sz w:val="24"/>
                <w:highlight w:val="none"/>
              </w:rPr>
              <w:t>1</w:t>
            </w:r>
          </w:p>
        </w:tc>
        <w:tc>
          <w:tcPr>
            <w:tcW w:w="2107" w:type="dxa"/>
            <w:vAlign w:val="center"/>
          </w:tcPr>
          <w:p w14:paraId="1C72EC0B">
            <w:pPr>
              <w:jc w:val="center"/>
              <w:rPr>
                <w:rFonts w:ascii="宋体" w:hAnsi="宋体" w:cs="宋体"/>
                <w:color w:val="auto"/>
                <w:sz w:val="24"/>
                <w:highlight w:val="none"/>
              </w:rPr>
            </w:pPr>
          </w:p>
        </w:tc>
        <w:tc>
          <w:tcPr>
            <w:tcW w:w="1254" w:type="dxa"/>
            <w:vAlign w:val="center"/>
          </w:tcPr>
          <w:p w14:paraId="1B9134DA">
            <w:pPr>
              <w:jc w:val="center"/>
              <w:rPr>
                <w:rFonts w:ascii="宋体" w:hAnsi="宋体" w:cs="宋体"/>
                <w:color w:val="auto"/>
                <w:sz w:val="24"/>
                <w:highlight w:val="none"/>
              </w:rPr>
            </w:pPr>
          </w:p>
        </w:tc>
        <w:tc>
          <w:tcPr>
            <w:tcW w:w="1685" w:type="dxa"/>
            <w:vAlign w:val="center"/>
          </w:tcPr>
          <w:p w14:paraId="6EE3AD15">
            <w:pPr>
              <w:jc w:val="center"/>
              <w:rPr>
                <w:rFonts w:ascii="宋体" w:hAnsi="宋体" w:cs="宋体"/>
                <w:color w:val="auto"/>
                <w:sz w:val="24"/>
                <w:highlight w:val="none"/>
              </w:rPr>
            </w:pPr>
          </w:p>
        </w:tc>
        <w:tc>
          <w:tcPr>
            <w:tcW w:w="1442" w:type="dxa"/>
          </w:tcPr>
          <w:p w14:paraId="29D606E1">
            <w:pPr>
              <w:jc w:val="center"/>
              <w:rPr>
                <w:rFonts w:ascii="宋体" w:hAnsi="宋体" w:cs="宋体"/>
                <w:color w:val="auto"/>
                <w:sz w:val="24"/>
                <w:highlight w:val="none"/>
              </w:rPr>
            </w:pPr>
          </w:p>
        </w:tc>
        <w:tc>
          <w:tcPr>
            <w:tcW w:w="1442" w:type="dxa"/>
            <w:vAlign w:val="center"/>
          </w:tcPr>
          <w:p w14:paraId="28044DC2">
            <w:pPr>
              <w:jc w:val="center"/>
              <w:rPr>
                <w:rFonts w:ascii="宋体" w:hAnsi="宋体" w:cs="宋体"/>
                <w:color w:val="auto"/>
                <w:sz w:val="24"/>
                <w:highlight w:val="none"/>
              </w:rPr>
            </w:pPr>
          </w:p>
        </w:tc>
        <w:tc>
          <w:tcPr>
            <w:tcW w:w="1049" w:type="dxa"/>
            <w:vAlign w:val="center"/>
          </w:tcPr>
          <w:p w14:paraId="64089FAC">
            <w:pPr>
              <w:jc w:val="center"/>
              <w:rPr>
                <w:rFonts w:ascii="宋体" w:hAnsi="宋体" w:cs="宋体"/>
                <w:color w:val="auto"/>
                <w:sz w:val="24"/>
                <w:highlight w:val="none"/>
              </w:rPr>
            </w:pPr>
          </w:p>
        </w:tc>
      </w:tr>
      <w:tr w14:paraId="0995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366D6331">
            <w:pPr>
              <w:jc w:val="center"/>
              <w:rPr>
                <w:rFonts w:ascii="宋体" w:hAnsi="宋体" w:cs="宋体"/>
                <w:color w:val="auto"/>
                <w:sz w:val="24"/>
                <w:highlight w:val="none"/>
              </w:rPr>
            </w:pPr>
            <w:r>
              <w:rPr>
                <w:rFonts w:hint="eastAsia" w:ascii="宋体" w:hAnsi="宋体" w:cs="宋体"/>
                <w:color w:val="auto"/>
                <w:sz w:val="24"/>
                <w:highlight w:val="none"/>
              </w:rPr>
              <w:t>2</w:t>
            </w:r>
          </w:p>
        </w:tc>
        <w:tc>
          <w:tcPr>
            <w:tcW w:w="2107" w:type="dxa"/>
            <w:vAlign w:val="center"/>
          </w:tcPr>
          <w:p w14:paraId="6F95C001">
            <w:pPr>
              <w:jc w:val="center"/>
              <w:rPr>
                <w:rFonts w:ascii="宋体" w:hAnsi="宋体" w:cs="宋体"/>
                <w:color w:val="auto"/>
                <w:sz w:val="24"/>
                <w:highlight w:val="none"/>
              </w:rPr>
            </w:pPr>
          </w:p>
        </w:tc>
        <w:tc>
          <w:tcPr>
            <w:tcW w:w="1254" w:type="dxa"/>
            <w:vAlign w:val="center"/>
          </w:tcPr>
          <w:p w14:paraId="0193E83D">
            <w:pPr>
              <w:jc w:val="center"/>
              <w:rPr>
                <w:rFonts w:ascii="宋体" w:hAnsi="宋体" w:cs="宋体"/>
                <w:color w:val="auto"/>
                <w:sz w:val="24"/>
                <w:highlight w:val="none"/>
              </w:rPr>
            </w:pPr>
          </w:p>
        </w:tc>
        <w:tc>
          <w:tcPr>
            <w:tcW w:w="1685" w:type="dxa"/>
            <w:vAlign w:val="center"/>
          </w:tcPr>
          <w:p w14:paraId="73195F07">
            <w:pPr>
              <w:rPr>
                <w:rFonts w:ascii="宋体" w:hAnsi="宋体" w:cs="宋体"/>
                <w:color w:val="auto"/>
                <w:sz w:val="24"/>
                <w:highlight w:val="none"/>
              </w:rPr>
            </w:pPr>
            <w:r>
              <w:rPr>
                <w:rFonts w:hint="eastAsia" w:ascii="宋体" w:hAnsi="宋体" w:cs="宋体"/>
                <w:color w:val="auto"/>
                <w:sz w:val="24"/>
                <w:highlight w:val="none"/>
              </w:rPr>
              <w:t xml:space="preserve">      </w:t>
            </w:r>
          </w:p>
        </w:tc>
        <w:tc>
          <w:tcPr>
            <w:tcW w:w="1442" w:type="dxa"/>
          </w:tcPr>
          <w:p w14:paraId="55DE03EB">
            <w:pPr>
              <w:jc w:val="center"/>
              <w:rPr>
                <w:rFonts w:ascii="宋体" w:hAnsi="宋体" w:cs="宋体"/>
                <w:color w:val="auto"/>
                <w:sz w:val="24"/>
                <w:highlight w:val="none"/>
              </w:rPr>
            </w:pPr>
          </w:p>
        </w:tc>
        <w:tc>
          <w:tcPr>
            <w:tcW w:w="1442" w:type="dxa"/>
            <w:vAlign w:val="center"/>
          </w:tcPr>
          <w:p w14:paraId="29D8CAF5">
            <w:pPr>
              <w:jc w:val="center"/>
              <w:rPr>
                <w:rFonts w:ascii="宋体" w:hAnsi="宋体" w:cs="宋体"/>
                <w:color w:val="auto"/>
                <w:sz w:val="24"/>
                <w:highlight w:val="none"/>
              </w:rPr>
            </w:pPr>
          </w:p>
        </w:tc>
        <w:tc>
          <w:tcPr>
            <w:tcW w:w="1049" w:type="dxa"/>
            <w:vAlign w:val="center"/>
          </w:tcPr>
          <w:p w14:paraId="52FF16DE">
            <w:pPr>
              <w:jc w:val="center"/>
              <w:rPr>
                <w:rFonts w:ascii="宋体" w:hAnsi="宋体" w:cs="宋体"/>
                <w:color w:val="auto"/>
                <w:sz w:val="24"/>
                <w:highlight w:val="none"/>
              </w:rPr>
            </w:pPr>
          </w:p>
        </w:tc>
      </w:tr>
      <w:tr w14:paraId="502F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29773899">
            <w:pPr>
              <w:jc w:val="center"/>
              <w:rPr>
                <w:rFonts w:ascii="宋体" w:hAnsi="宋体" w:cs="宋体"/>
                <w:color w:val="auto"/>
                <w:sz w:val="24"/>
                <w:highlight w:val="none"/>
              </w:rPr>
            </w:pPr>
            <w:r>
              <w:rPr>
                <w:rFonts w:hint="eastAsia" w:ascii="宋体" w:hAnsi="宋体" w:cs="宋体"/>
                <w:color w:val="auto"/>
                <w:sz w:val="24"/>
                <w:highlight w:val="none"/>
              </w:rPr>
              <w:t>3</w:t>
            </w:r>
          </w:p>
        </w:tc>
        <w:tc>
          <w:tcPr>
            <w:tcW w:w="2107" w:type="dxa"/>
            <w:vAlign w:val="center"/>
          </w:tcPr>
          <w:p w14:paraId="46FCEE18">
            <w:pPr>
              <w:jc w:val="center"/>
              <w:rPr>
                <w:rFonts w:ascii="宋体" w:hAnsi="宋体" w:cs="宋体"/>
                <w:color w:val="auto"/>
                <w:sz w:val="24"/>
                <w:highlight w:val="none"/>
              </w:rPr>
            </w:pPr>
          </w:p>
        </w:tc>
        <w:tc>
          <w:tcPr>
            <w:tcW w:w="1254" w:type="dxa"/>
            <w:vAlign w:val="center"/>
          </w:tcPr>
          <w:p w14:paraId="71935857">
            <w:pPr>
              <w:jc w:val="center"/>
              <w:rPr>
                <w:rFonts w:ascii="宋体" w:hAnsi="宋体" w:cs="宋体"/>
                <w:color w:val="auto"/>
                <w:sz w:val="24"/>
                <w:highlight w:val="none"/>
              </w:rPr>
            </w:pPr>
          </w:p>
        </w:tc>
        <w:tc>
          <w:tcPr>
            <w:tcW w:w="1685" w:type="dxa"/>
            <w:vAlign w:val="center"/>
          </w:tcPr>
          <w:p w14:paraId="5AAD8944">
            <w:pPr>
              <w:jc w:val="center"/>
              <w:rPr>
                <w:rFonts w:ascii="宋体" w:hAnsi="宋体" w:cs="宋体"/>
                <w:color w:val="auto"/>
                <w:sz w:val="24"/>
                <w:highlight w:val="none"/>
              </w:rPr>
            </w:pPr>
          </w:p>
        </w:tc>
        <w:tc>
          <w:tcPr>
            <w:tcW w:w="1442" w:type="dxa"/>
          </w:tcPr>
          <w:p w14:paraId="6C06E487">
            <w:pPr>
              <w:jc w:val="center"/>
              <w:rPr>
                <w:rFonts w:ascii="宋体" w:hAnsi="宋体" w:cs="宋体"/>
                <w:color w:val="auto"/>
                <w:sz w:val="24"/>
                <w:highlight w:val="none"/>
              </w:rPr>
            </w:pPr>
          </w:p>
        </w:tc>
        <w:tc>
          <w:tcPr>
            <w:tcW w:w="1442" w:type="dxa"/>
            <w:vAlign w:val="center"/>
          </w:tcPr>
          <w:p w14:paraId="5440A4A7">
            <w:pPr>
              <w:jc w:val="center"/>
              <w:rPr>
                <w:rFonts w:ascii="宋体" w:hAnsi="宋体" w:cs="宋体"/>
                <w:color w:val="auto"/>
                <w:sz w:val="24"/>
                <w:highlight w:val="none"/>
              </w:rPr>
            </w:pPr>
          </w:p>
        </w:tc>
        <w:tc>
          <w:tcPr>
            <w:tcW w:w="1049" w:type="dxa"/>
            <w:vAlign w:val="center"/>
          </w:tcPr>
          <w:p w14:paraId="592A65C4">
            <w:pPr>
              <w:jc w:val="center"/>
              <w:rPr>
                <w:rFonts w:ascii="宋体" w:hAnsi="宋体" w:cs="宋体"/>
                <w:color w:val="auto"/>
                <w:sz w:val="24"/>
                <w:highlight w:val="none"/>
              </w:rPr>
            </w:pPr>
          </w:p>
        </w:tc>
      </w:tr>
      <w:tr w14:paraId="52746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0800C4CB">
            <w:pPr>
              <w:jc w:val="center"/>
              <w:rPr>
                <w:rFonts w:ascii="宋体" w:hAnsi="宋体" w:cs="宋体"/>
                <w:color w:val="auto"/>
                <w:sz w:val="24"/>
                <w:highlight w:val="none"/>
              </w:rPr>
            </w:pPr>
            <w:r>
              <w:rPr>
                <w:rFonts w:hint="eastAsia" w:ascii="宋体" w:hAnsi="宋体" w:cs="宋体"/>
                <w:color w:val="auto"/>
                <w:sz w:val="24"/>
                <w:highlight w:val="none"/>
              </w:rPr>
              <w:t>4</w:t>
            </w:r>
          </w:p>
        </w:tc>
        <w:tc>
          <w:tcPr>
            <w:tcW w:w="2107" w:type="dxa"/>
            <w:vAlign w:val="center"/>
          </w:tcPr>
          <w:p w14:paraId="53AA80EB">
            <w:pPr>
              <w:jc w:val="center"/>
              <w:rPr>
                <w:rFonts w:ascii="宋体" w:hAnsi="宋体" w:cs="宋体"/>
                <w:color w:val="auto"/>
                <w:sz w:val="24"/>
                <w:highlight w:val="none"/>
              </w:rPr>
            </w:pPr>
          </w:p>
        </w:tc>
        <w:tc>
          <w:tcPr>
            <w:tcW w:w="1254" w:type="dxa"/>
            <w:vAlign w:val="center"/>
          </w:tcPr>
          <w:p w14:paraId="0CD83488">
            <w:pPr>
              <w:jc w:val="center"/>
              <w:rPr>
                <w:rFonts w:ascii="宋体" w:hAnsi="宋体" w:cs="宋体"/>
                <w:color w:val="auto"/>
                <w:sz w:val="24"/>
                <w:highlight w:val="none"/>
              </w:rPr>
            </w:pPr>
          </w:p>
        </w:tc>
        <w:tc>
          <w:tcPr>
            <w:tcW w:w="1685" w:type="dxa"/>
            <w:vAlign w:val="center"/>
          </w:tcPr>
          <w:p w14:paraId="7980C7A8">
            <w:pPr>
              <w:jc w:val="center"/>
              <w:rPr>
                <w:rFonts w:ascii="宋体" w:hAnsi="宋体" w:cs="宋体"/>
                <w:color w:val="auto"/>
                <w:sz w:val="24"/>
                <w:highlight w:val="none"/>
              </w:rPr>
            </w:pPr>
          </w:p>
        </w:tc>
        <w:tc>
          <w:tcPr>
            <w:tcW w:w="1442" w:type="dxa"/>
          </w:tcPr>
          <w:p w14:paraId="0E6F9B43">
            <w:pPr>
              <w:jc w:val="center"/>
              <w:rPr>
                <w:rFonts w:ascii="宋体" w:hAnsi="宋体" w:cs="宋体"/>
                <w:color w:val="auto"/>
                <w:sz w:val="24"/>
                <w:highlight w:val="none"/>
              </w:rPr>
            </w:pPr>
          </w:p>
        </w:tc>
        <w:tc>
          <w:tcPr>
            <w:tcW w:w="1442" w:type="dxa"/>
            <w:vAlign w:val="center"/>
          </w:tcPr>
          <w:p w14:paraId="793BBBD6">
            <w:pPr>
              <w:jc w:val="center"/>
              <w:rPr>
                <w:rFonts w:ascii="宋体" w:hAnsi="宋体" w:cs="宋体"/>
                <w:color w:val="auto"/>
                <w:sz w:val="24"/>
                <w:highlight w:val="none"/>
              </w:rPr>
            </w:pPr>
          </w:p>
        </w:tc>
        <w:tc>
          <w:tcPr>
            <w:tcW w:w="1049" w:type="dxa"/>
            <w:vAlign w:val="center"/>
          </w:tcPr>
          <w:p w14:paraId="5DA1A3EF">
            <w:pPr>
              <w:jc w:val="center"/>
              <w:rPr>
                <w:rFonts w:ascii="宋体" w:hAnsi="宋体" w:cs="宋体"/>
                <w:color w:val="auto"/>
                <w:sz w:val="24"/>
                <w:highlight w:val="none"/>
              </w:rPr>
            </w:pPr>
          </w:p>
        </w:tc>
      </w:tr>
      <w:tr w14:paraId="3F41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534A966C">
            <w:pPr>
              <w:jc w:val="center"/>
              <w:rPr>
                <w:rFonts w:ascii="宋体" w:hAnsi="宋体" w:cs="宋体"/>
                <w:color w:val="auto"/>
                <w:sz w:val="24"/>
                <w:highlight w:val="none"/>
              </w:rPr>
            </w:pPr>
            <w:r>
              <w:rPr>
                <w:rFonts w:hint="eastAsia" w:ascii="宋体" w:hAnsi="宋体" w:cs="宋体"/>
                <w:color w:val="auto"/>
                <w:sz w:val="24"/>
                <w:highlight w:val="none"/>
              </w:rPr>
              <w:t>5</w:t>
            </w:r>
          </w:p>
        </w:tc>
        <w:tc>
          <w:tcPr>
            <w:tcW w:w="2107" w:type="dxa"/>
            <w:vAlign w:val="center"/>
          </w:tcPr>
          <w:p w14:paraId="0DF34A15">
            <w:pPr>
              <w:jc w:val="center"/>
              <w:rPr>
                <w:rFonts w:ascii="宋体" w:hAnsi="宋体" w:cs="宋体"/>
                <w:color w:val="auto"/>
                <w:sz w:val="24"/>
                <w:highlight w:val="none"/>
              </w:rPr>
            </w:pPr>
          </w:p>
        </w:tc>
        <w:tc>
          <w:tcPr>
            <w:tcW w:w="1254" w:type="dxa"/>
            <w:vAlign w:val="center"/>
          </w:tcPr>
          <w:p w14:paraId="1968E828">
            <w:pPr>
              <w:jc w:val="center"/>
              <w:rPr>
                <w:rFonts w:ascii="宋体" w:hAnsi="宋体" w:cs="宋体"/>
                <w:color w:val="auto"/>
                <w:sz w:val="24"/>
                <w:highlight w:val="none"/>
              </w:rPr>
            </w:pPr>
          </w:p>
        </w:tc>
        <w:tc>
          <w:tcPr>
            <w:tcW w:w="1685" w:type="dxa"/>
            <w:vAlign w:val="center"/>
          </w:tcPr>
          <w:p w14:paraId="53358B35">
            <w:pPr>
              <w:jc w:val="center"/>
              <w:rPr>
                <w:rFonts w:ascii="宋体" w:hAnsi="宋体" w:cs="宋体"/>
                <w:color w:val="auto"/>
                <w:sz w:val="24"/>
                <w:highlight w:val="none"/>
              </w:rPr>
            </w:pPr>
          </w:p>
        </w:tc>
        <w:tc>
          <w:tcPr>
            <w:tcW w:w="1442" w:type="dxa"/>
          </w:tcPr>
          <w:p w14:paraId="159CCC08">
            <w:pPr>
              <w:jc w:val="center"/>
              <w:rPr>
                <w:rFonts w:ascii="宋体" w:hAnsi="宋体" w:cs="宋体"/>
                <w:color w:val="auto"/>
                <w:sz w:val="24"/>
                <w:highlight w:val="none"/>
              </w:rPr>
            </w:pPr>
          </w:p>
        </w:tc>
        <w:tc>
          <w:tcPr>
            <w:tcW w:w="1442" w:type="dxa"/>
            <w:vAlign w:val="center"/>
          </w:tcPr>
          <w:p w14:paraId="2EEC8849">
            <w:pPr>
              <w:jc w:val="center"/>
              <w:rPr>
                <w:rFonts w:ascii="宋体" w:hAnsi="宋体" w:cs="宋体"/>
                <w:color w:val="auto"/>
                <w:sz w:val="24"/>
                <w:highlight w:val="none"/>
              </w:rPr>
            </w:pPr>
          </w:p>
        </w:tc>
        <w:tc>
          <w:tcPr>
            <w:tcW w:w="1049" w:type="dxa"/>
            <w:vAlign w:val="center"/>
          </w:tcPr>
          <w:p w14:paraId="2BFBD916">
            <w:pPr>
              <w:jc w:val="center"/>
              <w:rPr>
                <w:rFonts w:ascii="宋体" w:hAnsi="宋体" w:cs="宋体"/>
                <w:color w:val="auto"/>
                <w:sz w:val="24"/>
                <w:highlight w:val="none"/>
              </w:rPr>
            </w:pPr>
          </w:p>
        </w:tc>
      </w:tr>
      <w:tr w14:paraId="00B1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06AD0F3E">
            <w:pPr>
              <w:jc w:val="center"/>
              <w:rPr>
                <w:rFonts w:ascii="宋体" w:hAnsi="宋体" w:cs="宋体"/>
                <w:color w:val="auto"/>
                <w:sz w:val="24"/>
                <w:highlight w:val="none"/>
              </w:rPr>
            </w:pPr>
            <w:r>
              <w:rPr>
                <w:rFonts w:hint="eastAsia" w:ascii="宋体" w:hAnsi="宋体" w:cs="宋体"/>
                <w:color w:val="auto"/>
                <w:sz w:val="24"/>
                <w:highlight w:val="none"/>
              </w:rPr>
              <w:t>…</w:t>
            </w:r>
          </w:p>
        </w:tc>
        <w:tc>
          <w:tcPr>
            <w:tcW w:w="2107" w:type="dxa"/>
            <w:vAlign w:val="center"/>
          </w:tcPr>
          <w:p w14:paraId="09F0FE73">
            <w:pPr>
              <w:jc w:val="center"/>
              <w:rPr>
                <w:rFonts w:ascii="宋体" w:hAnsi="宋体" w:cs="宋体"/>
                <w:color w:val="auto"/>
                <w:sz w:val="24"/>
                <w:highlight w:val="none"/>
              </w:rPr>
            </w:pPr>
          </w:p>
        </w:tc>
        <w:tc>
          <w:tcPr>
            <w:tcW w:w="1254" w:type="dxa"/>
            <w:vAlign w:val="center"/>
          </w:tcPr>
          <w:p w14:paraId="39DD6342">
            <w:pPr>
              <w:jc w:val="center"/>
              <w:rPr>
                <w:rFonts w:ascii="宋体" w:hAnsi="宋体" w:cs="宋体"/>
                <w:color w:val="auto"/>
                <w:sz w:val="24"/>
                <w:highlight w:val="none"/>
              </w:rPr>
            </w:pPr>
          </w:p>
        </w:tc>
        <w:tc>
          <w:tcPr>
            <w:tcW w:w="1685" w:type="dxa"/>
            <w:vAlign w:val="center"/>
          </w:tcPr>
          <w:p w14:paraId="172F3C35">
            <w:pPr>
              <w:jc w:val="center"/>
              <w:rPr>
                <w:rFonts w:ascii="宋体" w:hAnsi="宋体" w:cs="宋体"/>
                <w:color w:val="auto"/>
                <w:sz w:val="24"/>
                <w:highlight w:val="none"/>
              </w:rPr>
            </w:pPr>
          </w:p>
        </w:tc>
        <w:tc>
          <w:tcPr>
            <w:tcW w:w="1442" w:type="dxa"/>
          </w:tcPr>
          <w:p w14:paraId="4748C595">
            <w:pPr>
              <w:jc w:val="center"/>
              <w:rPr>
                <w:rFonts w:ascii="宋体" w:hAnsi="宋体" w:cs="宋体"/>
                <w:color w:val="auto"/>
                <w:sz w:val="24"/>
                <w:highlight w:val="none"/>
              </w:rPr>
            </w:pPr>
          </w:p>
        </w:tc>
        <w:tc>
          <w:tcPr>
            <w:tcW w:w="1442" w:type="dxa"/>
            <w:vAlign w:val="center"/>
          </w:tcPr>
          <w:p w14:paraId="495551A4">
            <w:pPr>
              <w:jc w:val="center"/>
              <w:rPr>
                <w:rFonts w:ascii="宋体" w:hAnsi="宋体" w:cs="宋体"/>
                <w:color w:val="auto"/>
                <w:sz w:val="24"/>
                <w:highlight w:val="none"/>
              </w:rPr>
            </w:pPr>
          </w:p>
        </w:tc>
        <w:tc>
          <w:tcPr>
            <w:tcW w:w="1049" w:type="dxa"/>
            <w:vAlign w:val="center"/>
          </w:tcPr>
          <w:p w14:paraId="6F727AE2">
            <w:pPr>
              <w:jc w:val="center"/>
              <w:rPr>
                <w:rFonts w:ascii="宋体" w:hAnsi="宋体" w:cs="宋体"/>
                <w:color w:val="auto"/>
                <w:sz w:val="24"/>
                <w:highlight w:val="none"/>
              </w:rPr>
            </w:pPr>
          </w:p>
        </w:tc>
      </w:tr>
    </w:tbl>
    <w:p w14:paraId="76BE2EC2">
      <w:pPr>
        <w:spacing w:line="360" w:lineRule="auto"/>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注：投标文件中须提供类似项目的</w:t>
      </w:r>
      <w:r>
        <w:rPr>
          <w:rFonts w:hint="eastAsia" w:ascii="宋体" w:hAnsi="宋体" w:cs="宋体"/>
          <w:color w:val="auto"/>
          <w:sz w:val="24"/>
          <w:szCs w:val="24"/>
          <w:highlight w:val="none"/>
          <w:lang w:eastAsia="zh-CN"/>
        </w:rPr>
        <w:t>合同</w:t>
      </w:r>
      <w:r>
        <w:rPr>
          <w:rFonts w:hint="eastAsia" w:ascii="宋体" w:hAnsi="宋体" w:cs="宋体"/>
          <w:color w:val="auto"/>
          <w:sz w:val="24"/>
          <w:szCs w:val="24"/>
          <w:highlight w:val="none"/>
        </w:rPr>
        <w:t>扫描件。</w:t>
      </w:r>
    </w:p>
    <w:p w14:paraId="09D3D3E3">
      <w:pPr>
        <w:ind w:firstLine="482" w:firstLineChars="200"/>
        <w:rPr>
          <w:rFonts w:ascii="宋体" w:hAnsi="宋体" w:cs="宋体"/>
          <w:b/>
          <w:color w:val="auto"/>
          <w:sz w:val="24"/>
          <w:szCs w:val="24"/>
          <w:highlight w:val="none"/>
        </w:rPr>
      </w:pPr>
    </w:p>
    <w:p w14:paraId="1E5A9D74">
      <w:pPr>
        <w:ind w:firstLine="1687" w:firstLineChars="600"/>
        <w:rPr>
          <w:rFonts w:ascii="宋体" w:hAnsi="宋体" w:cs="宋体"/>
          <w:b/>
          <w:color w:val="auto"/>
          <w:sz w:val="28"/>
          <w:szCs w:val="28"/>
          <w:highlight w:val="none"/>
        </w:rPr>
      </w:pPr>
    </w:p>
    <w:p w14:paraId="12163DB7">
      <w:pPr>
        <w:ind w:firstLine="1687" w:firstLineChars="600"/>
        <w:rPr>
          <w:rFonts w:ascii="宋体" w:hAnsi="宋体" w:cs="宋体"/>
          <w:b/>
          <w:color w:val="auto"/>
          <w:sz w:val="28"/>
          <w:szCs w:val="28"/>
          <w:highlight w:val="none"/>
        </w:rPr>
      </w:pPr>
    </w:p>
    <w:p w14:paraId="098C38EA">
      <w:pPr>
        <w:pStyle w:val="8"/>
        <w:rPr>
          <w:rFonts w:ascii="宋体" w:hAnsi="宋体" w:cs="宋体"/>
          <w:b/>
          <w:color w:val="auto"/>
          <w:sz w:val="28"/>
          <w:szCs w:val="28"/>
          <w:highlight w:val="none"/>
        </w:rPr>
      </w:pPr>
    </w:p>
    <w:p w14:paraId="599C02DD">
      <w:pPr>
        <w:pStyle w:val="9"/>
        <w:ind w:left="1470" w:right="1470"/>
        <w:rPr>
          <w:rFonts w:ascii="宋体" w:hAnsi="宋体" w:cs="宋体"/>
          <w:b/>
          <w:color w:val="auto"/>
          <w:sz w:val="28"/>
          <w:szCs w:val="28"/>
          <w:highlight w:val="none"/>
        </w:rPr>
      </w:pPr>
    </w:p>
    <w:p w14:paraId="7CA3A9DD">
      <w:pPr>
        <w:pStyle w:val="9"/>
        <w:ind w:left="1470" w:right="1470"/>
        <w:rPr>
          <w:rFonts w:ascii="宋体" w:hAnsi="宋体" w:cs="宋体"/>
          <w:b/>
          <w:color w:val="auto"/>
          <w:sz w:val="28"/>
          <w:szCs w:val="28"/>
          <w:highlight w:val="none"/>
        </w:rPr>
      </w:pPr>
    </w:p>
    <w:p w14:paraId="6F54CA32">
      <w:pPr>
        <w:pStyle w:val="9"/>
        <w:ind w:left="1470" w:right="1470"/>
        <w:rPr>
          <w:rFonts w:ascii="宋体" w:hAnsi="宋体" w:cs="宋体"/>
          <w:b/>
          <w:color w:val="auto"/>
          <w:sz w:val="28"/>
          <w:szCs w:val="28"/>
          <w:highlight w:val="none"/>
        </w:rPr>
      </w:pPr>
    </w:p>
    <w:p w14:paraId="31DFC533">
      <w:pPr>
        <w:ind w:firstLine="1687" w:firstLineChars="600"/>
        <w:rPr>
          <w:rFonts w:ascii="宋体" w:hAnsi="宋体" w:cs="宋体"/>
          <w:b/>
          <w:color w:val="auto"/>
          <w:sz w:val="28"/>
          <w:szCs w:val="28"/>
          <w:highlight w:val="none"/>
        </w:rPr>
      </w:pPr>
    </w:p>
    <w:p w14:paraId="5B961C62">
      <w:pPr>
        <w:ind w:firstLine="1687" w:firstLineChars="600"/>
        <w:rPr>
          <w:rFonts w:ascii="宋体" w:hAnsi="宋体" w:cs="宋体"/>
          <w:b/>
          <w:color w:val="auto"/>
          <w:sz w:val="28"/>
          <w:szCs w:val="28"/>
          <w:highlight w:val="none"/>
        </w:rPr>
      </w:pPr>
    </w:p>
    <w:p w14:paraId="4616953E">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349C6675">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1F2DA3CA">
      <w:pPr>
        <w:spacing w:line="360" w:lineRule="auto"/>
        <w:ind w:firstLine="1687" w:firstLineChars="700"/>
        <w:rPr>
          <w:rFonts w:ascii="宋体" w:hAnsi="宋体" w:cs="宋体"/>
          <w:color w:val="auto"/>
          <w:sz w:val="24"/>
          <w:szCs w:val="24"/>
          <w:highlight w:val="none"/>
        </w:rPr>
        <w:sectPr>
          <w:pgSz w:w="11906" w:h="16838"/>
          <w:pgMar w:top="1440" w:right="1083" w:bottom="1440" w:left="1083" w:header="720" w:footer="720" w:gutter="0"/>
          <w:pgNumType w:fmt="numberInDash"/>
          <w:cols w:space="720" w:num="1"/>
          <w:docGrid w:type="lines" w:linePitch="317" w:charSpace="0"/>
        </w:sect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p>
    <w:p w14:paraId="61F1966C">
      <w:pPr>
        <w:outlineLvl w:val="2"/>
        <w:rPr>
          <w:rFonts w:ascii="宋体" w:hAnsi="宋体"/>
          <w:b/>
          <w:bCs/>
          <w:color w:val="auto"/>
          <w:sz w:val="32"/>
          <w:szCs w:val="32"/>
          <w:highlight w:val="none"/>
        </w:rPr>
      </w:pPr>
      <w:bookmarkStart w:id="481" w:name="_Toc27730"/>
      <w:r>
        <w:rPr>
          <w:rFonts w:hint="eastAsia" w:ascii="宋体" w:hAnsi="宋体"/>
          <w:b/>
          <w:bCs/>
          <w:color w:val="auto"/>
          <w:sz w:val="32"/>
          <w:szCs w:val="32"/>
          <w:highlight w:val="none"/>
        </w:rPr>
        <w:t>第三部分 技术部分</w:t>
      </w:r>
      <w:bookmarkEnd w:id="481"/>
    </w:p>
    <w:p w14:paraId="55B86582">
      <w:pPr>
        <w:pStyle w:val="6"/>
        <w:keepNext/>
        <w:keepLines/>
        <w:pageBreakBefore w:val="0"/>
        <w:widowControl w:val="0"/>
        <w:kinsoku/>
        <w:wordWrap/>
        <w:overflowPunct/>
        <w:topLinePunct w:val="0"/>
        <w:autoSpaceDE/>
        <w:autoSpaceDN/>
        <w:bidi w:val="0"/>
        <w:adjustRightInd/>
        <w:snapToGrid/>
        <w:spacing w:before="200" w:after="200" w:line="413" w:lineRule="auto"/>
        <w:textAlignment w:val="auto"/>
        <w:rPr>
          <w:color w:val="auto"/>
          <w:highlight w:val="none"/>
        </w:rPr>
      </w:pPr>
      <w:bookmarkStart w:id="482" w:name="_Toc23119"/>
      <w:r>
        <w:rPr>
          <w:rFonts w:hint="eastAsia"/>
          <w:color w:val="auto"/>
          <w:highlight w:val="none"/>
        </w:rPr>
        <w:t>一、</w:t>
      </w:r>
      <w:r>
        <w:rPr>
          <w:rFonts w:hint="eastAsia"/>
          <w:color w:val="auto"/>
          <w:highlight w:val="none"/>
          <w:lang w:val="en-US" w:eastAsia="zh-CN"/>
        </w:rPr>
        <w:t>采购清单</w:t>
      </w:r>
      <w:r>
        <w:rPr>
          <w:rFonts w:hint="eastAsia"/>
          <w:color w:val="auto"/>
          <w:highlight w:val="none"/>
        </w:rPr>
        <w:t>偏离表</w:t>
      </w:r>
      <w:bookmarkEnd w:id="480"/>
      <w:bookmarkEnd w:id="482"/>
    </w:p>
    <w:p w14:paraId="355A4F77">
      <w:pPr>
        <w:autoSpaceDE w:val="0"/>
        <w:spacing w:line="360" w:lineRule="auto"/>
        <w:ind w:firstLine="240" w:firstLineChars="100"/>
        <w:rPr>
          <w:rFonts w:hint="eastAsia" w:ascii="宋体" w:hAnsi="宋体" w:cs="宋体"/>
          <w:color w:val="auto"/>
          <w:sz w:val="24"/>
          <w:szCs w:val="24"/>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098"/>
        <w:gridCol w:w="2055"/>
        <w:gridCol w:w="2191"/>
        <w:gridCol w:w="1369"/>
        <w:gridCol w:w="2124"/>
      </w:tblGrid>
      <w:tr w14:paraId="4556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6D17BA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98" w:type="dxa"/>
            <w:noWrap w:val="0"/>
            <w:vAlign w:val="center"/>
          </w:tcPr>
          <w:p w14:paraId="3F7F3C5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2055" w:type="dxa"/>
            <w:noWrap w:val="0"/>
            <w:vAlign w:val="center"/>
          </w:tcPr>
          <w:p w14:paraId="1FD7E4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191" w:type="dxa"/>
            <w:noWrap w:val="0"/>
            <w:vAlign w:val="center"/>
          </w:tcPr>
          <w:p w14:paraId="49AA8A7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w:t>
            </w:r>
          </w:p>
        </w:tc>
        <w:tc>
          <w:tcPr>
            <w:tcW w:w="1369" w:type="dxa"/>
            <w:noWrap w:val="0"/>
            <w:vAlign w:val="center"/>
          </w:tcPr>
          <w:p w14:paraId="4DE63D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2124" w:type="dxa"/>
            <w:noWrap w:val="0"/>
            <w:vAlign w:val="center"/>
          </w:tcPr>
          <w:p w14:paraId="54B141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243AD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2C18977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098" w:type="dxa"/>
            <w:noWrap w:val="0"/>
            <w:vAlign w:val="center"/>
          </w:tcPr>
          <w:p w14:paraId="2DBDBF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055" w:type="dxa"/>
            <w:noWrap w:val="0"/>
            <w:vAlign w:val="center"/>
          </w:tcPr>
          <w:p w14:paraId="43D7158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91" w:type="dxa"/>
            <w:noWrap w:val="0"/>
            <w:vAlign w:val="center"/>
          </w:tcPr>
          <w:p w14:paraId="3986D2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69" w:type="dxa"/>
            <w:noWrap w:val="0"/>
            <w:vAlign w:val="center"/>
          </w:tcPr>
          <w:p w14:paraId="55F599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24" w:type="dxa"/>
            <w:noWrap w:val="0"/>
            <w:vAlign w:val="center"/>
          </w:tcPr>
          <w:p w14:paraId="05E73F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9CB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129A58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098" w:type="dxa"/>
            <w:noWrap w:val="0"/>
            <w:vAlign w:val="center"/>
          </w:tcPr>
          <w:p w14:paraId="0B745C6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055" w:type="dxa"/>
            <w:noWrap w:val="0"/>
            <w:vAlign w:val="center"/>
          </w:tcPr>
          <w:p w14:paraId="1BE8C08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91" w:type="dxa"/>
            <w:noWrap w:val="0"/>
            <w:vAlign w:val="center"/>
          </w:tcPr>
          <w:p w14:paraId="0AE2043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69" w:type="dxa"/>
            <w:noWrap w:val="0"/>
            <w:vAlign w:val="center"/>
          </w:tcPr>
          <w:p w14:paraId="19C43B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24" w:type="dxa"/>
            <w:noWrap w:val="0"/>
            <w:vAlign w:val="center"/>
          </w:tcPr>
          <w:p w14:paraId="7E1A68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3F7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54B8CE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098" w:type="dxa"/>
            <w:noWrap w:val="0"/>
            <w:vAlign w:val="center"/>
          </w:tcPr>
          <w:p w14:paraId="0EE311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055" w:type="dxa"/>
            <w:noWrap w:val="0"/>
            <w:vAlign w:val="center"/>
          </w:tcPr>
          <w:p w14:paraId="015B48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91" w:type="dxa"/>
            <w:noWrap w:val="0"/>
            <w:vAlign w:val="center"/>
          </w:tcPr>
          <w:p w14:paraId="151541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69" w:type="dxa"/>
            <w:noWrap w:val="0"/>
            <w:vAlign w:val="center"/>
          </w:tcPr>
          <w:p w14:paraId="716FED9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24" w:type="dxa"/>
            <w:noWrap w:val="0"/>
            <w:vAlign w:val="center"/>
          </w:tcPr>
          <w:p w14:paraId="5B304B4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0C8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110E7F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098" w:type="dxa"/>
            <w:noWrap w:val="0"/>
            <w:vAlign w:val="center"/>
          </w:tcPr>
          <w:p w14:paraId="1C7FBD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055" w:type="dxa"/>
            <w:noWrap w:val="0"/>
            <w:vAlign w:val="center"/>
          </w:tcPr>
          <w:p w14:paraId="5FE6B9F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91" w:type="dxa"/>
            <w:noWrap w:val="0"/>
            <w:vAlign w:val="center"/>
          </w:tcPr>
          <w:p w14:paraId="49B38E7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69" w:type="dxa"/>
            <w:noWrap w:val="0"/>
            <w:vAlign w:val="center"/>
          </w:tcPr>
          <w:p w14:paraId="0C4002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24" w:type="dxa"/>
            <w:noWrap w:val="0"/>
            <w:vAlign w:val="center"/>
          </w:tcPr>
          <w:p w14:paraId="6FAE36E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905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641EB2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098" w:type="dxa"/>
            <w:noWrap w:val="0"/>
            <w:vAlign w:val="center"/>
          </w:tcPr>
          <w:p w14:paraId="074B78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055" w:type="dxa"/>
            <w:noWrap w:val="0"/>
            <w:vAlign w:val="center"/>
          </w:tcPr>
          <w:p w14:paraId="56C0FB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91" w:type="dxa"/>
            <w:noWrap w:val="0"/>
            <w:vAlign w:val="center"/>
          </w:tcPr>
          <w:p w14:paraId="620E7CD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69" w:type="dxa"/>
            <w:noWrap w:val="0"/>
            <w:vAlign w:val="center"/>
          </w:tcPr>
          <w:p w14:paraId="2AB985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124" w:type="dxa"/>
            <w:noWrap w:val="0"/>
            <w:vAlign w:val="center"/>
          </w:tcPr>
          <w:p w14:paraId="18F01D9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472D1A95">
      <w:pPr>
        <w:autoSpaceDE w:val="0"/>
        <w:spacing w:line="360" w:lineRule="auto"/>
        <w:ind w:firstLine="240" w:firstLineChars="100"/>
        <w:rPr>
          <w:rFonts w:hint="eastAsia" w:ascii="宋体" w:hAnsi="宋体" w:cs="宋体"/>
          <w:color w:val="auto"/>
          <w:sz w:val="24"/>
          <w:szCs w:val="24"/>
          <w:highlight w:val="none"/>
        </w:rPr>
      </w:pPr>
    </w:p>
    <w:p w14:paraId="7C9CB111">
      <w:pPr>
        <w:autoSpaceDE w:val="0"/>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注：1.该表可自行扩展。</w:t>
      </w:r>
    </w:p>
    <w:p w14:paraId="2905A86C">
      <w:pPr>
        <w:autoSpaceDE w:val="0"/>
        <w:spacing w:line="360" w:lineRule="auto"/>
        <w:ind w:firstLine="723" w:firstLineChars="300"/>
        <w:rPr>
          <w:color w:val="auto"/>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采购清单偏离条款指：招标文件中对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第六章 采购需求</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中的采购清单</w:t>
      </w:r>
      <w:r>
        <w:rPr>
          <w:rFonts w:hint="eastAsia" w:ascii="宋体" w:hAnsi="宋体" w:eastAsia="宋体" w:cs="宋体"/>
          <w:b/>
          <w:bCs/>
          <w:color w:val="auto"/>
          <w:sz w:val="24"/>
          <w:szCs w:val="24"/>
          <w:highlight w:val="none"/>
        </w:rPr>
        <w:t>内容，投标人应仔细阅读招标文件中的各项</w:t>
      </w:r>
      <w:r>
        <w:rPr>
          <w:rFonts w:hint="eastAsia" w:ascii="宋体" w:hAnsi="宋体" w:eastAsia="宋体" w:cs="宋体"/>
          <w:b/>
          <w:bCs/>
          <w:color w:val="auto"/>
          <w:sz w:val="24"/>
          <w:szCs w:val="24"/>
          <w:highlight w:val="none"/>
          <w:lang w:val="en-US" w:eastAsia="zh-CN"/>
        </w:rPr>
        <w:t>参数</w:t>
      </w:r>
      <w:r>
        <w:rPr>
          <w:rFonts w:hint="eastAsia" w:ascii="宋体" w:hAnsi="宋体" w:eastAsia="宋体" w:cs="宋体"/>
          <w:b/>
          <w:bCs/>
          <w:color w:val="auto"/>
          <w:sz w:val="24"/>
          <w:szCs w:val="24"/>
          <w:highlight w:val="none"/>
        </w:rPr>
        <w:t>要求，若由于投标人的疏忽大意或未能完整、如实填写，视为投标人全部满足。</w:t>
      </w:r>
    </w:p>
    <w:p w14:paraId="7D7B8162">
      <w:pPr>
        <w:autoSpaceDE w:val="0"/>
        <w:spacing w:line="360" w:lineRule="auto"/>
        <w:ind w:firstLine="723" w:firstLineChars="3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.“偏离情况”请如实填写：“正偏离”或“负偏离”并填写说明。</w:t>
      </w:r>
    </w:p>
    <w:p w14:paraId="58E2E92E">
      <w:pPr>
        <w:autoSpaceDE w:val="0"/>
        <w:spacing w:line="360" w:lineRule="auto"/>
        <w:ind w:firstLine="723" w:firstLineChars="3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4.无正偏离或负偏离的无须填写本表且视为投标人全部满足采购需求，但本表须签章。</w:t>
      </w:r>
    </w:p>
    <w:p w14:paraId="38637838">
      <w:pPr>
        <w:spacing w:line="440" w:lineRule="exact"/>
        <w:ind w:firstLine="482" w:firstLineChars="200"/>
        <w:rPr>
          <w:rFonts w:hint="default" w:ascii="宋体" w:hAnsi="宋体" w:eastAsia="宋体"/>
          <w:b/>
          <w:color w:val="auto"/>
          <w:sz w:val="24"/>
          <w:szCs w:val="24"/>
          <w:highlight w:val="none"/>
          <w:lang w:val="en-US" w:eastAsia="zh-CN"/>
        </w:rPr>
      </w:pPr>
      <w:bookmarkStart w:id="483" w:name="_Toc29437"/>
    </w:p>
    <w:p w14:paraId="7D2E2952">
      <w:pPr>
        <w:pStyle w:val="8"/>
        <w:rPr>
          <w:rFonts w:hint="default" w:ascii="宋体" w:hAnsi="宋体" w:eastAsia="宋体"/>
          <w:b/>
          <w:color w:val="auto"/>
          <w:sz w:val="24"/>
          <w:szCs w:val="24"/>
          <w:highlight w:val="none"/>
          <w:lang w:val="en-US" w:eastAsia="zh-CN"/>
        </w:rPr>
      </w:pPr>
    </w:p>
    <w:p w14:paraId="641A0C43">
      <w:pPr>
        <w:pStyle w:val="9"/>
        <w:rPr>
          <w:rFonts w:hint="default" w:ascii="宋体" w:hAnsi="宋体" w:eastAsia="宋体"/>
          <w:b/>
          <w:color w:val="auto"/>
          <w:sz w:val="24"/>
          <w:szCs w:val="24"/>
          <w:highlight w:val="none"/>
          <w:lang w:val="en-US" w:eastAsia="zh-CN"/>
        </w:rPr>
      </w:pPr>
    </w:p>
    <w:p w14:paraId="6FF48E3E">
      <w:pPr>
        <w:pStyle w:val="9"/>
        <w:rPr>
          <w:rFonts w:hint="default" w:ascii="宋体" w:hAnsi="宋体" w:eastAsia="宋体"/>
          <w:b/>
          <w:color w:val="auto"/>
          <w:sz w:val="24"/>
          <w:szCs w:val="24"/>
          <w:highlight w:val="none"/>
          <w:lang w:val="en-US" w:eastAsia="zh-CN"/>
        </w:rPr>
      </w:pPr>
    </w:p>
    <w:p w14:paraId="08D3BF9F">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投标人：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43341398">
      <w:pPr>
        <w:spacing w:line="360" w:lineRule="auto"/>
        <w:ind w:firstLine="1687" w:firstLineChars="700"/>
        <w:rPr>
          <w:rFonts w:ascii="宋体" w:hAnsi="宋体"/>
          <w:b/>
          <w:color w:val="auto"/>
          <w:sz w:val="24"/>
          <w:szCs w:val="24"/>
          <w:highlight w:val="none"/>
        </w:rPr>
      </w:pPr>
      <w:r>
        <w:rPr>
          <w:rFonts w:hint="eastAsia" w:ascii="宋体" w:hAnsi="宋体"/>
          <w:b/>
          <w:color w:val="auto"/>
          <w:sz w:val="24"/>
          <w:szCs w:val="24"/>
          <w:highlight w:val="none"/>
        </w:rPr>
        <w:t>法定代表人(单位负责人)或其委托代理人：</w:t>
      </w:r>
      <w:r>
        <w:rPr>
          <w:rFonts w:hint="eastAsia" w:ascii="宋体" w:hAnsi="宋体"/>
          <w:b/>
          <w:color w:val="auto"/>
          <w:sz w:val="24"/>
          <w:szCs w:val="24"/>
          <w:highlight w:val="none"/>
          <w:u w:val="single"/>
        </w:rPr>
        <w:tab/>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(电子签章)</w:t>
      </w:r>
    </w:p>
    <w:p w14:paraId="52D7B590">
      <w:pPr>
        <w:spacing w:line="360" w:lineRule="auto"/>
        <w:ind w:firstLine="1687" w:firstLineChars="700"/>
        <w:rPr>
          <w:rFonts w:ascii="宋体" w:hAnsi="宋体"/>
          <w:b/>
          <w:color w:val="auto"/>
          <w:sz w:val="24"/>
          <w:szCs w:val="24"/>
          <w:highlight w:val="none"/>
        </w:rPr>
      </w:pPr>
      <w:r>
        <w:rPr>
          <w:rFonts w:ascii="宋体" w:hAnsi="宋体"/>
          <w:b/>
          <w:color w:val="auto"/>
          <w:sz w:val="24"/>
          <w:szCs w:val="24"/>
          <w:highlight w:val="none"/>
        </w:rPr>
        <w:t>日期：</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年</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月</w:t>
      </w:r>
      <w:r>
        <w:rPr>
          <w:rFonts w:hint="eastAsia" w:ascii="宋体" w:hAnsi="宋体"/>
          <w:bCs/>
          <w:color w:val="auto"/>
          <w:sz w:val="24"/>
          <w:szCs w:val="24"/>
          <w:highlight w:val="none"/>
          <w:u w:val="single"/>
        </w:rPr>
        <w:t xml:space="preserve">     </w:t>
      </w:r>
      <w:r>
        <w:rPr>
          <w:rFonts w:ascii="宋体" w:hAnsi="宋体"/>
          <w:b/>
          <w:color w:val="auto"/>
          <w:sz w:val="24"/>
          <w:szCs w:val="24"/>
          <w:highlight w:val="none"/>
        </w:rPr>
        <w:t>日</w:t>
      </w:r>
    </w:p>
    <w:p w14:paraId="45264988">
      <w:pPr>
        <w:rPr>
          <w:color w:val="auto"/>
          <w:highlight w:val="none"/>
        </w:rPr>
      </w:pPr>
      <w:r>
        <w:rPr>
          <w:rFonts w:ascii="宋体" w:hAnsi="宋体"/>
          <w:b/>
          <w:color w:val="auto"/>
          <w:sz w:val="24"/>
          <w:szCs w:val="24"/>
          <w:highlight w:val="none"/>
        </w:rPr>
        <w:br w:type="page"/>
      </w:r>
    </w:p>
    <w:bookmarkEnd w:id="483"/>
    <w:p w14:paraId="12D6C411">
      <w:pPr>
        <w:pStyle w:val="6"/>
        <w:widowControl/>
        <w:autoSpaceDE w:val="0"/>
        <w:spacing w:line="360" w:lineRule="auto"/>
        <w:ind w:firstLine="562" w:firstLineChars="200"/>
        <w:rPr>
          <w:rFonts w:hint="eastAsia" w:ascii="宋体" w:hAnsi="宋体" w:cs="宋体"/>
          <w:color w:val="auto"/>
          <w:szCs w:val="28"/>
          <w:highlight w:val="none"/>
        </w:rPr>
      </w:pPr>
      <w:bookmarkStart w:id="484" w:name="_Toc20004"/>
      <w:bookmarkStart w:id="485" w:name="_Toc5877"/>
      <w:bookmarkStart w:id="486" w:name="_Toc27968"/>
      <w:bookmarkStart w:id="487" w:name="_Toc3507"/>
      <w:bookmarkStart w:id="488" w:name="_Toc22476"/>
      <w:bookmarkStart w:id="489" w:name="_Toc24047"/>
      <w:bookmarkStart w:id="490" w:name="_Toc10631"/>
      <w:bookmarkStart w:id="491" w:name="_Toc10041"/>
      <w:bookmarkStart w:id="492" w:name="_Toc30718"/>
      <w:bookmarkStart w:id="493" w:name="_Toc4174"/>
      <w:bookmarkStart w:id="494" w:name="_Toc17882"/>
      <w:bookmarkStart w:id="495" w:name="_Toc14033"/>
      <w:bookmarkStart w:id="496" w:name="_Toc3085"/>
      <w:bookmarkStart w:id="497" w:name="_Toc1321"/>
      <w:bookmarkStart w:id="498" w:name="_Toc838"/>
      <w:bookmarkStart w:id="499" w:name="_Toc21204"/>
      <w:bookmarkStart w:id="500" w:name="_Toc16580"/>
      <w:bookmarkStart w:id="501" w:name="_Toc3593"/>
      <w:bookmarkStart w:id="502" w:name="_Toc418"/>
      <w:bookmarkStart w:id="503" w:name="_Toc12090"/>
      <w:bookmarkStart w:id="504" w:name="_Toc5488"/>
      <w:r>
        <w:rPr>
          <w:rFonts w:hint="eastAsia" w:ascii="宋体" w:hAnsi="宋体" w:cs="宋体"/>
          <w:color w:val="auto"/>
          <w:szCs w:val="28"/>
          <w:highlight w:val="none"/>
        </w:rPr>
        <w:t>二、</w:t>
      </w:r>
      <w:bookmarkEnd w:id="484"/>
      <w:bookmarkEnd w:id="485"/>
      <w:bookmarkEnd w:id="486"/>
      <w:bookmarkEnd w:id="487"/>
      <w:bookmarkEnd w:id="488"/>
      <w:bookmarkEnd w:id="489"/>
      <w:bookmarkEnd w:id="490"/>
      <w:bookmarkEnd w:id="491"/>
      <w:bookmarkEnd w:id="492"/>
      <w:r>
        <w:rPr>
          <w:rFonts w:hint="eastAsia" w:ascii="宋体" w:hAnsi="宋体" w:cs="宋体"/>
          <w:color w:val="auto"/>
          <w:szCs w:val="28"/>
          <w:highlight w:val="none"/>
        </w:rPr>
        <w:t>供货服务方案</w:t>
      </w:r>
      <w:bookmarkEnd w:id="493"/>
    </w:p>
    <w:p w14:paraId="59BB43D3">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5AC22F81">
      <w:pPr>
        <w:rPr>
          <w:rFonts w:hint="eastAsia"/>
          <w:color w:val="auto"/>
          <w:highlight w:val="none"/>
        </w:rPr>
      </w:pPr>
    </w:p>
    <w:p w14:paraId="539848E0">
      <w:pPr>
        <w:pStyle w:val="2"/>
        <w:rPr>
          <w:rFonts w:hint="eastAsia"/>
          <w:color w:val="auto"/>
          <w:highlight w:val="none"/>
        </w:rPr>
      </w:pPr>
    </w:p>
    <w:p w14:paraId="7D832624">
      <w:pPr>
        <w:rPr>
          <w:rFonts w:hint="eastAsia"/>
          <w:color w:val="auto"/>
          <w:highlight w:val="none"/>
        </w:rPr>
      </w:pPr>
    </w:p>
    <w:p w14:paraId="59530801">
      <w:pPr>
        <w:pStyle w:val="2"/>
        <w:rPr>
          <w:rFonts w:hint="eastAsia"/>
          <w:color w:val="auto"/>
          <w:highlight w:val="none"/>
        </w:rPr>
      </w:pPr>
    </w:p>
    <w:p w14:paraId="300EAC7F">
      <w:pPr>
        <w:rPr>
          <w:rFonts w:hint="eastAsia"/>
          <w:color w:val="auto"/>
          <w:highlight w:val="none"/>
        </w:rPr>
      </w:pPr>
    </w:p>
    <w:p w14:paraId="6BC79180">
      <w:pPr>
        <w:pStyle w:val="2"/>
        <w:rPr>
          <w:rFonts w:hint="eastAsia"/>
          <w:color w:val="auto"/>
          <w:highlight w:val="none"/>
        </w:rPr>
      </w:pPr>
    </w:p>
    <w:p w14:paraId="43B1B6DD">
      <w:pPr>
        <w:pStyle w:val="6"/>
        <w:widowControl/>
        <w:autoSpaceDE w:val="0"/>
        <w:spacing w:line="360" w:lineRule="auto"/>
        <w:ind w:firstLine="562" w:firstLineChars="200"/>
        <w:rPr>
          <w:rFonts w:hint="eastAsia" w:ascii="宋体" w:hAnsi="宋体" w:cs="宋体"/>
          <w:color w:val="auto"/>
          <w:szCs w:val="28"/>
          <w:highlight w:val="none"/>
        </w:rPr>
      </w:pPr>
      <w:bookmarkStart w:id="505" w:name="_Toc24731"/>
      <w:r>
        <w:rPr>
          <w:rFonts w:hint="eastAsia" w:ascii="宋体" w:hAnsi="宋体" w:cs="宋体"/>
          <w:color w:val="auto"/>
          <w:szCs w:val="28"/>
          <w:highlight w:val="none"/>
          <w:lang w:val="en-US" w:eastAsia="zh-CN"/>
        </w:rPr>
        <w:t>三、</w:t>
      </w:r>
      <w:r>
        <w:rPr>
          <w:rFonts w:hint="eastAsia" w:ascii="宋体" w:hAnsi="宋体" w:cs="宋体"/>
          <w:color w:val="auto"/>
          <w:szCs w:val="28"/>
          <w:highlight w:val="none"/>
        </w:rPr>
        <w:t>供货能力及供货渠道</w:t>
      </w:r>
      <w:bookmarkEnd w:id="505"/>
    </w:p>
    <w:p w14:paraId="0366756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7A1F9B8C">
      <w:pPr>
        <w:pStyle w:val="2"/>
        <w:rPr>
          <w:color w:val="auto"/>
          <w:highlight w:val="none"/>
        </w:rPr>
      </w:pPr>
    </w:p>
    <w:p w14:paraId="02CB3975">
      <w:pPr>
        <w:rPr>
          <w:rFonts w:hint="eastAsia"/>
          <w:color w:val="auto"/>
          <w:highlight w:val="none"/>
        </w:rPr>
      </w:pPr>
    </w:p>
    <w:p w14:paraId="72EA92AC">
      <w:pPr>
        <w:pStyle w:val="2"/>
        <w:rPr>
          <w:rFonts w:hint="eastAsia"/>
          <w:color w:val="auto"/>
          <w:highlight w:val="none"/>
        </w:rPr>
      </w:pPr>
    </w:p>
    <w:p w14:paraId="3B809967">
      <w:pPr>
        <w:rPr>
          <w:rFonts w:hint="eastAsia"/>
          <w:color w:val="auto"/>
          <w:highlight w:val="none"/>
        </w:rPr>
      </w:pPr>
    </w:p>
    <w:p w14:paraId="28C459F1">
      <w:pPr>
        <w:pStyle w:val="2"/>
        <w:rPr>
          <w:rFonts w:hint="eastAsia"/>
          <w:color w:val="auto"/>
          <w:highlight w:val="none"/>
        </w:rPr>
      </w:pPr>
    </w:p>
    <w:p w14:paraId="0C81B43A">
      <w:pPr>
        <w:rPr>
          <w:rFonts w:hint="eastAsia"/>
          <w:color w:val="auto"/>
          <w:highlight w:val="none"/>
        </w:rPr>
      </w:pPr>
    </w:p>
    <w:p w14:paraId="6C39A83D">
      <w:pPr>
        <w:pStyle w:val="2"/>
        <w:rPr>
          <w:rFonts w:hint="eastAsia"/>
          <w:color w:val="auto"/>
          <w:highlight w:val="none"/>
        </w:rPr>
      </w:pPr>
    </w:p>
    <w:p w14:paraId="369A6054">
      <w:pPr>
        <w:pStyle w:val="6"/>
        <w:widowControl/>
        <w:autoSpaceDE w:val="0"/>
        <w:spacing w:line="360" w:lineRule="auto"/>
        <w:ind w:firstLine="562" w:firstLineChars="200"/>
        <w:rPr>
          <w:color w:val="auto"/>
          <w:highlight w:val="none"/>
        </w:rPr>
      </w:pPr>
      <w:bookmarkStart w:id="506" w:name="_Toc577"/>
      <w:r>
        <w:rPr>
          <w:rFonts w:hint="eastAsia" w:ascii="宋体" w:hAnsi="宋体" w:cs="宋体"/>
          <w:color w:val="auto"/>
          <w:szCs w:val="28"/>
          <w:highlight w:val="none"/>
          <w:lang w:val="en-US" w:eastAsia="zh-CN"/>
        </w:rPr>
        <w:t>四、</w:t>
      </w:r>
      <w:r>
        <w:rPr>
          <w:rFonts w:hint="eastAsia" w:ascii="宋体" w:hAnsi="宋体" w:cs="宋体"/>
          <w:color w:val="auto"/>
          <w:szCs w:val="28"/>
          <w:highlight w:val="none"/>
        </w:rPr>
        <w:t>应急方案</w:t>
      </w:r>
      <w:bookmarkEnd w:id="494"/>
      <w:bookmarkEnd w:id="506"/>
    </w:p>
    <w:p w14:paraId="3470BE88">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3C4B14B9">
      <w:pPr>
        <w:pStyle w:val="6"/>
        <w:widowControl/>
        <w:autoSpaceDE w:val="0"/>
        <w:spacing w:line="360" w:lineRule="auto"/>
        <w:ind w:firstLine="482" w:firstLineChars="200"/>
        <w:rPr>
          <w:rFonts w:hint="eastAsia" w:ascii="宋体" w:hAnsi="宋体" w:cs="宋体"/>
          <w:color w:val="auto"/>
          <w:szCs w:val="28"/>
          <w:highlight w:val="none"/>
          <w:lang w:val="en-US" w:eastAsia="zh-CN"/>
        </w:rPr>
      </w:pPr>
      <w:r>
        <w:rPr>
          <w:rFonts w:hint="eastAsia" w:ascii="宋体" w:hAnsi="宋体" w:cs="宋体"/>
          <w:color w:val="auto"/>
          <w:sz w:val="24"/>
          <w:szCs w:val="24"/>
          <w:highlight w:val="none"/>
        </w:rPr>
        <w:br w:type="page"/>
      </w:r>
      <w:bookmarkStart w:id="507" w:name="_Toc26968"/>
      <w:r>
        <w:rPr>
          <w:rFonts w:hint="eastAsia" w:ascii="宋体" w:hAnsi="宋体" w:cs="宋体"/>
          <w:color w:val="auto"/>
          <w:szCs w:val="28"/>
          <w:highlight w:val="none"/>
          <w:lang w:val="en-US" w:eastAsia="zh-CN"/>
        </w:rPr>
        <w:t>五、仓储条件及管理方案</w:t>
      </w:r>
      <w:bookmarkEnd w:id="507"/>
    </w:p>
    <w:p w14:paraId="20AF2E1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29F6AA14">
      <w:pPr>
        <w:pStyle w:val="2"/>
        <w:rPr>
          <w:rFonts w:hint="eastAsia" w:ascii="宋体" w:hAnsi="宋体" w:cs="宋体"/>
          <w:color w:val="auto"/>
          <w:sz w:val="24"/>
          <w:szCs w:val="24"/>
          <w:highlight w:val="none"/>
        </w:rPr>
      </w:pPr>
    </w:p>
    <w:p w14:paraId="1E828EB6">
      <w:pPr>
        <w:rPr>
          <w:rFonts w:hint="eastAsia" w:ascii="宋体" w:hAnsi="宋体" w:cs="宋体"/>
          <w:color w:val="auto"/>
          <w:sz w:val="24"/>
          <w:szCs w:val="24"/>
          <w:highlight w:val="none"/>
        </w:rPr>
      </w:pPr>
    </w:p>
    <w:p w14:paraId="72DB4008">
      <w:pPr>
        <w:pStyle w:val="2"/>
        <w:rPr>
          <w:color w:val="auto"/>
          <w:highlight w:val="none"/>
        </w:rPr>
      </w:pPr>
    </w:p>
    <w:p w14:paraId="0135420B">
      <w:pPr>
        <w:rPr>
          <w:rFonts w:ascii="宋体" w:hAnsi="宋体" w:cs="宋体"/>
          <w:color w:val="auto"/>
          <w:sz w:val="24"/>
          <w:szCs w:val="24"/>
          <w:highlight w:val="none"/>
        </w:rPr>
      </w:pPr>
    </w:p>
    <w:p w14:paraId="314667FE">
      <w:pPr>
        <w:pStyle w:val="6"/>
        <w:widowControl/>
        <w:autoSpaceDE w:val="0"/>
        <w:spacing w:line="360" w:lineRule="auto"/>
        <w:ind w:firstLine="562" w:firstLineChars="200"/>
        <w:rPr>
          <w:rFonts w:ascii="宋体" w:hAnsi="宋体" w:cs="宋体"/>
          <w:color w:val="auto"/>
          <w:szCs w:val="28"/>
          <w:highlight w:val="none"/>
        </w:rPr>
      </w:pPr>
      <w:bookmarkStart w:id="508" w:name="_Toc2211"/>
      <w:bookmarkStart w:id="509" w:name="_Toc1259"/>
      <w:r>
        <w:rPr>
          <w:rFonts w:hint="eastAsia" w:ascii="宋体" w:hAnsi="宋体" w:cs="宋体"/>
          <w:color w:val="auto"/>
          <w:szCs w:val="28"/>
          <w:highlight w:val="none"/>
          <w:lang w:val="en-US" w:eastAsia="zh-CN"/>
        </w:rPr>
        <w:t>六</w:t>
      </w:r>
      <w:r>
        <w:rPr>
          <w:rFonts w:hint="eastAsia" w:ascii="宋体" w:hAnsi="宋体" w:cs="宋体"/>
          <w:color w:val="auto"/>
          <w:szCs w:val="28"/>
          <w:highlight w:val="none"/>
        </w:rPr>
        <w:t>、</w:t>
      </w:r>
      <w:bookmarkEnd w:id="508"/>
      <w:r>
        <w:rPr>
          <w:rFonts w:hint="eastAsia" w:ascii="宋体" w:hAnsi="宋体" w:cs="宋体"/>
          <w:color w:val="auto"/>
          <w:szCs w:val="28"/>
          <w:highlight w:val="none"/>
        </w:rPr>
        <w:t>人员配置</w:t>
      </w:r>
      <w:bookmarkEnd w:id="509"/>
    </w:p>
    <w:p w14:paraId="2276D64C">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7C99D7F8">
      <w:pPr>
        <w:pStyle w:val="8"/>
        <w:rPr>
          <w:color w:val="auto"/>
          <w:highlight w:val="none"/>
        </w:rPr>
      </w:pPr>
    </w:p>
    <w:p w14:paraId="31920C48">
      <w:pPr>
        <w:rPr>
          <w:color w:val="auto"/>
          <w:highlight w:val="none"/>
        </w:rPr>
      </w:pPr>
    </w:p>
    <w:p w14:paraId="27DA938A">
      <w:pPr>
        <w:spacing w:line="360" w:lineRule="auto"/>
        <w:ind w:left="283" w:leftChars="135" w:firstLine="480" w:firstLineChars="200"/>
        <w:rPr>
          <w:rFonts w:ascii="宋体" w:hAnsi="宋体" w:cs="宋体"/>
          <w:bCs/>
          <w:color w:val="auto"/>
          <w:sz w:val="24"/>
          <w:szCs w:val="24"/>
          <w:highlight w:val="none"/>
        </w:rPr>
      </w:pPr>
    </w:p>
    <w:p w14:paraId="1EF288E9">
      <w:pPr>
        <w:rPr>
          <w:rFonts w:ascii="宋体" w:hAnsi="宋体" w:cs="宋体"/>
          <w:color w:val="auto"/>
          <w:highlight w:val="none"/>
        </w:rPr>
      </w:pPr>
    </w:p>
    <w:p w14:paraId="55636AD5">
      <w:pPr>
        <w:rPr>
          <w:rFonts w:ascii="宋体" w:hAnsi="宋体" w:cs="宋体"/>
          <w:color w:val="auto"/>
          <w:highlight w:val="none"/>
        </w:rPr>
      </w:pPr>
    </w:p>
    <w:p w14:paraId="02A204DB">
      <w:pPr>
        <w:rPr>
          <w:rFonts w:ascii="宋体" w:hAnsi="宋体" w:cs="宋体"/>
          <w:color w:val="auto"/>
          <w:szCs w:val="28"/>
          <w:highlight w:val="none"/>
        </w:rPr>
      </w:pPr>
      <w:bookmarkStart w:id="510" w:name="_Toc3535"/>
      <w:bookmarkStart w:id="511" w:name="_Toc14150"/>
      <w:bookmarkStart w:id="512" w:name="_Toc23511"/>
      <w:bookmarkStart w:id="513" w:name="_Toc29516"/>
      <w:bookmarkStart w:id="514" w:name="_Toc16272"/>
      <w:bookmarkStart w:id="515" w:name="_Toc29712"/>
      <w:bookmarkStart w:id="516" w:name="_Toc5833"/>
      <w:bookmarkStart w:id="517" w:name="_Toc27678"/>
      <w:bookmarkStart w:id="518" w:name="_Toc11659"/>
      <w:r>
        <w:rPr>
          <w:rFonts w:hint="eastAsia" w:ascii="宋体" w:hAnsi="宋体" w:cs="宋体"/>
          <w:color w:val="auto"/>
          <w:szCs w:val="28"/>
          <w:highlight w:val="none"/>
        </w:rPr>
        <w:br w:type="page"/>
      </w:r>
    </w:p>
    <w:bookmarkEnd w:id="495"/>
    <w:bookmarkEnd w:id="496"/>
    <w:bookmarkEnd w:id="497"/>
    <w:bookmarkEnd w:id="498"/>
    <w:bookmarkEnd w:id="499"/>
    <w:bookmarkEnd w:id="500"/>
    <w:bookmarkEnd w:id="501"/>
    <w:bookmarkEnd w:id="502"/>
    <w:bookmarkEnd w:id="503"/>
    <w:bookmarkEnd w:id="504"/>
    <w:bookmarkEnd w:id="510"/>
    <w:bookmarkEnd w:id="511"/>
    <w:bookmarkEnd w:id="512"/>
    <w:bookmarkEnd w:id="513"/>
    <w:bookmarkEnd w:id="514"/>
    <w:bookmarkEnd w:id="515"/>
    <w:bookmarkEnd w:id="516"/>
    <w:bookmarkEnd w:id="517"/>
    <w:bookmarkEnd w:id="518"/>
    <w:p w14:paraId="15DC7637">
      <w:pPr>
        <w:pStyle w:val="6"/>
        <w:keepNext/>
        <w:keepLines/>
        <w:pageBreakBefore w:val="0"/>
        <w:widowControl/>
        <w:numPr>
          <w:ilvl w:val="0"/>
          <w:numId w:val="0"/>
        </w:numPr>
        <w:kinsoku/>
        <w:wordWrap/>
        <w:overflowPunct/>
        <w:topLinePunct w:val="0"/>
        <w:autoSpaceDE w:val="0"/>
        <w:autoSpaceDN/>
        <w:bidi w:val="0"/>
        <w:adjustRightInd/>
        <w:snapToGrid/>
        <w:spacing w:before="20" w:after="20" w:line="240" w:lineRule="auto"/>
        <w:jc w:val="center"/>
        <w:textAlignment w:val="auto"/>
        <w:rPr>
          <w:rFonts w:hint="eastAsia" w:ascii="宋体" w:hAnsi="宋体" w:cs="宋体"/>
          <w:color w:val="auto"/>
          <w:szCs w:val="28"/>
          <w:highlight w:val="none"/>
          <w:lang w:val="en-US" w:eastAsia="zh-CN"/>
        </w:rPr>
      </w:pPr>
      <w:bookmarkStart w:id="519" w:name="_Toc24797"/>
      <w:bookmarkStart w:id="520" w:name="_Toc14801"/>
      <w:bookmarkStart w:id="521" w:name="_Toc15946"/>
      <w:bookmarkStart w:id="522" w:name="_Toc4054"/>
      <w:bookmarkStart w:id="523" w:name="_Toc7816"/>
      <w:bookmarkStart w:id="524" w:name="_Toc32292"/>
      <w:bookmarkStart w:id="525" w:name="_Toc18596"/>
      <w:bookmarkStart w:id="526" w:name="_Toc12761"/>
      <w:bookmarkStart w:id="527" w:name="_Toc19964"/>
      <w:bookmarkStart w:id="528" w:name="_Toc1834"/>
      <w:bookmarkStart w:id="529" w:name="_Toc30992"/>
      <w:r>
        <w:rPr>
          <w:rFonts w:hint="eastAsia" w:ascii="宋体" w:hAnsi="宋体" w:cs="宋体"/>
          <w:color w:val="auto"/>
          <w:szCs w:val="28"/>
          <w:highlight w:val="none"/>
          <w:lang w:val="en-US" w:eastAsia="zh-CN"/>
        </w:rPr>
        <w:t>七、本项目的车辆配备情况及送货车辆的消毒清洗制度</w:t>
      </w:r>
      <w:bookmarkEnd w:id="519"/>
    </w:p>
    <w:p w14:paraId="0F6276D2">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47D8B715">
      <w:pPr>
        <w:rPr>
          <w:rFonts w:hint="eastAsia" w:ascii="宋体" w:hAnsi="宋体" w:cs="宋体"/>
          <w:color w:val="auto"/>
          <w:szCs w:val="28"/>
          <w:highlight w:val="none"/>
        </w:rPr>
      </w:pPr>
      <w:r>
        <w:rPr>
          <w:rFonts w:hint="eastAsia" w:ascii="宋体" w:hAnsi="宋体" w:cs="宋体"/>
          <w:color w:val="auto"/>
          <w:szCs w:val="28"/>
          <w:highlight w:val="none"/>
        </w:rPr>
        <w:br w:type="page"/>
      </w:r>
    </w:p>
    <w:p w14:paraId="0892A8D6">
      <w:pPr>
        <w:pStyle w:val="6"/>
        <w:autoSpaceDE w:val="0"/>
        <w:rPr>
          <w:rFonts w:ascii="宋体" w:hAnsi="宋体" w:cs="宋体"/>
          <w:color w:val="auto"/>
          <w:szCs w:val="28"/>
          <w:highlight w:val="none"/>
        </w:rPr>
      </w:pPr>
      <w:bookmarkStart w:id="530" w:name="_Toc21914"/>
      <w:bookmarkStart w:id="531" w:name="_Toc7540"/>
      <w:r>
        <w:rPr>
          <w:rFonts w:hint="eastAsia" w:ascii="宋体" w:hAnsi="宋体" w:cs="宋体"/>
          <w:color w:val="auto"/>
          <w:szCs w:val="28"/>
          <w:highlight w:val="none"/>
          <w:lang w:val="en-US" w:eastAsia="zh-CN"/>
        </w:rPr>
        <w:t>八</w:t>
      </w:r>
      <w:r>
        <w:rPr>
          <w:rFonts w:hint="eastAsia" w:ascii="宋体" w:hAnsi="宋体" w:cs="宋体"/>
          <w:color w:val="auto"/>
          <w:szCs w:val="28"/>
          <w:highlight w:val="none"/>
        </w:rPr>
        <w:t>、</w:t>
      </w:r>
      <w:bookmarkEnd w:id="530"/>
      <w:r>
        <w:rPr>
          <w:rFonts w:hint="eastAsia" w:ascii="宋体" w:hAnsi="宋体" w:cs="宋体"/>
          <w:color w:val="auto"/>
          <w:szCs w:val="28"/>
          <w:highlight w:val="none"/>
        </w:rPr>
        <w:t>售后服务及保障措施</w:t>
      </w:r>
      <w:bookmarkEnd w:id="531"/>
    </w:p>
    <w:p w14:paraId="134C9D7E">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4A08F811">
      <w:pPr>
        <w:rPr>
          <w:color w:val="auto"/>
          <w:highlight w:val="none"/>
        </w:rPr>
        <w:sectPr>
          <w:pgSz w:w="11906" w:h="16838"/>
          <w:pgMar w:top="1440" w:right="1083" w:bottom="1440" w:left="1083" w:header="720" w:footer="720" w:gutter="0"/>
          <w:pgNumType w:fmt="numberInDash"/>
          <w:cols w:space="720" w:num="1"/>
          <w:docGrid w:type="lines" w:linePitch="317" w:charSpace="0"/>
        </w:sectPr>
      </w:pPr>
    </w:p>
    <w:p w14:paraId="4732E03C">
      <w:pPr>
        <w:pStyle w:val="6"/>
        <w:autoSpaceDE w:val="0"/>
        <w:rPr>
          <w:rFonts w:ascii="宋体" w:hAnsi="宋体" w:cs="宋体"/>
          <w:color w:val="auto"/>
          <w:szCs w:val="28"/>
          <w:highlight w:val="none"/>
        </w:rPr>
      </w:pPr>
      <w:bookmarkStart w:id="532" w:name="_Toc23726"/>
      <w:bookmarkStart w:id="533" w:name="_Toc8479"/>
      <w:r>
        <w:rPr>
          <w:rFonts w:hint="eastAsia" w:ascii="宋体" w:hAnsi="宋体" w:cs="宋体"/>
          <w:color w:val="auto"/>
          <w:szCs w:val="28"/>
          <w:highlight w:val="none"/>
          <w:lang w:val="en-US" w:eastAsia="zh-CN"/>
        </w:rPr>
        <w:t>九</w:t>
      </w:r>
      <w:r>
        <w:rPr>
          <w:rFonts w:hint="eastAsia" w:ascii="宋体" w:hAnsi="宋体" w:cs="宋体"/>
          <w:color w:val="auto"/>
          <w:szCs w:val="28"/>
          <w:highlight w:val="none"/>
        </w:rPr>
        <w:t>、</w:t>
      </w:r>
      <w:bookmarkEnd w:id="532"/>
      <w:r>
        <w:rPr>
          <w:rFonts w:hint="eastAsia" w:ascii="宋体" w:hAnsi="宋体" w:cs="宋体"/>
          <w:color w:val="auto"/>
          <w:szCs w:val="28"/>
          <w:highlight w:val="none"/>
        </w:rPr>
        <w:t>质量</w:t>
      </w:r>
      <w:r>
        <w:rPr>
          <w:rFonts w:hint="eastAsia" w:ascii="宋体" w:hAnsi="宋体" w:cs="宋体"/>
          <w:color w:val="auto"/>
          <w:szCs w:val="28"/>
          <w:highlight w:val="none"/>
          <w:lang w:val="en-US" w:eastAsia="zh-CN"/>
        </w:rPr>
        <w:t>承诺及</w:t>
      </w:r>
      <w:r>
        <w:rPr>
          <w:rFonts w:hint="eastAsia" w:ascii="宋体" w:hAnsi="宋体" w:cs="宋体"/>
          <w:color w:val="auto"/>
          <w:szCs w:val="28"/>
          <w:highlight w:val="none"/>
        </w:rPr>
        <w:t>保证措施</w:t>
      </w:r>
      <w:bookmarkEnd w:id="533"/>
    </w:p>
    <w:p w14:paraId="10BBB631">
      <w:pPr>
        <w:jc w:val="center"/>
        <w:rPr>
          <w:rFonts w:ascii="宋体" w:hAnsi="宋体" w:cs="宋体"/>
          <w:color w:val="auto"/>
          <w:sz w:val="24"/>
          <w:szCs w:val="24"/>
          <w:highlight w:val="none"/>
        </w:rPr>
      </w:pPr>
      <w:r>
        <w:rPr>
          <w:rFonts w:hint="eastAsia" w:ascii="宋体" w:hAnsi="宋体" w:cs="宋体"/>
          <w:color w:val="auto"/>
          <w:sz w:val="24"/>
          <w:szCs w:val="24"/>
          <w:highlight w:val="none"/>
        </w:rPr>
        <w:t>（格式自拟，内容由投标人根据评标办法并结合实际情况自行编列）</w:t>
      </w:r>
    </w:p>
    <w:p w14:paraId="1A1CC5D2">
      <w:pPr>
        <w:rPr>
          <w:color w:val="auto"/>
          <w:highlight w:val="none"/>
        </w:rPr>
        <w:sectPr>
          <w:pgSz w:w="11906" w:h="16838"/>
          <w:pgMar w:top="1440" w:right="1083" w:bottom="1440" w:left="1083" w:header="720" w:footer="720" w:gutter="0"/>
          <w:pgNumType w:fmt="numberInDash"/>
          <w:cols w:space="720" w:num="1"/>
          <w:docGrid w:type="lines" w:linePitch="317" w:charSpace="0"/>
        </w:sectPr>
      </w:pPr>
    </w:p>
    <w:p w14:paraId="1CB0241D">
      <w:pPr>
        <w:pStyle w:val="6"/>
        <w:widowControl/>
        <w:autoSpaceDE w:val="0"/>
        <w:spacing w:line="360" w:lineRule="auto"/>
        <w:rPr>
          <w:rFonts w:ascii="宋体" w:hAnsi="宋体" w:cs="宋体"/>
          <w:color w:val="auto"/>
          <w:sz w:val="24"/>
          <w:szCs w:val="24"/>
          <w:highlight w:val="none"/>
        </w:rPr>
      </w:pPr>
      <w:bookmarkStart w:id="534" w:name="_Toc10688"/>
      <w:r>
        <w:rPr>
          <w:rFonts w:hint="eastAsia" w:ascii="宋体" w:hAnsi="宋体" w:cs="宋体"/>
          <w:color w:val="auto"/>
          <w:szCs w:val="28"/>
          <w:highlight w:val="none"/>
          <w:lang w:val="en-US" w:eastAsia="zh-CN"/>
        </w:rPr>
        <w:t>十、</w:t>
      </w:r>
      <w:r>
        <w:rPr>
          <w:rFonts w:hint="eastAsia" w:ascii="宋体" w:hAnsi="宋体" w:cs="宋体"/>
          <w:color w:val="auto"/>
          <w:szCs w:val="28"/>
          <w:highlight w:val="none"/>
        </w:rPr>
        <w:t>其他资料</w:t>
      </w:r>
      <w:bookmarkEnd w:id="520"/>
      <w:bookmarkEnd w:id="521"/>
      <w:bookmarkEnd w:id="522"/>
      <w:bookmarkEnd w:id="523"/>
      <w:bookmarkEnd w:id="524"/>
      <w:bookmarkEnd w:id="525"/>
      <w:bookmarkEnd w:id="526"/>
      <w:bookmarkEnd w:id="527"/>
      <w:bookmarkEnd w:id="528"/>
      <w:bookmarkEnd w:id="529"/>
      <w:bookmarkEnd w:id="534"/>
    </w:p>
    <w:p w14:paraId="3A55D2F7">
      <w:pPr>
        <w:spacing w:before="158" w:beforeLines="50" w:line="360" w:lineRule="auto"/>
        <w:ind w:firstLine="720" w:firstLineChars="300"/>
        <w:rPr>
          <w:rFonts w:ascii="宋体" w:hAnsi="宋体" w:cs="宋体"/>
          <w:color w:val="auto"/>
          <w:sz w:val="24"/>
          <w:szCs w:val="24"/>
          <w:highlight w:val="none"/>
        </w:rPr>
      </w:pPr>
    </w:p>
    <w:p w14:paraId="2FAF314F">
      <w:pPr>
        <w:spacing w:before="158" w:beforeLines="50"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招标文件要求或投标人认为需要提交的其他资料；</w:t>
      </w:r>
    </w:p>
    <w:p w14:paraId="2A3E970A">
      <w:pPr>
        <w:rPr>
          <w:color w:val="auto"/>
          <w:highlight w:val="none"/>
        </w:rPr>
      </w:pPr>
    </w:p>
    <w:sectPr>
      <w:headerReference r:id="rId11" w:type="default"/>
      <w:pgSz w:w="11906" w:h="16838"/>
      <w:pgMar w:top="1440" w:right="1083" w:bottom="1440" w:left="1083" w:header="720" w:footer="720" w:gutter="0"/>
      <w:pgNumType w:fmt="numberInDash"/>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Yu Mincho Light">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S PMincho">
    <w:altName w:val="Yu Gothic UI"/>
    <w:panose1 w:val="02020600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MS Gothic">
    <w:panose1 w:val="020B0609070205080204"/>
    <w:charset w:val="80"/>
    <w:family w:val="modern"/>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4F011">
    <w:pPr>
      <w:pStyle w:val="16"/>
    </w:pPr>
    <w:r>
      <w:rPr>
        <w:sz w:val="21"/>
        <w:szCs w:val="21"/>
      </w:rPr>
      <w:drawing>
        <wp:anchor distT="0" distB="0" distL="114300" distR="114300" simplePos="0" relativeHeight="251667456" behindDoc="0" locked="0" layoutInCell="1" allowOverlap="1">
          <wp:simplePos x="0" y="0"/>
          <wp:positionH relativeFrom="column">
            <wp:posOffset>4676775</wp:posOffset>
          </wp:positionH>
          <wp:positionV relativeFrom="paragraph">
            <wp:posOffset>-217805</wp:posOffset>
          </wp:positionV>
          <wp:extent cx="1304925" cy="377190"/>
          <wp:effectExtent l="0" t="0" r="9525" b="3810"/>
          <wp:wrapSquare wrapText="bothSides"/>
          <wp:docPr id="14" name="图片 3" descr="{)$@P}E5$ISJE_Y1VA~X$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P}E5$ISJE_Y1VA~X$OE"/>
                  <pic:cNvPicPr>
                    <a:picLocks noChangeAspect="1"/>
                  </pic:cNvPicPr>
                </pic:nvPicPr>
                <pic:blipFill>
                  <a:blip r:embed="rId1"/>
                  <a:stretch>
                    <a:fillRect/>
                  </a:stretch>
                </pic:blipFill>
                <pic:spPr>
                  <a:xfrm>
                    <a:off x="0" y="0"/>
                    <a:ext cx="1304925" cy="37719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6434C">
                          <w:pPr>
                            <w:pStyle w:val="16"/>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C56434C">
                    <w:pPr>
                      <w:pStyle w:val="16"/>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7ABE3">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99317">
                          <w:pPr>
                            <w:pStyle w:val="1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8999317">
                    <w:pPr>
                      <w:pStyle w:val="16"/>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E9405">
    <w:pPr>
      <w:pStyle w:val="16"/>
    </w:pPr>
    <w:r>
      <w:rPr>
        <w:sz w:val="21"/>
        <w:szCs w:val="21"/>
      </w:rPr>
      <w:drawing>
        <wp:anchor distT="0" distB="0" distL="114300" distR="114300" simplePos="0" relativeHeight="251666432" behindDoc="0" locked="0" layoutInCell="1" allowOverlap="1">
          <wp:simplePos x="0" y="0"/>
          <wp:positionH relativeFrom="column">
            <wp:posOffset>4814570</wp:posOffset>
          </wp:positionH>
          <wp:positionV relativeFrom="paragraph">
            <wp:posOffset>-228600</wp:posOffset>
          </wp:positionV>
          <wp:extent cx="1304925" cy="377190"/>
          <wp:effectExtent l="0" t="0" r="9525" b="3810"/>
          <wp:wrapSquare wrapText="bothSides"/>
          <wp:docPr id="13" name="图片 3" descr="{)$@P}E5$ISJE_Y1VA~X$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P}E5$ISJE_Y1VA~X$OE"/>
                  <pic:cNvPicPr>
                    <a:picLocks noChangeAspect="1"/>
                  </pic:cNvPicPr>
                </pic:nvPicPr>
                <pic:blipFill>
                  <a:blip r:embed="rId1"/>
                  <a:stretch>
                    <a:fillRect/>
                  </a:stretch>
                </pic:blipFill>
                <pic:spPr>
                  <a:xfrm>
                    <a:off x="0" y="0"/>
                    <a:ext cx="1304925" cy="377190"/>
                  </a:xfrm>
                  <a:prstGeom prst="rect">
                    <a:avLst/>
                  </a:prstGeom>
                  <a:noFill/>
                  <a:ln>
                    <a:noFill/>
                  </a:ln>
                </pic:spPr>
              </pic:pic>
            </a:graphicData>
          </a:graphic>
        </wp:anchor>
      </w:drawing>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90E7C">
                          <w:pPr>
                            <w:pStyle w:val="1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BA90E7C">
                    <w:pPr>
                      <w:pStyle w:val="1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D1839">
    <w:pPr>
      <w:pStyle w:val="16"/>
    </w:pPr>
    <w:r>
      <w:rPr>
        <w:sz w:val="21"/>
        <w:szCs w:val="21"/>
      </w:rPr>
      <w:drawing>
        <wp:anchor distT="0" distB="0" distL="114300" distR="114300" simplePos="0" relativeHeight="251665408" behindDoc="0" locked="0" layoutInCell="1" allowOverlap="1">
          <wp:simplePos x="0" y="0"/>
          <wp:positionH relativeFrom="column">
            <wp:posOffset>4867275</wp:posOffset>
          </wp:positionH>
          <wp:positionV relativeFrom="paragraph">
            <wp:posOffset>-212725</wp:posOffset>
          </wp:positionV>
          <wp:extent cx="1304925" cy="377190"/>
          <wp:effectExtent l="0" t="0" r="9525" b="3810"/>
          <wp:wrapSquare wrapText="bothSides"/>
          <wp:docPr id="12" name="图片 3" descr="{)$@P}E5$ISJE_Y1VA~X$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P}E5$ISJE_Y1VA~X$OE"/>
                  <pic:cNvPicPr>
                    <a:picLocks noChangeAspect="1"/>
                  </pic:cNvPicPr>
                </pic:nvPicPr>
                <pic:blipFill>
                  <a:blip r:embed="rId1"/>
                  <a:stretch>
                    <a:fillRect/>
                  </a:stretch>
                </pic:blipFill>
                <pic:spPr>
                  <a:xfrm>
                    <a:off x="0" y="0"/>
                    <a:ext cx="1304925" cy="377190"/>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8125" cy="139700"/>
              <wp:effectExtent l="0" t="0" r="0" b="0"/>
              <wp:wrapNone/>
              <wp:docPr id="3" name="文本框 37"/>
              <wp:cNvGraphicFramePr/>
              <a:graphic xmlns:a="http://schemas.openxmlformats.org/drawingml/2006/main">
                <a:graphicData uri="http://schemas.microsoft.com/office/word/2010/wordprocessingShape">
                  <wps:wsp>
                    <wps:cNvSpPr txBox="1"/>
                    <wps:spPr>
                      <a:xfrm>
                        <a:off x="0" y="0"/>
                        <a:ext cx="238125" cy="139700"/>
                      </a:xfrm>
                      <a:prstGeom prst="rect">
                        <a:avLst/>
                      </a:prstGeom>
                      <a:noFill/>
                      <a:ln>
                        <a:noFill/>
                      </a:ln>
                    </wps:spPr>
                    <wps:txbx>
                      <w:txbxContent>
                        <w:p w14:paraId="2E8DAE62">
                          <w:pPr>
                            <w:pStyle w:val="16"/>
                          </w:pPr>
                          <w:r>
                            <w:rPr>
                              <w:rFonts w:hint="eastAsia"/>
                            </w:rPr>
                            <w:fldChar w:fldCharType="begin"/>
                          </w:r>
                          <w:r>
                            <w:rPr>
                              <w:rFonts w:hint="eastAsia"/>
                            </w:rPr>
                            <w:instrText xml:space="preserve"> PAGE  \* MERGEFORMAT </w:instrText>
                          </w:r>
                          <w:r>
                            <w:rPr>
                              <w:rFonts w:hint="eastAsia"/>
                            </w:rPr>
                            <w:fldChar w:fldCharType="separate"/>
                          </w:r>
                          <w:r>
                            <w:t>- 98 -</w:t>
                          </w:r>
                          <w:r>
                            <w:rPr>
                              <w:rFonts w:hint="eastAsia"/>
                            </w:rPr>
                            <w:fldChar w:fldCharType="end"/>
                          </w:r>
                        </w:p>
                      </w:txbxContent>
                    </wps:txbx>
                    <wps:bodyPr wrap="none" lIns="0" tIns="0" rIns="0" bIns="0">
                      <a:spAutoFit/>
                    </wps:bodyPr>
                  </wps:wsp>
                </a:graphicData>
              </a:graphic>
            </wp:anchor>
          </w:drawing>
        </mc:Choice>
        <mc:Fallback>
          <w:pict>
            <v:shape id="文本框 37" o:spid="_x0000_s1026" o:spt="202" type="#_x0000_t202" style="position:absolute;left:0pt;margin-top:0pt;height:11pt;width:18.75pt;mso-position-horizontal:center;mso-position-horizontal-relative:margin;mso-wrap-style:none;z-index:251661312;mso-width-relative:page;mso-height-relative:page;" filled="f" stroked="f" coordsize="21600,21600" o:gfxdata="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y2mZn0QAAAAMBAAAPAAAAAAAAAAEAIAAAACIAAABkcnMvZG93bnJldi54&#10;bWxQSwECFAAUAAAACACHTuJAqWDSbsgBAACMAwAADgAAAAAAAAABACAAAAAgAQAAZHJzL2Uyb0Rv&#10;Yy54bWxQSwUGAAAAAAYABgBZAQAAWgUAAAAA&#10;">
              <v:fill on="f" focussize="0,0"/>
              <v:stroke on="f"/>
              <v:imagedata o:title=""/>
              <o:lock v:ext="edit" aspectratio="f"/>
              <v:textbox inset="0mm,0mm,0mm,0mm" style="mso-fit-shape-to-text:t;">
                <w:txbxContent>
                  <w:p w14:paraId="2E8DAE62">
                    <w:pPr>
                      <w:pStyle w:val="16"/>
                    </w:pPr>
                    <w:r>
                      <w:rPr>
                        <w:rFonts w:hint="eastAsia"/>
                      </w:rPr>
                      <w:fldChar w:fldCharType="begin"/>
                    </w:r>
                    <w:r>
                      <w:rPr>
                        <w:rFonts w:hint="eastAsia"/>
                      </w:rPr>
                      <w:instrText xml:space="preserve"> PAGE  \* MERGEFORMAT </w:instrText>
                    </w:r>
                    <w:r>
                      <w:rPr>
                        <w:rFonts w:hint="eastAsia"/>
                      </w:rPr>
                      <w:fldChar w:fldCharType="separate"/>
                    </w:r>
                    <w:r>
                      <w:t>- 98 -</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E9637">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8125" cy="139700"/>
              <wp:effectExtent l="0" t="0" r="0" b="0"/>
              <wp:wrapNone/>
              <wp:docPr id="2" name="文本框 7"/>
              <wp:cNvGraphicFramePr/>
              <a:graphic xmlns:a="http://schemas.openxmlformats.org/drawingml/2006/main">
                <a:graphicData uri="http://schemas.microsoft.com/office/word/2010/wordprocessingShape">
                  <wps:wsp>
                    <wps:cNvSpPr txBox="1"/>
                    <wps:spPr>
                      <a:xfrm>
                        <a:off x="0" y="0"/>
                        <a:ext cx="238125" cy="139700"/>
                      </a:xfrm>
                      <a:prstGeom prst="rect">
                        <a:avLst/>
                      </a:prstGeom>
                      <a:noFill/>
                      <a:ln>
                        <a:noFill/>
                      </a:ln>
                    </wps:spPr>
                    <wps:txbx>
                      <w:txbxContent>
                        <w:p w14:paraId="5572A185">
                          <w:pPr>
                            <w:pStyle w:val="16"/>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1pt;width:18.75pt;mso-position-horizontal:center;mso-position-horizontal-relative:margin;mso-wrap-style:none;z-index:251660288;mso-width-relative:page;mso-height-relative:page;" filled="f" stroked="f" coordsize="21600,21600" o:gfxdata="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y2mZn0QAAAAMBAAAPAAAAAAAAAAEAIAAAACIAAABkcnMvZG93bnJldi54&#10;bWxQSwECFAAUAAAACACHTuJALglfqMgBAACLAwAADgAAAAAAAAABACAAAAAgAQAAZHJzL2Uyb0Rv&#10;Yy54bWxQSwUGAAAAAAYABgBZAQAAWgUAAAAA&#10;">
              <v:fill on="f" focussize="0,0"/>
              <v:stroke on="f"/>
              <v:imagedata o:title=""/>
              <o:lock v:ext="edit" aspectratio="f"/>
              <v:textbox inset="0mm,0mm,0mm,0mm" style="mso-fit-shape-to-text:t;">
                <w:txbxContent>
                  <w:p w14:paraId="5572A185">
                    <w:pPr>
                      <w:pStyle w:val="16"/>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892F1">
    <w:pPr>
      <w:pStyle w:val="17"/>
      <w:pBdr>
        <w:bottom w:val="single" w:color="auto" w:sz="4" w:space="1"/>
      </w:pBdr>
      <w:jc w:val="left"/>
    </w:pPr>
    <w:r>
      <w:rPr>
        <w:rFonts w:hint="eastAsia"/>
        <w:sz w:val="21"/>
        <w:szCs w:val="21"/>
        <w:lang w:eastAsia="zh-CN"/>
      </w:rPr>
      <w:t>云南省建水监狱2025年—2026年罪犯蛋类、蔬菜类生活物资采购项目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w:t>
    </w:r>
    <w:r>
      <w:rPr>
        <w:rFonts w:hint="eastAsia" w:ascii="宋体" w:hAnsi="宋体"/>
        <w:color w:val="000000"/>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18218">
    <w:pPr>
      <w:pStyle w:val="17"/>
      <w:pBdr>
        <w:bottom w:val="single" w:color="auto" w:sz="4" w:space="1"/>
      </w:pBdr>
      <w:ind w:left="8820" w:hanging="8820" w:hangingChars="4200"/>
      <w:jc w:val="left"/>
      <w:rPr>
        <w:sz w:val="21"/>
        <w:szCs w:val="21"/>
      </w:rPr>
    </w:pPr>
    <w:r>
      <w:rPr>
        <w:rFonts w:hint="eastAsia"/>
        <w:sz w:val="21"/>
        <w:szCs w:val="21"/>
        <w:lang w:eastAsia="zh-CN"/>
      </w:rPr>
      <w:t>云南省建水监狱2025年—2026年罪犯蛋类、蔬菜类生活物资采购项目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w:t>
    </w:r>
    <w:r>
      <w:rPr>
        <w:rFonts w:hint="eastAsia"/>
        <w:sz w:val="21"/>
        <w:szCs w:val="21"/>
        <w:lang w:val="en-US" w:eastAsia="zh-CN"/>
      </w:rPr>
      <w:t xml:space="preserve">    </w:t>
    </w:r>
    <w:r>
      <w:rPr>
        <w:rFonts w:hint="eastAsia" w:ascii="宋体" w:hAnsi="宋体"/>
        <w:color w:val="000000"/>
        <w:sz w:val="21"/>
        <w:szCs w:val="21"/>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63B87">
    <w:pPr>
      <w:pStyle w:val="17"/>
      <w:pBdr>
        <w:bottom w:val="single" w:color="auto" w:sz="4" w:space="1"/>
      </w:pBdr>
      <w:ind w:left="8610" w:hanging="8610" w:hangingChars="4100"/>
      <w:jc w:val="left"/>
      <w:rPr>
        <w:sz w:val="21"/>
        <w:szCs w:val="21"/>
      </w:rPr>
    </w:pPr>
    <w:r>
      <w:rPr>
        <w:rFonts w:hint="eastAsia"/>
        <w:sz w:val="21"/>
        <w:szCs w:val="21"/>
        <w:lang w:eastAsia="zh-CN"/>
      </w:rPr>
      <w:t>云南省建水监狱2025年—2026年罪犯蛋类、蔬菜类生活物资采购项目</w:t>
    </w:r>
    <w:r>
      <w:rPr>
        <w:rFonts w:hint="eastAsia"/>
        <w:sz w:val="21"/>
        <w:szCs w:val="21"/>
      </w:rPr>
      <w:t xml:space="preserve">              </w:t>
    </w:r>
    <w:r>
      <w:rPr>
        <w:rFonts w:hint="eastAsia"/>
        <w:sz w:val="21"/>
        <w:szCs w:val="21"/>
        <w:lang w:val="en-US" w:eastAsia="zh-CN"/>
      </w:rPr>
      <w:t xml:space="preserve">       </w:t>
    </w:r>
    <w:r>
      <w:rPr>
        <w:rFonts w:hint="eastAsia" w:ascii="宋体" w:hAnsi="宋体"/>
        <w:color w:val="00000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62EA6">
    <w:pPr>
      <w:pStyle w:val="17"/>
      <w:jc w:val="left"/>
      <w:rPr>
        <w:rFonts w:hint="eastAsia" w:ascii="宋体" w:hAnsi="宋体" w:eastAsia="宋体" w:cs="宋体"/>
        <w:sz w:val="21"/>
        <w:szCs w:val="21"/>
      </w:rPr>
    </w:pPr>
    <w:r>
      <w:rPr>
        <w:rFonts w:hint="eastAsia" w:ascii="宋体" w:hAnsi="宋体" w:cs="宋体"/>
        <w:sz w:val="21"/>
        <w:szCs w:val="21"/>
        <w:lang w:eastAsia="zh-CN"/>
      </w:rPr>
      <w:t>云南省建水监狱2025年—2026年罪犯蛋类、蔬菜类生活物资</w:t>
    </w:r>
    <w:r>
      <w:rPr>
        <w:rFonts w:hint="eastAsia" w:ascii="宋体" w:hAnsi="宋体" w:eastAsia="宋体" w:cs="宋体"/>
        <w:sz w:val="21"/>
        <w:szCs w:val="21"/>
        <w:lang w:eastAsia="zh-CN"/>
      </w:rPr>
      <w:t>采购项目</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280989"/>
    <w:multiLevelType w:val="singleLevel"/>
    <w:tmpl w:val="40280989"/>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wNzZlZDIwY2M5MjgxYjQxMzRmYTkzMWNiMTJiOTIifQ=="/>
  </w:docVars>
  <w:rsids>
    <w:rsidRoot w:val="0ACC183B"/>
    <w:rsid w:val="00072C34"/>
    <w:rsid w:val="000942B7"/>
    <w:rsid w:val="00135D53"/>
    <w:rsid w:val="00184F15"/>
    <w:rsid w:val="00267134"/>
    <w:rsid w:val="0029067B"/>
    <w:rsid w:val="003153F7"/>
    <w:rsid w:val="00354181"/>
    <w:rsid w:val="003A0914"/>
    <w:rsid w:val="004729B4"/>
    <w:rsid w:val="005D0BED"/>
    <w:rsid w:val="006836D3"/>
    <w:rsid w:val="006862BE"/>
    <w:rsid w:val="007A51B4"/>
    <w:rsid w:val="007C6E20"/>
    <w:rsid w:val="008062D8"/>
    <w:rsid w:val="00815BE7"/>
    <w:rsid w:val="00855E90"/>
    <w:rsid w:val="00951A01"/>
    <w:rsid w:val="0097583C"/>
    <w:rsid w:val="00A02E4D"/>
    <w:rsid w:val="00AA7245"/>
    <w:rsid w:val="00B1049E"/>
    <w:rsid w:val="00BC57CD"/>
    <w:rsid w:val="00C92C35"/>
    <w:rsid w:val="00CD0D89"/>
    <w:rsid w:val="00DE255B"/>
    <w:rsid w:val="00F85A8E"/>
    <w:rsid w:val="01057174"/>
    <w:rsid w:val="015123B9"/>
    <w:rsid w:val="015E4AD6"/>
    <w:rsid w:val="01671BDD"/>
    <w:rsid w:val="0179546C"/>
    <w:rsid w:val="01A22C15"/>
    <w:rsid w:val="01A93FA3"/>
    <w:rsid w:val="01AE15BA"/>
    <w:rsid w:val="01B12E58"/>
    <w:rsid w:val="02152873"/>
    <w:rsid w:val="02587777"/>
    <w:rsid w:val="025A529E"/>
    <w:rsid w:val="026C4FD1"/>
    <w:rsid w:val="0270686F"/>
    <w:rsid w:val="02A8425B"/>
    <w:rsid w:val="02AB78A7"/>
    <w:rsid w:val="02C60B85"/>
    <w:rsid w:val="02C96060"/>
    <w:rsid w:val="03004097"/>
    <w:rsid w:val="03101E00"/>
    <w:rsid w:val="03231B33"/>
    <w:rsid w:val="032F04D8"/>
    <w:rsid w:val="037759DB"/>
    <w:rsid w:val="037E320E"/>
    <w:rsid w:val="03993BA4"/>
    <w:rsid w:val="03CE4193"/>
    <w:rsid w:val="03CF150A"/>
    <w:rsid w:val="03D1158F"/>
    <w:rsid w:val="03D8291E"/>
    <w:rsid w:val="03EF1A15"/>
    <w:rsid w:val="03F80AD8"/>
    <w:rsid w:val="049F343C"/>
    <w:rsid w:val="04AE18D1"/>
    <w:rsid w:val="04B54A0D"/>
    <w:rsid w:val="04CE4D36"/>
    <w:rsid w:val="04CF4E85"/>
    <w:rsid w:val="04FA11B7"/>
    <w:rsid w:val="050D4849"/>
    <w:rsid w:val="050E411D"/>
    <w:rsid w:val="051C683A"/>
    <w:rsid w:val="0526590B"/>
    <w:rsid w:val="053E4A03"/>
    <w:rsid w:val="05502988"/>
    <w:rsid w:val="057C19CF"/>
    <w:rsid w:val="05A84572"/>
    <w:rsid w:val="05CC64B2"/>
    <w:rsid w:val="05D13AC9"/>
    <w:rsid w:val="05D15877"/>
    <w:rsid w:val="05DE61E6"/>
    <w:rsid w:val="061D0ABC"/>
    <w:rsid w:val="067F52D3"/>
    <w:rsid w:val="06AD62E4"/>
    <w:rsid w:val="06BB2083"/>
    <w:rsid w:val="06E415DA"/>
    <w:rsid w:val="075C1AB8"/>
    <w:rsid w:val="077B2D0C"/>
    <w:rsid w:val="078E1545"/>
    <w:rsid w:val="084B52FF"/>
    <w:rsid w:val="08841607"/>
    <w:rsid w:val="088C017B"/>
    <w:rsid w:val="08A059D4"/>
    <w:rsid w:val="08A74FB5"/>
    <w:rsid w:val="08B33959"/>
    <w:rsid w:val="08BB280E"/>
    <w:rsid w:val="08C571E9"/>
    <w:rsid w:val="08C96CD9"/>
    <w:rsid w:val="08D00067"/>
    <w:rsid w:val="08DA0EE6"/>
    <w:rsid w:val="08FA1588"/>
    <w:rsid w:val="090B5543"/>
    <w:rsid w:val="091F0FEF"/>
    <w:rsid w:val="0923288D"/>
    <w:rsid w:val="09383E5F"/>
    <w:rsid w:val="095567BF"/>
    <w:rsid w:val="09AD03A9"/>
    <w:rsid w:val="09C37BCC"/>
    <w:rsid w:val="09D27E0F"/>
    <w:rsid w:val="09E10052"/>
    <w:rsid w:val="0A1E3055"/>
    <w:rsid w:val="0A357FCF"/>
    <w:rsid w:val="0A6749FB"/>
    <w:rsid w:val="0A6F38B0"/>
    <w:rsid w:val="0A7E1D45"/>
    <w:rsid w:val="0A9E7CF1"/>
    <w:rsid w:val="0AA51080"/>
    <w:rsid w:val="0ACC183B"/>
    <w:rsid w:val="0AD100C7"/>
    <w:rsid w:val="0ADE5985"/>
    <w:rsid w:val="0AEF5F1C"/>
    <w:rsid w:val="0AFD0EBC"/>
    <w:rsid w:val="0B04224A"/>
    <w:rsid w:val="0B0C7351"/>
    <w:rsid w:val="0B297F03"/>
    <w:rsid w:val="0B756CA4"/>
    <w:rsid w:val="0B770C6E"/>
    <w:rsid w:val="0B8D66E4"/>
    <w:rsid w:val="0B911F88"/>
    <w:rsid w:val="0B9408FC"/>
    <w:rsid w:val="0B9C2483"/>
    <w:rsid w:val="0B9F6417"/>
    <w:rsid w:val="0BB84DE3"/>
    <w:rsid w:val="0BC1638D"/>
    <w:rsid w:val="0BCB0FBA"/>
    <w:rsid w:val="0BDC5895"/>
    <w:rsid w:val="0BE1258C"/>
    <w:rsid w:val="0C210B37"/>
    <w:rsid w:val="0C23665B"/>
    <w:rsid w:val="0C25691C"/>
    <w:rsid w:val="0C395F24"/>
    <w:rsid w:val="0C396D85"/>
    <w:rsid w:val="0C3B1C9C"/>
    <w:rsid w:val="0C4C2851"/>
    <w:rsid w:val="0C5965C6"/>
    <w:rsid w:val="0C8F1FE8"/>
    <w:rsid w:val="0CC04897"/>
    <w:rsid w:val="0CC46135"/>
    <w:rsid w:val="0CC47EE3"/>
    <w:rsid w:val="0CE25F13"/>
    <w:rsid w:val="0CF307C8"/>
    <w:rsid w:val="0CF54541"/>
    <w:rsid w:val="0CF85DDF"/>
    <w:rsid w:val="0CFB767D"/>
    <w:rsid w:val="0D1B3BB3"/>
    <w:rsid w:val="0D2B7F62"/>
    <w:rsid w:val="0D312C9C"/>
    <w:rsid w:val="0D3E66DD"/>
    <w:rsid w:val="0D4A7F89"/>
    <w:rsid w:val="0D696CDD"/>
    <w:rsid w:val="0D7B090F"/>
    <w:rsid w:val="0D921D8F"/>
    <w:rsid w:val="0DB04917"/>
    <w:rsid w:val="0DC91529"/>
    <w:rsid w:val="0DCB34F3"/>
    <w:rsid w:val="0DF76096"/>
    <w:rsid w:val="0E08131D"/>
    <w:rsid w:val="0E1409F6"/>
    <w:rsid w:val="0E4868F2"/>
    <w:rsid w:val="0ECC12D1"/>
    <w:rsid w:val="0ED65CAC"/>
    <w:rsid w:val="0F0C791F"/>
    <w:rsid w:val="0F0E18EA"/>
    <w:rsid w:val="0F31382A"/>
    <w:rsid w:val="0F784FB5"/>
    <w:rsid w:val="0F7F4595"/>
    <w:rsid w:val="0F8971C2"/>
    <w:rsid w:val="0FB25CB5"/>
    <w:rsid w:val="0FC14BAE"/>
    <w:rsid w:val="0FDD12BC"/>
    <w:rsid w:val="10044A9B"/>
    <w:rsid w:val="100920B1"/>
    <w:rsid w:val="100B57E1"/>
    <w:rsid w:val="10125409"/>
    <w:rsid w:val="1016236C"/>
    <w:rsid w:val="10171781"/>
    <w:rsid w:val="10376C1E"/>
    <w:rsid w:val="10392996"/>
    <w:rsid w:val="10417A9D"/>
    <w:rsid w:val="10675755"/>
    <w:rsid w:val="10763A0F"/>
    <w:rsid w:val="10794647"/>
    <w:rsid w:val="108C196B"/>
    <w:rsid w:val="10CF50A9"/>
    <w:rsid w:val="10DC1574"/>
    <w:rsid w:val="110669D4"/>
    <w:rsid w:val="117B2B3A"/>
    <w:rsid w:val="118E6D12"/>
    <w:rsid w:val="119E4088"/>
    <w:rsid w:val="119F2CCD"/>
    <w:rsid w:val="11E57B67"/>
    <w:rsid w:val="11E626AA"/>
    <w:rsid w:val="11F12DFD"/>
    <w:rsid w:val="11F579CF"/>
    <w:rsid w:val="11FA7F03"/>
    <w:rsid w:val="11FF2AB6"/>
    <w:rsid w:val="1202325C"/>
    <w:rsid w:val="12086AC4"/>
    <w:rsid w:val="120B2110"/>
    <w:rsid w:val="12107727"/>
    <w:rsid w:val="12435D4E"/>
    <w:rsid w:val="12486EC1"/>
    <w:rsid w:val="124F0F26"/>
    <w:rsid w:val="12541D09"/>
    <w:rsid w:val="12630C47"/>
    <w:rsid w:val="127557DC"/>
    <w:rsid w:val="127949C5"/>
    <w:rsid w:val="127952CC"/>
    <w:rsid w:val="1283614B"/>
    <w:rsid w:val="12C81DAF"/>
    <w:rsid w:val="12D531FB"/>
    <w:rsid w:val="12DA1AE3"/>
    <w:rsid w:val="12F9640D"/>
    <w:rsid w:val="13196AAF"/>
    <w:rsid w:val="131A3C63"/>
    <w:rsid w:val="131E40C5"/>
    <w:rsid w:val="13542786"/>
    <w:rsid w:val="13A91BE1"/>
    <w:rsid w:val="13AA5959"/>
    <w:rsid w:val="13C702B9"/>
    <w:rsid w:val="13C97AFE"/>
    <w:rsid w:val="13E828ED"/>
    <w:rsid w:val="14103A0E"/>
    <w:rsid w:val="14131750"/>
    <w:rsid w:val="1448764C"/>
    <w:rsid w:val="14706BA3"/>
    <w:rsid w:val="147D6BCA"/>
    <w:rsid w:val="148B578A"/>
    <w:rsid w:val="14941E0B"/>
    <w:rsid w:val="14C34F24"/>
    <w:rsid w:val="14CB202B"/>
    <w:rsid w:val="14D07641"/>
    <w:rsid w:val="150A4901"/>
    <w:rsid w:val="151632A6"/>
    <w:rsid w:val="15227E9D"/>
    <w:rsid w:val="15335159"/>
    <w:rsid w:val="153E45AB"/>
    <w:rsid w:val="15543DCE"/>
    <w:rsid w:val="15AE36D1"/>
    <w:rsid w:val="15CD564D"/>
    <w:rsid w:val="15D31197"/>
    <w:rsid w:val="15D32F45"/>
    <w:rsid w:val="15D86149"/>
    <w:rsid w:val="15F5110D"/>
    <w:rsid w:val="1606156C"/>
    <w:rsid w:val="160D098F"/>
    <w:rsid w:val="163071FD"/>
    <w:rsid w:val="16832BBD"/>
    <w:rsid w:val="16895CFA"/>
    <w:rsid w:val="16C44F84"/>
    <w:rsid w:val="16D74CB7"/>
    <w:rsid w:val="16EB0762"/>
    <w:rsid w:val="16FE0496"/>
    <w:rsid w:val="1700420E"/>
    <w:rsid w:val="172B6DB1"/>
    <w:rsid w:val="1740285C"/>
    <w:rsid w:val="1759391E"/>
    <w:rsid w:val="17771FF6"/>
    <w:rsid w:val="17773DA4"/>
    <w:rsid w:val="17B9260F"/>
    <w:rsid w:val="17DF02C7"/>
    <w:rsid w:val="17FC72BD"/>
    <w:rsid w:val="18001FC4"/>
    <w:rsid w:val="180E295A"/>
    <w:rsid w:val="181B6E25"/>
    <w:rsid w:val="18495740"/>
    <w:rsid w:val="185F3E34"/>
    <w:rsid w:val="186C7681"/>
    <w:rsid w:val="188B7B07"/>
    <w:rsid w:val="18932E60"/>
    <w:rsid w:val="189B3AC2"/>
    <w:rsid w:val="18A961DF"/>
    <w:rsid w:val="18AC5CCF"/>
    <w:rsid w:val="18AE7C99"/>
    <w:rsid w:val="19061883"/>
    <w:rsid w:val="193A1728"/>
    <w:rsid w:val="196565AA"/>
    <w:rsid w:val="19772868"/>
    <w:rsid w:val="198D5B01"/>
    <w:rsid w:val="1992435D"/>
    <w:rsid w:val="19F31E08"/>
    <w:rsid w:val="1A1324AA"/>
    <w:rsid w:val="1A240213"/>
    <w:rsid w:val="1A27385F"/>
    <w:rsid w:val="1A2E1092"/>
    <w:rsid w:val="1A4A453E"/>
    <w:rsid w:val="1AA577C2"/>
    <w:rsid w:val="1AF013A7"/>
    <w:rsid w:val="1B012302"/>
    <w:rsid w:val="1B100797"/>
    <w:rsid w:val="1B591FB8"/>
    <w:rsid w:val="1B754A9E"/>
    <w:rsid w:val="1B943177"/>
    <w:rsid w:val="1BA86C22"/>
    <w:rsid w:val="1BAD5FE6"/>
    <w:rsid w:val="1BB11F7A"/>
    <w:rsid w:val="1BB27AA1"/>
    <w:rsid w:val="1BCF0653"/>
    <w:rsid w:val="1BDE0896"/>
    <w:rsid w:val="1C7B60E4"/>
    <w:rsid w:val="1C82657F"/>
    <w:rsid w:val="1C9D24FF"/>
    <w:rsid w:val="1CA92C52"/>
    <w:rsid w:val="1CD31A7D"/>
    <w:rsid w:val="1D077978"/>
    <w:rsid w:val="1D183933"/>
    <w:rsid w:val="1D322C47"/>
    <w:rsid w:val="1D5C1A72"/>
    <w:rsid w:val="1D725739"/>
    <w:rsid w:val="1D9537CD"/>
    <w:rsid w:val="1DB16262"/>
    <w:rsid w:val="1DD12460"/>
    <w:rsid w:val="1E0740D4"/>
    <w:rsid w:val="1E1B36DB"/>
    <w:rsid w:val="1E4C7D38"/>
    <w:rsid w:val="1E4F15D7"/>
    <w:rsid w:val="1E543091"/>
    <w:rsid w:val="1E543CD0"/>
    <w:rsid w:val="1E5D1F46"/>
    <w:rsid w:val="1E733517"/>
    <w:rsid w:val="1EA75B3F"/>
    <w:rsid w:val="1EAA2CB1"/>
    <w:rsid w:val="1ED85A70"/>
    <w:rsid w:val="1EE44415"/>
    <w:rsid w:val="1EFD7285"/>
    <w:rsid w:val="1F1B770B"/>
    <w:rsid w:val="1F721A21"/>
    <w:rsid w:val="1F7312F5"/>
    <w:rsid w:val="1F7E03C6"/>
    <w:rsid w:val="1F882FF2"/>
    <w:rsid w:val="1FB042F7"/>
    <w:rsid w:val="1FB43DE7"/>
    <w:rsid w:val="1FD71884"/>
    <w:rsid w:val="20052895"/>
    <w:rsid w:val="20196340"/>
    <w:rsid w:val="206654AA"/>
    <w:rsid w:val="206C46C2"/>
    <w:rsid w:val="208C08C0"/>
    <w:rsid w:val="2093533E"/>
    <w:rsid w:val="20A0436C"/>
    <w:rsid w:val="20BA3939"/>
    <w:rsid w:val="20BB705F"/>
    <w:rsid w:val="20DB1848"/>
    <w:rsid w:val="210E39CB"/>
    <w:rsid w:val="211D3C0E"/>
    <w:rsid w:val="21246D4B"/>
    <w:rsid w:val="212C3E51"/>
    <w:rsid w:val="215A09BE"/>
    <w:rsid w:val="21725D08"/>
    <w:rsid w:val="21E14C3C"/>
    <w:rsid w:val="21E64000"/>
    <w:rsid w:val="21EB1616"/>
    <w:rsid w:val="21EF4865"/>
    <w:rsid w:val="21F77FBB"/>
    <w:rsid w:val="22010E3A"/>
    <w:rsid w:val="220C7E20"/>
    <w:rsid w:val="22364F87"/>
    <w:rsid w:val="22396826"/>
    <w:rsid w:val="2250591D"/>
    <w:rsid w:val="22736E88"/>
    <w:rsid w:val="22943A5C"/>
    <w:rsid w:val="229E0D7F"/>
    <w:rsid w:val="22A53EBB"/>
    <w:rsid w:val="22B3482A"/>
    <w:rsid w:val="22B365D8"/>
    <w:rsid w:val="22E569AE"/>
    <w:rsid w:val="22F15352"/>
    <w:rsid w:val="2329689A"/>
    <w:rsid w:val="236D2C2B"/>
    <w:rsid w:val="23843AD1"/>
    <w:rsid w:val="238C0BD7"/>
    <w:rsid w:val="23977CA8"/>
    <w:rsid w:val="239F4DAE"/>
    <w:rsid w:val="23A83C63"/>
    <w:rsid w:val="23B93AA8"/>
    <w:rsid w:val="23BC326A"/>
    <w:rsid w:val="23BF2D5B"/>
    <w:rsid w:val="23C07ECD"/>
    <w:rsid w:val="23CB7951"/>
    <w:rsid w:val="240370EB"/>
    <w:rsid w:val="24325631"/>
    <w:rsid w:val="2435126F"/>
    <w:rsid w:val="24711167"/>
    <w:rsid w:val="24775324"/>
    <w:rsid w:val="24B108F5"/>
    <w:rsid w:val="24C26FA6"/>
    <w:rsid w:val="24EC5DD1"/>
    <w:rsid w:val="25396B3D"/>
    <w:rsid w:val="256040C9"/>
    <w:rsid w:val="256367CC"/>
    <w:rsid w:val="25643BBA"/>
    <w:rsid w:val="257007B0"/>
    <w:rsid w:val="257638ED"/>
    <w:rsid w:val="25A847D7"/>
    <w:rsid w:val="25E66CC5"/>
    <w:rsid w:val="25F413E1"/>
    <w:rsid w:val="25F767DC"/>
    <w:rsid w:val="26036053"/>
    <w:rsid w:val="26176E7E"/>
    <w:rsid w:val="26404627"/>
    <w:rsid w:val="26437C73"/>
    <w:rsid w:val="2656672C"/>
    <w:rsid w:val="267B2D0A"/>
    <w:rsid w:val="26993D37"/>
    <w:rsid w:val="26A7377C"/>
    <w:rsid w:val="26C46898"/>
    <w:rsid w:val="26F64CE5"/>
    <w:rsid w:val="26FB466D"/>
    <w:rsid w:val="26FC7E22"/>
    <w:rsid w:val="27194E78"/>
    <w:rsid w:val="273E668C"/>
    <w:rsid w:val="27414EE3"/>
    <w:rsid w:val="275717BF"/>
    <w:rsid w:val="27637EA1"/>
    <w:rsid w:val="27765E26"/>
    <w:rsid w:val="277B51EB"/>
    <w:rsid w:val="27910EB2"/>
    <w:rsid w:val="27B962E0"/>
    <w:rsid w:val="27BB17AB"/>
    <w:rsid w:val="27D33279"/>
    <w:rsid w:val="27F51441"/>
    <w:rsid w:val="280531DE"/>
    <w:rsid w:val="280B1BAF"/>
    <w:rsid w:val="281C4C20"/>
    <w:rsid w:val="28277120"/>
    <w:rsid w:val="28307226"/>
    <w:rsid w:val="28416434"/>
    <w:rsid w:val="285A12A4"/>
    <w:rsid w:val="286363AA"/>
    <w:rsid w:val="28791F29"/>
    <w:rsid w:val="28885E11"/>
    <w:rsid w:val="28B22E8E"/>
    <w:rsid w:val="28F416F8"/>
    <w:rsid w:val="28FE22D0"/>
    <w:rsid w:val="29037B8D"/>
    <w:rsid w:val="29143B49"/>
    <w:rsid w:val="292D69B8"/>
    <w:rsid w:val="29312005"/>
    <w:rsid w:val="295D564A"/>
    <w:rsid w:val="29BF1D06"/>
    <w:rsid w:val="29EE7EF6"/>
    <w:rsid w:val="29F00112"/>
    <w:rsid w:val="2A090A70"/>
    <w:rsid w:val="2A092F82"/>
    <w:rsid w:val="2A720B27"/>
    <w:rsid w:val="2A8940C2"/>
    <w:rsid w:val="2AB949A8"/>
    <w:rsid w:val="2B404781"/>
    <w:rsid w:val="2B4A5600"/>
    <w:rsid w:val="2B5524B6"/>
    <w:rsid w:val="2B6147D4"/>
    <w:rsid w:val="2B6D12EE"/>
    <w:rsid w:val="2B762899"/>
    <w:rsid w:val="2B7E34FB"/>
    <w:rsid w:val="2B9176D3"/>
    <w:rsid w:val="2BBB474F"/>
    <w:rsid w:val="2BD4136D"/>
    <w:rsid w:val="2BDB094E"/>
    <w:rsid w:val="2BF35C97"/>
    <w:rsid w:val="2C041C52"/>
    <w:rsid w:val="2C736DD8"/>
    <w:rsid w:val="2C882884"/>
    <w:rsid w:val="2C8B4122"/>
    <w:rsid w:val="2C98683F"/>
    <w:rsid w:val="2CAF3C15"/>
    <w:rsid w:val="2CBF5B79"/>
    <w:rsid w:val="2CCD64E8"/>
    <w:rsid w:val="2CDE1D40"/>
    <w:rsid w:val="2CEB4BC0"/>
    <w:rsid w:val="2CF02F60"/>
    <w:rsid w:val="2CF41CC7"/>
    <w:rsid w:val="2CF619E0"/>
    <w:rsid w:val="2D197980"/>
    <w:rsid w:val="2D340A5A"/>
    <w:rsid w:val="2D393B7E"/>
    <w:rsid w:val="2D46629B"/>
    <w:rsid w:val="2D4D39D8"/>
    <w:rsid w:val="2D687FBF"/>
    <w:rsid w:val="2DBD030B"/>
    <w:rsid w:val="2DDD6BFF"/>
    <w:rsid w:val="2E2A34C6"/>
    <w:rsid w:val="2E3F51C4"/>
    <w:rsid w:val="2E44418F"/>
    <w:rsid w:val="2E7B1F74"/>
    <w:rsid w:val="2E811324"/>
    <w:rsid w:val="2E8C4181"/>
    <w:rsid w:val="2E9C426D"/>
    <w:rsid w:val="2EA4243C"/>
    <w:rsid w:val="2EAF6BF3"/>
    <w:rsid w:val="2ED677CB"/>
    <w:rsid w:val="2EE87609"/>
    <w:rsid w:val="2EFC1307"/>
    <w:rsid w:val="2F0D52C2"/>
    <w:rsid w:val="2F0F2DE8"/>
    <w:rsid w:val="2F1600CE"/>
    <w:rsid w:val="2F8330F1"/>
    <w:rsid w:val="2F866E22"/>
    <w:rsid w:val="2F8C59BF"/>
    <w:rsid w:val="2FCC2A87"/>
    <w:rsid w:val="30234671"/>
    <w:rsid w:val="30372325"/>
    <w:rsid w:val="3082583C"/>
    <w:rsid w:val="30874C00"/>
    <w:rsid w:val="30A24B8B"/>
    <w:rsid w:val="30BD6874"/>
    <w:rsid w:val="30C22D2D"/>
    <w:rsid w:val="30FA3624"/>
    <w:rsid w:val="31293F09"/>
    <w:rsid w:val="313528AE"/>
    <w:rsid w:val="314A2E16"/>
    <w:rsid w:val="31692558"/>
    <w:rsid w:val="317433D6"/>
    <w:rsid w:val="317C672F"/>
    <w:rsid w:val="31807FCD"/>
    <w:rsid w:val="31905D36"/>
    <w:rsid w:val="319A0963"/>
    <w:rsid w:val="31A6555A"/>
    <w:rsid w:val="31E56082"/>
    <w:rsid w:val="31F14A27"/>
    <w:rsid w:val="3207249C"/>
    <w:rsid w:val="3220355E"/>
    <w:rsid w:val="32543208"/>
    <w:rsid w:val="325B4596"/>
    <w:rsid w:val="32A23F73"/>
    <w:rsid w:val="32A7158A"/>
    <w:rsid w:val="32D050B8"/>
    <w:rsid w:val="32EC3440"/>
    <w:rsid w:val="32F56799"/>
    <w:rsid w:val="32F80037"/>
    <w:rsid w:val="33100A26"/>
    <w:rsid w:val="331A61FF"/>
    <w:rsid w:val="332826CA"/>
    <w:rsid w:val="338D4C23"/>
    <w:rsid w:val="33A33BCD"/>
    <w:rsid w:val="33CB12A8"/>
    <w:rsid w:val="33CD5020"/>
    <w:rsid w:val="33F24A86"/>
    <w:rsid w:val="33FE167D"/>
    <w:rsid w:val="34547138"/>
    <w:rsid w:val="3475190B"/>
    <w:rsid w:val="34777F6D"/>
    <w:rsid w:val="347D25A2"/>
    <w:rsid w:val="34951FE2"/>
    <w:rsid w:val="34B61F58"/>
    <w:rsid w:val="34BD5094"/>
    <w:rsid w:val="34CC52D7"/>
    <w:rsid w:val="34DA3E98"/>
    <w:rsid w:val="34E40873"/>
    <w:rsid w:val="35020CD8"/>
    <w:rsid w:val="351153E0"/>
    <w:rsid w:val="35191594"/>
    <w:rsid w:val="352549E8"/>
    <w:rsid w:val="35447564"/>
    <w:rsid w:val="35554792"/>
    <w:rsid w:val="35656CBA"/>
    <w:rsid w:val="356F7552"/>
    <w:rsid w:val="3575596F"/>
    <w:rsid w:val="35B069A7"/>
    <w:rsid w:val="35EB5C31"/>
    <w:rsid w:val="35FA5E74"/>
    <w:rsid w:val="36213401"/>
    <w:rsid w:val="36317AE8"/>
    <w:rsid w:val="363870C8"/>
    <w:rsid w:val="3660217B"/>
    <w:rsid w:val="366C4FC4"/>
    <w:rsid w:val="36857E34"/>
    <w:rsid w:val="36873BAC"/>
    <w:rsid w:val="36AA33F6"/>
    <w:rsid w:val="36AC53C0"/>
    <w:rsid w:val="36C7044C"/>
    <w:rsid w:val="36DD37CC"/>
    <w:rsid w:val="36DF7544"/>
    <w:rsid w:val="36FF7BE6"/>
    <w:rsid w:val="370400D2"/>
    <w:rsid w:val="371056DD"/>
    <w:rsid w:val="37270EEB"/>
    <w:rsid w:val="372F1B4E"/>
    <w:rsid w:val="376C4B50"/>
    <w:rsid w:val="377834F5"/>
    <w:rsid w:val="37AF33BA"/>
    <w:rsid w:val="37B02C8E"/>
    <w:rsid w:val="37C52B34"/>
    <w:rsid w:val="37E172EC"/>
    <w:rsid w:val="37E813AF"/>
    <w:rsid w:val="3801173C"/>
    <w:rsid w:val="382C02CD"/>
    <w:rsid w:val="382F44FB"/>
    <w:rsid w:val="383C34BA"/>
    <w:rsid w:val="384246BB"/>
    <w:rsid w:val="384A30E3"/>
    <w:rsid w:val="38593326"/>
    <w:rsid w:val="38613F89"/>
    <w:rsid w:val="386677F1"/>
    <w:rsid w:val="38DD3F57"/>
    <w:rsid w:val="38EF77E6"/>
    <w:rsid w:val="38F171A2"/>
    <w:rsid w:val="3934169D"/>
    <w:rsid w:val="393B2A2C"/>
    <w:rsid w:val="395D0BF4"/>
    <w:rsid w:val="396F26D5"/>
    <w:rsid w:val="398E0DAD"/>
    <w:rsid w:val="39A0005F"/>
    <w:rsid w:val="39BA4298"/>
    <w:rsid w:val="39C179B6"/>
    <w:rsid w:val="39D72C13"/>
    <w:rsid w:val="39E437C5"/>
    <w:rsid w:val="3A105E2D"/>
    <w:rsid w:val="3A217E73"/>
    <w:rsid w:val="3A285D28"/>
    <w:rsid w:val="3A6F0BDF"/>
    <w:rsid w:val="3A7C32FC"/>
    <w:rsid w:val="3A7E7074"/>
    <w:rsid w:val="3A9160C2"/>
    <w:rsid w:val="3AA104B6"/>
    <w:rsid w:val="3AD153F6"/>
    <w:rsid w:val="3AD66EB0"/>
    <w:rsid w:val="3B3B4F65"/>
    <w:rsid w:val="3B7A783B"/>
    <w:rsid w:val="3B806A21"/>
    <w:rsid w:val="3BB56AC5"/>
    <w:rsid w:val="3BBD597A"/>
    <w:rsid w:val="3BC82C9D"/>
    <w:rsid w:val="3BE253E0"/>
    <w:rsid w:val="3C271F9E"/>
    <w:rsid w:val="3C277297"/>
    <w:rsid w:val="3C2D6471"/>
    <w:rsid w:val="3C357C06"/>
    <w:rsid w:val="3C4165AB"/>
    <w:rsid w:val="3C620304"/>
    <w:rsid w:val="3C9708C1"/>
    <w:rsid w:val="3C9C7C85"/>
    <w:rsid w:val="3CC03974"/>
    <w:rsid w:val="3CC35212"/>
    <w:rsid w:val="3CC86CCC"/>
    <w:rsid w:val="3CDB64FE"/>
    <w:rsid w:val="3CF11D7F"/>
    <w:rsid w:val="3CFC7216"/>
    <w:rsid w:val="3D0A2E41"/>
    <w:rsid w:val="3D193084"/>
    <w:rsid w:val="3D25605E"/>
    <w:rsid w:val="3D344362"/>
    <w:rsid w:val="3D356E4E"/>
    <w:rsid w:val="3D424389"/>
    <w:rsid w:val="3D436353"/>
    <w:rsid w:val="3D6930F7"/>
    <w:rsid w:val="3D6D517E"/>
    <w:rsid w:val="3DA037A5"/>
    <w:rsid w:val="3DA45043"/>
    <w:rsid w:val="3DD702F0"/>
    <w:rsid w:val="3DE11DF4"/>
    <w:rsid w:val="3DF15DAF"/>
    <w:rsid w:val="3E734A16"/>
    <w:rsid w:val="3E846C23"/>
    <w:rsid w:val="3ECC2AA4"/>
    <w:rsid w:val="3ECD4126"/>
    <w:rsid w:val="3F566811"/>
    <w:rsid w:val="3F6251B6"/>
    <w:rsid w:val="3F650802"/>
    <w:rsid w:val="3F823162"/>
    <w:rsid w:val="3F827606"/>
    <w:rsid w:val="3F9115F7"/>
    <w:rsid w:val="3FBF43B6"/>
    <w:rsid w:val="3FC1012F"/>
    <w:rsid w:val="3FEE07F8"/>
    <w:rsid w:val="401E31BD"/>
    <w:rsid w:val="401F7CE5"/>
    <w:rsid w:val="402D7572"/>
    <w:rsid w:val="404843AC"/>
    <w:rsid w:val="40583EC3"/>
    <w:rsid w:val="40676A47"/>
    <w:rsid w:val="409F2ADF"/>
    <w:rsid w:val="40BD2D00"/>
    <w:rsid w:val="40C1415E"/>
    <w:rsid w:val="411D4AD7"/>
    <w:rsid w:val="41313092"/>
    <w:rsid w:val="413815E4"/>
    <w:rsid w:val="41406E31"/>
    <w:rsid w:val="414F3518"/>
    <w:rsid w:val="418F7DB9"/>
    <w:rsid w:val="41962EF5"/>
    <w:rsid w:val="41A96136"/>
    <w:rsid w:val="41CC4B69"/>
    <w:rsid w:val="41DB1931"/>
    <w:rsid w:val="41EA1493"/>
    <w:rsid w:val="41FF6CEC"/>
    <w:rsid w:val="426E5C20"/>
    <w:rsid w:val="42701998"/>
    <w:rsid w:val="42740346"/>
    <w:rsid w:val="427A45C5"/>
    <w:rsid w:val="427C658F"/>
    <w:rsid w:val="42AD66B8"/>
    <w:rsid w:val="42AE426E"/>
    <w:rsid w:val="42BA70B7"/>
    <w:rsid w:val="42D77C69"/>
    <w:rsid w:val="43012ACF"/>
    <w:rsid w:val="43236A0A"/>
    <w:rsid w:val="432509D4"/>
    <w:rsid w:val="435718DF"/>
    <w:rsid w:val="438D657A"/>
    <w:rsid w:val="43EA39CC"/>
    <w:rsid w:val="43F27655"/>
    <w:rsid w:val="44136A7F"/>
    <w:rsid w:val="441427F7"/>
    <w:rsid w:val="4416656F"/>
    <w:rsid w:val="4420119C"/>
    <w:rsid w:val="44223166"/>
    <w:rsid w:val="44307631"/>
    <w:rsid w:val="4441183E"/>
    <w:rsid w:val="4467501D"/>
    <w:rsid w:val="44705C7F"/>
    <w:rsid w:val="447F5EC2"/>
    <w:rsid w:val="44C36305"/>
    <w:rsid w:val="44D34460"/>
    <w:rsid w:val="44E16B7D"/>
    <w:rsid w:val="454964D0"/>
    <w:rsid w:val="45576E3F"/>
    <w:rsid w:val="455C26A8"/>
    <w:rsid w:val="45611A6C"/>
    <w:rsid w:val="4565330A"/>
    <w:rsid w:val="456F5F37"/>
    <w:rsid w:val="45725A27"/>
    <w:rsid w:val="45A06EFF"/>
    <w:rsid w:val="45B85B30"/>
    <w:rsid w:val="45C52D84"/>
    <w:rsid w:val="460F14C8"/>
    <w:rsid w:val="46222FA9"/>
    <w:rsid w:val="4622744D"/>
    <w:rsid w:val="46333408"/>
    <w:rsid w:val="463D7582"/>
    <w:rsid w:val="4642364B"/>
    <w:rsid w:val="46582E6F"/>
    <w:rsid w:val="466C06C8"/>
    <w:rsid w:val="469A3487"/>
    <w:rsid w:val="469A67EB"/>
    <w:rsid w:val="46AE2A8F"/>
    <w:rsid w:val="46BD0F24"/>
    <w:rsid w:val="46C329DE"/>
    <w:rsid w:val="46F661E4"/>
    <w:rsid w:val="47282841"/>
    <w:rsid w:val="4732546E"/>
    <w:rsid w:val="4744212E"/>
    <w:rsid w:val="47501D98"/>
    <w:rsid w:val="47631ACB"/>
    <w:rsid w:val="4766336A"/>
    <w:rsid w:val="477737C9"/>
    <w:rsid w:val="47A83982"/>
    <w:rsid w:val="47CB141F"/>
    <w:rsid w:val="47CF0F0F"/>
    <w:rsid w:val="47D12ED9"/>
    <w:rsid w:val="4820176A"/>
    <w:rsid w:val="482C2505"/>
    <w:rsid w:val="4832149E"/>
    <w:rsid w:val="484E1A14"/>
    <w:rsid w:val="4860425D"/>
    <w:rsid w:val="48967C7F"/>
    <w:rsid w:val="489B5295"/>
    <w:rsid w:val="48B14AB8"/>
    <w:rsid w:val="48BD16AF"/>
    <w:rsid w:val="48BF2D31"/>
    <w:rsid w:val="48D662CD"/>
    <w:rsid w:val="48E1714C"/>
    <w:rsid w:val="48FF5824"/>
    <w:rsid w:val="494B2817"/>
    <w:rsid w:val="49553696"/>
    <w:rsid w:val="49757894"/>
    <w:rsid w:val="49A42C16"/>
    <w:rsid w:val="49BC1967"/>
    <w:rsid w:val="49C425C9"/>
    <w:rsid w:val="49E35145"/>
    <w:rsid w:val="4A0C644A"/>
    <w:rsid w:val="4A290DBA"/>
    <w:rsid w:val="4A370FED"/>
    <w:rsid w:val="4A5751EC"/>
    <w:rsid w:val="4A5D0A54"/>
    <w:rsid w:val="4A767D68"/>
    <w:rsid w:val="4A8A736F"/>
    <w:rsid w:val="4AA04DE4"/>
    <w:rsid w:val="4AA06B93"/>
    <w:rsid w:val="4AA303FF"/>
    <w:rsid w:val="4AE03433"/>
    <w:rsid w:val="4AE5660E"/>
    <w:rsid w:val="4AE61CF9"/>
    <w:rsid w:val="4B4340EE"/>
    <w:rsid w:val="4B5F07FC"/>
    <w:rsid w:val="4B887D52"/>
    <w:rsid w:val="4BB70638"/>
    <w:rsid w:val="4BF1042A"/>
    <w:rsid w:val="4BF74ED8"/>
    <w:rsid w:val="4C3457E4"/>
    <w:rsid w:val="4C5145E8"/>
    <w:rsid w:val="4C84073D"/>
    <w:rsid w:val="4C8F3363"/>
    <w:rsid w:val="4C9B3AB5"/>
    <w:rsid w:val="4CB42DC9"/>
    <w:rsid w:val="4CB66B41"/>
    <w:rsid w:val="4CF220F9"/>
    <w:rsid w:val="4CFF4044"/>
    <w:rsid w:val="4D01600E"/>
    <w:rsid w:val="4D07739D"/>
    <w:rsid w:val="4D093BCF"/>
    <w:rsid w:val="4D185106"/>
    <w:rsid w:val="4D21045F"/>
    <w:rsid w:val="4D2F41FE"/>
    <w:rsid w:val="4D3C7046"/>
    <w:rsid w:val="4D522188"/>
    <w:rsid w:val="4D5D6816"/>
    <w:rsid w:val="4D765758"/>
    <w:rsid w:val="4D844549"/>
    <w:rsid w:val="4D8A789F"/>
    <w:rsid w:val="4DC26034"/>
    <w:rsid w:val="4DD51249"/>
    <w:rsid w:val="4DE65204"/>
    <w:rsid w:val="4DED0341"/>
    <w:rsid w:val="4DF51ED1"/>
    <w:rsid w:val="4DFC69DF"/>
    <w:rsid w:val="4E2F2707"/>
    <w:rsid w:val="4E4B32B9"/>
    <w:rsid w:val="4E4D0DDF"/>
    <w:rsid w:val="4E597784"/>
    <w:rsid w:val="4E661EA1"/>
    <w:rsid w:val="4E685C19"/>
    <w:rsid w:val="4E7B594C"/>
    <w:rsid w:val="4E804F4C"/>
    <w:rsid w:val="4E8D742E"/>
    <w:rsid w:val="4EB77C91"/>
    <w:rsid w:val="4EB90223"/>
    <w:rsid w:val="4ECD3CCE"/>
    <w:rsid w:val="4ED45310"/>
    <w:rsid w:val="4EE546D3"/>
    <w:rsid w:val="4EEE4370"/>
    <w:rsid w:val="4F4E12B3"/>
    <w:rsid w:val="4F74239C"/>
    <w:rsid w:val="4FBB6276"/>
    <w:rsid w:val="4FC275AB"/>
    <w:rsid w:val="4FF82FCD"/>
    <w:rsid w:val="4FFC0D0F"/>
    <w:rsid w:val="50096F88"/>
    <w:rsid w:val="502474B5"/>
    <w:rsid w:val="5066262C"/>
    <w:rsid w:val="508036EE"/>
    <w:rsid w:val="508A631B"/>
    <w:rsid w:val="50A70C7B"/>
    <w:rsid w:val="50C555A5"/>
    <w:rsid w:val="50C57353"/>
    <w:rsid w:val="50D15CF8"/>
    <w:rsid w:val="50D6330E"/>
    <w:rsid w:val="50D97723"/>
    <w:rsid w:val="510F4A72"/>
    <w:rsid w:val="515406D7"/>
    <w:rsid w:val="519C4558"/>
    <w:rsid w:val="519C7D8C"/>
    <w:rsid w:val="51A265AF"/>
    <w:rsid w:val="51C8534D"/>
    <w:rsid w:val="51D56A31"/>
    <w:rsid w:val="51DF0F40"/>
    <w:rsid w:val="52075749"/>
    <w:rsid w:val="520B348B"/>
    <w:rsid w:val="521F2A93"/>
    <w:rsid w:val="52271947"/>
    <w:rsid w:val="522F5C68"/>
    <w:rsid w:val="525564B4"/>
    <w:rsid w:val="528D6127"/>
    <w:rsid w:val="52C06024"/>
    <w:rsid w:val="52E33AC0"/>
    <w:rsid w:val="52ED2B91"/>
    <w:rsid w:val="52F67C97"/>
    <w:rsid w:val="53560736"/>
    <w:rsid w:val="535624E4"/>
    <w:rsid w:val="535B7AFB"/>
    <w:rsid w:val="536015B5"/>
    <w:rsid w:val="537219D3"/>
    <w:rsid w:val="53805513"/>
    <w:rsid w:val="539D45B7"/>
    <w:rsid w:val="53AE2320"/>
    <w:rsid w:val="53CE4770"/>
    <w:rsid w:val="53D1600F"/>
    <w:rsid w:val="53DD49B3"/>
    <w:rsid w:val="53E32C44"/>
    <w:rsid w:val="540E1011"/>
    <w:rsid w:val="5429409D"/>
    <w:rsid w:val="543D0A1E"/>
    <w:rsid w:val="545F186C"/>
    <w:rsid w:val="548D63DA"/>
    <w:rsid w:val="54AA0D3A"/>
    <w:rsid w:val="54EF6C2B"/>
    <w:rsid w:val="54FC1348"/>
    <w:rsid w:val="553C324B"/>
    <w:rsid w:val="553D0853"/>
    <w:rsid w:val="55410F72"/>
    <w:rsid w:val="55627866"/>
    <w:rsid w:val="558A2919"/>
    <w:rsid w:val="55983288"/>
    <w:rsid w:val="559E63C4"/>
    <w:rsid w:val="55AC6D33"/>
    <w:rsid w:val="55C778B4"/>
    <w:rsid w:val="55E70496"/>
    <w:rsid w:val="55FF2819"/>
    <w:rsid w:val="56097CE2"/>
    <w:rsid w:val="561623FF"/>
    <w:rsid w:val="567C6706"/>
    <w:rsid w:val="567F7FA4"/>
    <w:rsid w:val="56BA5480"/>
    <w:rsid w:val="56CD0D0F"/>
    <w:rsid w:val="56D26326"/>
    <w:rsid w:val="56DE4CCA"/>
    <w:rsid w:val="56E83D9B"/>
    <w:rsid w:val="56FA762A"/>
    <w:rsid w:val="572D7A00"/>
    <w:rsid w:val="577613A7"/>
    <w:rsid w:val="5794182D"/>
    <w:rsid w:val="57A8352A"/>
    <w:rsid w:val="57C2283E"/>
    <w:rsid w:val="57C2639A"/>
    <w:rsid w:val="57C40364"/>
    <w:rsid w:val="57DE0CFA"/>
    <w:rsid w:val="58044C05"/>
    <w:rsid w:val="5862192B"/>
    <w:rsid w:val="587C0C3F"/>
    <w:rsid w:val="58916B6C"/>
    <w:rsid w:val="589715D5"/>
    <w:rsid w:val="58A12453"/>
    <w:rsid w:val="58A837E2"/>
    <w:rsid w:val="58D5034F"/>
    <w:rsid w:val="591A3FB4"/>
    <w:rsid w:val="591E5852"/>
    <w:rsid w:val="592D3CE7"/>
    <w:rsid w:val="592E4BF9"/>
    <w:rsid w:val="59492A03"/>
    <w:rsid w:val="596A6CE9"/>
    <w:rsid w:val="5979517E"/>
    <w:rsid w:val="597B2CA5"/>
    <w:rsid w:val="597F1642"/>
    <w:rsid w:val="5980475F"/>
    <w:rsid w:val="5991207E"/>
    <w:rsid w:val="599975CF"/>
    <w:rsid w:val="599C0E6D"/>
    <w:rsid w:val="59E20F76"/>
    <w:rsid w:val="59E3084A"/>
    <w:rsid w:val="59EA7E2A"/>
    <w:rsid w:val="59F42A19"/>
    <w:rsid w:val="5A032C9A"/>
    <w:rsid w:val="5A517EA9"/>
    <w:rsid w:val="5A7B7F0D"/>
    <w:rsid w:val="5ACB37B8"/>
    <w:rsid w:val="5AD53BE9"/>
    <w:rsid w:val="5AE42ACB"/>
    <w:rsid w:val="5AF727FF"/>
    <w:rsid w:val="5AFE1DDF"/>
    <w:rsid w:val="5B0A0784"/>
    <w:rsid w:val="5B0B62AA"/>
    <w:rsid w:val="5B10566E"/>
    <w:rsid w:val="5B184523"/>
    <w:rsid w:val="5B1B25F4"/>
    <w:rsid w:val="5B296730"/>
    <w:rsid w:val="5B2F1F99"/>
    <w:rsid w:val="5B310D0B"/>
    <w:rsid w:val="5B3E042E"/>
    <w:rsid w:val="5B5C6B06"/>
    <w:rsid w:val="5B66034C"/>
    <w:rsid w:val="5B6F05E7"/>
    <w:rsid w:val="5B7C71A8"/>
    <w:rsid w:val="5B8322E4"/>
    <w:rsid w:val="5B9242D5"/>
    <w:rsid w:val="5BA364E3"/>
    <w:rsid w:val="5BC6126C"/>
    <w:rsid w:val="5BCD17B1"/>
    <w:rsid w:val="5BE80399"/>
    <w:rsid w:val="5BFB00CD"/>
    <w:rsid w:val="5C0351D3"/>
    <w:rsid w:val="5C050F4B"/>
    <w:rsid w:val="5C11169E"/>
    <w:rsid w:val="5C166CB5"/>
    <w:rsid w:val="5C1D44E7"/>
    <w:rsid w:val="5C2209C9"/>
    <w:rsid w:val="5C270EC2"/>
    <w:rsid w:val="5C2A6C04"/>
    <w:rsid w:val="5C2E2250"/>
    <w:rsid w:val="5C317F92"/>
    <w:rsid w:val="5C3B496D"/>
    <w:rsid w:val="5C5D48E3"/>
    <w:rsid w:val="5C966047"/>
    <w:rsid w:val="5CA208D6"/>
    <w:rsid w:val="5CEE5E83"/>
    <w:rsid w:val="5D077B1A"/>
    <w:rsid w:val="5D2C1445"/>
    <w:rsid w:val="5D3F048D"/>
    <w:rsid w:val="5D5A7075"/>
    <w:rsid w:val="5D8F4F70"/>
    <w:rsid w:val="5DAA7FFC"/>
    <w:rsid w:val="5DB20C5F"/>
    <w:rsid w:val="5DF43025"/>
    <w:rsid w:val="5E162F9C"/>
    <w:rsid w:val="5E3675A4"/>
    <w:rsid w:val="5E870525"/>
    <w:rsid w:val="5F1D47FE"/>
    <w:rsid w:val="5F2D4A41"/>
    <w:rsid w:val="5F3139E6"/>
    <w:rsid w:val="5F487ACD"/>
    <w:rsid w:val="5F5875E4"/>
    <w:rsid w:val="5F5A1617"/>
    <w:rsid w:val="5F5C70D4"/>
    <w:rsid w:val="5F6A42F0"/>
    <w:rsid w:val="5F7408C2"/>
    <w:rsid w:val="5F8B79B9"/>
    <w:rsid w:val="5F904FD0"/>
    <w:rsid w:val="5F9C1BC7"/>
    <w:rsid w:val="5FB005B1"/>
    <w:rsid w:val="5FC1774E"/>
    <w:rsid w:val="5FD96977"/>
    <w:rsid w:val="5FE315A4"/>
    <w:rsid w:val="60651FB9"/>
    <w:rsid w:val="6085265B"/>
    <w:rsid w:val="60E27AAD"/>
    <w:rsid w:val="61045C75"/>
    <w:rsid w:val="610712C2"/>
    <w:rsid w:val="61137C66"/>
    <w:rsid w:val="611834CF"/>
    <w:rsid w:val="612260FC"/>
    <w:rsid w:val="612B3D03"/>
    <w:rsid w:val="612C0D28"/>
    <w:rsid w:val="6142679E"/>
    <w:rsid w:val="614C3178"/>
    <w:rsid w:val="615D0EE2"/>
    <w:rsid w:val="61774699"/>
    <w:rsid w:val="617F52FC"/>
    <w:rsid w:val="61A04C94"/>
    <w:rsid w:val="61BE4076"/>
    <w:rsid w:val="61BE5E24"/>
    <w:rsid w:val="61CB0541"/>
    <w:rsid w:val="61CF490E"/>
    <w:rsid w:val="61E82EA1"/>
    <w:rsid w:val="61F07FA8"/>
    <w:rsid w:val="61FA4982"/>
    <w:rsid w:val="62065A1D"/>
    <w:rsid w:val="62456545"/>
    <w:rsid w:val="626F0325"/>
    <w:rsid w:val="627666FF"/>
    <w:rsid w:val="628474E1"/>
    <w:rsid w:val="6299063F"/>
    <w:rsid w:val="629D0130"/>
    <w:rsid w:val="62AA63A9"/>
    <w:rsid w:val="62C05BCC"/>
    <w:rsid w:val="62CF4061"/>
    <w:rsid w:val="62EC69C1"/>
    <w:rsid w:val="632E2B36"/>
    <w:rsid w:val="637C7D45"/>
    <w:rsid w:val="638E5CCA"/>
    <w:rsid w:val="639E159D"/>
    <w:rsid w:val="63A96660"/>
    <w:rsid w:val="63B84AF5"/>
    <w:rsid w:val="63DD630A"/>
    <w:rsid w:val="63DF02D4"/>
    <w:rsid w:val="63E811FC"/>
    <w:rsid w:val="63F90D3D"/>
    <w:rsid w:val="64065861"/>
    <w:rsid w:val="641E2BAA"/>
    <w:rsid w:val="641F6922"/>
    <w:rsid w:val="642A77A1"/>
    <w:rsid w:val="642D103F"/>
    <w:rsid w:val="643C5726"/>
    <w:rsid w:val="645B2050"/>
    <w:rsid w:val="64771BF5"/>
    <w:rsid w:val="647749B0"/>
    <w:rsid w:val="64A137DB"/>
    <w:rsid w:val="64C73242"/>
    <w:rsid w:val="64E6019A"/>
    <w:rsid w:val="65000502"/>
    <w:rsid w:val="6502427A"/>
    <w:rsid w:val="65271F32"/>
    <w:rsid w:val="6538259E"/>
    <w:rsid w:val="653C6A80"/>
    <w:rsid w:val="653F727C"/>
    <w:rsid w:val="65523B41"/>
    <w:rsid w:val="655515AF"/>
    <w:rsid w:val="65556AA0"/>
    <w:rsid w:val="655820EC"/>
    <w:rsid w:val="65617DDB"/>
    <w:rsid w:val="65B01F28"/>
    <w:rsid w:val="65DF280D"/>
    <w:rsid w:val="65F20792"/>
    <w:rsid w:val="65FC70A6"/>
    <w:rsid w:val="65FD2C93"/>
    <w:rsid w:val="661324B7"/>
    <w:rsid w:val="66173D55"/>
    <w:rsid w:val="665A00E6"/>
    <w:rsid w:val="6692162D"/>
    <w:rsid w:val="66B01835"/>
    <w:rsid w:val="66B07D06"/>
    <w:rsid w:val="66EA76BB"/>
    <w:rsid w:val="673D77EB"/>
    <w:rsid w:val="675E59B4"/>
    <w:rsid w:val="67647A87"/>
    <w:rsid w:val="676E3E49"/>
    <w:rsid w:val="678B708D"/>
    <w:rsid w:val="67902011"/>
    <w:rsid w:val="67917B37"/>
    <w:rsid w:val="67C021CA"/>
    <w:rsid w:val="67D129C4"/>
    <w:rsid w:val="67E73BFB"/>
    <w:rsid w:val="683C4B7A"/>
    <w:rsid w:val="684352D5"/>
    <w:rsid w:val="6856385A"/>
    <w:rsid w:val="68B7537B"/>
    <w:rsid w:val="68E72104"/>
    <w:rsid w:val="691E364C"/>
    <w:rsid w:val="693B7EAA"/>
    <w:rsid w:val="695169A2"/>
    <w:rsid w:val="69562DE6"/>
    <w:rsid w:val="69CE6E20"/>
    <w:rsid w:val="6A5D01A4"/>
    <w:rsid w:val="6A5F216E"/>
    <w:rsid w:val="6A6B28C1"/>
    <w:rsid w:val="6A7E0847"/>
    <w:rsid w:val="6A9F2C9B"/>
    <w:rsid w:val="6ACA3A8C"/>
    <w:rsid w:val="6AD52213"/>
    <w:rsid w:val="6AF723A7"/>
    <w:rsid w:val="6B0F3E8B"/>
    <w:rsid w:val="6B2904EB"/>
    <w:rsid w:val="6B314DD4"/>
    <w:rsid w:val="6B4355EC"/>
    <w:rsid w:val="6B4F3F91"/>
    <w:rsid w:val="6B7B4D86"/>
    <w:rsid w:val="6B7E215E"/>
    <w:rsid w:val="6B9B2D32"/>
    <w:rsid w:val="6B9F13B8"/>
    <w:rsid w:val="6BF4248E"/>
    <w:rsid w:val="6C042FCD"/>
    <w:rsid w:val="6C4C04D0"/>
    <w:rsid w:val="6C692E30"/>
    <w:rsid w:val="6C7D068A"/>
    <w:rsid w:val="6C9500C9"/>
    <w:rsid w:val="6CB5251A"/>
    <w:rsid w:val="6CC4450B"/>
    <w:rsid w:val="6CC86F17"/>
    <w:rsid w:val="6CD40BF2"/>
    <w:rsid w:val="6CF50B68"/>
    <w:rsid w:val="6CF7668E"/>
    <w:rsid w:val="6D2F5E28"/>
    <w:rsid w:val="6D57537F"/>
    <w:rsid w:val="6D77157D"/>
    <w:rsid w:val="6D7952F5"/>
    <w:rsid w:val="6D7B106D"/>
    <w:rsid w:val="6D800432"/>
    <w:rsid w:val="6DD864C0"/>
    <w:rsid w:val="6DE36C13"/>
    <w:rsid w:val="6E02353D"/>
    <w:rsid w:val="6E182D60"/>
    <w:rsid w:val="6E2C05BA"/>
    <w:rsid w:val="6E421B8B"/>
    <w:rsid w:val="6E510020"/>
    <w:rsid w:val="6E7D2BC3"/>
    <w:rsid w:val="6E8E4DD0"/>
    <w:rsid w:val="6EAE7221"/>
    <w:rsid w:val="6EB8009F"/>
    <w:rsid w:val="6EC72090"/>
    <w:rsid w:val="6EDF562C"/>
    <w:rsid w:val="6EFC61DE"/>
    <w:rsid w:val="6F103A37"/>
    <w:rsid w:val="6F34390D"/>
    <w:rsid w:val="6F63625D"/>
    <w:rsid w:val="6F941206"/>
    <w:rsid w:val="6F975F07"/>
    <w:rsid w:val="6F9E54E7"/>
    <w:rsid w:val="6FA503AE"/>
    <w:rsid w:val="6FB95E7D"/>
    <w:rsid w:val="6FCD0875"/>
    <w:rsid w:val="6FEF189F"/>
    <w:rsid w:val="700A0487"/>
    <w:rsid w:val="70172A58"/>
    <w:rsid w:val="701D28B0"/>
    <w:rsid w:val="706B5E85"/>
    <w:rsid w:val="707068FD"/>
    <w:rsid w:val="70977225"/>
    <w:rsid w:val="709E2587"/>
    <w:rsid w:val="70CF74E9"/>
    <w:rsid w:val="70E138DD"/>
    <w:rsid w:val="712832BA"/>
    <w:rsid w:val="713554DF"/>
    <w:rsid w:val="71384477"/>
    <w:rsid w:val="715B3690"/>
    <w:rsid w:val="71BA7C8A"/>
    <w:rsid w:val="71C11019"/>
    <w:rsid w:val="71C56D5B"/>
    <w:rsid w:val="71D15700"/>
    <w:rsid w:val="71D90A58"/>
    <w:rsid w:val="71E96372"/>
    <w:rsid w:val="723E2669"/>
    <w:rsid w:val="72710C91"/>
    <w:rsid w:val="72734A09"/>
    <w:rsid w:val="72A93F87"/>
    <w:rsid w:val="72B33057"/>
    <w:rsid w:val="72EB0A43"/>
    <w:rsid w:val="731D4975"/>
    <w:rsid w:val="73313BD5"/>
    <w:rsid w:val="7370719A"/>
    <w:rsid w:val="737E18B7"/>
    <w:rsid w:val="739E5AB6"/>
    <w:rsid w:val="73BE1CB4"/>
    <w:rsid w:val="73EF00BF"/>
    <w:rsid w:val="7400051E"/>
    <w:rsid w:val="74281823"/>
    <w:rsid w:val="742F1797"/>
    <w:rsid w:val="74534AF2"/>
    <w:rsid w:val="74746816"/>
    <w:rsid w:val="74933140"/>
    <w:rsid w:val="74A964C0"/>
    <w:rsid w:val="74D252CE"/>
    <w:rsid w:val="74DD260E"/>
    <w:rsid w:val="74DF1EE2"/>
    <w:rsid w:val="74E41BEE"/>
    <w:rsid w:val="74EB6AD9"/>
    <w:rsid w:val="74FE1728"/>
    <w:rsid w:val="74FF309B"/>
    <w:rsid w:val="7510653F"/>
    <w:rsid w:val="75183646"/>
    <w:rsid w:val="75275570"/>
    <w:rsid w:val="752D5343"/>
    <w:rsid w:val="754E52B9"/>
    <w:rsid w:val="7553467E"/>
    <w:rsid w:val="75873FED"/>
    <w:rsid w:val="75930F1E"/>
    <w:rsid w:val="75A31161"/>
    <w:rsid w:val="75A82C1C"/>
    <w:rsid w:val="75AD3D8E"/>
    <w:rsid w:val="75CC23F8"/>
    <w:rsid w:val="75D05CCE"/>
    <w:rsid w:val="75F75951"/>
    <w:rsid w:val="75F95225"/>
    <w:rsid w:val="7606581A"/>
    <w:rsid w:val="7610431D"/>
    <w:rsid w:val="761738FD"/>
    <w:rsid w:val="76393874"/>
    <w:rsid w:val="763D7808"/>
    <w:rsid w:val="764D731F"/>
    <w:rsid w:val="764F753B"/>
    <w:rsid w:val="76636B42"/>
    <w:rsid w:val="76684E26"/>
    <w:rsid w:val="767471F4"/>
    <w:rsid w:val="767825EE"/>
    <w:rsid w:val="76854D0B"/>
    <w:rsid w:val="76984A3E"/>
    <w:rsid w:val="769B62DC"/>
    <w:rsid w:val="76B850E0"/>
    <w:rsid w:val="76CA63C9"/>
    <w:rsid w:val="76CD220E"/>
    <w:rsid w:val="76E47C83"/>
    <w:rsid w:val="76F416A8"/>
    <w:rsid w:val="770E6AAE"/>
    <w:rsid w:val="77125960"/>
    <w:rsid w:val="771D13E7"/>
    <w:rsid w:val="77304C77"/>
    <w:rsid w:val="773D38F0"/>
    <w:rsid w:val="779F1DFC"/>
    <w:rsid w:val="77B84F2F"/>
    <w:rsid w:val="77C27899"/>
    <w:rsid w:val="77C742F8"/>
    <w:rsid w:val="77DA1086"/>
    <w:rsid w:val="77F43EF6"/>
    <w:rsid w:val="77FC0FFD"/>
    <w:rsid w:val="7809157F"/>
    <w:rsid w:val="781E0F73"/>
    <w:rsid w:val="784D1858"/>
    <w:rsid w:val="78654DF4"/>
    <w:rsid w:val="78AF2EAF"/>
    <w:rsid w:val="78C646AC"/>
    <w:rsid w:val="78E75809"/>
    <w:rsid w:val="78E81581"/>
    <w:rsid w:val="78F47F26"/>
    <w:rsid w:val="7908577F"/>
    <w:rsid w:val="790939D1"/>
    <w:rsid w:val="79110AD8"/>
    <w:rsid w:val="791A53DD"/>
    <w:rsid w:val="791F3E34"/>
    <w:rsid w:val="793A6280"/>
    <w:rsid w:val="79425135"/>
    <w:rsid w:val="79490272"/>
    <w:rsid w:val="795D3D1D"/>
    <w:rsid w:val="797C0929"/>
    <w:rsid w:val="798C015E"/>
    <w:rsid w:val="799C2A97"/>
    <w:rsid w:val="79C913B2"/>
    <w:rsid w:val="79DD6C0C"/>
    <w:rsid w:val="79F77CCE"/>
    <w:rsid w:val="7A140880"/>
    <w:rsid w:val="7A2605B3"/>
    <w:rsid w:val="7A396538"/>
    <w:rsid w:val="7A5769BE"/>
    <w:rsid w:val="7A6115EB"/>
    <w:rsid w:val="7A911ED0"/>
    <w:rsid w:val="7AC202DC"/>
    <w:rsid w:val="7AD718AD"/>
    <w:rsid w:val="7ADB2AA4"/>
    <w:rsid w:val="7AE91D0C"/>
    <w:rsid w:val="7AFE671A"/>
    <w:rsid w:val="7B0A1C83"/>
    <w:rsid w:val="7B7517F2"/>
    <w:rsid w:val="7BAE00F8"/>
    <w:rsid w:val="7BB44AF4"/>
    <w:rsid w:val="7BB75966"/>
    <w:rsid w:val="7BDF4EBD"/>
    <w:rsid w:val="7BE129E3"/>
    <w:rsid w:val="7BE14791"/>
    <w:rsid w:val="7BFF25E3"/>
    <w:rsid w:val="7C0E12FE"/>
    <w:rsid w:val="7C43369E"/>
    <w:rsid w:val="7C480CB4"/>
    <w:rsid w:val="7C530CF6"/>
    <w:rsid w:val="7C7519A2"/>
    <w:rsid w:val="7CAA0B47"/>
    <w:rsid w:val="7CFD1A9F"/>
    <w:rsid w:val="7D0A42A7"/>
    <w:rsid w:val="7D162B61"/>
    <w:rsid w:val="7D423956"/>
    <w:rsid w:val="7D545437"/>
    <w:rsid w:val="7D5947FB"/>
    <w:rsid w:val="7DA41F1A"/>
    <w:rsid w:val="7DB639FC"/>
    <w:rsid w:val="7DD86068"/>
    <w:rsid w:val="7E1075B0"/>
    <w:rsid w:val="7E123328"/>
    <w:rsid w:val="7E186464"/>
    <w:rsid w:val="7E386B07"/>
    <w:rsid w:val="7E4D25B2"/>
    <w:rsid w:val="7E584AB3"/>
    <w:rsid w:val="7E5A082B"/>
    <w:rsid w:val="7E6D4A02"/>
    <w:rsid w:val="7E7547BD"/>
    <w:rsid w:val="7E7933A7"/>
    <w:rsid w:val="7E926217"/>
    <w:rsid w:val="7E9D0644"/>
    <w:rsid w:val="7E9E696A"/>
    <w:rsid w:val="7E9F29C9"/>
    <w:rsid w:val="7EB20667"/>
    <w:rsid w:val="7EB51F05"/>
    <w:rsid w:val="7F08297D"/>
    <w:rsid w:val="7F385010"/>
    <w:rsid w:val="7F6A76B7"/>
    <w:rsid w:val="7FA636ED"/>
    <w:rsid w:val="7FCC5758"/>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Calibri" w:eastAsia="宋体" w:cs="Times New Roman"/>
      <w:sz w:val="21"/>
      <w:szCs w:val="21"/>
      <w:lang w:val="en-US" w:eastAsia="zh-CN" w:bidi="ar-SA"/>
    </w:rPr>
  </w:style>
  <w:style w:type="paragraph" w:styleId="4">
    <w:name w:val="heading 1"/>
    <w:basedOn w:val="1"/>
    <w:next w:val="1"/>
    <w:qFormat/>
    <w:uiPriority w:val="0"/>
    <w:pPr>
      <w:keepNext/>
      <w:keepLines/>
      <w:widowControl w:val="0"/>
      <w:spacing w:before="340" w:after="330" w:line="576" w:lineRule="auto"/>
      <w:outlineLvl w:val="0"/>
    </w:pPr>
    <w:rPr>
      <w:b/>
      <w:bCs/>
      <w:kern w:val="44"/>
      <w:sz w:val="44"/>
      <w:szCs w:val="44"/>
    </w:rPr>
  </w:style>
  <w:style w:type="paragraph" w:styleId="5">
    <w:name w:val="heading 2"/>
    <w:basedOn w:val="1"/>
    <w:next w:val="1"/>
    <w:qFormat/>
    <w:uiPriority w:val="0"/>
    <w:pPr>
      <w:keepNext/>
      <w:keepLines/>
      <w:widowControl w:val="0"/>
      <w:spacing w:before="260" w:after="260" w:line="412" w:lineRule="auto"/>
      <w:outlineLvl w:val="1"/>
    </w:pPr>
    <w:rPr>
      <w:rFonts w:ascii="Arial" w:hAnsi="Arial" w:eastAsia="黑体"/>
      <w:b/>
      <w:bCs/>
      <w:sz w:val="32"/>
      <w:szCs w:val="32"/>
    </w:rPr>
  </w:style>
  <w:style w:type="paragraph" w:styleId="6">
    <w:name w:val="heading 3"/>
    <w:basedOn w:val="1"/>
    <w:next w:val="1"/>
    <w:qFormat/>
    <w:uiPriority w:val="0"/>
    <w:pPr>
      <w:keepNext/>
      <w:keepLines/>
      <w:widowControl w:val="0"/>
      <w:spacing w:before="380" w:after="380" w:line="412" w:lineRule="auto"/>
      <w:jc w:val="center"/>
      <w:outlineLvl w:val="2"/>
    </w:pPr>
    <w:rPr>
      <w:rFonts w:ascii="Times New Roman" w:hAnsi="Times New Roman"/>
      <w:b/>
      <w:bCs/>
      <w:sz w:val="28"/>
      <w:szCs w:val="32"/>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1"/>
    <w:qFormat/>
    <w:uiPriority w:val="0"/>
    <w:pPr>
      <w:spacing w:line="460" w:lineRule="exact"/>
      <w:ind w:firstLine="510"/>
    </w:pPr>
  </w:style>
  <w:style w:type="paragraph" w:styleId="7">
    <w:name w:val="Normal Indent"/>
    <w:basedOn w:val="1"/>
    <w:next w:val="1"/>
    <w:qFormat/>
    <w:uiPriority w:val="0"/>
    <w:pPr>
      <w:autoSpaceDE w:val="0"/>
      <w:autoSpaceDN w:val="0"/>
      <w:adjustRightInd w:val="0"/>
      <w:ind w:firstLine="420"/>
    </w:pPr>
    <w:rPr>
      <w:rFonts w:ascii="宋体"/>
      <w:sz w:val="24"/>
      <w:szCs w:val="20"/>
    </w:rPr>
  </w:style>
  <w:style w:type="paragraph" w:styleId="8">
    <w:name w:val="Document Map"/>
    <w:basedOn w:val="1"/>
    <w:next w:val="9"/>
    <w:qFormat/>
    <w:uiPriority w:val="99"/>
    <w:rPr>
      <w:rFonts w:ascii="@Yu Mincho Light" w:hAnsi="Times New Roman"/>
      <w:sz w:val="18"/>
      <w:szCs w:val="18"/>
    </w:rPr>
  </w:style>
  <w:style w:type="paragraph" w:styleId="9">
    <w:name w:val="Block Text"/>
    <w:basedOn w:val="1"/>
    <w:unhideWhenUsed/>
    <w:qFormat/>
    <w:uiPriority w:val="99"/>
    <w:pPr>
      <w:ind w:left="1440" w:leftChars="700" w:right="700" w:rightChars="700"/>
    </w:pPr>
  </w:style>
  <w:style w:type="paragraph" w:styleId="10">
    <w:name w:val="annotation text"/>
    <w:basedOn w:val="1"/>
    <w:qFormat/>
    <w:uiPriority w:val="0"/>
  </w:style>
  <w:style w:type="paragraph" w:styleId="11">
    <w:name w:val="Body Text 3"/>
    <w:basedOn w:val="1"/>
    <w:next w:val="1"/>
    <w:qFormat/>
    <w:uiPriority w:val="0"/>
    <w:rPr>
      <w:rFonts w:ascii="宋体"/>
      <w:sz w:val="24"/>
      <w:szCs w:val="24"/>
    </w:rPr>
  </w:style>
  <w:style w:type="paragraph" w:styleId="12">
    <w:name w:val="Body Text"/>
    <w:basedOn w:val="1"/>
    <w:next w:val="1"/>
    <w:qFormat/>
    <w:uiPriority w:val="0"/>
    <w:pPr>
      <w:spacing w:line="360" w:lineRule="auto"/>
    </w:pPr>
    <w:rPr>
      <w:rFonts w:ascii="Times New Roman" w:hAnsi="Times New Roman"/>
      <w:kern w:val="2"/>
      <w:szCs w:val="24"/>
    </w:rPr>
  </w:style>
  <w:style w:type="paragraph" w:styleId="13">
    <w:name w:val="toc 3"/>
    <w:basedOn w:val="1"/>
    <w:next w:val="1"/>
    <w:qFormat/>
    <w:uiPriority w:val="0"/>
    <w:pPr>
      <w:ind w:left="420"/>
    </w:pPr>
    <w:rPr>
      <w:rFonts w:cs="Calibri"/>
      <w:i/>
      <w:iCs/>
      <w:sz w:val="20"/>
      <w:szCs w:val="20"/>
    </w:rPr>
  </w:style>
  <w:style w:type="paragraph" w:styleId="14">
    <w:name w:val="Plain Text"/>
    <w:basedOn w:val="1"/>
    <w:next w:val="1"/>
    <w:qFormat/>
    <w:uiPriority w:val="0"/>
    <w:rPr>
      <w:rFonts w:ascii="宋体" w:hAnsi="Courier New"/>
      <w:szCs w:val="20"/>
    </w:rPr>
  </w:style>
  <w:style w:type="paragraph" w:styleId="15">
    <w:name w:val="Balloon Text"/>
    <w:basedOn w:val="1"/>
    <w:unhideWhenUsed/>
    <w:qFormat/>
    <w:uiPriority w:val="0"/>
    <w:rPr>
      <w:rFonts w:ascii="Times New Roman" w:hAnsi="Times New Roman"/>
      <w:kern w:val="0"/>
      <w:sz w:val="18"/>
      <w:szCs w:val="18"/>
    </w:rPr>
  </w:style>
  <w:style w:type="paragraph" w:styleId="16">
    <w:name w:val="footer"/>
    <w:basedOn w:val="1"/>
    <w:qFormat/>
    <w:uiPriority w:val="0"/>
    <w:pPr>
      <w:tabs>
        <w:tab w:val="center" w:pos="4153"/>
        <w:tab w:val="right" w:pos="8306"/>
      </w:tabs>
      <w:snapToGrid w:val="0"/>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spacing w:before="120" w:after="120"/>
    </w:pPr>
    <w:rPr>
      <w:rFonts w:cs="Calibri"/>
      <w:b/>
      <w:bCs/>
      <w:caps/>
      <w:sz w:val="20"/>
      <w:szCs w:val="20"/>
    </w:rPr>
  </w:style>
  <w:style w:type="paragraph" w:styleId="19">
    <w:name w:val="toc 2"/>
    <w:basedOn w:val="1"/>
    <w:next w:val="1"/>
    <w:qFormat/>
    <w:uiPriority w:val="0"/>
    <w:pPr>
      <w:ind w:left="210"/>
    </w:pPr>
    <w:rPr>
      <w:rFonts w:cs="Calibri"/>
      <w:smallCaps/>
      <w:sz w:val="20"/>
      <w:szCs w:val="20"/>
    </w:rPr>
  </w:style>
  <w:style w:type="paragraph" w:styleId="20">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Normal (Web)"/>
    <w:basedOn w:val="1"/>
    <w:qFormat/>
    <w:uiPriority w:val="0"/>
    <w:pPr>
      <w:spacing w:before="100" w:beforeAutospacing="1" w:after="100" w:afterAutospacing="1"/>
    </w:pPr>
    <w:rPr>
      <w:sz w:val="24"/>
      <w:szCs w:val="24"/>
    </w:rPr>
  </w:style>
  <w:style w:type="table" w:styleId="23">
    <w:name w:val="Table Grid"/>
    <w:basedOn w:val="2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qFormat/>
    <w:uiPriority w:val="0"/>
    <w:rPr>
      <w:color w:val="333333"/>
      <w:u w:val="none"/>
    </w:rPr>
  </w:style>
  <w:style w:type="character" w:customStyle="1" w:styleId="26">
    <w:name w:val="15"/>
    <w:qFormat/>
    <w:uiPriority w:val="0"/>
    <w:rPr>
      <w:rFonts w:hint="default" w:ascii="Times New Roman" w:hAnsi="Times New Roman" w:cs="Times New Roman"/>
      <w:b/>
      <w:bCs/>
      <w:kern w:val="44"/>
      <w:sz w:val="44"/>
      <w:szCs w:val="44"/>
    </w:rPr>
  </w:style>
  <w:style w:type="paragraph" w:customStyle="1" w:styleId="27">
    <w:name w:val="_Style 2"/>
    <w:basedOn w:val="1"/>
    <w:qFormat/>
    <w:uiPriority w:val="0"/>
  </w:style>
  <w:style w:type="character" w:customStyle="1" w:styleId="28">
    <w:name w:val="16"/>
    <w:qFormat/>
    <w:uiPriority w:val="0"/>
    <w:rPr>
      <w:rFonts w:hint="default" w:ascii="Times New Roman" w:hAnsi="Times New Roman" w:cs="Times New Roman"/>
      <w:b/>
      <w:bCs/>
      <w:sz w:val="32"/>
      <w:szCs w:val="32"/>
    </w:rPr>
  </w:style>
  <w:style w:type="paragraph" w:customStyle="1" w:styleId="29">
    <w:name w:val="正文缩进1"/>
    <w:basedOn w:val="1"/>
    <w:qFormat/>
    <w:uiPriority w:val="0"/>
    <w:pPr>
      <w:autoSpaceDE w:val="0"/>
      <w:autoSpaceDN w:val="0"/>
      <w:adjustRightInd w:val="0"/>
      <w:ind w:firstLine="420"/>
    </w:pPr>
    <w:rPr>
      <w:rFonts w:ascii="宋体"/>
      <w:sz w:val="24"/>
      <w:szCs w:val="22"/>
    </w:rPr>
  </w:style>
  <w:style w:type="paragraph" w:customStyle="1" w:styleId="30">
    <w:name w:val="索引 11"/>
    <w:basedOn w:val="1"/>
    <w:next w:val="1"/>
    <w:qFormat/>
    <w:uiPriority w:val="0"/>
    <w:pPr>
      <w:spacing w:line="360" w:lineRule="auto"/>
    </w:pPr>
    <w:rPr>
      <w:rFonts w:ascii="仿宋_GB2312" w:eastAsia="仿宋_GB2312"/>
      <w:sz w:val="24"/>
      <w:szCs w:val="20"/>
    </w:rPr>
  </w:style>
  <w:style w:type="paragraph" w:customStyle="1" w:styleId="3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
    <w:name w:val="列出段落1"/>
    <w:basedOn w:val="1"/>
    <w:qFormat/>
    <w:uiPriority w:val="0"/>
    <w:pPr>
      <w:spacing w:after="200" w:line="276" w:lineRule="auto"/>
      <w:ind w:firstLine="420" w:firstLineChars="200"/>
    </w:pPr>
  </w:style>
  <w:style w:type="paragraph" w:styleId="33">
    <w:name w:val="List Paragraph"/>
    <w:basedOn w:val="1"/>
    <w:qFormat/>
    <w:uiPriority w:val="0"/>
    <w:pPr>
      <w:ind w:firstLine="420" w:firstLineChars="200"/>
    </w:pPr>
  </w:style>
  <w:style w:type="paragraph" w:customStyle="1" w:styleId="34">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35">
    <w:name w:val="自正01"/>
    <w:basedOn w:val="1"/>
    <w:qFormat/>
    <w:uiPriority w:val="0"/>
    <w:pPr>
      <w:spacing w:line="360" w:lineRule="auto"/>
      <w:ind w:firstLine="200" w:firstLineChars="200"/>
    </w:pPr>
    <w:rPr>
      <w:rFonts w:ascii="宋体" w:hAnsi="宋体" w:cs="微软雅黑"/>
      <w:sz w:val="24"/>
      <w:szCs w:val="24"/>
    </w:rPr>
  </w:style>
  <w:style w:type="paragraph" w:customStyle="1" w:styleId="36">
    <w:name w:val="纯文本11"/>
    <w:basedOn w:val="1"/>
    <w:qFormat/>
    <w:uiPriority w:val="0"/>
    <w:rPr>
      <w:rFonts w:ascii="宋体" w:hAnsi="Courier New"/>
      <w:szCs w:val="20"/>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8">
    <w:name w:val="p0"/>
    <w:basedOn w:val="1"/>
    <w:qFormat/>
    <w:uiPriority w:val="0"/>
    <w:rPr>
      <w:rFonts w:ascii="@MS PMincho" w:hAnsi="@MS PMincho"/>
    </w:rPr>
  </w:style>
  <w:style w:type="paragraph" w:customStyle="1" w:styleId="39">
    <w:name w:val="Body Text 21"/>
    <w:basedOn w:val="1"/>
    <w:qFormat/>
    <w:uiPriority w:val="0"/>
    <w:pPr>
      <w:spacing w:line="500" w:lineRule="exact"/>
    </w:pPr>
    <w:rPr>
      <w:color w:val="000000"/>
      <w:sz w:val="30"/>
      <w:szCs w:val="24"/>
    </w:rPr>
  </w:style>
  <w:style w:type="paragraph" w:customStyle="1" w:styleId="40">
    <w:name w:val="Table Text"/>
    <w:basedOn w:val="1"/>
    <w:semiHidden/>
    <w:qFormat/>
    <w:uiPriority w:val="0"/>
    <w:pPr>
      <w:kinsoku w:val="0"/>
      <w:autoSpaceDE w:val="0"/>
      <w:autoSpaceDN w:val="0"/>
      <w:adjustRightInd w:val="0"/>
      <w:snapToGrid w:val="0"/>
      <w:textAlignment w:val="baseline"/>
    </w:pPr>
    <w:rPr>
      <w:rFonts w:ascii="宋体" w:hAnsi="宋体" w:cs="宋体"/>
      <w:snapToGrid w:val="0"/>
      <w:color w:val="000000"/>
      <w:lang w:eastAsia="en-US"/>
    </w:rPr>
  </w:style>
  <w:style w:type="paragraph" w:customStyle="1" w:styleId="41">
    <w:name w:val="BodyText"/>
    <w:basedOn w:val="1"/>
    <w:qFormat/>
    <w:uiPriority w:val="0"/>
    <w:pPr>
      <w:spacing w:after="120"/>
    </w:pPr>
  </w:style>
  <w:style w:type="character" w:customStyle="1" w:styleId="42">
    <w:name w:val="NormalCharacter"/>
    <w:semiHidden/>
    <w:qFormat/>
    <w:uiPriority w:val="0"/>
  </w:style>
  <w:style w:type="table" w:customStyle="1" w:styleId="43">
    <w:name w:val="Table Normal"/>
    <w:semiHidden/>
    <w:unhideWhenUsed/>
    <w:qFormat/>
    <w:uiPriority w:val="0"/>
    <w:tblPr>
      <w:tblCellMar>
        <w:top w:w="0" w:type="dxa"/>
        <w:left w:w="0" w:type="dxa"/>
        <w:bottom w:w="0" w:type="dxa"/>
        <w:right w:w="0" w:type="dxa"/>
      </w:tblCellMar>
    </w:tblPr>
  </w:style>
  <w:style w:type="character" w:customStyle="1" w:styleId="44">
    <w:name w:val="font112"/>
    <w:basedOn w:val="24"/>
    <w:qFormat/>
    <w:uiPriority w:val="0"/>
    <w:rPr>
      <w:rFonts w:hint="eastAsia" w:ascii="仿宋" w:hAnsi="仿宋" w:eastAsia="仿宋" w:cs="仿宋"/>
      <w:color w:val="000000"/>
      <w:sz w:val="24"/>
      <w:szCs w:val="24"/>
      <w:u w:val="none"/>
    </w:rPr>
  </w:style>
  <w:style w:type="character" w:customStyle="1" w:styleId="45">
    <w:name w:val="font81"/>
    <w:basedOn w:val="24"/>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footer" Target="footer1.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27855</Words>
  <Characters>30094</Characters>
  <Lines>402</Lines>
  <Paragraphs>113</Paragraphs>
  <TotalTime>3</TotalTime>
  <ScaleCrop>false</ScaleCrop>
  <LinksUpToDate>false</LinksUpToDate>
  <CharactersWithSpaces>30546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2024-11-12T20:59:00Z</dcterms:created>
  <dc:creator>刘朝霞</dc:creator>
  <cp:lastModifiedBy>一泓清泉</cp:lastModifiedBy>
  <cp:lastPrinted>2025-04-14T03:03:00Z</cp:lastPrinted>
  <dcterms:modified xsi:type="dcterms:W3CDTF">2025-06-04T02:28:49Z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56C9509FEC154286812A6660D88BAB40_13</vt:lpwstr>
  </property>
  <property fmtid="{D5CDD505-2E9C-101B-9397-08002B2CF9AE}" pid="4" name="KSOTemplateDocerSaveRecord">
    <vt:lpwstr>eyJoZGlkIjoiOWY2MjBiZmE2M2U0YTkxNjk0MGVjYjA4YzYwM2Q5NDciLCJ1c2VySWQiOiIyNDk1Njg3NzgifQ==</vt:lpwstr>
  </property>
</Properties>
</file>