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568268">
      <w:pPr>
        <w:widowControl w:val="0"/>
        <w:spacing w:line="360" w:lineRule="auto"/>
        <w:ind w:firstLine="482" w:firstLineChars="200"/>
        <w:rPr>
          <w:rFonts w:hint="eastAsia" w:ascii="宋体" w:hAnsi="宋体" w:eastAsia="宋体" w:cs="宋体"/>
          <w:b/>
          <w:bCs/>
          <w:sz w:val="24"/>
          <w:szCs w:val="24"/>
          <w:lang w:eastAsia="zh-CN"/>
        </w:rPr>
      </w:pPr>
      <w:r>
        <w:rPr>
          <w:rFonts w:hint="eastAsia" w:ascii="宋体" w:hAnsi="宋体" w:cs="宋体"/>
          <w:b/>
          <w:bCs/>
          <w:sz w:val="24"/>
          <w:szCs w:val="24"/>
          <w:lang w:val="en-US" w:eastAsia="zh-CN"/>
        </w:rPr>
        <w:t>一、</w:t>
      </w:r>
      <w:r>
        <w:rPr>
          <w:rFonts w:hint="eastAsia" w:ascii="宋体" w:hAnsi="宋体" w:cs="宋体"/>
          <w:b/>
          <w:bCs/>
          <w:sz w:val="24"/>
          <w:szCs w:val="24"/>
        </w:rPr>
        <w:t>服务</w:t>
      </w:r>
      <w:r>
        <w:rPr>
          <w:rFonts w:hint="eastAsia" w:ascii="宋体" w:hAnsi="宋体" w:cs="宋体"/>
          <w:b/>
          <w:bCs/>
          <w:sz w:val="24"/>
          <w:szCs w:val="24"/>
          <w:lang w:eastAsia="zh-CN"/>
        </w:rPr>
        <w:t>内容</w:t>
      </w:r>
    </w:p>
    <w:p w14:paraId="3E025729">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一</w:t>
      </w:r>
      <w:r>
        <w:rPr>
          <w:rFonts w:hint="eastAsia" w:ascii="宋体" w:hAnsi="宋体" w:cs="宋体"/>
          <w:sz w:val="24"/>
          <w:szCs w:val="24"/>
          <w:lang w:eastAsia="zh-CN"/>
        </w:rPr>
        <w:t>）</w:t>
      </w:r>
      <w:r>
        <w:rPr>
          <w:rFonts w:hint="eastAsia" w:ascii="宋体" w:hAnsi="宋体" w:cs="宋体"/>
          <w:sz w:val="24"/>
          <w:szCs w:val="24"/>
        </w:rPr>
        <w:t>负责经开区洛羊街道办事处行政区域范围内甲方委托的道路清扫保洁，生活垃圾清运、公厕管养、环卫设施清洗维护、代收生活垃圾费、环卫应急、数字案件、媒体曝光案件等环卫相关工作。总面积</w:t>
      </w:r>
      <w:r>
        <w:rPr>
          <w:rFonts w:hint="eastAsia" w:ascii="宋体" w:hAnsi="宋体" w:cs="宋体"/>
          <w:sz w:val="24"/>
          <w:szCs w:val="24"/>
          <w:lang w:val="en-US" w:eastAsia="zh-CN"/>
        </w:rPr>
        <w:t>约</w:t>
      </w:r>
      <w:r>
        <w:rPr>
          <w:rFonts w:hint="eastAsia" w:ascii="宋体" w:hAnsi="宋体" w:cs="宋体"/>
          <w:sz w:val="24"/>
          <w:szCs w:val="24"/>
        </w:rPr>
        <w:t>为</w:t>
      </w:r>
      <w:r>
        <w:rPr>
          <w:rFonts w:hint="eastAsia" w:ascii="宋体" w:hAnsi="宋体" w:cs="宋体"/>
          <w:sz w:val="24"/>
          <w:szCs w:val="24"/>
          <w:u w:val="none"/>
          <w:lang w:val="en-US" w:eastAsia="zh-CN"/>
        </w:rPr>
        <w:t>230万</w:t>
      </w:r>
      <w:r>
        <w:rPr>
          <w:rFonts w:hint="eastAsia" w:ascii="宋体" w:hAnsi="宋体" w:cs="宋体"/>
          <w:sz w:val="24"/>
          <w:szCs w:val="24"/>
          <w:lang w:val="en-US" w:eastAsia="zh-CN"/>
        </w:rPr>
        <w:t>平方米</w:t>
      </w:r>
      <w:r>
        <w:rPr>
          <w:rFonts w:hint="eastAsia" w:ascii="宋体" w:hAnsi="宋体" w:cs="宋体"/>
          <w:sz w:val="24"/>
          <w:szCs w:val="24"/>
        </w:rPr>
        <w:t>(调增或调减保洁面积根据主合同要求另签补充协议),道路包括：机动车道、非机动车道、人行道、</w:t>
      </w:r>
      <w:r>
        <w:rPr>
          <w:rFonts w:hint="eastAsia" w:ascii="宋体" w:hAnsi="宋体" w:cs="宋体"/>
          <w:sz w:val="24"/>
          <w:szCs w:val="24"/>
          <w:lang w:eastAsia="zh-CN"/>
        </w:rPr>
        <w:t>护栏（含</w:t>
      </w:r>
      <w:r>
        <w:rPr>
          <w:rFonts w:hint="eastAsia" w:ascii="宋体" w:hAnsi="宋体" w:cs="宋体"/>
          <w:sz w:val="24"/>
          <w:szCs w:val="24"/>
        </w:rPr>
        <w:t>交通隔离栏</w:t>
      </w:r>
      <w:r>
        <w:rPr>
          <w:rFonts w:hint="eastAsia" w:ascii="宋体" w:hAnsi="宋体" w:cs="宋体"/>
          <w:sz w:val="24"/>
          <w:szCs w:val="24"/>
          <w:lang w:val="en-US" w:eastAsia="zh-CN"/>
        </w:rPr>
        <w:t>/墩/桶</w:t>
      </w:r>
      <w:r>
        <w:rPr>
          <w:rFonts w:hint="eastAsia" w:ascii="宋体" w:hAnsi="宋体" w:cs="宋体"/>
          <w:sz w:val="24"/>
          <w:szCs w:val="24"/>
          <w:lang w:eastAsia="zh-CN"/>
        </w:rPr>
        <w:t>）</w:t>
      </w:r>
      <w:r>
        <w:rPr>
          <w:rFonts w:hint="eastAsia" w:ascii="宋体" w:hAnsi="宋体" w:cs="宋体"/>
          <w:sz w:val="24"/>
          <w:szCs w:val="24"/>
        </w:rPr>
        <w:t>、绿化带、辅道等公共区域。根据省市相关规定，结合实际情况，经开区洛羊街道办事处道路清扫保洁分为四个等级。道路清扫保洁根据道路所在地段保洁标准的要求分为一级、二级、三级、四级等项目。</w:t>
      </w:r>
    </w:p>
    <w:p w14:paraId="78A9027F">
      <w:pPr>
        <w:widowControl w:val="0"/>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主干道道路清扫保洁</w:t>
      </w:r>
    </w:p>
    <w:p w14:paraId="08F99687">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一级道路清扫保洁为6条：鸿运大道、呈荣大道、春漫大道延长线、石龙路、碧潭街、景明北路，面积为560507.36m²。</w:t>
      </w:r>
    </w:p>
    <w:p w14:paraId="10809844">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cs="宋体"/>
          <w:sz w:val="24"/>
          <w:szCs w:val="24"/>
        </w:rPr>
        <w:t>二级道路清扫保洁为12条：呈运大道、林溪路南延线、洛旺路、老昆石路、联运达到、黄土坡A8线、望哨路、迎曦街、拓翔路（南）、纳源路、拓翔路（北）、民旺路，面积为505398.56m²。</w:t>
      </w:r>
    </w:p>
    <w:p w14:paraId="5178778C">
      <w:pPr>
        <w:widowControl w:val="0"/>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rPr>
        <w:t>三级道路清扫保洁为18条：彩龙街、鸿福路、丹祥街、红枫路、民旺路西侧平行道路、凌源路-民旺路西侧道路、云霞路、秋锦路、跑王线、果林路、信义路、凌源路1、凌源路2、王沥段、鸿运大道下穿隧道、云犁路、金线路、梓桐路</w:t>
      </w:r>
      <w:r>
        <w:rPr>
          <w:rFonts w:hint="eastAsia" w:ascii="宋体" w:hAnsi="宋体" w:cs="宋体"/>
          <w:sz w:val="24"/>
          <w:szCs w:val="24"/>
          <w:lang w:eastAsia="zh-CN"/>
        </w:rPr>
        <w:t>。</w:t>
      </w:r>
    </w:p>
    <w:p w14:paraId="1079C676">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cs="宋体"/>
          <w:sz w:val="24"/>
          <w:szCs w:val="24"/>
        </w:rPr>
        <w:t>四级道路清扫保洁为30条(机械)：143号路、139号路、倪大段、物畅街、鸿翔路、石牛路、营盘路（呈东路）、溪谷路、牧云路、承瑞街、丰硕路、大冲9号路（云景路）、倪家营小学侧门、麦地路、杏园路、润泽街、秋锦路东延长线、园景路、晨光路、碧潭街经开三小背后、常山路、瑞祥路、白桥路、小石牛山、和悦街、37号路、鸿运大道至彩龙街、彩龙街-水电十四局仓库、彩龙街-铁路西货场北门、国家粮食储备局段，面积为：369992.72m²。</w:t>
      </w:r>
    </w:p>
    <w:p w14:paraId="571194B9">
      <w:pPr>
        <w:widowControl w:val="0"/>
        <w:tabs>
          <w:tab w:val="left" w:pos="426"/>
        </w:tabs>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w:t>
      </w:r>
      <w:r>
        <w:rPr>
          <w:rFonts w:hint="eastAsia" w:ascii="宋体" w:hAnsi="宋体" w:cs="宋体"/>
          <w:sz w:val="24"/>
          <w:szCs w:val="24"/>
        </w:rPr>
        <w:t>四级道路清扫保洁为6条(人工)：048乡道（拥政路）、石龙路至气象站、铁路大修厂段、驿通路、春韶路、王家营立交桥下013乡道，面积为：34857.51m²。</w:t>
      </w:r>
    </w:p>
    <w:p w14:paraId="4A4D09C7">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lang w:eastAsia="zh-CN"/>
        </w:rPr>
        <w:t>）</w:t>
      </w:r>
      <w:r>
        <w:rPr>
          <w:rFonts w:hint="eastAsia" w:ascii="宋体" w:hAnsi="宋体" w:cs="宋体"/>
          <w:sz w:val="24"/>
          <w:szCs w:val="24"/>
        </w:rPr>
        <w:t>非机动车道保洁面积为：199954.07m²。</w:t>
      </w:r>
    </w:p>
    <w:p w14:paraId="6A4A15BE">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cs="宋体"/>
          <w:sz w:val="24"/>
          <w:szCs w:val="24"/>
          <w:lang w:eastAsia="zh-CN"/>
        </w:rPr>
        <w:t>）</w:t>
      </w:r>
      <w:r>
        <w:rPr>
          <w:rFonts w:hint="eastAsia" w:ascii="宋体" w:hAnsi="宋体" w:cs="宋体"/>
          <w:sz w:val="24"/>
          <w:szCs w:val="24"/>
        </w:rPr>
        <w:t>绿化带保洁面积为：334079.39m²</w:t>
      </w:r>
    </w:p>
    <w:p w14:paraId="50826496">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8</w:t>
      </w:r>
      <w:r>
        <w:rPr>
          <w:rFonts w:hint="eastAsia" w:ascii="宋体" w:hAnsi="宋体" w:cs="宋体"/>
          <w:sz w:val="24"/>
          <w:szCs w:val="24"/>
          <w:lang w:eastAsia="zh-CN"/>
        </w:rPr>
        <w:t>）</w:t>
      </w:r>
      <w:r>
        <w:rPr>
          <w:rFonts w:hint="eastAsia" w:ascii="宋体" w:hAnsi="宋体" w:cs="宋体"/>
          <w:sz w:val="24"/>
          <w:szCs w:val="24"/>
        </w:rPr>
        <w:t>昆河铁路洛羊段</w:t>
      </w:r>
      <w:r>
        <w:rPr>
          <w:rFonts w:hint="eastAsia" w:ascii="宋体" w:hAnsi="宋体" w:cs="宋体"/>
          <w:sz w:val="24"/>
          <w:szCs w:val="24"/>
          <w:lang w:eastAsia="zh-CN"/>
        </w:rPr>
        <w:t>约</w:t>
      </w:r>
      <w:r>
        <w:rPr>
          <w:rFonts w:hint="eastAsia" w:ascii="宋体" w:hAnsi="宋体" w:cs="宋体"/>
          <w:sz w:val="24"/>
          <w:szCs w:val="24"/>
          <w:lang w:val="en-US" w:eastAsia="zh-CN"/>
        </w:rPr>
        <w:t>9km</w:t>
      </w:r>
      <w:r>
        <w:rPr>
          <w:rFonts w:hint="eastAsia" w:ascii="宋体" w:hAnsi="宋体" w:cs="宋体"/>
          <w:sz w:val="24"/>
          <w:szCs w:val="24"/>
        </w:rPr>
        <w:t>。</w:t>
      </w:r>
    </w:p>
    <w:p w14:paraId="2517812E">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公厕管理10座：云霞路与拓翔路交叉口公厕、信义路与拓翔路交叉口公厕、鸿运大道与呈荣大道交叉口公厕、拓翔路与老昆石路交叉口公厕、拓翔路东冲顶公厕、景明北路与鸿翔路交叉口公厕、景明北路小商品后门段公厕、景明北路华都检测旁公厕、鸿福路与洛旺路丁字路口公厕、金线路与呈黄路辅道交叉口公厕。</w:t>
      </w:r>
    </w:p>
    <w:p w14:paraId="27E69A84">
      <w:pPr>
        <w:widowControl w:val="0"/>
        <w:numPr>
          <w:ilvl w:val="0"/>
          <w:numId w:val="0"/>
        </w:numPr>
        <w:spacing w:line="360" w:lineRule="auto"/>
        <w:ind w:firstLine="480" w:firstLineChars="200"/>
        <w:rPr>
          <w:rFonts w:hint="eastAsia" w:ascii="宋体" w:hAnsi="宋体" w:cs="宋体"/>
          <w:sz w:val="24"/>
          <w:szCs w:val="24"/>
        </w:rPr>
      </w:pPr>
      <w:r>
        <w:rPr>
          <w:rFonts w:hint="eastAsia" w:ascii="宋体" w:hAnsi="宋体" w:cs="宋体"/>
          <w:kern w:val="0"/>
          <w:sz w:val="24"/>
          <w:szCs w:val="24"/>
          <w:lang w:val="en-US" w:eastAsia="zh-CN" w:bidi="ar-SA"/>
        </w:rPr>
        <w:t>3、</w:t>
      </w:r>
      <w:r>
        <w:rPr>
          <w:rFonts w:hint="eastAsia" w:ascii="宋体" w:hAnsi="宋体" w:cs="宋体"/>
          <w:sz w:val="24"/>
          <w:szCs w:val="24"/>
        </w:rPr>
        <w:t>所有道路沿线公共区域内和两侧墙体、围挡及构筑物的小广告清除工作。</w:t>
      </w:r>
    </w:p>
    <w:p w14:paraId="7C7059A2">
      <w:pPr>
        <w:widowControl w:val="0"/>
        <w:numPr>
          <w:ilvl w:val="0"/>
          <w:numId w:val="0"/>
        </w:numPr>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甲方根据实</w:t>
      </w:r>
      <w:r>
        <w:rPr>
          <w:rFonts w:hint="eastAsia" w:ascii="宋体" w:hAnsi="宋体" w:cs="宋体"/>
          <w:sz w:val="24"/>
          <w:szCs w:val="24"/>
          <w:lang w:eastAsia="zh-CN"/>
        </w:rPr>
        <w:t>际需求，对以上服务内容进行调增或调减，具体以甲方指令为准。</w:t>
      </w:r>
    </w:p>
    <w:p w14:paraId="793C2465">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二</w:t>
      </w:r>
      <w:r>
        <w:rPr>
          <w:rFonts w:hint="eastAsia" w:ascii="宋体" w:hAnsi="宋体" w:cs="宋体"/>
          <w:sz w:val="24"/>
          <w:szCs w:val="24"/>
          <w:lang w:eastAsia="zh-CN"/>
        </w:rPr>
        <w:t>）</w:t>
      </w:r>
      <w:r>
        <w:rPr>
          <w:rFonts w:hint="eastAsia" w:ascii="宋体" w:hAnsi="宋体" w:cs="宋体"/>
          <w:sz w:val="24"/>
          <w:szCs w:val="24"/>
        </w:rPr>
        <w:t>乙方负责经开区洛羊街道办事处范围内的机关、企(事)业单位、沿街商户、公共道路等区域的垃圾清运工作(垃圾处置费由甲方承担)。</w:t>
      </w:r>
    </w:p>
    <w:p w14:paraId="4E6CECF2">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三</w:t>
      </w:r>
      <w:r>
        <w:rPr>
          <w:rFonts w:hint="eastAsia" w:ascii="宋体" w:hAnsi="宋体" w:cs="宋体"/>
          <w:sz w:val="24"/>
          <w:szCs w:val="24"/>
          <w:lang w:eastAsia="zh-CN"/>
        </w:rPr>
        <w:t>）</w:t>
      </w:r>
      <w:r>
        <w:rPr>
          <w:rFonts w:hint="eastAsia" w:ascii="宋体" w:hAnsi="宋体" w:cs="宋体"/>
          <w:sz w:val="24"/>
          <w:szCs w:val="24"/>
        </w:rPr>
        <w:t>乙方负责重大活动保障及突发事件(如渣土、油污等意外泼洒路面)的突击性道路清扫保洁工作，若当场抓到肇事方，清理费用由肇事方承担。</w:t>
      </w:r>
    </w:p>
    <w:p w14:paraId="485A1203">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四</w:t>
      </w:r>
      <w:r>
        <w:rPr>
          <w:rFonts w:hint="eastAsia" w:ascii="宋体" w:hAnsi="宋体" w:cs="宋体"/>
          <w:sz w:val="24"/>
          <w:szCs w:val="24"/>
          <w:lang w:eastAsia="zh-CN"/>
        </w:rPr>
        <w:t>）</w:t>
      </w:r>
      <w:r>
        <w:rPr>
          <w:rFonts w:hint="eastAsia" w:ascii="宋体" w:hAnsi="宋体" w:cs="宋体"/>
          <w:sz w:val="24"/>
          <w:szCs w:val="24"/>
        </w:rPr>
        <w:t>乙方负责果皮箱、垃圾房（收集点）、勾臂箱、环卫车辆、中转站等环卫设施的清洗、清掏、维护、维修。</w:t>
      </w:r>
    </w:p>
    <w:p w14:paraId="51B63498">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五</w:t>
      </w:r>
      <w:r>
        <w:rPr>
          <w:rFonts w:hint="eastAsia" w:ascii="宋体" w:hAnsi="宋体" w:cs="宋体"/>
          <w:sz w:val="24"/>
          <w:szCs w:val="24"/>
          <w:lang w:eastAsia="zh-CN"/>
        </w:rPr>
        <w:t>）</w:t>
      </w:r>
      <w:r>
        <w:rPr>
          <w:rFonts w:hint="eastAsia" w:ascii="宋体" w:hAnsi="宋体" w:cs="宋体"/>
          <w:sz w:val="24"/>
          <w:szCs w:val="24"/>
        </w:rPr>
        <w:t>乙方负责对媒体曝光、卫生死角、数字案件以及上级通报的整改事项进行处置。</w:t>
      </w:r>
    </w:p>
    <w:p w14:paraId="2313E070">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六</w:t>
      </w:r>
      <w:r>
        <w:rPr>
          <w:rFonts w:hint="eastAsia" w:ascii="宋体" w:hAnsi="宋体" w:cs="宋体"/>
          <w:sz w:val="24"/>
          <w:szCs w:val="24"/>
          <w:lang w:eastAsia="zh-CN"/>
        </w:rPr>
        <w:t>）</w:t>
      </w:r>
      <w:r>
        <w:rPr>
          <w:rFonts w:hint="eastAsia" w:ascii="宋体" w:hAnsi="宋体" w:cs="宋体"/>
          <w:sz w:val="24"/>
          <w:szCs w:val="24"/>
        </w:rPr>
        <w:t>负责核定服务范围内的机关、企(事)业单位、沿街商户的生活垃圾量，无偿为甲方代收服务范围内未纳入水捆绑的生活垃圾处理费。</w:t>
      </w:r>
    </w:p>
    <w:p w14:paraId="68F512B6">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七</w:t>
      </w:r>
      <w:r>
        <w:rPr>
          <w:rFonts w:hint="eastAsia" w:ascii="宋体" w:hAnsi="宋体" w:cs="宋体"/>
          <w:sz w:val="24"/>
          <w:szCs w:val="24"/>
          <w:lang w:eastAsia="zh-CN"/>
        </w:rPr>
        <w:t>）</w:t>
      </w:r>
      <w:r>
        <w:rPr>
          <w:rFonts w:hint="eastAsia" w:ascii="宋体" w:hAnsi="宋体" w:cs="宋体"/>
          <w:sz w:val="24"/>
          <w:szCs w:val="24"/>
          <w:lang w:val="en-US" w:eastAsia="zh-CN"/>
        </w:rPr>
        <w:t>乙方环卫作业车辆须</w:t>
      </w:r>
      <w:r>
        <w:rPr>
          <w:rFonts w:hint="eastAsia" w:ascii="宋体" w:hAnsi="宋体" w:cs="宋体"/>
          <w:sz w:val="24"/>
          <w:szCs w:val="24"/>
        </w:rPr>
        <w:t>自行租赁</w:t>
      </w:r>
      <w:r>
        <w:rPr>
          <w:rFonts w:hint="eastAsia" w:ascii="宋体" w:hAnsi="宋体" w:cs="宋体"/>
          <w:sz w:val="24"/>
          <w:szCs w:val="24"/>
          <w:lang w:val="en-US" w:eastAsia="zh-CN"/>
        </w:rPr>
        <w:t>停车场，</w:t>
      </w:r>
      <w:r>
        <w:rPr>
          <w:rFonts w:hint="eastAsia" w:ascii="宋体" w:hAnsi="宋体" w:cs="宋体"/>
          <w:sz w:val="24"/>
          <w:szCs w:val="24"/>
        </w:rPr>
        <w:t>相</w:t>
      </w:r>
      <w:r>
        <w:rPr>
          <w:rFonts w:hint="eastAsia" w:ascii="宋体" w:hAnsi="宋体" w:cs="宋体"/>
          <w:sz w:val="24"/>
          <w:szCs w:val="24"/>
          <w:lang w:val="en-US" w:eastAsia="zh-CN"/>
        </w:rPr>
        <w:t>关</w:t>
      </w:r>
      <w:r>
        <w:rPr>
          <w:rFonts w:hint="eastAsia" w:ascii="宋体" w:hAnsi="宋体" w:cs="宋体"/>
          <w:sz w:val="24"/>
          <w:szCs w:val="24"/>
        </w:rPr>
        <w:t>租赁费用由乙方自行承担。</w:t>
      </w:r>
    </w:p>
    <w:p w14:paraId="0160EFF3">
      <w:pPr>
        <w:widowControl w:val="0"/>
        <w:spacing w:line="36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八</w:t>
      </w:r>
      <w:r>
        <w:rPr>
          <w:rFonts w:hint="eastAsia" w:ascii="宋体" w:hAnsi="宋体" w:cs="宋体"/>
          <w:sz w:val="24"/>
          <w:szCs w:val="24"/>
          <w:lang w:eastAsia="zh-CN"/>
        </w:rPr>
        <w:t>）</w:t>
      </w:r>
      <w:r>
        <w:rPr>
          <w:rFonts w:hint="eastAsia" w:ascii="宋体" w:hAnsi="宋体" w:cs="宋体"/>
          <w:sz w:val="24"/>
          <w:szCs w:val="24"/>
        </w:rPr>
        <w:t>乙方负责处置甲方交办的其他环卫工作。</w:t>
      </w:r>
    </w:p>
    <w:p w14:paraId="23EB80A3">
      <w:pPr>
        <w:widowControl w:val="0"/>
        <w:spacing w:line="360" w:lineRule="auto"/>
        <w:ind w:firstLine="482" w:firstLineChars="200"/>
        <w:rPr>
          <w:rFonts w:ascii="宋体" w:hAnsi="宋体" w:cs="宋体"/>
          <w:b/>
          <w:bCs/>
          <w:sz w:val="24"/>
          <w:szCs w:val="24"/>
        </w:rPr>
      </w:pPr>
      <w:r>
        <w:rPr>
          <w:rFonts w:hint="eastAsia" w:ascii="宋体" w:hAnsi="宋体" w:cs="宋体"/>
          <w:b/>
          <w:bCs/>
          <w:sz w:val="24"/>
          <w:szCs w:val="24"/>
          <w:lang w:val="en-US" w:eastAsia="zh-CN"/>
        </w:rPr>
        <w:t>二、</w:t>
      </w:r>
      <w:r>
        <w:rPr>
          <w:rFonts w:hint="eastAsia" w:ascii="宋体" w:hAnsi="宋体" w:cs="宋体"/>
          <w:b/>
          <w:bCs/>
          <w:sz w:val="24"/>
          <w:szCs w:val="24"/>
        </w:rPr>
        <w:t>服务质量(标准)及要求</w:t>
      </w:r>
    </w:p>
    <w:p w14:paraId="7F1A420F">
      <w:pPr>
        <w:widowControl w:val="0"/>
        <w:spacing w:line="360" w:lineRule="auto"/>
        <w:ind w:firstLine="480" w:firstLineChars="200"/>
        <w:rPr>
          <w:rFonts w:ascii="宋体" w:hAnsi="宋体" w:cs="宋体"/>
          <w:sz w:val="24"/>
          <w:szCs w:val="24"/>
        </w:rPr>
      </w:pPr>
      <w:r>
        <w:rPr>
          <w:rFonts w:hint="eastAsia" w:ascii="宋体" w:hAnsi="宋体" w:cs="宋体"/>
          <w:sz w:val="24"/>
          <w:szCs w:val="24"/>
        </w:rPr>
        <w:t>满足</w:t>
      </w:r>
      <w:r>
        <w:rPr>
          <w:rFonts w:hint="eastAsia" w:ascii="宋体" w:hAnsi="宋体" w:cs="宋体"/>
          <w:sz w:val="24"/>
          <w:szCs w:val="24"/>
          <w:highlight w:val="none"/>
          <w:lang w:eastAsia="zh-CN"/>
        </w:rPr>
        <w:t>《</w:t>
      </w:r>
      <w:r>
        <w:rPr>
          <w:rFonts w:hint="eastAsia" w:ascii="宋体" w:hAnsi="宋体" w:cs="宋体"/>
          <w:sz w:val="24"/>
          <w:szCs w:val="24"/>
          <w:highlight w:val="none"/>
        </w:rPr>
        <w:t>昆明市关于加强环境卫生管理工作的实施意见</w:t>
      </w:r>
      <w:r>
        <w:rPr>
          <w:rFonts w:hint="eastAsia" w:ascii="宋体" w:hAnsi="宋体" w:cs="宋体"/>
          <w:sz w:val="24"/>
          <w:szCs w:val="24"/>
          <w:highlight w:val="none"/>
          <w:lang w:eastAsia="zh-CN"/>
        </w:rPr>
        <w:t>》</w:t>
      </w:r>
      <w:r>
        <w:rPr>
          <w:rFonts w:hint="eastAsia" w:ascii="宋体" w:hAnsi="宋体" w:cs="宋体"/>
          <w:sz w:val="24"/>
          <w:szCs w:val="24"/>
        </w:rPr>
        <w:t>《昆明市环境卫生作业规范》《昆明市环境卫生清扫保洁质量标准》《昆明市环卫生作业规范及质量标准》《云南省城镇公共厕所管理办法》要求。</w:t>
      </w:r>
    </w:p>
    <w:p w14:paraId="322EF743">
      <w:pPr>
        <w:widowControl w:val="0"/>
        <w:spacing w:line="360" w:lineRule="auto"/>
        <w:ind w:firstLine="480" w:firstLineChars="200"/>
        <w:rPr>
          <w:rFonts w:ascii="宋体" w:hAnsi="宋体" w:cs="宋体"/>
          <w:sz w:val="24"/>
          <w:szCs w:val="24"/>
        </w:rPr>
      </w:pPr>
      <w:r>
        <w:rPr>
          <w:rFonts w:hint="eastAsia" w:ascii="宋体" w:hAnsi="宋体" w:cs="宋体"/>
          <w:sz w:val="24"/>
          <w:szCs w:val="24"/>
        </w:rPr>
        <w:t>（一）具备清扫200万平方米保洁面积及以上服务能力和每日产生的垃圾百分百清运能力。</w:t>
      </w:r>
    </w:p>
    <w:p w14:paraId="11A78029">
      <w:pPr>
        <w:widowControl w:val="0"/>
        <w:spacing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（二）一、二级道路每6000平方米配备保洁人员一人，三、四级道路每8000平方米配备保洁人员一人，机械化作业达到90%以上。</w:t>
      </w:r>
    </w:p>
    <w:p w14:paraId="1EC40BA5">
      <w:pPr>
        <w:widowControl w:val="0"/>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（三）本项目日常服务车辆配置须达到以下最低要求</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环卫作业机动车辆40辆及以上。其中重型垃圾压缩车8辆(配备的生活垃圾清运车须满足日产不少于170吨的垃圾日清运能力)，重型洗扫车4辆、重型高压冲洗车6辆、轻型高压冲洗车4辆、轻型</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或重型</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钩臂车8辆、重型雾炮车1辆、中型吸粪车1辆、中型护栏清洗车1辆，上述车辆须满足本</w:t>
      </w:r>
      <w:r>
        <w:rPr>
          <w:rFonts w:hint="eastAsia" w:ascii="宋体" w:hAnsi="宋体" w:cs="宋体"/>
          <w:color w:val="000000"/>
          <w:sz w:val="24"/>
          <w:szCs w:val="24"/>
          <w:highlight w:val="none"/>
          <w:lang w:val="en-US" w:eastAsia="zh-CN"/>
        </w:rPr>
        <w:t>项目</w:t>
      </w:r>
      <w:r>
        <w:rPr>
          <w:rFonts w:hint="eastAsia" w:ascii="宋体" w:hAnsi="宋体" w:cs="宋体"/>
          <w:color w:val="000000"/>
          <w:sz w:val="24"/>
          <w:szCs w:val="24"/>
          <w:highlight w:val="none"/>
        </w:rPr>
        <w:t>不少于66条道路，约170万平方米的道路机械清扫保洁作业能力，维保、巡查、应急作业车1辆(小型货车)，环卫清洁电动三轮车(快保车)6辆。且以上所有设备必须装有PS定位监控，未经招标人允许以上车辆不得驶离本项目范围</w:t>
      </w:r>
      <w:r>
        <w:rPr>
          <w:rFonts w:hint="eastAsia" w:ascii="宋体" w:hAnsi="宋体" w:cs="宋体"/>
          <w:color w:val="000000"/>
          <w:sz w:val="24"/>
          <w:szCs w:val="24"/>
          <w:highlight w:val="none"/>
          <w:lang w:eastAsia="zh-CN"/>
        </w:rPr>
        <w:t>。</w:t>
      </w:r>
    </w:p>
    <w:p w14:paraId="1777438A">
      <w:pPr>
        <w:widowControl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highlight w:val="none"/>
        </w:rPr>
        <w:t>在本项目服务期内必须保障车辆正常运行，出现车辆老旧损坏的或不符合项目使用需求的，必须及时更换和补充车辆，达到工作作业标准。</w:t>
      </w:r>
    </w:p>
    <w:p w14:paraId="76AB08F5">
      <w:pPr>
        <w:widowControl w:val="0"/>
        <w:spacing w:line="360" w:lineRule="auto"/>
        <w:ind w:firstLine="480" w:firstLineChars="200"/>
        <w:rPr>
          <w:rFonts w:ascii="宋体" w:hAnsi="宋体" w:cs="宋体"/>
          <w:sz w:val="24"/>
          <w:szCs w:val="24"/>
        </w:rPr>
      </w:pPr>
      <w:r>
        <w:rPr>
          <w:rFonts w:hint="eastAsia" w:ascii="宋体" w:hAnsi="宋体" w:cs="宋体"/>
          <w:sz w:val="24"/>
          <w:szCs w:val="24"/>
        </w:rPr>
        <w:t>（四）人员</w:t>
      </w:r>
      <w:r>
        <w:rPr>
          <w:rFonts w:hint="eastAsia" w:ascii="宋体" w:hAnsi="宋体" w:cs="宋体"/>
          <w:sz w:val="24"/>
          <w:szCs w:val="24"/>
          <w:lang w:val="en-US" w:eastAsia="zh-CN"/>
        </w:rPr>
        <w:t>及相关</w:t>
      </w:r>
      <w:r>
        <w:rPr>
          <w:rFonts w:hint="eastAsia" w:ascii="宋体" w:hAnsi="宋体" w:cs="宋体"/>
          <w:sz w:val="24"/>
          <w:szCs w:val="24"/>
        </w:rPr>
        <w:t>要求：</w:t>
      </w:r>
    </w:p>
    <w:p w14:paraId="262FF4A2">
      <w:pPr>
        <w:widowControl w:val="0"/>
        <w:spacing w:line="360" w:lineRule="auto"/>
        <w:ind w:firstLine="480" w:firstLineChars="200"/>
        <w:rPr>
          <w:rFonts w:ascii="宋体" w:hAnsi="宋体" w:cs="宋体"/>
          <w:sz w:val="24"/>
          <w:szCs w:val="24"/>
        </w:rPr>
      </w:pPr>
      <w:r>
        <w:rPr>
          <w:rFonts w:hint="eastAsia" w:ascii="宋体" w:hAnsi="宋体" w:cs="宋体"/>
          <w:sz w:val="24"/>
          <w:szCs w:val="24"/>
        </w:rPr>
        <w:t>1、具备项目管理人员</w:t>
      </w:r>
      <w:r>
        <w:rPr>
          <w:rFonts w:hint="eastAsia" w:ascii="宋体" w:hAnsi="宋体" w:cs="宋体"/>
          <w:sz w:val="24"/>
          <w:szCs w:val="24"/>
          <w:lang w:val="en-US" w:eastAsia="zh-CN"/>
        </w:rPr>
        <w:t>不少于</w:t>
      </w:r>
      <w:r>
        <w:rPr>
          <w:rFonts w:hint="eastAsia" w:ascii="宋体" w:hAnsi="宋体" w:cs="宋体"/>
          <w:sz w:val="24"/>
          <w:szCs w:val="24"/>
        </w:rPr>
        <w:t>10人。</w:t>
      </w:r>
    </w:p>
    <w:p w14:paraId="475BA0E4">
      <w:pPr>
        <w:widowControl w:val="0"/>
        <w:spacing w:line="360"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2、具备相应作业车辆驾驶人员。</w:t>
      </w:r>
    </w:p>
    <w:p w14:paraId="7EA87CBD">
      <w:pPr>
        <w:widowControl w:val="0"/>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3、具备相应垃圾中转站（压缩设备）操作人员不少于3人。</w:t>
      </w:r>
    </w:p>
    <w:p w14:paraId="6E61CD52">
      <w:pPr>
        <w:widowControl w:val="0"/>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、应急队伍</w:t>
      </w:r>
      <w:r>
        <w:rPr>
          <w:rFonts w:hint="eastAsia" w:ascii="宋体" w:hAnsi="宋体" w:cs="宋体"/>
          <w:sz w:val="24"/>
          <w:szCs w:val="24"/>
          <w:lang w:val="en-US" w:eastAsia="zh-CN"/>
        </w:rPr>
        <w:t>不少于</w:t>
      </w:r>
      <w:r>
        <w:rPr>
          <w:rFonts w:hint="eastAsia" w:ascii="宋体" w:hAnsi="宋体" w:cs="宋体"/>
          <w:sz w:val="24"/>
          <w:szCs w:val="24"/>
        </w:rPr>
        <w:t>20人。</w:t>
      </w:r>
    </w:p>
    <w:p w14:paraId="256C79CF">
      <w:pPr>
        <w:widowControl w:val="0"/>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、乙方必须无条件接收甲方安排的残疾人、困难户人员就业</w:t>
      </w:r>
      <w:r>
        <w:rPr>
          <w:rFonts w:hint="eastAsia" w:ascii="宋体" w:hAnsi="宋体" w:cs="宋体"/>
          <w:sz w:val="24"/>
          <w:szCs w:val="24"/>
          <w:lang w:val="en-US" w:eastAsia="zh-CN"/>
        </w:rPr>
        <w:t>不少于</w:t>
      </w:r>
      <w:r>
        <w:rPr>
          <w:rFonts w:hint="eastAsia" w:ascii="宋体" w:hAnsi="宋体" w:cs="宋体"/>
          <w:sz w:val="24"/>
          <w:szCs w:val="24"/>
        </w:rPr>
        <w:t>20人。</w:t>
      </w:r>
    </w:p>
    <w:p w14:paraId="04E446A5">
      <w:pPr>
        <w:widowControl w:val="0"/>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、乙方必须具备承担洛羊片区环卫工人3个月以上工人工资和环卫作业费用的能力。</w:t>
      </w:r>
    </w:p>
    <w:p w14:paraId="3FECB999">
      <w:pPr>
        <w:widowControl w:val="0"/>
        <w:spacing w:line="360" w:lineRule="auto"/>
        <w:ind w:firstLine="480" w:firstLineChars="200"/>
        <w:rPr>
          <w:rFonts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、本项目一线作业环卫工人不</w:t>
      </w:r>
      <w:r>
        <w:rPr>
          <w:rFonts w:hint="eastAsia" w:ascii="宋体" w:hAnsi="宋体" w:cs="宋体"/>
          <w:sz w:val="24"/>
          <w:szCs w:val="24"/>
          <w:highlight w:val="none"/>
        </w:rPr>
        <w:t>少于</w:t>
      </w:r>
      <w:r>
        <w:rPr>
          <w:rFonts w:hint="eastAsia" w:ascii="宋体" w:hAnsi="宋体" w:cs="宋体"/>
          <w:sz w:val="24"/>
          <w:szCs w:val="24"/>
          <w:highlight w:val="none"/>
          <w:lang w:val="en-US" w:eastAsia="zh-CN"/>
        </w:rPr>
        <w:t>320</w:t>
      </w:r>
      <w:r>
        <w:rPr>
          <w:rFonts w:hint="eastAsia" w:ascii="宋体" w:hAnsi="宋体" w:cs="宋体"/>
          <w:sz w:val="24"/>
          <w:szCs w:val="24"/>
          <w:highlight w:val="none"/>
        </w:rPr>
        <w:t>人</w:t>
      </w:r>
      <w:r>
        <w:rPr>
          <w:rFonts w:hint="eastAsia" w:ascii="宋体" w:hAnsi="宋体" w:cs="宋体"/>
          <w:sz w:val="24"/>
          <w:szCs w:val="24"/>
        </w:rPr>
        <w:t>，可接收原有一线作业环卫工人，以保障经开区就业率。</w:t>
      </w:r>
    </w:p>
    <w:p w14:paraId="569A9928">
      <w:pPr>
        <w:widowControl w:val="0"/>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8</w:t>
      </w:r>
      <w:r>
        <w:rPr>
          <w:rFonts w:hint="eastAsia" w:ascii="宋体" w:hAnsi="宋体" w:cs="宋体"/>
          <w:sz w:val="24"/>
          <w:szCs w:val="24"/>
        </w:rPr>
        <w:t>、签订合同前如不按以上要求配备人员和设备属于违约，甲方有权按相关规定解除本次服务合同，另行招标。</w:t>
      </w:r>
    </w:p>
    <w:p w14:paraId="6009EBE9">
      <w:pPr>
        <w:pStyle w:val="38"/>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（五）应急响应要求：</w:t>
      </w:r>
    </w:p>
    <w:p w14:paraId="432CF092">
      <w:pPr>
        <w:pStyle w:val="38"/>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紧急情况30分钟内响应并到达现场处置完毕，如未按时响应或处置完成，造成的损失和后果等一切责任和相关费用由乙方承担。</w:t>
      </w:r>
    </w:p>
    <w:p w14:paraId="18404667">
      <w:pPr>
        <w:pStyle w:val="38"/>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一般情况2小时内响应并到达现场处置完毕，如未按时响应或处置完成，造成的损失和后果等一切责任和相关费用由乙方承担。</w:t>
      </w:r>
    </w:p>
    <w:p w14:paraId="03C95B84">
      <w:pPr>
        <w:pStyle w:val="38"/>
        <w:rPr>
          <w:rFonts w:hint="default" w:ascii="宋体" w:hAnsi="宋体" w:cs="宋体"/>
          <w:b/>
          <w:bCs/>
          <w:sz w:val="24"/>
          <w:szCs w:val="24"/>
          <w:highlight w:val="none"/>
          <w:lang w:val="en-US" w:eastAsia="zh-CN"/>
        </w:rPr>
      </w:pPr>
    </w:p>
    <w:p w14:paraId="11CA9BEA">
      <w:pPr>
        <w:rPr>
          <w:rFonts w:hint="eastAsia" w:ascii="宋体" w:hAnsi="宋体" w:cs="宋体"/>
          <w:b/>
          <w:bCs/>
          <w:sz w:val="24"/>
          <w:szCs w:val="24"/>
          <w:lang w:val="en-US" w:eastAsia="zh-CN"/>
        </w:rPr>
        <w:sectPr>
          <w:headerReference r:id="rId3" w:type="default"/>
          <w:pgSz w:w="11906" w:h="16838"/>
          <w:pgMar w:top="1191" w:right="1304" w:bottom="1191" w:left="1304" w:header="720" w:footer="720" w:gutter="0"/>
          <w:pgBorders>
            <w:top w:val="none" w:sz="0" w:space="0"/>
            <w:left w:val="none" w:sz="0" w:space="0"/>
            <w:bottom w:val="none" w:sz="0" w:space="0"/>
            <w:right w:val="none" w:sz="0" w:space="0"/>
          </w:pgBorders>
          <w:pgNumType w:fmt="decimal"/>
          <w:cols w:space="720" w:num="1"/>
          <w:docGrid w:type="lines" w:linePitch="317" w:charSpace="0"/>
        </w:sectPr>
      </w:pPr>
      <w:r>
        <w:rPr>
          <w:rFonts w:hint="eastAsia" w:ascii="宋体" w:hAnsi="宋体" w:cs="宋体"/>
          <w:b/>
          <w:bCs/>
          <w:sz w:val="24"/>
          <w:szCs w:val="24"/>
          <w:lang w:val="en-US" w:eastAsia="zh-CN"/>
        </w:rPr>
        <w:br w:type="page"/>
      </w:r>
    </w:p>
    <w:p w14:paraId="551E7F73">
      <w:pPr>
        <w:pStyle w:val="38"/>
        <w:rPr>
          <w:rFonts w:hint="eastAsia" w:ascii="宋体" w:hAnsi="宋体" w:cs="宋体"/>
          <w:b/>
          <w:bCs/>
          <w:sz w:val="24"/>
          <w:szCs w:val="24"/>
          <w:lang w:val="en-US" w:eastAsia="zh-CN"/>
        </w:rPr>
      </w:pPr>
      <w:r>
        <w:rPr>
          <w:rFonts w:hint="eastAsia" w:ascii="宋体" w:hAnsi="宋体" w:cs="宋体"/>
          <w:b/>
          <w:bCs/>
          <w:sz w:val="24"/>
          <w:szCs w:val="24"/>
          <w:lang w:val="en-US" w:eastAsia="zh-CN"/>
        </w:rPr>
        <w:t>附件一：</w:t>
      </w:r>
    </w:p>
    <w:p w14:paraId="5533CAA6">
      <w:pPr>
        <w:pStyle w:val="38"/>
        <w:ind w:left="0" w:leftChars="0" w:firstLine="0" w:firstLineChars="0"/>
        <w:jc w:val="center"/>
        <w:rPr>
          <w:rFonts w:hint="default" w:ascii="宋体" w:hAnsi="宋体" w:cs="宋体"/>
          <w:b/>
          <w:bCs/>
          <w:sz w:val="28"/>
          <w:szCs w:val="28"/>
          <w:lang w:val="en-US" w:eastAsia="zh-CN"/>
        </w:rPr>
      </w:pPr>
      <w:r>
        <w:rPr>
          <w:rStyle w:val="87"/>
          <w:rFonts w:hint="eastAsia" w:ascii="宋体" w:hAnsi="宋体" w:eastAsia="宋体" w:cs="宋体"/>
          <w:b/>
          <w:bCs/>
          <w:sz w:val="28"/>
          <w:szCs w:val="28"/>
          <w:lang w:val="en-US" w:eastAsia="zh-CN" w:bidi="ar"/>
        </w:rPr>
        <w:t>服务费限价表</w:t>
      </w:r>
    </w:p>
    <w:tbl>
      <w:tblPr>
        <w:tblStyle w:val="32"/>
        <w:tblW w:w="5025" w:type="pct"/>
        <w:tblInd w:w="-7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0"/>
        <w:gridCol w:w="2194"/>
        <w:gridCol w:w="715"/>
        <w:gridCol w:w="1339"/>
        <w:gridCol w:w="1223"/>
        <w:gridCol w:w="1615"/>
        <w:gridCol w:w="7050"/>
      </w:tblGrid>
      <w:tr w14:paraId="41E89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7F1672E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highlight w:val="none"/>
                <w:u w:val="none"/>
              </w:rPr>
            </w:pPr>
            <w:r>
              <w:rPr>
                <w:rStyle w:val="88"/>
                <w:rFonts w:hint="eastAsia" w:asciiTheme="minorEastAsia" w:hAnsiTheme="minorEastAsia" w:eastAsiaTheme="minorEastAsia" w:cstheme="minorEastAsia"/>
                <w:b/>
                <w:bCs/>
                <w:sz w:val="24"/>
                <w:szCs w:val="24"/>
                <w:highlight w:val="none"/>
                <w:lang w:val="en-US" w:eastAsia="zh-CN" w:bidi="ar"/>
              </w:rPr>
              <w:t>序号</w:t>
            </w:r>
          </w:p>
        </w:tc>
        <w:tc>
          <w:tcPr>
            <w:tcW w:w="743" w:type="pct"/>
            <w:tcBorders>
              <w:top w:val="single" w:color="000000" w:sz="4" w:space="0"/>
              <w:left w:val="single" w:color="000000" w:sz="4" w:space="0"/>
              <w:bottom w:val="single" w:color="000000" w:sz="4" w:space="0"/>
              <w:right w:val="single" w:color="000000" w:sz="4" w:space="0"/>
            </w:tcBorders>
            <w:noWrap/>
            <w:vAlign w:val="center"/>
          </w:tcPr>
          <w:p w14:paraId="0672AEA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highlight w:val="none"/>
                <w:u w:val="none"/>
              </w:rPr>
            </w:pPr>
            <w:r>
              <w:rPr>
                <w:rStyle w:val="88"/>
                <w:rFonts w:hint="eastAsia" w:asciiTheme="minorEastAsia" w:hAnsiTheme="minorEastAsia" w:eastAsiaTheme="minorEastAsia" w:cstheme="minorEastAsia"/>
                <w:b/>
                <w:bCs/>
                <w:sz w:val="24"/>
                <w:szCs w:val="24"/>
                <w:highlight w:val="none"/>
                <w:lang w:val="en-US" w:eastAsia="zh-CN" w:bidi="ar"/>
              </w:rPr>
              <w:t>项目</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629104F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highlight w:val="none"/>
                <w:u w:val="none"/>
              </w:rPr>
            </w:pPr>
            <w:r>
              <w:rPr>
                <w:rStyle w:val="88"/>
                <w:rFonts w:hint="eastAsia" w:asciiTheme="minorEastAsia" w:hAnsiTheme="minorEastAsia" w:eastAsiaTheme="minorEastAsia" w:cstheme="minorEastAsia"/>
                <w:b/>
                <w:bCs/>
                <w:sz w:val="24"/>
                <w:szCs w:val="24"/>
                <w:highlight w:val="none"/>
                <w:lang w:val="en-US" w:eastAsia="zh-CN" w:bidi="ar"/>
              </w:rPr>
              <w:t>单位</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3E2BD0A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highlight w:val="none"/>
                <w:u w:val="none"/>
              </w:rPr>
            </w:pPr>
            <w:r>
              <w:rPr>
                <w:rStyle w:val="88"/>
                <w:rFonts w:hint="eastAsia" w:asciiTheme="minorEastAsia" w:hAnsiTheme="minorEastAsia" w:eastAsiaTheme="minorEastAsia" w:cstheme="minorEastAsia"/>
                <w:b/>
                <w:bCs/>
                <w:sz w:val="24"/>
                <w:szCs w:val="24"/>
                <w:highlight w:val="none"/>
                <w:lang w:val="en-US" w:eastAsia="zh-CN" w:bidi="ar"/>
              </w:rPr>
              <w:t>保洁面积</w:t>
            </w:r>
          </w:p>
        </w:tc>
        <w:tc>
          <w:tcPr>
            <w:tcW w:w="414" w:type="pct"/>
            <w:tcBorders>
              <w:top w:val="single" w:color="000000" w:sz="4" w:space="0"/>
              <w:left w:val="single" w:color="000000" w:sz="4" w:space="0"/>
              <w:bottom w:val="single" w:color="000000" w:sz="4" w:space="0"/>
              <w:right w:val="single" w:color="000000" w:sz="4" w:space="0"/>
            </w:tcBorders>
            <w:noWrap w:val="0"/>
            <w:vAlign w:val="center"/>
          </w:tcPr>
          <w:p w14:paraId="3BF7E9C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单价限价（元）</w:t>
            </w:r>
          </w:p>
        </w:tc>
        <w:tc>
          <w:tcPr>
            <w:tcW w:w="547" w:type="pct"/>
            <w:tcBorders>
              <w:top w:val="single" w:color="000000" w:sz="4" w:space="0"/>
              <w:left w:val="single" w:color="000000" w:sz="4" w:space="0"/>
              <w:bottom w:val="single" w:color="000000" w:sz="4" w:space="0"/>
              <w:right w:val="single" w:color="000000" w:sz="4" w:space="0"/>
            </w:tcBorders>
            <w:noWrap w:val="0"/>
            <w:vAlign w:val="center"/>
          </w:tcPr>
          <w:p w14:paraId="39E4F6A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金额</w:t>
            </w:r>
          </w:p>
          <w:p w14:paraId="31A1068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（元/年）</w:t>
            </w:r>
          </w:p>
        </w:tc>
        <w:tc>
          <w:tcPr>
            <w:tcW w:w="2390" w:type="pct"/>
            <w:tcBorders>
              <w:top w:val="single" w:color="000000" w:sz="4" w:space="0"/>
              <w:left w:val="single" w:color="000000" w:sz="4" w:space="0"/>
              <w:bottom w:val="single" w:color="000000" w:sz="4" w:space="0"/>
              <w:right w:val="single" w:color="000000" w:sz="4" w:space="0"/>
            </w:tcBorders>
            <w:noWrap/>
            <w:vAlign w:val="center"/>
          </w:tcPr>
          <w:p w14:paraId="40E37A3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highlight w:val="none"/>
                <w:u w:val="none"/>
              </w:rPr>
            </w:pPr>
            <w:r>
              <w:rPr>
                <w:rStyle w:val="89"/>
                <w:rFonts w:hint="eastAsia" w:asciiTheme="minorEastAsia" w:hAnsiTheme="minorEastAsia" w:eastAsiaTheme="minorEastAsia" w:cstheme="minorEastAsia"/>
                <w:b/>
                <w:bCs/>
                <w:sz w:val="24"/>
                <w:szCs w:val="24"/>
                <w:highlight w:val="none"/>
                <w:lang w:val="en-US" w:eastAsia="zh-CN" w:bidi="ar"/>
              </w:rPr>
              <w:t>备注</w:t>
            </w:r>
          </w:p>
        </w:tc>
      </w:tr>
      <w:tr w14:paraId="7D98F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5B8DEA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743" w:type="pct"/>
            <w:tcBorders>
              <w:top w:val="single" w:color="000000" w:sz="4" w:space="0"/>
              <w:left w:val="single" w:color="000000" w:sz="4" w:space="0"/>
              <w:bottom w:val="single" w:color="000000" w:sz="4" w:space="0"/>
              <w:right w:val="single" w:color="000000" w:sz="4" w:space="0"/>
            </w:tcBorders>
            <w:noWrap w:val="0"/>
            <w:vAlign w:val="center"/>
          </w:tcPr>
          <w:p w14:paraId="7C76F7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一级道路清扫保洁</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2BAE86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069D6A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560507.36</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2CF960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10.50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6F6F7C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5885327.24</w:t>
            </w:r>
          </w:p>
        </w:tc>
        <w:tc>
          <w:tcPr>
            <w:tcW w:w="2390" w:type="pct"/>
            <w:vMerge w:val="restart"/>
            <w:tcBorders>
              <w:top w:val="single" w:color="000000" w:sz="4" w:space="0"/>
              <w:left w:val="single" w:color="000000" w:sz="4" w:space="0"/>
              <w:right w:val="single" w:color="000000" w:sz="4" w:space="0"/>
            </w:tcBorders>
            <w:noWrap w:val="0"/>
            <w:vAlign w:val="center"/>
          </w:tcPr>
          <w:p w14:paraId="5F0BF87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1.市政道路按一、二、三、四级等级清扫保洁作业规范标准进行清扫保洁、洒水、定期冲洗；</w:t>
            </w:r>
          </w:p>
          <w:p w14:paraId="11784FB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2.市政道路沿线果皮箱、勾臂箱、垃圾分类收集点等环卫设施的维护、保洁，生活垃圾清掏、清理、清运；</w:t>
            </w:r>
          </w:p>
          <w:p w14:paraId="13A9ECB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3.市政道路两侧边沟及雨水箅子、落水栅清理，公共设施标牌、路面、背街小巷墙面、电杆等小广告清理；</w:t>
            </w:r>
          </w:p>
          <w:p w14:paraId="4DE1285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.广场、跨河桥、天桥、交通隔离栏、护栏、扶手、栏杆及主次干道洗手设施等公共区域附属设施的清洗、清扫保洁；</w:t>
            </w:r>
          </w:p>
          <w:p w14:paraId="5C33876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t>.市政道路主次干道部分无主建筑垃圾等废弃物和卫生死角清理；</w:t>
            </w:r>
          </w:p>
          <w:p w14:paraId="7B237E2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6.辖区内高速公路部分出入匝道、铁路沿线保洁；</w:t>
            </w:r>
          </w:p>
          <w:p w14:paraId="63C7A0AD">
            <w:pPr>
              <w:keepNext w:val="0"/>
              <w:keepLines w:val="0"/>
              <w:widowControl/>
              <w:suppressLineNumbers w:val="0"/>
              <w:jc w:val="left"/>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7.重大活动、重要安排、重点区域环境卫生清扫保洁的应急保障；</w:t>
            </w:r>
          </w:p>
          <w:p w14:paraId="5922643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8.具体清扫保洁面积、内容，以实际甲方指定的道路及区域为准。</w:t>
            </w:r>
          </w:p>
        </w:tc>
      </w:tr>
      <w:tr w14:paraId="5F75E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2659B7E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743" w:type="pct"/>
            <w:tcBorders>
              <w:top w:val="single" w:color="000000" w:sz="4" w:space="0"/>
              <w:left w:val="single" w:color="000000" w:sz="4" w:space="0"/>
              <w:bottom w:val="single" w:color="000000" w:sz="4" w:space="0"/>
              <w:right w:val="single" w:color="000000" w:sz="4" w:space="0"/>
            </w:tcBorders>
            <w:noWrap w:val="0"/>
            <w:vAlign w:val="center"/>
          </w:tcPr>
          <w:p w14:paraId="3E221C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二级道路清扫保洁</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7242D6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36A7C4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505398.56</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47AA19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7.60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25F08B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3841029.06</w:t>
            </w:r>
          </w:p>
        </w:tc>
        <w:tc>
          <w:tcPr>
            <w:tcW w:w="2390" w:type="pct"/>
            <w:vMerge w:val="continue"/>
            <w:tcBorders>
              <w:left w:val="single" w:color="000000" w:sz="4" w:space="0"/>
              <w:right w:val="single" w:color="000000" w:sz="4" w:space="0"/>
            </w:tcBorders>
            <w:noWrap w:val="0"/>
            <w:vAlign w:val="center"/>
          </w:tcPr>
          <w:p w14:paraId="11F171A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14:paraId="33C54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4CA45F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743" w:type="pct"/>
            <w:tcBorders>
              <w:top w:val="single" w:color="000000" w:sz="4" w:space="0"/>
              <w:left w:val="single" w:color="000000" w:sz="4" w:space="0"/>
              <w:bottom w:val="single" w:color="000000" w:sz="4" w:space="0"/>
              <w:right w:val="single" w:color="000000" w:sz="4" w:space="0"/>
            </w:tcBorders>
            <w:noWrap w:val="0"/>
            <w:vAlign w:val="center"/>
          </w:tcPr>
          <w:p w14:paraId="1A96D5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三级道路清扫保洁</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6074BA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5F0D11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268262.85</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0F2FF3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6.30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75BB48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1690055.95</w:t>
            </w:r>
          </w:p>
        </w:tc>
        <w:tc>
          <w:tcPr>
            <w:tcW w:w="2390" w:type="pct"/>
            <w:vMerge w:val="continue"/>
            <w:tcBorders>
              <w:left w:val="single" w:color="000000" w:sz="4" w:space="0"/>
              <w:right w:val="single" w:color="000000" w:sz="4" w:space="0"/>
            </w:tcBorders>
            <w:noWrap w:val="0"/>
            <w:vAlign w:val="center"/>
          </w:tcPr>
          <w:p w14:paraId="09F6EC59">
            <w:pPr>
              <w:jc w:val="left"/>
              <w:rPr>
                <w:rFonts w:hint="eastAsia" w:ascii="宋体" w:hAnsi="宋体" w:eastAsia="宋体" w:cs="宋体"/>
                <w:i w:val="0"/>
                <w:iCs w:val="0"/>
                <w:color w:val="FF0000"/>
                <w:sz w:val="24"/>
                <w:szCs w:val="24"/>
                <w:u w:val="none"/>
              </w:rPr>
            </w:pPr>
          </w:p>
        </w:tc>
      </w:tr>
      <w:tr w14:paraId="3C2BB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08A937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743" w:type="pct"/>
            <w:tcBorders>
              <w:top w:val="single" w:color="000000" w:sz="4" w:space="0"/>
              <w:left w:val="single" w:color="000000" w:sz="4" w:space="0"/>
              <w:bottom w:val="single" w:color="000000" w:sz="4" w:space="0"/>
              <w:right w:val="single" w:color="000000" w:sz="4" w:space="0"/>
            </w:tcBorders>
            <w:noWrap w:val="0"/>
            <w:vAlign w:val="center"/>
          </w:tcPr>
          <w:p w14:paraId="5DDD36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四级道路清扫保洁（机械）</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5E7042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279300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369992.72</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4B87BA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5.40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6D23756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1997960.69</w:t>
            </w:r>
          </w:p>
        </w:tc>
        <w:tc>
          <w:tcPr>
            <w:tcW w:w="2390" w:type="pct"/>
            <w:vMerge w:val="continue"/>
            <w:tcBorders>
              <w:left w:val="single" w:color="000000" w:sz="4" w:space="0"/>
              <w:right w:val="single" w:color="000000" w:sz="4" w:space="0"/>
            </w:tcBorders>
            <w:noWrap w:val="0"/>
            <w:vAlign w:val="center"/>
          </w:tcPr>
          <w:p w14:paraId="4E6965D4">
            <w:pPr>
              <w:jc w:val="left"/>
              <w:rPr>
                <w:rFonts w:hint="eastAsia" w:ascii="宋体" w:hAnsi="宋体" w:eastAsia="宋体" w:cs="宋体"/>
                <w:i w:val="0"/>
                <w:iCs w:val="0"/>
                <w:color w:val="FF0000"/>
                <w:sz w:val="24"/>
                <w:szCs w:val="24"/>
                <w:u w:val="none"/>
              </w:rPr>
            </w:pPr>
          </w:p>
        </w:tc>
      </w:tr>
      <w:tr w14:paraId="022CF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66E9E3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743" w:type="pct"/>
            <w:tcBorders>
              <w:top w:val="single" w:color="000000" w:sz="4" w:space="0"/>
              <w:left w:val="single" w:color="000000" w:sz="4" w:space="0"/>
              <w:bottom w:val="single" w:color="000000" w:sz="4" w:space="0"/>
              <w:right w:val="single" w:color="000000" w:sz="4" w:space="0"/>
            </w:tcBorders>
            <w:noWrap w:val="0"/>
            <w:vAlign w:val="center"/>
          </w:tcPr>
          <w:p w14:paraId="30F908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四级道路清扫保洁（人工）</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222C8E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6135C6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34857.51</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7EA2B0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4.60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459B29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160344.54</w:t>
            </w:r>
          </w:p>
        </w:tc>
        <w:tc>
          <w:tcPr>
            <w:tcW w:w="2390" w:type="pct"/>
            <w:vMerge w:val="continue"/>
            <w:tcBorders>
              <w:left w:val="single" w:color="000000" w:sz="4" w:space="0"/>
              <w:right w:val="single" w:color="000000" w:sz="4" w:space="0"/>
            </w:tcBorders>
            <w:noWrap w:val="0"/>
            <w:vAlign w:val="center"/>
          </w:tcPr>
          <w:p w14:paraId="1DE0B15E">
            <w:pPr>
              <w:jc w:val="left"/>
              <w:rPr>
                <w:rFonts w:hint="eastAsia" w:ascii="宋体" w:hAnsi="宋体" w:eastAsia="宋体" w:cs="宋体"/>
                <w:i w:val="0"/>
                <w:iCs w:val="0"/>
                <w:color w:val="FF0000"/>
                <w:sz w:val="24"/>
                <w:szCs w:val="24"/>
                <w:u w:val="none"/>
              </w:rPr>
            </w:pPr>
          </w:p>
        </w:tc>
      </w:tr>
      <w:tr w14:paraId="673C7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4C0B17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743" w:type="pct"/>
            <w:tcBorders>
              <w:top w:val="single" w:color="000000" w:sz="4" w:space="0"/>
              <w:left w:val="single" w:color="000000" w:sz="4" w:space="0"/>
              <w:bottom w:val="single" w:color="000000" w:sz="4" w:space="0"/>
              <w:right w:val="single" w:color="000000" w:sz="4" w:space="0"/>
            </w:tcBorders>
            <w:noWrap w:val="0"/>
            <w:vAlign w:val="center"/>
          </w:tcPr>
          <w:p w14:paraId="425631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非机动车道保洁</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35FA93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292577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199954.07</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67F67F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4B6D57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899793.30</w:t>
            </w:r>
          </w:p>
        </w:tc>
        <w:tc>
          <w:tcPr>
            <w:tcW w:w="2390" w:type="pct"/>
            <w:vMerge w:val="continue"/>
            <w:tcBorders>
              <w:left w:val="single" w:color="000000" w:sz="4" w:space="0"/>
              <w:bottom w:val="single" w:color="000000" w:sz="4" w:space="0"/>
              <w:right w:val="single" w:color="000000" w:sz="4" w:space="0"/>
            </w:tcBorders>
            <w:noWrap w:val="0"/>
            <w:vAlign w:val="center"/>
          </w:tcPr>
          <w:p w14:paraId="07EEBDA4">
            <w:pPr>
              <w:jc w:val="left"/>
              <w:rPr>
                <w:rFonts w:hint="eastAsia" w:ascii="宋体" w:hAnsi="宋体" w:eastAsia="宋体" w:cs="宋体"/>
                <w:i w:val="0"/>
                <w:iCs w:val="0"/>
                <w:color w:val="FF0000"/>
                <w:sz w:val="24"/>
                <w:szCs w:val="24"/>
                <w:u w:val="none"/>
              </w:rPr>
            </w:pPr>
          </w:p>
        </w:tc>
      </w:tr>
      <w:tr w14:paraId="2AB02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512974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w:t>
            </w:r>
          </w:p>
        </w:tc>
        <w:tc>
          <w:tcPr>
            <w:tcW w:w="743" w:type="pct"/>
            <w:tcBorders>
              <w:top w:val="single" w:color="000000" w:sz="4" w:space="0"/>
              <w:left w:val="single" w:color="000000" w:sz="4" w:space="0"/>
              <w:bottom w:val="single" w:color="000000" w:sz="4" w:space="0"/>
              <w:right w:val="single" w:color="000000" w:sz="4" w:space="0"/>
            </w:tcBorders>
            <w:noWrap w:val="0"/>
            <w:vAlign w:val="center"/>
          </w:tcPr>
          <w:p w14:paraId="5FD7E5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绿化带保洁</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306D8A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573196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334079.39</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6B564A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6765FA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868606.40</w:t>
            </w:r>
          </w:p>
        </w:tc>
        <w:tc>
          <w:tcPr>
            <w:tcW w:w="2390" w:type="pct"/>
            <w:tcBorders>
              <w:top w:val="single" w:color="000000" w:sz="4" w:space="0"/>
              <w:left w:val="single" w:color="000000" w:sz="4" w:space="0"/>
              <w:bottom w:val="single" w:color="000000" w:sz="4" w:space="0"/>
              <w:right w:val="single" w:color="000000" w:sz="4" w:space="0"/>
            </w:tcBorders>
            <w:noWrap w:val="0"/>
            <w:vAlign w:val="center"/>
          </w:tcPr>
          <w:p w14:paraId="4C406641">
            <w:pPr>
              <w:jc w:val="left"/>
              <w:rPr>
                <w:rFonts w:hint="eastAsia" w:ascii="宋体" w:hAnsi="宋体" w:eastAsia="宋体" w:cs="宋体"/>
                <w:i w:val="0"/>
                <w:iCs w:val="0"/>
                <w:color w:val="FF0000"/>
                <w:sz w:val="24"/>
                <w:szCs w:val="24"/>
                <w:u w:val="none"/>
              </w:rPr>
            </w:pPr>
            <w:r>
              <w:rPr>
                <w:rFonts w:hint="eastAsia" w:ascii="宋体" w:hAnsi="宋体" w:eastAsia="宋体" w:cs="宋体"/>
                <w:i w:val="0"/>
                <w:iCs w:val="0"/>
                <w:color w:val="000000"/>
                <w:kern w:val="0"/>
                <w:sz w:val="24"/>
                <w:szCs w:val="24"/>
                <w:u w:val="none"/>
                <w:lang w:val="en-US" w:eastAsia="zh-CN" w:bidi="ar"/>
              </w:rPr>
              <w:t>道路沿路绿化带内的生活垃圾清理，具体清扫保洁位置及面积，以实际甲方指定区域为准。</w:t>
            </w:r>
          </w:p>
        </w:tc>
      </w:tr>
      <w:tr w14:paraId="6BFF6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1CE4B5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743" w:type="pct"/>
            <w:tcBorders>
              <w:top w:val="single" w:color="000000" w:sz="4" w:space="0"/>
              <w:left w:val="single" w:color="000000" w:sz="4" w:space="0"/>
              <w:bottom w:val="single" w:color="000000" w:sz="4" w:space="0"/>
              <w:right w:val="single" w:color="000000" w:sz="4" w:space="0"/>
            </w:tcBorders>
            <w:noWrap w:val="0"/>
            <w:vAlign w:val="center"/>
          </w:tcPr>
          <w:p w14:paraId="5AA37A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公厕管护费</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68786C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座</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2F7452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3CE2E5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54600.00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671CF5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546000.00</w:t>
            </w:r>
          </w:p>
        </w:tc>
        <w:tc>
          <w:tcPr>
            <w:tcW w:w="7050" w:type="dxa"/>
            <w:tcBorders>
              <w:top w:val="single" w:color="000000" w:sz="4" w:space="0"/>
              <w:left w:val="single" w:color="000000" w:sz="4" w:space="0"/>
              <w:bottom w:val="single" w:color="000000" w:sz="4" w:space="0"/>
              <w:right w:val="single" w:color="000000" w:sz="4" w:space="0"/>
            </w:tcBorders>
            <w:noWrap w:val="0"/>
            <w:vAlign w:val="center"/>
          </w:tcPr>
          <w:p w14:paraId="626C9A49">
            <w:pPr>
              <w:keepNext w:val="0"/>
              <w:keepLines w:val="0"/>
              <w:widowControl/>
              <w:suppressLineNumbers w:val="0"/>
              <w:jc w:val="left"/>
              <w:textAlignment w:val="center"/>
              <w:rPr>
                <w:rFonts w:hint="eastAsia" w:asciiTheme="minorEastAsia" w:hAnsiTheme="minorEastAsia" w:eastAsiaTheme="minorEastAsia" w:cstheme="minorEastAsia"/>
                <w:i w:val="0"/>
                <w:iCs w:val="0"/>
                <w:color w:val="FF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城市公共厕所日常保洁、维修维护、化粪池清掏等管理，开放期间不间断进行全面巡回清扫保洁，确保达到“三有三无”保洁标准，费用含水费、电费、税费、人员成本等及设施设备损坏更换维修费用，并实行一人一厕保洁管理。</w:t>
            </w:r>
          </w:p>
        </w:tc>
      </w:tr>
      <w:tr w14:paraId="6393C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06" w:type="pct"/>
            <w:tcBorders>
              <w:top w:val="single" w:color="000000" w:sz="4" w:space="0"/>
              <w:left w:val="single" w:color="000000" w:sz="4" w:space="0"/>
              <w:bottom w:val="single" w:color="000000" w:sz="4" w:space="0"/>
              <w:right w:val="single" w:color="000000" w:sz="4" w:space="0"/>
            </w:tcBorders>
            <w:noWrap/>
            <w:vAlign w:val="center"/>
          </w:tcPr>
          <w:p w14:paraId="34DA13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c>
          <w:tcPr>
            <w:tcW w:w="743" w:type="pct"/>
            <w:tcBorders>
              <w:top w:val="single" w:color="000000" w:sz="4" w:space="0"/>
              <w:left w:val="single" w:color="000000" w:sz="4" w:space="0"/>
              <w:bottom w:val="single" w:color="000000" w:sz="4" w:space="0"/>
              <w:right w:val="single" w:color="000000" w:sz="4" w:space="0"/>
            </w:tcBorders>
            <w:noWrap w:val="0"/>
            <w:vAlign w:val="center"/>
          </w:tcPr>
          <w:p w14:paraId="7EBF34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生活垃圾清运费</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650CD8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吨</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50C89D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62000.00</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28BE2B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85.00</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6C213D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5270000.00</w:t>
            </w:r>
          </w:p>
        </w:tc>
        <w:tc>
          <w:tcPr>
            <w:tcW w:w="7050" w:type="dxa"/>
            <w:tcBorders>
              <w:top w:val="single" w:color="000000" w:sz="4" w:space="0"/>
              <w:left w:val="single" w:color="000000" w:sz="4" w:space="0"/>
              <w:bottom w:val="single" w:color="000000" w:sz="4" w:space="0"/>
              <w:right w:val="single" w:color="000000" w:sz="4" w:space="0"/>
            </w:tcBorders>
            <w:noWrap w:val="0"/>
            <w:vAlign w:val="center"/>
          </w:tcPr>
          <w:p w14:paraId="18EF7A2B">
            <w:pPr>
              <w:numPr>
                <w:ilvl w:val="0"/>
                <w:numId w:val="0"/>
              </w:numPr>
              <w:jc w:val="left"/>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lang w:val="en-US" w:eastAsia="zh-CN" w:bidi="ar"/>
              </w:rPr>
              <w:t>1.</w:t>
            </w:r>
            <w:r>
              <w:rPr>
                <w:rFonts w:hint="eastAsia" w:asciiTheme="minorEastAsia" w:hAnsiTheme="minorEastAsia" w:eastAsiaTheme="minorEastAsia" w:cstheme="minorEastAsia"/>
                <w:i w:val="0"/>
                <w:iCs w:val="0"/>
                <w:color w:val="000000"/>
                <w:kern w:val="0"/>
                <w:sz w:val="24"/>
                <w:szCs w:val="24"/>
                <w:u w:val="none"/>
                <w:lang w:val="en-US" w:eastAsia="zh-CN" w:bidi="ar"/>
              </w:rPr>
              <w:t>将生活垃圾收集容器（果皮箱、垃圾箱、垃圾桶、垃圾分类桶、垃圾分类房等）、垃圾中转站的生活垃圾收集清运至垃圾处置厂；</w:t>
            </w:r>
          </w:p>
          <w:p w14:paraId="54269B33">
            <w:pPr>
              <w:numPr>
                <w:ilvl w:val="0"/>
                <w:numId w:val="0"/>
              </w:numPr>
              <w:jc w:val="left"/>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2.城区加大密闭式垃圾收集清运车辆流动收集运输力度，实施定时定点流动收集清运；</w:t>
            </w:r>
          </w:p>
          <w:p w14:paraId="516CAA93">
            <w:pPr>
              <w:numPr>
                <w:ilvl w:val="0"/>
                <w:numId w:val="0"/>
              </w:numPr>
              <w:jc w:val="left"/>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3.按要求分类清运，不出现垃圾混装、混运、混倒情况；</w:t>
            </w:r>
          </w:p>
          <w:p w14:paraId="4D118EB5">
            <w:pPr>
              <w:numPr>
                <w:ilvl w:val="0"/>
                <w:numId w:val="0"/>
              </w:numPr>
              <w:jc w:val="left"/>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4.服务范围内生活垃圾的做到日产日清；</w:t>
            </w:r>
          </w:p>
          <w:p w14:paraId="458AEBEB">
            <w:pPr>
              <w:numPr>
                <w:ilvl w:val="0"/>
                <w:numId w:val="0"/>
              </w:numPr>
              <w:jc w:val="left"/>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5.生活垃圾收集、清运量以处置厂实际过磅量核算。</w:t>
            </w:r>
          </w:p>
          <w:p w14:paraId="2DC20043">
            <w:pPr>
              <w:numPr>
                <w:ilvl w:val="0"/>
                <w:numId w:val="0"/>
              </w:numPr>
              <w:ind w:left="0" w:leftChars="0" w:firstLine="0" w:firstLineChars="0"/>
              <w:jc w:val="left"/>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6.以实际清运量</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为准，中转站租赁费用及操作人员相关费用由乙方承担。</w:t>
            </w:r>
          </w:p>
          <w:p w14:paraId="4503A208">
            <w:pPr>
              <w:numPr>
                <w:ilvl w:val="0"/>
                <w:numId w:val="0"/>
              </w:numPr>
              <w:ind w:left="0" w:leftChars="0" w:firstLine="0" w:firstLineChars="0"/>
              <w:jc w:val="left"/>
              <w:rPr>
                <w:rFonts w:hint="default" w:asciiTheme="minorEastAsia" w:hAnsiTheme="minorEastAsia" w:eastAsiaTheme="minorEastAsia" w:cstheme="minorEastAsia"/>
                <w:i w:val="0"/>
                <w:iCs w:val="0"/>
                <w:color w:val="FF0000"/>
                <w:sz w:val="24"/>
                <w:szCs w:val="24"/>
                <w:u w:val="none"/>
                <w:lang w:val="en-US"/>
              </w:rPr>
            </w:pPr>
            <w:r>
              <w:rPr>
                <w:rFonts w:hint="eastAsia" w:ascii="宋体" w:hAnsi="宋体" w:eastAsia="宋体" w:cs="宋体"/>
                <w:i w:val="0"/>
                <w:iCs w:val="0"/>
                <w:color w:val="000000"/>
                <w:kern w:val="0"/>
                <w:sz w:val="24"/>
                <w:szCs w:val="24"/>
                <w:highlight w:val="none"/>
                <w:u w:val="none"/>
                <w:lang w:val="en-US" w:eastAsia="zh-CN" w:bidi="ar"/>
              </w:rPr>
              <w:t>7.</w:t>
            </w:r>
            <w:r>
              <w:rPr>
                <w:rFonts w:hint="eastAsia" w:ascii="宋体" w:hAnsi="宋体" w:cs="宋体"/>
                <w:sz w:val="24"/>
                <w:szCs w:val="24"/>
                <w:highlight w:val="none"/>
                <w:lang w:val="en-US" w:eastAsia="zh-CN"/>
              </w:rPr>
              <w:t>垃圾收集</w:t>
            </w:r>
            <w:r>
              <w:rPr>
                <w:rFonts w:hint="eastAsia" w:ascii="宋体" w:hAnsi="宋体" w:cs="宋体"/>
                <w:sz w:val="24"/>
                <w:szCs w:val="24"/>
                <w:highlight w:val="none"/>
              </w:rPr>
              <w:t>勾臂箱</w:t>
            </w:r>
            <w:r>
              <w:rPr>
                <w:rFonts w:hint="eastAsia" w:ascii="宋体" w:hAnsi="宋体" w:eastAsia="宋体" w:cs="宋体"/>
                <w:i w:val="0"/>
                <w:iCs w:val="0"/>
                <w:color w:val="000000"/>
                <w:kern w:val="0"/>
                <w:sz w:val="24"/>
                <w:szCs w:val="24"/>
                <w:highlight w:val="none"/>
                <w:u w:val="none"/>
                <w:lang w:val="en-US" w:eastAsia="zh-CN" w:bidi="ar"/>
              </w:rPr>
              <w:t>租赁费用由乙方承担。</w:t>
            </w:r>
          </w:p>
        </w:tc>
      </w:tr>
      <w:tr w14:paraId="63F13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950" w:type="pct"/>
            <w:gridSpan w:val="2"/>
            <w:tcBorders>
              <w:top w:val="single" w:color="000000" w:sz="4" w:space="0"/>
              <w:left w:val="single" w:color="000000" w:sz="4" w:space="0"/>
              <w:bottom w:val="single" w:color="000000" w:sz="4" w:space="0"/>
              <w:right w:val="single" w:color="000000" w:sz="4" w:space="0"/>
            </w:tcBorders>
            <w:noWrap/>
            <w:vAlign w:val="center"/>
          </w:tcPr>
          <w:p w14:paraId="26F4852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合</w:t>
            </w:r>
            <w:r>
              <w:rPr>
                <w:rStyle w:val="92"/>
                <w:rFonts w:hint="eastAsia" w:asciiTheme="minorEastAsia" w:hAnsiTheme="minorEastAsia" w:eastAsiaTheme="minorEastAsia" w:cstheme="minorEastAsia"/>
                <w:sz w:val="24"/>
                <w:szCs w:val="24"/>
                <w:lang w:val="en-US" w:eastAsia="zh-CN" w:bidi="ar"/>
              </w:rPr>
              <w:t xml:space="preserve"> </w:t>
            </w:r>
            <w:r>
              <w:rPr>
                <w:rFonts w:hint="eastAsia" w:asciiTheme="minorEastAsia" w:hAnsiTheme="minorEastAsia" w:eastAsiaTheme="minorEastAsia" w:cstheme="minorEastAsia"/>
                <w:b/>
                <w:bCs/>
                <w:i w:val="0"/>
                <w:iCs w:val="0"/>
                <w:color w:val="000000"/>
                <w:kern w:val="0"/>
                <w:sz w:val="24"/>
                <w:szCs w:val="24"/>
                <w:u w:val="none"/>
                <w:lang w:val="en-US" w:eastAsia="zh-CN" w:bidi="ar"/>
              </w:rPr>
              <w:t>计</w:t>
            </w:r>
          </w:p>
        </w:tc>
        <w:tc>
          <w:tcPr>
            <w:tcW w:w="242" w:type="pct"/>
            <w:tcBorders>
              <w:top w:val="single" w:color="000000" w:sz="4" w:space="0"/>
              <w:left w:val="single" w:color="000000" w:sz="4" w:space="0"/>
              <w:bottom w:val="single" w:color="000000" w:sz="4" w:space="0"/>
              <w:right w:val="single" w:color="000000" w:sz="4" w:space="0"/>
            </w:tcBorders>
            <w:noWrap/>
            <w:vAlign w:val="center"/>
          </w:tcPr>
          <w:p w14:paraId="747CFBF2">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4"/>
                <w:szCs w:val="24"/>
                <w:u w:val="none"/>
              </w:rPr>
            </w:pPr>
            <w:r>
              <w:rPr>
                <w:rFonts w:hint="eastAsia" w:asciiTheme="minorEastAsia" w:hAnsiTheme="minorEastAsia" w:eastAsiaTheme="minorEastAsia" w:cstheme="minorEastAsia"/>
                <w:b w:val="0"/>
                <w:bCs w:val="0"/>
                <w:i w:val="0"/>
                <w:iCs w:val="0"/>
                <w:color w:val="000000"/>
                <w:kern w:val="0"/>
                <w:sz w:val="24"/>
                <w:szCs w:val="24"/>
                <w:u w:val="none"/>
                <w:lang w:val="en-US" w:eastAsia="zh-CN" w:bidi="ar"/>
              </w:rPr>
              <w:t>\</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1DCB283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4"/>
                <w:szCs w:val="24"/>
                <w:u w:val="none"/>
              </w:rPr>
            </w:pPr>
            <w:r>
              <w:rPr>
                <w:rFonts w:hint="eastAsia" w:asciiTheme="minorEastAsia" w:hAnsiTheme="minorEastAsia" w:eastAsiaTheme="minorEastAsia" w:cstheme="minorEastAsia"/>
                <w:b w:val="0"/>
                <w:bCs w:val="0"/>
                <w:i w:val="0"/>
                <w:iCs w:val="0"/>
                <w:color w:val="000000"/>
                <w:kern w:val="0"/>
                <w:sz w:val="24"/>
                <w:szCs w:val="24"/>
                <w:u w:val="none"/>
                <w:lang w:val="en-US" w:eastAsia="zh-CN" w:bidi="ar"/>
              </w:rPr>
              <w:t>\</w:t>
            </w:r>
          </w:p>
        </w:tc>
        <w:tc>
          <w:tcPr>
            <w:tcW w:w="414" w:type="pct"/>
            <w:tcBorders>
              <w:top w:val="single" w:color="000000" w:sz="4" w:space="0"/>
              <w:left w:val="single" w:color="000000" w:sz="4" w:space="0"/>
              <w:bottom w:val="single" w:color="000000" w:sz="4" w:space="0"/>
              <w:right w:val="single" w:color="000000" w:sz="4" w:space="0"/>
            </w:tcBorders>
            <w:noWrap/>
            <w:vAlign w:val="center"/>
          </w:tcPr>
          <w:p w14:paraId="26D39C2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4"/>
                <w:szCs w:val="24"/>
                <w:u w:val="none"/>
              </w:rPr>
            </w:pPr>
            <w:r>
              <w:rPr>
                <w:rFonts w:hint="eastAsia" w:asciiTheme="minorEastAsia" w:hAnsiTheme="minorEastAsia" w:eastAsiaTheme="minorEastAsia" w:cstheme="minorEastAsia"/>
                <w:b w:val="0"/>
                <w:bCs w:val="0"/>
                <w:i w:val="0"/>
                <w:iCs w:val="0"/>
                <w:color w:val="000000"/>
                <w:kern w:val="0"/>
                <w:sz w:val="24"/>
                <w:szCs w:val="24"/>
                <w:u w:val="none"/>
                <w:lang w:val="en-US" w:eastAsia="zh-CN" w:bidi="ar"/>
              </w:rPr>
              <w:t>\</w:t>
            </w:r>
          </w:p>
        </w:tc>
        <w:tc>
          <w:tcPr>
            <w:tcW w:w="547" w:type="pct"/>
            <w:tcBorders>
              <w:top w:val="single" w:color="000000" w:sz="4" w:space="0"/>
              <w:left w:val="single" w:color="000000" w:sz="4" w:space="0"/>
              <w:bottom w:val="single" w:color="000000" w:sz="4" w:space="0"/>
              <w:right w:val="single" w:color="000000" w:sz="4" w:space="0"/>
            </w:tcBorders>
            <w:noWrap/>
            <w:vAlign w:val="center"/>
          </w:tcPr>
          <w:p w14:paraId="36F5361F">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000000"/>
                <w:sz w:val="24"/>
                <w:szCs w:val="24"/>
                <w:u w:val="none"/>
              </w:rPr>
            </w:pPr>
            <w:r>
              <w:rPr>
                <w:rFonts w:hint="eastAsia" w:asciiTheme="minorEastAsia" w:hAnsiTheme="minorEastAsia" w:eastAsiaTheme="minorEastAsia" w:cstheme="minorEastAsia"/>
                <w:b w:val="0"/>
                <w:bCs w:val="0"/>
                <w:i w:val="0"/>
                <w:iCs w:val="0"/>
                <w:color w:val="000000"/>
                <w:kern w:val="0"/>
                <w:sz w:val="24"/>
                <w:szCs w:val="24"/>
                <w:u w:val="none"/>
                <w:lang w:val="en-US" w:eastAsia="zh-CN" w:bidi="ar"/>
              </w:rPr>
              <w:t>21159117.19</w:t>
            </w:r>
          </w:p>
        </w:tc>
        <w:tc>
          <w:tcPr>
            <w:tcW w:w="2390" w:type="pct"/>
            <w:tcBorders>
              <w:top w:val="single" w:color="000000" w:sz="4" w:space="0"/>
              <w:left w:val="single" w:color="000000" w:sz="4" w:space="0"/>
              <w:bottom w:val="single" w:color="000000" w:sz="4" w:space="0"/>
              <w:right w:val="single" w:color="000000" w:sz="4" w:space="0"/>
            </w:tcBorders>
            <w:noWrap/>
            <w:vAlign w:val="center"/>
          </w:tcPr>
          <w:p w14:paraId="150B8ACD">
            <w:pPr>
              <w:jc w:val="left"/>
              <w:rPr>
                <w:rFonts w:hint="eastAsia" w:asciiTheme="minorEastAsia" w:hAnsiTheme="minorEastAsia" w:eastAsiaTheme="minorEastAsia" w:cstheme="minorEastAsia"/>
                <w:b/>
                <w:bCs/>
                <w:i w:val="0"/>
                <w:iCs w:val="0"/>
                <w:color w:val="000000"/>
                <w:sz w:val="24"/>
                <w:szCs w:val="24"/>
                <w:u w:val="none"/>
              </w:rPr>
            </w:pPr>
          </w:p>
        </w:tc>
      </w:tr>
    </w:tbl>
    <w:p w14:paraId="64B41447">
      <w:pPr>
        <w:pStyle w:val="6"/>
        <w:ind w:firstLine="482"/>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注：其中第8项公厕管护单价不得调整。</w:t>
      </w:r>
    </w:p>
    <w:p w14:paraId="168FA3C7">
      <w:pPr>
        <w:spacing w:line="500" w:lineRule="exact"/>
        <w:rPr>
          <w:rFonts w:hint="eastAsia" w:ascii="宋体" w:hAnsi="宋体" w:cs="宋体"/>
          <w:b/>
          <w:bCs/>
          <w:sz w:val="24"/>
          <w:szCs w:val="24"/>
        </w:rPr>
      </w:pPr>
    </w:p>
    <w:p w14:paraId="0F94E50C">
      <w:pPr>
        <w:rPr>
          <w:rFonts w:hint="eastAsia" w:ascii="宋体" w:hAnsi="宋体" w:cs="宋体"/>
          <w:b/>
          <w:bCs/>
          <w:sz w:val="24"/>
          <w:szCs w:val="24"/>
        </w:rPr>
        <w:sectPr>
          <w:pgSz w:w="16838" w:h="11906" w:orient="landscape"/>
          <w:pgMar w:top="1304" w:right="1191" w:bottom="1304" w:left="1191" w:header="720" w:footer="720" w:gutter="0"/>
          <w:pgBorders>
            <w:top w:val="none" w:sz="0" w:space="0"/>
            <w:left w:val="none" w:sz="0" w:space="0"/>
            <w:bottom w:val="none" w:sz="0" w:space="0"/>
            <w:right w:val="none" w:sz="0" w:space="0"/>
          </w:pgBorders>
          <w:pgNumType w:fmt="decimal"/>
          <w:cols w:space="720" w:num="1"/>
          <w:docGrid w:type="lines" w:linePitch="317" w:charSpace="0"/>
        </w:sectPr>
      </w:pPr>
      <w:r>
        <w:rPr>
          <w:rFonts w:hint="eastAsia" w:ascii="宋体" w:hAnsi="宋体" w:cs="宋体"/>
          <w:b/>
          <w:bCs/>
          <w:sz w:val="24"/>
          <w:szCs w:val="24"/>
        </w:rPr>
        <w:br w:type="page"/>
      </w:r>
    </w:p>
    <w:p w14:paraId="57BB8694">
      <w:pPr>
        <w:spacing w:line="500" w:lineRule="exact"/>
        <w:rPr>
          <w:rFonts w:ascii="宋体" w:hAnsi="宋体" w:cs="宋体"/>
          <w:b/>
          <w:bCs/>
          <w:sz w:val="24"/>
          <w:szCs w:val="24"/>
        </w:rPr>
      </w:pPr>
      <w:r>
        <w:rPr>
          <w:rFonts w:hint="eastAsia" w:ascii="宋体" w:hAnsi="宋体" w:cs="宋体"/>
          <w:b/>
          <w:bCs/>
          <w:sz w:val="24"/>
          <w:szCs w:val="24"/>
        </w:rPr>
        <w:t>附件</w:t>
      </w:r>
      <w:r>
        <w:rPr>
          <w:rFonts w:hint="eastAsia" w:ascii="宋体" w:hAnsi="宋体" w:cs="宋体"/>
          <w:b/>
          <w:bCs/>
          <w:sz w:val="24"/>
          <w:szCs w:val="24"/>
          <w:lang w:val="en-US" w:eastAsia="zh-CN"/>
        </w:rPr>
        <w:t>二</w:t>
      </w:r>
      <w:r>
        <w:rPr>
          <w:rFonts w:hint="eastAsia" w:ascii="宋体" w:hAnsi="宋体" w:cs="宋体"/>
          <w:b/>
          <w:bCs/>
          <w:sz w:val="24"/>
          <w:szCs w:val="24"/>
        </w:rPr>
        <w:t>：</w:t>
      </w:r>
    </w:p>
    <w:p w14:paraId="3122A5A9">
      <w:pPr>
        <w:autoSpaceDE w:val="0"/>
        <w:spacing w:line="500" w:lineRule="exact"/>
        <w:ind w:firstLine="480" w:firstLineChars="200"/>
        <w:rPr>
          <w:rFonts w:ascii="宋体" w:hAnsi="宋体" w:cs="宋体"/>
          <w:sz w:val="24"/>
          <w:szCs w:val="24"/>
        </w:rPr>
      </w:pPr>
      <w:r>
        <w:rPr>
          <w:rFonts w:hint="eastAsia" w:ascii="宋体" w:hAnsi="宋体" w:cs="宋体"/>
          <w:bCs/>
          <w:sz w:val="24"/>
          <w:szCs w:val="24"/>
        </w:rPr>
        <w:t>根据“《关于印发《政府采购促进中小企业发展管理办法》的通知》（财库〔2020〕46号）、《工业和信息化部、国家统计局、国家发展和改革委员会、财政部关于印发中小企业划型标准规定的通知》（工信部联企业[2011]300号）及《国民经济行业分类》”规定的划分标准，本项目对应的中小企业划分标准所属行业为</w:t>
      </w:r>
      <w:r>
        <w:rPr>
          <w:rFonts w:hint="eastAsia" w:ascii="宋体" w:hAnsi="宋体" w:cs="宋体"/>
          <w:sz w:val="24"/>
          <w:szCs w:val="24"/>
        </w:rPr>
        <w:t>：</w:t>
      </w:r>
    </w:p>
    <w:tbl>
      <w:tblPr>
        <w:tblStyle w:val="32"/>
        <w:tblW w:w="4998" w:type="pct"/>
        <w:jc w:val="center"/>
        <w:tblLayout w:type="autofit"/>
        <w:tblCellMar>
          <w:top w:w="0" w:type="dxa"/>
          <w:left w:w="108" w:type="dxa"/>
          <w:bottom w:w="0" w:type="dxa"/>
          <w:right w:w="108" w:type="dxa"/>
        </w:tblCellMar>
      </w:tblPr>
      <w:tblGrid>
        <w:gridCol w:w="886"/>
        <w:gridCol w:w="5847"/>
        <w:gridCol w:w="3219"/>
      </w:tblGrid>
      <w:tr w14:paraId="0CD9817D">
        <w:tblPrEx>
          <w:tblCellMar>
            <w:top w:w="0" w:type="dxa"/>
            <w:left w:w="108" w:type="dxa"/>
            <w:bottom w:w="0" w:type="dxa"/>
            <w:right w:w="108" w:type="dxa"/>
          </w:tblCellMar>
        </w:tblPrEx>
        <w:trPr>
          <w:trHeight w:val="405" w:hRule="atLeast"/>
          <w:jc w:val="center"/>
        </w:trPr>
        <w:tc>
          <w:tcPr>
            <w:tcW w:w="445" w:type="pct"/>
            <w:tcBorders>
              <w:top w:val="single" w:color="auto" w:sz="4" w:space="0"/>
              <w:left w:val="single" w:color="auto" w:sz="4" w:space="0"/>
              <w:bottom w:val="single" w:color="auto" w:sz="4" w:space="0"/>
              <w:right w:val="single" w:color="auto" w:sz="4" w:space="0"/>
            </w:tcBorders>
            <w:shd w:val="clear" w:color="auto" w:fill="A5A5A5"/>
            <w:noWrap w:val="0"/>
            <w:vAlign w:val="center"/>
          </w:tcPr>
          <w:p w14:paraId="29D21986">
            <w:pPr>
              <w:autoSpaceDE w:val="0"/>
              <w:spacing w:line="500" w:lineRule="exact"/>
              <w:jc w:val="center"/>
              <w:textAlignment w:val="center"/>
              <w:rPr>
                <w:rFonts w:ascii="宋体" w:hAnsi="宋体" w:cs="宋体"/>
                <w:b/>
                <w:bCs/>
                <w:sz w:val="24"/>
                <w:szCs w:val="24"/>
              </w:rPr>
            </w:pPr>
            <w:r>
              <w:rPr>
                <w:rFonts w:hint="eastAsia" w:ascii="宋体" w:hAnsi="宋体" w:cs="宋体"/>
                <w:b/>
                <w:bCs/>
                <w:sz w:val="24"/>
                <w:szCs w:val="24"/>
              </w:rPr>
              <w:t>序号</w:t>
            </w:r>
          </w:p>
        </w:tc>
        <w:tc>
          <w:tcPr>
            <w:tcW w:w="2937" w:type="pct"/>
            <w:tcBorders>
              <w:top w:val="single" w:color="auto" w:sz="4" w:space="0"/>
              <w:left w:val="nil"/>
              <w:bottom w:val="single" w:color="auto" w:sz="4" w:space="0"/>
              <w:right w:val="single" w:color="auto" w:sz="4" w:space="0"/>
            </w:tcBorders>
            <w:shd w:val="clear" w:color="auto" w:fill="A5A5A5"/>
            <w:noWrap w:val="0"/>
            <w:vAlign w:val="center"/>
          </w:tcPr>
          <w:p w14:paraId="200D942C">
            <w:pPr>
              <w:autoSpaceDE w:val="0"/>
              <w:spacing w:line="500" w:lineRule="exact"/>
              <w:jc w:val="center"/>
              <w:textAlignment w:val="center"/>
              <w:rPr>
                <w:rFonts w:ascii="宋体" w:hAnsi="宋体" w:cs="宋体"/>
                <w:b/>
                <w:bCs/>
                <w:sz w:val="24"/>
                <w:szCs w:val="24"/>
              </w:rPr>
            </w:pPr>
            <w:r>
              <w:rPr>
                <w:rFonts w:hint="eastAsia" w:ascii="宋体" w:hAnsi="宋体" w:cs="宋体"/>
                <w:b/>
                <w:bCs/>
                <w:sz w:val="24"/>
                <w:szCs w:val="24"/>
              </w:rPr>
              <w:t>标的名称</w:t>
            </w:r>
          </w:p>
        </w:tc>
        <w:tc>
          <w:tcPr>
            <w:tcW w:w="1617" w:type="pct"/>
            <w:tcBorders>
              <w:top w:val="single" w:color="auto" w:sz="4" w:space="0"/>
              <w:left w:val="nil"/>
              <w:bottom w:val="single" w:color="auto" w:sz="4" w:space="0"/>
              <w:right w:val="single" w:color="auto" w:sz="4" w:space="0"/>
            </w:tcBorders>
            <w:shd w:val="clear" w:color="auto" w:fill="A5A5A5"/>
            <w:noWrap w:val="0"/>
            <w:vAlign w:val="center"/>
          </w:tcPr>
          <w:p w14:paraId="6EAD86A6">
            <w:pPr>
              <w:autoSpaceDE w:val="0"/>
              <w:spacing w:line="500" w:lineRule="exact"/>
              <w:jc w:val="center"/>
              <w:textAlignment w:val="center"/>
              <w:rPr>
                <w:rFonts w:ascii="宋体" w:hAnsi="宋体" w:cs="宋体"/>
                <w:b/>
                <w:bCs/>
                <w:sz w:val="24"/>
                <w:szCs w:val="24"/>
              </w:rPr>
            </w:pPr>
            <w:r>
              <w:rPr>
                <w:rFonts w:hint="eastAsia" w:ascii="宋体" w:hAnsi="宋体" w:cs="宋体"/>
                <w:b/>
                <w:bCs/>
                <w:sz w:val="24"/>
                <w:szCs w:val="24"/>
              </w:rPr>
              <w:t>所属行业</w:t>
            </w:r>
          </w:p>
        </w:tc>
      </w:tr>
      <w:tr w14:paraId="01788C42">
        <w:tblPrEx>
          <w:tblCellMar>
            <w:top w:w="0" w:type="dxa"/>
            <w:left w:w="108" w:type="dxa"/>
            <w:bottom w:w="0" w:type="dxa"/>
            <w:right w:w="108" w:type="dxa"/>
          </w:tblCellMar>
        </w:tblPrEx>
        <w:trPr>
          <w:trHeight w:val="578" w:hRule="atLeast"/>
          <w:jc w:val="center"/>
        </w:trPr>
        <w:tc>
          <w:tcPr>
            <w:tcW w:w="445" w:type="pct"/>
            <w:tcBorders>
              <w:top w:val="single" w:color="auto" w:sz="4" w:space="0"/>
              <w:left w:val="single" w:color="auto" w:sz="4" w:space="0"/>
              <w:bottom w:val="single" w:color="auto" w:sz="4" w:space="0"/>
              <w:right w:val="single" w:color="auto" w:sz="4" w:space="0"/>
            </w:tcBorders>
            <w:noWrap w:val="0"/>
            <w:vAlign w:val="center"/>
          </w:tcPr>
          <w:p w14:paraId="5C11C8E1">
            <w:pPr>
              <w:adjustRightInd w:val="0"/>
              <w:snapToGrid w:val="0"/>
              <w:spacing w:line="480" w:lineRule="exact"/>
              <w:jc w:val="center"/>
              <w:rPr>
                <w:rFonts w:ascii="宋体" w:hAnsi="宋体" w:cs="宋体"/>
                <w:sz w:val="24"/>
                <w:szCs w:val="24"/>
              </w:rPr>
            </w:pPr>
            <w:r>
              <w:rPr>
                <w:rFonts w:hint="eastAsia" w:ascii="宋体" w:hAnsi="宋体" w:cs="宋体"/>
                <w:sz w:val="24"/>
                <w:szCs w:val="24"/>
              </w:rPr>
              <w:t>1</w:t>
            </w:r>
          </w:p>
        </w:tc>
        <w:tc>
          <w:tcPr>
            <w:tcW w:w="2937" w:type="pct"/>
            <w:tcBorders>
              <w:top w:val="single" w:color="auto" w:sz="4" w:space="0"/>
              <w:left w:val="nil"/>
              <w:bottom w:val="single" w:color="auto" w:sz="4" w:space="0"/>
              <w:right w:val="single" w:color="auto" w:sz="4" w:space="0"/>
            </w:tcBorders>
            <w:noWrap w:val="0"/>
            <w:vAlign w:val="center"/>
          </w:tcPr>
          <w:p w14:paraId="3C7E1F8A">
            <w:pPr>
              <w:adjustRightInd w:val="0"/>
              <w:snapToGrid w:val="0"/>
              <w:spacing w:line="480" w:lineRule="exact"/>
              <w:jc w:val="center"/>
              <w:rPr>
                <w:rFonts w:ascii="宋体" w:hAnsi="宋体" w:cs="宋体"/>
                <w:sz w:val="24"/>
                <w:szCs w:val="24"/>
              </w:rPr>
            </w:pPr>
            <w:r>
              <w:rPr>
                <w:rFonts w:hint="eastAsia" w:ascii="宋体" w:hAnsi="宋体" w:cs="宋体"/>
                <w:sz w:val="24"/>
                <w:szCs w:val="24"/>
              </w:rPr>
              <w:t>保洁服务</w:t>
            </w:r>
          </w:p>
        </w:tc>
        <w:tc>
          <w:tcPr>
            <w:tcW w:w="1617" w:type="pct"/>
            <w:tcBorders>
              <w:top w:val="single" w:color="auto" w:sz="4" w:space="0"/>
              <w:left w:val="nil"/>
              <w:bottom w:val="single" w:color="auto" w:sz="4" w:space="0"/>
              <w:right w:val="single" w:color="auto" w:sz="4" w:space="0"/>
            </w:tcBorders>
            <w:noWrap w:val="0"/>
            <w:vAlign w:val="center"/>
          </w:tcPr>
          <w:p w14:paraId="55C4E905">
            <w:pPr>
              <w:spacing w:line="500" w:lineRule="exact"/>
              <w:jc w:val="center"/>
              <w:textAlignment w:val="center"/>
              <w:rPr>
                <w:rFonts w:ascii="宋体" w:hAnsi="宋体" w:cs="宋体"/>
                <w:sz w:val="24"/>
                <w:szCs w:val="24"/>
              </w:rPr>
            </w:pPr>
            <w:r>
              <w:rPr>
                <w:rFonts w:hint="eastAsia" w:ascii="宋体" w:hAnsi="宋体" w:cs="宋体"/>
                <w:bCs/>
                <w:sz w:val="24"/>
                <w:szCs w:val="24"/>
              </w:rPr>
              <w:t>其他未列明行业</w:t>
            </w:r>
          </w:p>
        </w:tc>
      </w:tr>
    </w:tbl>
    <w:p w14:paraId="6C2DDADB">
      <w:pPr>
        <w:autoSpaceDE w:val="0"/>
        <w:spacing w:line="500" w:lineRule="exact"/>
        <w:ind w:firstLine="480" w:firstLineChars="200"/>
      </w:pPr>
      <w:r>
        <w:rPr>
          <w:rFonts w:hint="eastAsia" w:ascii="宋体" w:hAnsi="宋体" w:cs="宋体"/>
          <w:bCs/>
          <w:sz w:val="24"/>
          <w:szCs w:val="24"/>
        </w:rPr>
        <w:t>按照《工业和信息化部、国家统计局、国家发展和改革委员会、财政部关于印发中小企业划型标准规定的通知》（工信部联企业[2011]300号）的规定其工业、其他未列明行业划型标准为：从业人员300人以下的为中小微型企业。其中，从业人员100人及以上的为中型企业；从业人员10人及以上的为小型企业；从业人员10人以下的为微型企业。</w:t>
      </w:r>
      <w:bookmarkStart w:id="0" w:name="_GoBack"/>
      <w:bookmarkEnd w:id="0"/>
    </w:p>
    <w:sectPr>
      <w:headerReference r:id="rId4" w:type="default"/>
      <w:pgSz w:w="11906" w:h="16838"/>
      <w:pgMar w:top="1440" w:right="1083" w:bottom="1440" w:left="1083" w:header="720" w:footer="720"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842EB">
    <w:pPr>
      <w:pStyle w:val="2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26AC6">
    <w:pPr>
      <w:pStyle w:val="21"/>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E97"/>
    <w:rsid w:val="0000715C"/>
    <w:rsid w:val="000125A8"/>
    <w:rsid w:val="001950F8"/>
    <w:rsid w:val="00286F6B"/>
    <w:rsid w:val="004F5758"/>
    <w:rsid w:val="007402CA"/>
    <w:rsid w:val="00774B67"/>
    <w:rsid w:val="007939BA"/>
    <w:rsid w:val="0084344F"/>
    <w:rsid w:val="008649C8"/>
    <w:rsid w:val="00B4246E"/>
    <w:rsid w:val="00B60DF7"/>
    <w:rsid w:val="00B62E97"/>
    <w:rsid w:val="00C31ED7"/>
    <w:rsid w:val="00CC30FC"/>
    <w:rsid w:val="00D46861"/>
    <w:rsid w:val="00DB60F6"/>
    <w:rsid w:val="00E40E4D"/>
    <w:rsid w:val="0208004B"/>
    <w:rsid w:val="033E696D"/>
    <w:rsid w:val="04477832"/>
    <w:rsid w:val="045A71D0"/>
    <w:rsid w:val="04690C83"/>
    <w:rsid w:val="047F723D"/>
    <w:rsid w:val="05353F49"/>
    <w:rsid w:val="05F11A75"/>
    <w:rsid w:val="06345E06"/>
    <w:rsid w:val="087C30FA"/>
    <w:rsid w:val="08B95816"/>
    <w:rsid w:val="08E51639"/>
    <w:rsid w:val="08F8136C"/>
    <w:rsid w:val="09E162A4"/>
    <w:rsid w:val="0A852F24"/>
    <w:rsid w:val="0B09418A"/>
    <w:rsid w:val="0C7451AE"/>
    <w:rsid w:val="0D546BB8"/>
    <w:rsid w:val="0DF95DB2"/>
    <w:rsid w:val="0E9262B2"/>
    <w:rsid w:val="0FE91A0F"/>
    <w:rsid w:val="1031756B"/>
    <w:rsid w:val="106C2D6C"/>
    <w:rsid w:val="134578A4"/>
    <w:rsid w:val="13733A6E"/>
    <w:rsid w:val="1380268A"/>
    <w:rsid w:val="13B50586"/>
    <w:rsid w:val="15107A3E"/>
    <w:rsid w:val="15FF3D3A"/>
    <w:rsid w:val="16E00D64"/>
    <w:rsid w:val="17B46DA6"/>
    <w:rsid w:val="17E31439"/>
    <w:rsid w:val="18E43693"/>
    <w:rsid w:val="19394EDE"/>
    <w:rsid w:val="195624A4"/>
    <w:rsid w:val="1A6052D4"/>
    <w:rsid w:val="1A8C5DB8"/>
    <w:rsid w:val="1B4D72F6"/>
    <w:rsid w:val="1BB36E00"/>
    <w:rsid w:val="1C464BB3"/>
    <w:rsid w:val="1CB1147B"/>
    <w:rsid w:val="1CFF0AC4"/>
    <w:rsid w:val="1D5C1A72"/>
    <w:rsid w:val="1D6F5768"/>
    <w:rsid w:val="1E162569"/>
    <w:rsid w:val="1F4D7B8E"/>
    <w:rsid w:val="1FDC62F1"/>
    <w:rsid w:val="20393F67"/>
    <w:rsid w:val="20B41BC5"/>
    <w:rsid w:val="20CA3197"/>
    <w:rsid w:val="211C60E8"/>
    <w:rsid w:val="215F71A4"/>
    <w:rsid w:val="22A93AE5"/>
    <w:rsid w:val="23450E67"/>
    <w:rsid w:val="24083239"/>
    <w:rsid w:val="256E67E6"/>
    <w:rsid w:val="259A582D"/>
    <w:rsid w:val="26415CA9"/>
    <w:rsid w:val="2819505A"/>
    <w:rsid w:val="28425D08"/>
    <w:rsid w:val="29DF4256"/>
    <w:rsid w:val="2A2667D1"/>
    <w:rsid w:val="2A41096D"/>
    <w:rsid w:val="2ABA62BC"/>
    <w:rsid w:val="2E0A72C8"/>
    <w:rsid w:val="2EE144CD"/>
    <w:rsid w:val="2F3E547B"/>
    <w:rsid w:val="2F5B269C"/>
    <w:rsid w:val="311D7312"/>
    <w:rsid w:val="32601BAD"/>
    <w:rsid w:val="32780CA4"/>
    <w:rsid w:val="32D60D90"/>
    <w:rsid w:val="34F36F88"/>
    <w:rsid w:val="355A1555"/>
    <w:rsid w:val="35D83DA9"/>
    <w:rsid w:val="35DE1766"/>
    <w:rsid w:val="36402219"/>
    <w:rsid w:val="37737C8C"/>
    <w:rsid w:val="383A33E4"/>
    <w:rsid w:val="38E21291"/>
    <w:rsid w:val="39657AA9"/>
    <w:rsid w:val="39FC2B15"/>
    <w:rsid w:val="3A432D6D"/>
    <w:rsid w:val="3AE710BD"/>
    <w:rsid w:val="3B0A0908"/>
    <w:rsid w:val="3B183024"/>
    <w:rsid w:val="3B696145"/>
    <w:rsid w:val="3DDC1D85"/>
    <w:rsid w:val="3E4648DA"/>
    <w:rsid w:val="3EA13331"/>
    <w:rsid w:val="3EF75647"/>
    <w:rsid w:val="40817080"/>
    <w:rsid w:val="41FE258D"/>
    <w:rsid w:val="434D6F4B"/>
    <w:rsid w:val="43755937"/>
    <w:rsid w:val="43BD3753"/>
    <w:rsid w:val="44CC755A"/>
    <w:rsid w:val="453C6C53"/>
    <w:rsid w:val="461E795D"/>
    <w:rsid w:val="48044C2A"/>
    <w:rsid w:val="48541414"/>
    <w:rsid w:val="495402D0"/>
    <w:rsid w:val="4B8B15F1"/>
    <w:rsid w:val="4BB01057"/>
    <w:rsid w:val="4C8F6EBF"/>
    <w:rsid w:val="4D2211D8"/>
    <w:rsid w:val="4DCB3F26"/>
    <w:rsid w:val="4E467A51"/>
    <w:rsid w:val="4E573A0C"/>
    <w:rsid w:val="4E6F61BB"/>
    <w:rsid w:val="4F111E0D"/>
    <w:rsid w:val="4F55367B"/>
    <w:rsid w:val="50852AB2"/>
    <w:rsid w:val="51C4760A"/>
    <w:rsid w:val="53195A1E"/>
    <w:rsid w:val="53F046E7"/>
    <w:rsid w:val="54E3424B"/>
    <w:rsid w:val="58360B36"/>
    <w:rsid w:val="58705DF6"/>
    <w:rsid w:val="589A3BD0"/>
    <w:rsid w:val="5968741C"/>
    <w:rsid w:val="5AAF2166"/>
    <w:rsid w:val="5B345801"/>
    <w:rsid w:val="5BB24CE4"/>
    <w:rsid w:val="5C882BEA"/>
    <w:rsid w:val="5CA240BE"/>
    <w:rsid w:val="5CC20BEA"/>
    <w:rsid w:val="5CF05758"/>
    <w:rsid w:val="5DC664B8"/>
    <w:rsid w:val="5EB23613"/>
    <w:rsid w:val="600D101E"/>
    <w:rsid w:val="60D21CFD"/>
    <w:rsid w:val="60DA72FE"/>
    <w:rsid w:val="616E30EF"/>
    <w:rsid w:val="62E573E1"/>
    <w:rsid w:val="643424DC"/>
    <w:rsid w:val="65815634"/>
    <w:rsid w:val="66B15F58"/>
    <w:rsid w:val="66E63727"/>
    <w:rsid w:val="68513114"/>
    <w:rsid w:val="69872FA0"/>
    <w:rsid w:val="6B9C5831"/>
    <w:rsid w:val="6C3756A2"/>
    <w:rsid w:val="6CFC5A53"/>
    <w:rsid w:val="6D544E73"/>
    <w:rsid w:val="6F0155A2"/>
    <w:rsid w:val="6F032DDD"/>
    <w:rsid w:val="6F76453C"/>
    <w:rsid w:val="71615C3D"/>
    <w:rsid w:val="71B777CC"/>
    <w:rsid w:val="73744646"/>
    <w:rsid w:val="74140A9E"/>
    <w:rsid w:val="743069AD"/>
    <w:rsid w:val="748778E0"/>
    <w:rsid w:val="76CA4E14"/>
    <w:rsid w:val="774A385E"/>
    <w:rsid w:val="79876FEC"/>
    <w:rsid w:val="7A4D5B40"/>
    <w:rsid w:val="7AB636E5"/>
    <w:rsid w:val="7AD0116F"/>
    <w:rsid w:val="7B565870"/>
    <w:rsid w:val="7C8C270D"/>
    <w:rsid w:val="7DF2712A"/>
    <w:rsid w:val="7EEA1BAF"/>
    <w:rsid w:val="7F6A3C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1"/>
      <w:szCs w:val="21"/>
      <w:lang w:val="en-US" w:eastAsia="zh-CN" w:bidi="ar-SA"/>
    </w:rPr>
  </w:style>
  <w:style w:type="paragraph" w:styleId="2">
    <w:name w:val="heading 1"/>
    <w:basedOn w:val="1"/>
    <w:next w:val="1"/>
    <w:link w:val="40"/>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link w:val="41"/>
    <w:qFormat/>
    <w:uiPriority w:val="99"/>
    <w:pPr>
      <w:keepNext/>
      <w:keepLines/>
      <w:widowControl w:val="0"/>
      <w:spacing w:before="260" w:after="260" w:line="412" w:lineRule="auto"/>
      <w:outlineLvl w:val="1"/>
    </w:pPr>
    <w:rPr>
      <w:rFonts w:ascii="Arial" w:hAnsi="Arial" w:eastAsia="黑体"/>
      <w:b/>
      <w:bCs/>
      <w:sz w:val="32"/>
      <w:szCs w:val="32"/>
    </w:rPr>
  </w:style>
  <w:style w:type="paragraph" w:styleId="4">
    <w:name w:val="heading 3"/>
    <w:basedOn w:val="1"/>
    <w:next w:val="1"/>
    <w:link w:val="42"/>
    <w:qFormat/>
    <w:uiPriority w:val="99"/>
    <w:pPr>
      <w:keepNext/>
      <w:keepLines/>
      <w:widowControl w:val="0"/>
      <w:spacing w:before="260" w:after="260" w:line="412" w:lineRule="auto"/>
      <w:outlineLvl w:val="2"/>
    </w:pPr>
    <w:rPr>
      <w:b/>
      <w:bCs/>
      <w:sz w:val="32"/>
      <w:szCs w:val="32"/>
    </w:rPr>
  </w:style>
  <w:style w:type="character" w:default="1" w:styleId="34">
    <w:name w:val="Default Paragraph Font"/>
    <w:unhideWhenUsed/>
    <w:qFormat/>
    <w:uiPriority w:val="1"/>
  </w:style>
  <w:style w:type="table" w:default="1" w:styleId="32">
    <w:name w:val="Normal Table"/>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260"/>
    </w:pPr>
    <w:rPr>
      <w:rFonts w:ascii="Calibri" w:hAnsi="Calibri" w:cs="Calibri"/>
      <w:sz w:val="18"/>
      <w:szCs w:val="18"/>
    </w:rPr>
  </w:style>
  <w:style w:type="paragraph" w:styleId="6">
    <w:name w:val="Normal Indent"/>
    <w:basedOn w:val="1"/>
    <w:next w:val="1"/>
    <w:unhideWhenUsed/>
    <w:qFormat/>
    <w:uiPriority w:val="99"/>
    <w:pPr>
      <w:ind w:firstLine="420" w:firstLineChars="200"/>
    </w:pPr>
  </w:style>
  <w:style w:type="paragraph" w:styleId="7">
    <w:name w:val="Document Map"/>
    <w:basedOn w:val="1"/>
    <w:link w:val="43"/>
    <w:unhideWhenUsed/>
    <w:qFormat/>
    <w:uiPriority w:val="99"/>
    <w:rPr>
      <w:rFonts w:ascii="宋体"/>
      <w:sz w:val="18"/>
      <w:szCs w:val="18"/>
    </w:rPr>
  </w:style>
  <w:style w:type="paragraph" w:styleId="8">
    <w:name w:val="toa heading"/>
    <w:basedOn w:val="1"/>
    <w:next w:val="1"/>
    <w:semiHidden/>
    <w:qFormat/>
    <w:uiPriority w:val="0"/>
    <w:pPr>
      <w:widowControl w:val="0"/>
      <w:spacing w:before="120"/>
      <w:jc w:val="both"/>
    </w:pPr>
    <w:rPr>
      <w:rFonts w:ascii="Arial" w:hAnsi="Arial" w:cs="Arial"/>
      <w:kern w:val="2"/>
      <w:sz w:val="24"/>
      <w:szCs w:val="24"/>
    </w:rPr>
  </w:style>
  <w:style w:type="paragraph" w:styleId="9">
    <w:name w:val="annotation text"/>
    <w:basedOn w:val="1"/>
    <w:link w:val="44"/>
    <w:unhideWhenUsed/>
    <w:qFormat/>
    <w:uiPriority w:val="99"/>
  </w:style>
  <w:style w:type="paragraph" w:styleId="10">
    <w:name w:val="Body Text 3"/>
    <w:basedOn w:val="1"/>
    <w:link w:val="45"/>
    <w:unhideWhenUsed/>
    <w:qFormat/>
    <w:uiPriority w:val="99"/>
    <w:rPr>
      <w:rFonts w:ascii="宋体"/>
      <w:sz w:val="24"/>
      <w:szCs w:val="24"/>
    </w:rPr>
  </w:style>
  <w:style w:type="paragraph" w:styleId="11">
    <w:name w:val="Body Text"/>
    <w:basedOn w:val="1"/>
    <w:next w:val="12"/>
    <w:link w:val="39"/>
    <w:qFormat/>
    <w:uiPriority w:val="0"/>
    <w:pPr>
      <w:spacing w:line="360" w:lineRule="auto"/>
    </w:pPr>
    <w:rPr>
      <w:kern w:val="2"/>
      <w:szCs w:val="24"/>
    </w:rPr>
  </w:style>
  <w:style w:type="paragraph" w:customStyle="1" w:styleId="12">
    <w:name w:val="Normal_2"/>
    <w:basedOn w:val="13"/>
    <w:next w:val="11"/>
    <w:qFormat/>
    <w:uiPriority w:val="0"/>
    <w:rPr>
      <w:kern w:val="2"/>
      <w:sz w:val="21"/>
    </w:rPr>
  </w:style>
  <w:style w:type="paragraph" w:customStyle="1" w:styleId="13">
    <w:name w:val="Normal_3"/>
    <w:next w:val="14"/>
    <w:qFormat/>
    <w:uiPriority w:val="0"/>
    <w:pPr>
      <w:widowControl w:val="0"/>
      <w:jc w:val="both"/>
    </w:pPr>
    <w:rPr>
      <w:rFonts w:ascii="Times New Roman" w:hAnsi="Times New Roman" w:eastAsia="宋体" w:cs="Times New Roman"/>
      <w:lang w:val="en-US" w:eastAsia="zh-CN" w:bidi="ar-SA"/>
    </w:rPr>
  </w:style>
  <w:style w:type="paragraph" w:styleId="14">
    <w:name w:val="Plain Text"/>
    <w:basedOn w:val="1"/>
    <w:next w:val="1"/>
    <w:link w:val="47"/>
    <w:qFormat/>
    <w:uiPriority w:val="0"/>
    <w:rPr>
      <w:rFonts w:ascii="宋体" w:hAnsi="Courier New"/>
      <w:szCs w:val="20"/>
    </w:rPr>
  </w:style>
  <w:style w:type="paragraph" w:styleId="15">
    <w:name w:val="Body Text Indent"/>
    <w:basedOn w:val="1"/>
    <w:link w:val="46"/>
    <w:unhideWhenUsed/>
    <w:qFormat/>
    <w:uiPriority w:val="99"/>
    <w:pPr>
      <w:spacing w:line="460" w:lineRule="exact"/>
      <w:ind w:firstLine="510"/>
    </w:pPr>
  </w:style>
  <w:style w:type="paragraph" w:styleId="16">
    <w:name w:val="toc 5"/>
    <w:basedOn w:val="1"/>
    <w:next w:val="1"/>
    <w:unhideWhenUsed/>
    <w:qFormat/>
    <w:uiPriority w:val="39"/>
    <w:pPr>
      <w:ind w:left="840"/>
    </w:pPr>
    <w:rPr>
      <w:rFonts w:ascii="Calibri" w:hAnsi="Calibri" w:cs="Calibri"/>
      <w:sz w:val="18"/>
      <w:szCs w:val="18"/>
    </w:rPr>
  </w:style>
  <w:style w:type="paragraph" w:styleId="17">
    <w:name w:val="toc 3"/>
    <w:basedOn w:val="1"/>
    <w:next w:val="1"/>
    <w:unhideWhenUsed/>
    <w:qFormat/>
    <w:uiPriority w:val="39"/>
    <w:pPr>
      <w:ind w:left="420"/>
    </w:pPr>
    <w:rPr>
      <w:rFonts w:ascii="Calibri" w:hAnsi="Calibri" w:cs="Calibri"/>
      <w:i/>
      <w:iCs/>
      <w:sz w:val="20"/>
      <w:szCs w:val="20"/>
    </w:rPr>
  </w:style>
  <w:style w:type="paragraph" w:styleId="18">
    <w:name w:val="toc 8"/>
    <w:basedOn w:val="1"/>
    <w:next w:val="1"/>
    <w:unhideWhenUsed/>
    <w:qFormat/>
    <w:uiPriority w:val="39"/>
    <w:pPr>
      <w:ind w:left="1470"/>
    </w:pPr>
    <w:rPr>
      <w:rFonts w:ascii="Calibri" w:hAnsi="Calibri" w:cs="Calibri"/>
      <w:sz w:val="18"/>
      <w:szCs w:val="18"/>
    </w:rPr>
  </w:style>
  <w:style w:type="paragraph" w:styleId="19">
    <w:name w:val="Balloon Text"/>
    <w:basedOn w:val="1"/>
    <w:link w:val="48"/>
    <w:unhideWhenUsed/>
    <w:qFormat/>
    <w:uiPriority w:val="99"/>
    <w:rPr>
      <w:sz w:val="18"/>
      <w:szCs w:val="18"/>
    </w:rPr>
  </w:style>
  <w:style w:type="paragraph" w:styleId="20">
    <w:name w:val="footer"/>
    <w:basedOn w:val="1"/>
    <w:link w:val="49"/>
    <w:unhideWhenUsed/>
    <w:qFormat/>
    <w:uiPriority w:val="99"/>
    <w:pPr>
      <w:tabs>
        <w:tab w:val="center" w:pos="4153"/>
        <w:tab w:val="right" w:pos="8306"/>
      </w:tabs>
      <w:snapToGrid w:val="0"/>
    </w:pPr>
    <w:rPr>
      <w:sz w:val="18"/>
      <w:szCs w:val="18"/>
    </w:rPr>
  </w:style>
  <w:style w:type="paragraph" w:styleId="21">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unhideWhenUsed/>
    <w:qFormat/>
    <w:uiPriority w:val="39"/>
    <w:pPr>
      <w:spacing w:before="120" w:after="120"/>
    </w:pPr>
    <w:rPr>
      <w:rFonts w:ascii="Calibri" w:hAnsi="Calibri" w:cs="Calibri"/>
      <w:b/>
      <w:bCs/>
      <w:caps/>
      <w:sz w:val="20"/>
      <w:szCs w:val="20"/>
    </w:rPr>
  </w:style>
  <w:style w:type="paragraph" w:styleId="23">
    <w:name w:val="toc 4"/>
    <w:basedOn w:val="1"/>
    <w:next w:val="1"/>
    <w:unhideWhenUsed/>
    <w:qFormat/>
    <w:uiPriority w:val="39"/>
    <w:pPr>
      <w:ind w:left="630"/>
    </w:pPr>
    <w:rPr>
      <w:rFonts w:ascii="Calibri" w:hAnsi="Calibri" w:cs="Calibri"/>
      <w:sz w:val="18"/>
      <w:szCs w:val="18"/>
    </w:rPr>
  </w:style>
  <w:style w:type="paragraph" w:styleId="24">
    <w:name w:val="footnote text"/>
    <w:basedOn w:val="1"/>
    <w:link w:val="51"/>
    <w:qFormat/>
    <w:uiPriority w:val="0"/>
    <w:pPr>
      <w:snapToGrid w:val="0"/>
    </w:pPr>
    <w:rPr>
      <w:sz w:val="18"/>
      <w:szCs w:val="18"/>
    </w:rPr>
  </w:style>
  <w:style w:type="paragraph" w:styleId="25">
    <w:name w:val="toc 6"/>
    <w:basedOn w:val="1"/>
    <w:next w:val="1"/>
    <w:unhideWhenUsed/>
    <w:qFormat/>
    <w:uiPriority w:val="39"/>
    <w:pPr>
      <w:ind w:left="1050"/>
    </w:pPr>
    <w:rPr>
      <w:rFonts w:ascii="Calibri" w:hAnsi="Calibri" w:cs="Calibri"/>
      <w:sz w:val="18"/>
      <w:szCs w:val="18"/>
    </w:rPr>
  </w:style>
  <w:style w:type="paragraph" w:styleId="26">
    <w:name w:val="toc 2"/>
    <w:basedOn w:val="1"/>
    <w:next w:val="1"/>
    <w:unhideWhenUsed/>
    <w:qFormat/>
    <w:uiPriority w:val="39"/>
    <w:pPr>
      <w:ind w:left="210"/>
    </w:pPr>
    <w:rPr>
      <w:rFonts w:ascii="Calibri" w:hAnsi="Calibri" w:cs="Calibri"/>
      <w:smallCaps/>
      <w:sz w:val="20"/>
      <w:szCs w:val="20"/>
    </w:rPr>
  </w:style>
  <w:style w:type="paragraph" w:styleId="27">
    <w:name w:val="toc 9"/>
    <w:basedOn w:val="1"/>
    <w:next w:val="1"/>
    <w:unhideWhenUsed/>
    <w:qFormat/>
    <w:uiPriority w:val="39"/>
    <w:pPr>
      <w:ind w:left="1680"/>
    </w:pPr>
    <w:rPr>
      <w:rFonts w:ascii="Calibri" w:hAnsi="Calibri" w:cs="Calibri"/>
      <w:sz w:val="18"/>
      <w:szCs w:val="18"/>
    </w:rPr>
  </w:style>
  <w:style w:type="paragraph" w:styleId="28">
    <w:name w:val="Body Text 2"/>
    <w:basedOn w:val="1"/>
    <w:link w:val="52"/>
    <w:qFormat/>
    <w:uiPriority w:val="0"/>
    <w:pPr>
      <w:spacing w:after="120" w:line="480" w:lineRule="auto"/>
    </w:pPr>
  </w:style>
  <w:style w:type="paragraph" w:styleId="29">
    <w:name w:val="Normal (Web)"/>
    <w:basedOn w:val="1"/>
    <w:unhideWhenUsed/>
    <w:qFormat/>
    <w:uiPriority w:val="99"/>
    <w:pPr>
      <w:spacing w:before="100" w:beforeAutospacing="1" w:after="100" w:afterAutospacing="1"/>
    </w:pPr>
    <w:rPr>
      <w:sz w:val="24"/>
      <w:szCs w:val="24"/>
    </w:rPr>
  </w:style>
  <w:style w:type="paragraph" w:styleId="30">
    <w:name w:val="annotation subject"/>
    <w:basedOn w:val="9"/>
    <w:next w:val="1"/>
    <w:link w:val="53"/>
    <w:unhideWhenUsed/>
    <w:qFormat/>
    <w:uiPriority w:val="99"/>
    <w:rPr>
      <w:b/>
      <w:bCs/>
    </w:rPr>
  </w:style>
  <w:style w:type="paragraph" w:styleId="31">
    <w:name w:val="Body Text First Indent 2"/>
    <w:basedOn w:val="15"/>
    <w:link w:val="54"/>
    <w:qFormat/>
    <w:uiPriority w:val="0"/>
    <w:pPr>
      <w:ind w:firstLine="420" w:firstLineChars="200"/>
    </w:pPr>
  </w:style>
  <w:style w:type="table" w:styleId="33">
    <w:name w:val="Table Grid"/>
    <w:basedOn w:val="32"/>
    <w:unhideWhenUsed/>
    <w:qFormat/>
    <w:uiPriority w:val="99"/>
    <w:pPr>
      <w:widowControl w:val="0"/>
      <w:jc w:val="both"/>
    </w:pPr>
    <w:rPr>
      <w:rFonts w:ascii="Calibri" w:hAnsi="Calibri" w:eastAsia="Times New Roman" w:cs="Times New Roman"/>
      <w:kern w:val="0"/>
      <w:sz w:val="20"/>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FollowedHyperlink"/>
    <w:unhideWhenUsed/>
    <w:qFormat/>
    <w:uiPriority w:val="99"/>
    <w:rPr>
      <w:color w:val="333333"/>
      <w:u w:val="none"/>
    </w:rPr>
  </w:style>
  <w:style w:type="character" w:styleId="36">
    <w:name w:val="Hyperlink"/>
    <w:unhideWhenUsed/>
    <w:qFormat/>
    <w:uiPriority w:val="99"/>
    <w:rPr>
      <w:color w:val="333333"/>
      <w:u w:val="none"/>
    </w:rPr>
  </w:style>
  <w:style w:type="character" w:styleId="37">
    <w:name w:val="annotation reference"/>
    <w:unhideWhenUsed/>
    <w:qFormat/>
    <w:uiPriority w:val="99"/>
    <w:rPr>
      <w:sz w:val="21"/>
      <w:szCs w:val="21"/>
    </w:rPr>
  </w:style>
  <w:style w:type="paragraph" w:customStyle="1" w:styleId="38">
    <w:name w:val="Body Text First Indent"/>
    <w:basedOn w:val="11"/>
    <w:qFormat/>
    <w:uiPriority w:val="0"/>
    <w:pPr>
      <w:tabs>
        <w:tab w:val="left" w:pos="7655"/>
      </w:tabs>
      <w:ind w:firstLine="200" w:firstLineChars="200"/>
    </w:pPr>
  </w:style>
  <w:style w:type="character" w:customStyle="1" w:styleId="39">
    <w:name w:val="正文文本 Char"/>
    <w:basedOn w:val="34"/>
    <w:link w:val="11"/>
    <w:qFormat/>
    <w:uiPriority w:val="0"/>
    <w:rPr>
      <w:rFonts w:ascii="Times New Roman" w:hAnsi="Times New Roman" w:eastAsia="宋体" w:cs="Times New Roman"/>
      <w:szCs w:val="24"/>
    </w:rPr>
  </w:style>
  <w:style w:type="character" w:customStyle="1" w:styleId="40">
    <w:name w:val="标题 1 Char"/>
    <w:basedOn w:val="34"/>
    <w:link w:val="2"/>
    <w:qFormat/>
    <w:uiPriority w:val="99"/>
    <w:rPr>
      <w:rFonts w:ascii="Times New Roman" w:hAnsi="Times New Roman" w:eastAsia="宋体" w:cs="Times New Roman"/>
      <w:b/>
      <w:bCs/>
      <w:kern w:val="44"/>
      <w:sz w:val="44"/>
      <w:szCs w:val="44"/>
    </w:rPr>
  </w:style>
  <w:style w:type="character" w:customStyle="1" w:styleId="41">
    <w:name w:val="标题 2 Char"/>
    <w:basedOn w:val="34"/>
    <w:link w:val="3"/>
    <w:qFormat/>
    <w:uiPriority w:val="99"/>
    <w:rPr>
      <w:rFonts w:ascii="Arial" w:hAnsi="Arial" w:eastAsia="黑体" w:cs="Times New Roman"/>
      <w:b/>
      <w:bCs/>
      <w:kern w:val="0"/>
      <w:sz w:val="32"/>
      <w:szCs w:val="32"/>
    </w:rPr>
  </w:style>
  <w:style w:type="character" w:customStyle="1" w:styleId="42">
    <w:name w:val="标题 3 Char"/>
    <w:basedOn w:val="34"/>
    <w:link w:val="4"/>
    <w:qFormat/>
    <w:uiPriority w:val="99"/>
    <w:rPr>
      <w:rFonts w:ascii="Times New Roman" w:hAnsi="Times New Roman" w:eastAsia="宋体" w:cs="Times New Roman"/>
      <w:b/>
      <w:bCs/>
      <w:kern w:val="0"/>
      <w:sz w:val="32"/>
      <w:szCs w:val="32"/>
    </w:rPr>
  </w:style>
  <w:style w:type="character" w:customStyle="1" w:styleId="43">
    <w:name w:val="文档结构图 Char"/>
    <w:basedOn w:val="34"/>
    <w:link w:val="7"/>
    <w:qFormat/>
    <w:uiPriority w:val="99"/>
    <w:rPr>
      <w:rFonts w:ascii="宋体" w:hAnsi="Times New Roman" w:eastAsia="宋体" w:cs="Times New Roman"/>
      <w:kern w:val="0"/>
      <w:sz w:val="18"/>
      <w:szCs w:val="18"/>
    </w:rPr>
  </w:style>
  <w:style w:type="character" w:customStyle="1" w:styleId="44">
    <w:name w:val="批注文字 Char"/>
    <w:basedOn w:val="34"/>
    <w:link w:val="9"/>
    <w:qFormat/>
    <w:uiPriority w:val="99"/>
    <w:rPr>
      <w:rFonts w:ascii="Times New Roman" w:hAnsi="Times New Roman" w:eastAsia="宋体" w:cs="Times New Roman"/>
      <w:kern w:val="0"/>
      <w:szCs w:val="21"/>
    </w:rPr>
  </w:style>
  <w:style w:type="character" w:customStyle="1" w:styleId="45">
    <w:name w:val="正文文本 3 Char"/>
    <w:basedOn w:val="34"/>
    <w:link w:val="10"/>
    <w:qFormat/>
    <w:uiPriority w:val="99"/>
    <w:rPr>
      <w:rFonts w:ascii="宋体" w:hAnsi="Times New Roman" w:eastAsia="宋体" w:cs="Times New Roman"/>
      <w:kern w:val="0"/>
      <w:sz w:val="24"/>
      <w:szCs w:val="24"/>
    </w:rPr>
  </w:style>
  <w:style w:type="character" w:customStyle="1" w:styleId="46">
    <w:name w:val="正文文本缩进 Char"/>
    <w:basedOn w:val="34"/>
    <w:link w:val="15"/>
    <w:qFormat/>
    <w:uiPriority w:val="99"/>
    <w:rPr>
      <w:rFonts w:ascii="Times New Roman" w:hAnsi="Times New Roman" w:eastAsia="宋体" w:cs="Times New Roman"/>
      <w:kern w:val="0"/>
      <w:szCs w:val="21"/>
    </w:rPr>
  </w:style>
  <w:style w:type="character" w:customStyle="1" w:styleId="47">
    <w:name w:val="纯文本 Char"/>
    <w:basedOn w:val="34"/>
    <w:link w:val="14"/>
    <w:qFormat/>
    <w:uiPriority w:val="0"/>
    <w:rPr>
      <w:rFonts w:ascii="宋体" w:hAnsi="Courier New" w:eastAsia="宋体" w:cs="Times New Roman"/>
      <w:kern w:val="0"/>
      <w:szCs w:val="20"/>
    </w:rPr>
  </w:style>
  <w:style w:type="character" w:customStyle="1" w:styleId="48">
    <w:name w:val="批注框文本 Char"/>
    <w:basedOn w:val="34"/>
    <w:link w:val="19"/>
    <w:semiHidden/>
    <w:qFormat/>
    <w:uiPriority w:val="99"/>
    <w:rPr>
      <w:rFonts w:ascii="Times New Roman" w:hAnsi="Times New Roman" w:eastAsia="宋体" w:cs="Times New Roman"/>
      <w:kern w:val="0"/>
      <w:sz w:val="18"/>
      <w:szCs w:val="18"/>
    </w:rPr>
  </w:style>
  <w:style w:type="character" w:customStyle="1" w:styleId="49">
    <w:name w:val="页脚 Char"/>
    <w:basedOn w:val="34"/>
    <w:link w:val="20"/>
    <w:qFormat/>
    <w:uiPriority w:val="99"/>
    <w:rPr>
      <w:sz w:val="18"/>
      <w:szCs w:val="18"/>
    </w:rPr>
  </w:style>
  <w:style w:type="character" w:customStyle="1" w:styleId="50">
    <w:name w:val="页眉 Char"/>
    <w:basedOn w:val="34"/>
    <w:link w:val="21"/>
    <w:qFormat/>
    <w:uiPriority w:val="99"/>
    <w:rPr>
      <w:sz w:val="18"/>
      <w:szCs w:val="18"/>
    </w:rPr>
  </w:style>
  <w:style w:type="character" w:customStyle="1" w:styleId="51">
    <w:name w:val="脚注文本 Char"/>
    <w:basedOn w:val="34"/>
    <w:link w:val="24"/>
    <w:qFormat/>
    <w:uiPriority w:val="0"/>
    <w:rPr>
      <w:rFonts w:ascii="Times New Roman" w:hAnsi="Times New Roman" w:eastAsia="宋体" w:cs="Times New Roman"/>
      <w:kern w:val="0"/>
      <w:sz w:val="18"/>
      <w:szCs w:val="18"/>
    </w:rPr>
  </w:style>
  <w:style w:type="character" w:customStyle="1" w:styleId="52">
    <w:name w:val="正文文本 2 Char"/>
    <w:basedOn w:val="34"/>
    <w:link w:val="28"/>
    <w:qFormat/>
    <w:uiPriority w:val="0"/>
    <w:rPr>
      <w:rFonts w:ascii="Times New Roman" w:hAnsi="Times New Roman" w:eastAsia="宋体" w:cs="Times New Roman"/>
      <w:kern w:val="0"/>
      <w:szCs w:val="21"/>
    </w:rPr>
  </w:style>
  <w:style w:type="character" w:customStyle="1" w:styleId="53">
    <w:name w:val="批注主题 Char"/>
    <w:basedOn w:val="44"/>
    <w:link w:val="30"/>
    <w:qFormat/>
    <w:uiPriority w:val="99"/>
    <w:rPr>
      <w:b/>
      <w:bCs/>
    </w:rPr>
  </w:style>
  <w:style w:type="character" w:customStyle="1" w:styleId="54">
    <w:name w:val="正文首行缩进 2 Char"/>
    <w:basedOn w:val="46"/>
    <w:link w:val="31"/>
    <w:qFormat/>
    <w:uiPriority w:val="0"/>
  </w:style>
  <w:style w:type="character" w:customStyle="1" w:styleId="55">
    <w:name w:val="16"/>
    <w:qFormat/>
    <w:uiPriority w:val="0"/>
    <w:rPr>
      <w:rFonts w:hint="default" w:ascii="Times New Roman" w:hAnsi="Times New Roman" w:cs="Times New Roman"/>
      <w:b/>
      <w:bCs/>
      <w:sz w:val="32"/>
      <w:szCs w:val="32"/>
    </w:rPr>
  </w:style>
  <w:style w:type="character" w:customStyle="1" w:styleId="56">
    <w:name w:val="15"/>
    <w:qFormat/>
    <w:uiPriority w:val="0"/>
    <w:rPr>
      <w:rFonts w:hint="default" w:ascii="Times New Roman" w:hAnsi="Times New Roman" w:cs="Times New Roman"/>
      <w:b/>
      <w:bCs/>
      <w:kern w:val="44"/>
      <w:sz w:val="44"/>
      <w:szCs w:val="44"/>
    </w:rPr>
  </w:style>
  <w:style w:type="paragraph" w:customStyle="1" w:styleId="57">
    <w:name w:val="msolistparagraph"/>
    <w:basedOn w:val="1"/>
    <w:qFormat/>
    <w:uiPriority w:val="0"/>
    <w:pPr>
      <w:widowControl w:val="0"/>
      <w:ind w:firstLine="420" w:firstLineChars="200"/>
      <w:jc w:val="both"/>
    </w:pPr>
    <w:rPr>
      <w:kern w:val="2"/>
    </w:rPr>
  </w:style>
  <w:style w:type="paragraph" w:customStyle="1" w:styleId="58">
    <w:name w:val="索引 11"/>
    <w:basedOn w:val="1"/>
    <w:next w:val="1"/>
    <w:qFormat/>
    <w:uiPriority w:val="0"/>
    <w:pPr>
      <w:spacing w:line="360" w:lineRule="auto"/>
    </w:pPr>
    <w:rPr>
      <w:rFonts w:ascii="仿宋_GB2312" w:eastAsia="仿宋_GB2312"/>
      <w:sz w:val="24"/>
      <w:szCs w:val="20"/>
    </w:rPr>
  </w:style>
  <w:style w:type="paragraph" w:customStyle="1" w:styleId="59">
    <w:name w:val="正文缩进1"/>
    <w:basedOn w:val="1"/>
    <w:qFormat/>
    <w:uiPriority w:val="0"/>
    <w:pPr>
      <w:autoSpaceDE w:val="0"/>
      <w:autoSpaceDN w:val="0"/>
      <w:adjustRightInd w:val="0"/>
      <w:ind w:firstLine="420"/>
    </w:pPr>
    <w:rPr>
      <w:rFonts w:ascii="宋体" w:hAnsi="Calibri"/>
      <w:sz w:val="24"/>
      <w:szCs w:val="22"/>
    </w:rPr>
  </w:style>
  <w:style w:type="paragraph" w:customStyle="1" w:styleId="60">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61">
    <w:name w:val="纯文本1"/>
    <w:basedOn w:val="1"/>
    <w:qFormat/>
    <w:uiPriority w:val="0"/>
    <w:rPr>
      <w:rFonts w:ascii="宋体" w:hAnsi="Courier New"/>
      <w:szCs w:val="22"/>
    </w:rPr>
  </w:style>
  <w:style w:type="paragraph" w:customStyle="1" w:styleId="62">
    <w:name w:val="_Style 2"/>
    <w:basedOn w:val="1"/>
    <w:qFormat/>
    <w:uiPriority w:val="0"/>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kern w:val="0"/>
      <w:sz w:val="22"/>
      <w:szCs w:val="21"/>
      <w:lang w:val="en-US" w:eastAsia="zh-CN" w:bidi="ar-SA"/>
    </w:rPr>
  </w:style>
  <w:style w:type="paragraph" w:customStyle="1" w:styleId="64">
    <w:name w:val="列出段落1"/>
    <w:basedOn w:val="1"/>
    <w:qFormat/>
    <w:uiPriority w:val="0"/>
    <w:pPr>
      <w:ind w:firstLine="420" w:firstLineChars="200"/>
    </w:pPr>
  </w:style>
  <w:style w:type="paragraph" w:customStyle="1" w:styleId="65">
    <w:name w:val="Default"/>
    <w:qFormat/>
    <w:uiPriority w:val="0"/>
    <w:pPr>
      <w:widowControl w:val="0"/>
      <w:autoSpaceDE w:val="0"/>
      <w:autoSpaceDN w:val="0"/>
      <w:adjustRightInd w:val="0"/>
    </w:pPr>
    <w:rPr>
      <w:rFonts w:ascii="宋体" w:hAnsi="Times New Roman" w:eastAsia="宋体" w:cs="Times New Roman"/>
      <w:color w:val="000000"/>
      <w:kern w:val="0"/>
      <w:sz w:val="24"/>
      <w:szCs w:val="24"/>
      <w:lang w:val="en-US" w:eastAsia="zh-CN" w:bidi="ar-SA"/>
    </w:rPr>
  </w:style>
  <w:style w:type="character" w:customStyle="1" w:styleId="66">
    <w:name w:val="font81"/>
    <w:qFormat/>
    <w:uiPriority w:val="0"/>
    <w:rPr>
      <w:rFonts w:ascii="方正小标宋_GBK" w:hAnsi="方正小标宋_GBK" w:eastAsia="方正小标宋_GBK" w:cs="方正小标宋_GBK"/>
      <w:color w:val="000000"/>
      <w:sz w:val="40"/>
      <w:szCs w:val="40"/>
      <w:u w:val="none"/>
    </w:rPr>
  </w:style>
  <w:style w:type="character" w:customStyle="1" w:styleId="67">
    <w:name w:val="font41"/>
    <w:qFormat/>
    <w:uiPriority w:val="0"/>
    <w:rPr>
      <w:rFonts w:ascii="黑体" w:hAnsi="宋体" w:eastAsia="黑体" w:cs="黑体"/>
      <w:color w:val="000000"/>
      <w:sz w:val="32"/>
      <w:szCs w:val="32"/>
      <w:u w:val="none"/>
    </w:rPr>
  </w:style>
  <w:style w:type="character" w:customStyle="1" w:styleId="68">
    <w:name w:val="font21"/>
    <w:qFormat/>
    <w:uiPriority w:val="0"/>
    <w:rPr>
      <w:rFonts w:hint="default" w:ascii="Times New Roman" w:hAnsi="Times New Roman" w:cs="Times New Roman"/>
      <w:color w:val="000000"/>
      <w:sz w:val="32"/>
      <w:szCs w:val="32"/>
      <w:u w:val="none"/>
    </w:rPr>
  </w:style>
  <w:style w:type="character" w:customStyle="1" w:styleId="69">
    <w:name w:val="font91"/>
    <w:qFormat/>
    <w:uiPriority w:val="0"/>
    <w:rPr>
      <w:rFonts w:ascii="仿宋_GB2312" w:eastAsia="仿宋_GB2312" w:cs="仿宋_GB2312"/>
      <w:color w:val="000000"/>
      <w:sz w:val="32"/>
      <w:szCs w:val="32"/>
      <w:u w:val="none"/>
    </w:rPr>
  </w:style>
  <w:style w:type="character" w:customStyle="1" w:styleId="70">
    <w:name w:val="font61"/>
    <w:qFormat/>
    <w:uiPriority w:val="0"/>
    <w:rPr>
      <w:rFonts w:hint="default" w:ascii="仿宋_GB2312" w:eastAsia="仿宋_GB2312" w:cs="仿宋_GB2312"/>
      <w:color w:val="000000"/>
      <w:sz w:val="32"/>
      <w:szCs w:val="32"/>
      <w:u w:val="none"/>
    </w:rPr>
  </w:style>
  <w:style w:type="character" w:customStyle="1" w:styleId="71">
    <w:name w:val="font101"/>
    <w:basedOn w:val="34"/>
    <w:qFormat/>
    <w:uiPriority w:val="0"/>
    <w:rPr>
      <w:rFonts w:hint="default" w:ascii="仿宋_GB2312" w:eastAsia="仿宋_GB2312" w:cs="仿宋_GB2312"/>
      <w:color w:val="000000"/>
      <w:sz w:val="32"/>
      <w:szCs w:val="32"/>
      <w:u w:val="none"/>
    </w:rPr>
  </w:style>
  <w:style w:type="paragraph" w:customStyle="1" w:styleId="72">
    <w:name w:val="正文1"/>
    <w:next w:val="59"/>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73">
    <w:name w:val="Header or footer|1"/>
    <w:basedOn w:val="1"/>
    <w:qFormat/>
    <w:uiPriority w:val="0"/>
    <w:pPr>
      <w:widowControl w:val="0"/>
    </w:pPr>
    <w:rPr>
      <w:rFonts w:ascii="宋体" w:hAnsi="宋体" w:cs="宋体"/>
      <w:sz w:val="15"/>
      <w:szCs w:val="15"/>
    </w:rPr>
  </w:style>
  <w:style w:type="paragraph" w:customStyle="1" w:styleId="74">
    <w:name w:val="图表目录1"/>
    <w:basedOn w:val="75"/>
    <w:next w:val="75"/>
    <w:qFormat/>
    <w:uiPriority w:val="0"/>
    <w:pPr>
      <w:spacing w:line="480" w:lineRule="exact"/>
      <w:ind w:left="200" w:leftChars="200" w:hanging="200" w:hangingChars="200"/>
    </w:pPr>
    <w:rPr>
      <w:color w:val="7030A0"/>
      <w:sz w:val="24"/>
    </w:rPr>
  </w:style>
  <w:style w:type="paragraph" w:customStyle="1" w:styleId="75">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74"/>
    <w:qFormat/>
    <w:uiPriority w:val="0"/>
    <w:rPr>
      <w:rFonts w:ascii="Calibri" w:hAnsi="Calibri" w:cs="宋体"/>
    </w:rPr>
  </w:style>
  <w:style w:type="paragraph" w:customStyle="1" w:styleId="76">
    <w:name w:val="图表目录2"/>
    <w:basedOn w:val="75"/>
    <w:next w:val="75"/>
    <w:qFormat/>
    <w:uiPriority w:val="0"/>
    <w:pPr>
      <w:ind w:left="200" w:leftChars="200" w:hanging="200" w:hangingChars="200"/>
    </w:pPr>
  </w:style>
  <w:style w:type="paragraph" w:customStyle="1" w:styleId="77">
    <w:name w:val="Normal Indent1"/>
    <w:basedOn w:val="78"/>
    <w:qFormat/>
    <w:uiPriority w:val="99"/>
    <w:pPr>
      <w:ind w:firstLine="420" w:firstLineChars="200"/>
    </w:pPr>
    <w:rPr>
      <w:rFonts w:cs="Times New Roman"/>
    </w:rPr>
  </w:style>
  <w:style w:type="paragraph" w:customStyle="1" w:styleId="78">
    <w:name w:val="正文 New"/>
    <w:next w:val="76"/>
    <w:qFormat/>
    <w:uiPriority w:val="0"/>
    <w:pPr>
      <w:widowControl w:val="0"/>
      <w:jc w:val="both"/>
    </w:pPr>
    <w:rPr>
      <w:rFonts w:ascii="Calibri" w:hAnsi="Calibri" w:eastAsia="宋体" w:cs="黑体"/>
      <w:kern w:val="2"/>
      <w:sz w:val="21"/>
      <w:szCs w:val="22"/>
      <w:lang w:val="en-US" w:eastAsia="zh-CN" w:bidi="ar-SA"/>
    </w:rPr>
  </w:style>
  <w:style w:type="paragraph" w:customStyle="1" w:styleId="79">
    <w:name w:val="纯文本2"/>
    <w:basedOn w:val="1"/>
    <w:qFormat/>
    <w:uiPriority w:val="0"/>
    <w:pPr>
      <w:adjustRightInd w:val="0"/>
      <w:textAlignment w:val="baseline"/>
    </w:pPr>
    <w:rPr>
      <w:rFonts w:ascii="宋体" w:hAnsi="Courier New"/>
    </w:rPr>
  </w:style>
  <w:style w:type="paragraph" w:customStyle="1" w:styleId="80">
    <w:name w:val="表格文字"/>
    <w:basedOn w:val="1"/>
    <w:qFormat/>
    <w:uiPriority w:val="0"/>
    <w:pPr>
      <w:spacing w:before="25" w:after="25"/>
    </w:pPr>
    <w:rPr>
      <w:bCs/>
      <w:spacing w:val="10"/>
      <w:sz w:val="24"/>
    </w:rPr>
  </w:style>
  <w:style w:type="character" w:customStyle="1" w:styleId="81">
    <w:name w:val="NormalCharacter"/>
    <w:qFormat/>
    <w:uiPriority w:val="0"/>
  </w:style>
  <w:style w:type="paragraph" w:customStyle="1" w:styleId="82">
    <w:name w:val="段"/>
    <w:next w:val="1"/>
    <w:qFormat/>
    <w:uiPriority w:val="0"/>
    <w:pPr>
      <w:tabs>
        <w:tab w:val="center" w:pos="4201"/>
        <w:tab w:val="right" w:leader="dot" w:pos="9298"/>
      </w:tabs>
      <w:autoSpaceDE w:val="0"/>
      <w:autoSpaceDN w:val="0"/>
      <w:ind w:firstLine="420" w:firstLineChars="200"/>
      <w:jc w:val="both"/>
    </w:pPr>
    <w:rPr>
      <w:rFonts w:ascii="宋体" w:hAnsi="Calibri" w:eastAsia="Calibri" w:cs="Times New Roman"/>
      <w:kern w:val="0"/>
      <w:sz w:val="21"/>
      <w:szCs w:val="20"/>
      <w:lang w:val="en-US" w:eastAsia="zh-CN" w:bidi="ar-SA"/>
    </w:rPr>
  </w:style>
  <w:style w:type="paragraph" w:customStyle="1" w:styleId="83">
    <w:name w:val="_Style 1"/>
    <w:basedOn w:val="1"/>
    <w:qFormat/>
    <w:uiPriority w:val="0"/>
    <w:pPr>
      <w:ind w:firstLine="420" w:firstLineChars="200"/>
    </w:pPr>
    <w:rPr>
      <w:rFonts w:ascii="Calibri" w:hAnsi="Calibri" w:cs="黑体"/>
      <w:szCs w:val="24"/>
    </w:rPr>
  </w:style>
  <w:style w:type="character" w:customStyle="1" w:styleId="84">
    <w:name w:val="font111"/>
    <w:basedOn w:val="34"/>
    <w:qFormat/>
    <w:uiPriority w:val="0"/>
    <w:rPr>
      <w:rFonts w:hint="eastAsia" w:ascii="宋体" w:hAnsi="宋体" w:eastAsia="宋体" w:cs="宋体"/>
      <w:color w:val="000000"/>
      <w:sz w:val="24"/>
      <w:szCs w:val="24"/>
      <w:u w:val="none"/>
    </w:rPr>
  </w:style>
  <w:style w:type="character" w:customStyle="1" w:styleId="85">
    <w:name w:val="font51"/>
    <w:basedOn w:val="34"/>
    <w:qFormat/>
    <w:uiPriority w:val="0"/>
    <w:rPr>
      <w:rFonts w:hint="default" w:ascii="Times New Roman" w:hAnsi="Times New Roman" w:cs="Times New Roman"/>
      <w:color w:val="000000"/>
      <w:sz w:val="28"/>
      <w:szCs w:val="28"/>
      <w:u w:val="none"/>
      <w:vertAlign w:val="superscript"/>
    </w:rPr>
  </w:style>
  <w:style w:type="paragraph" w:customStyle="1" w:styleId="86">
    <w:name w:val="正文首行缩进1"/>
    <w:basedOn w:val="11"/>
    <w:qFormat/>
    <w:uiPriority w:val="0"/>
    <w:pPr>
      <w:tabs>
        <w:tab w:val="left" w:pos="7655"/>
      </w:tabs>
      <w:ind w:firstLine="200" w:firstLineChars="200"/>
    </w:pPr>
  </w:style>
  <w:style w:type="character" w:customStyle="1" w:styleId="87">
    <w:name w:val="font151"/>
    <w:basedOn w:val="34"/>
    <w:qFormat/>
    <w:uiPriority w:val="0"/>
    <w:rPr>
      <w:rFonts w:ascii="方正小标宋_GBK" w:hAnsi="方正小标宋_GBK" w:eastAsia="方正小标宋_GBK" w:cs="方正小标宋_GBK"/>
      <w:color w:val="000000"/>
      <w:sz w:val="36"/>
      <w:szCs w:val="36"/>
      <w:u w:val="none"/>
    </w:rPr>
  </w:style>
  <w:style w:type="character" w:customStyle="1" w:styleId="88">
    <w:name w:val="font161"/>
    <w:basedOn w:val="34"/>
    <w:qFormat/>
    <w:uiPriority w:val="0"/>
    <w:rPr>
      <w:rFonts w:ascii="黑体" w:hAnsi="宋体" w:eastAsia="黑体" w:cs="黑体"/>
      <w:color w:val="000000"/>
      <w:sz w:val="22"/>
      <w:szCs w:val="22"/>
      <w:u w:val="none"/>
    </w:rPr>
  </w:style>
  <w:style w:type="character" w:customStyle="1" w:styleId="89">
    <w:name w:val="font171"/>
    <w:basedOn w:val="34"/>
    <w:qFormat/>
    <w:uiPriority w:val="0"/>
    <w:rPr>
      <w:rFonts w:hint="eastAsia" w:ascii="黑体" w:hAnsi="宋体" w:eastAsia="黑体" w:cs="黑体"/>
      <w:color w:val="000000"/>
      <w:sz w:val="20"/>
      <w:szCs w:val="20"/>
      <w:u w:val="none"/>
    </w:rPr>
  </w:style>
  <w:style w:type="character" w:customStyle="1" w:styleId="90">
    <w:name w:val="font181"/>
    <w:basedOn w:val="34"/>
    <w:qFormat/>
    <w:uiPriority w:val="0"/>
    <w:rPr>
      <w:rFonts w:ascii="仿宋_GB2312" w:eastAsia="仿宋_GB2312" w:cs="仿宋_GB2312"/>
      <w:color w:val="000000"/>
      <w:sz w:val="22"/>
      <w:szCs w:val="22"/>
      <w:u w:val="none"/>
    </w:rPr>
  </w:style>
  <w:style w:type="character" w:customStyle="1" w:styleId="91">
    <w:name w:val="font191"/>
    <w:basedOn w:val="34"/>
    <w:qFormat/>
    <w:uiPriority w:val="0"/>
    <w:rPr>
      <w:rFonts w:hint="eastAsia" w:ascii="宋体" w:hAnsi="宋体" w:eastAsia="宋体" w:cs="宋体"/>
      <w:color w:val="000000"/>
      <w:sz w:val="22"/>
      <w:szCs w:val="22"/>
      <w:u w:val="none"/>
    </w:rPr>
  </w:style>
  <w:style w:type="character" w:customStyle="1" w:styleId="92">
    <w:name w:val="font112"/>
    <w:basedOn w:val="34"/>
    <w:qFormat/>
    <w:uiPriority w:val="0"/>
    <w:rPr>
      <w:rFonts w:hint="default" w:ascii="Times New Roman" w:hAnsi="Times New Roman" w:cs="Times New Roman"/>
      <w:b/>
      <w:bCs/>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3160</Words>
  <Characters>3815</Characters>
  <Lines>311</Lines>
  <Paragraphs>87</Paragraphs>
  <TotalTime>1</TotalTime>
  <ScaleCrop>false</ScaleCrop>
  <LinksUpToDate>false</LinksUpToDate>
  <CharactersWithSpaces>3820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2025-05-30T01:22:00Z</dcterms:created>
  <dc:creator>DELL</dc:creator>
  <cp:lastModifiedBy>Vivian</cp:lastModifiedBy>
  <cp:lastPrinted>2025-06-06T10:08:00Z</cp:lastPrinted>
  <dcterms:modified xsi:type="dcterms:W3CDTF">2025-06-08T07:34:48Z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9CCEF0E36CB84C10935A3DF8A31F20CB_13</vt:lpwstr>
  </property>
  <property fmtid="{D5CDD505-2E9C-101B-9397-08002B2CF9AE}" pid="4" name="KSOTemplateDocerSaveRecord">
    <vt:lpwstr>eyJoZGlkIjoiMDZkNDE1ZGM1ZWM4OGI4YjM4ZDkwZGQ5ZDc4ZGUyYWYiLCJ1c2VySWQiOiI2NTk2MTc0OTIifQ==</vt:lpwstr>
  </property>
</Properties>
</file>