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75" w:after="75"/>
        <w:jc w:val="center"/>
        <w:rPr>
          <w:rFonts w:hint="eastAsia" w:ascii="宋体" w:cs="宋体"/>
          <w:b/>
          <w:bCs/>
          <w:kern w:val="0"/>
          <w:sz w:val="24"/>
          <w:szCs w:val="24"/>
          <w:highlight w:val="none"/>
          <w:lang w:bidi="ar-SA"/>
        </w:rPr>
      </w:pPr>
      <w:r>
        <w:rPr>
          <w:rFonts w:hint="eastAsia" w:ascii="宋体" w:cs="宋体"/>
          <w:b/>
          <w:bCs/>
          <w:kern w:val="0"/>
          <w:sz w:val="36"/>
          <w:szCs w:val="36"/>
          <w:highlight w:val="none"/>
          <w:lang w:bidi="ar-SA"/>
        </w:rPr>
        <w:t> </w:t>
      </w:r>
      <w:bookmarkStart w:id="0" w:name="_GoBack"/>
      <w:r>
        <w:rPr>
          <w:rFonts w:hint="eastAsia" w:ascii="宋体" w:cs="宋体"/>
          <w:b/>
          <w:bCs/>
          <w:kern w:val="0"/>
          <w:sz w:val="36"/>
          <w:szCs w:val="36"/>
          <w:highlight w:val="none"/>
          <w:lang w:bidi="ar-SA"/>
        </w:rPr>
        <w:t>采购内容及要求</w:t>
      </w:r>
      <w:bookmarkEnd w:id="0"/>
    </w:p>
    <w:p>
      <w:pPr>
        <w:widowControl/>
        <w:spacing w:line="460" w:lineRule="exact"/>
        <w:jc w:val="left"/>
        <w:rPr>
          <w:rFonts w:hint="eastAsia" w:ascii="宋体" w:cs="宋体"/>
          <w:kern w:val="0"/>
          <w:sz w:val="24"/>
          <w:szCs w:val="24"/>
          <w:highlight w:val="none"/>
          <w:lang w:bidi="ar-SA"/>
        </w:rPr>
      </w:pPr>
      <w:r>
        <w:rPr>
          <w:rFonts w:hint="eastAsia" w:ascii="宋体" w:cs="宋体"/>
          <w:b/>
          <w:kern w:val="0"/>
          <w:sz w:val="24"/>
          <w:szCs w:val="24"/>
          <w:highlight w:val="none"/>
          <w:lang w:bidi="ar-SA"/>
        </w:rPr>
        <w:t> </w:t>
      </w:r>
      <w:r>
        <w:rPr>
          <w:rFonts w:ascii="Arial" w:hAnsi="Arial" w:cs="Arial"/>
          <w:b/>
          <w:kern w:val="0"/>
          <w:sz w:val="24"/>
          <w:szCs w:val="24"/>
          <w:highlight w:val="none"/>
          <w:lang w:bidi="ar-SA"/>
        </w:rPr>
        <w:t>一、</w:t>
      </w:r>
      <w:r>
        <w:rPr>
          <w:rFonts w:hint="eastAsia" w:ascii="宋体" w:cs="宋体"/>
          <w:b/>
          <w:kern w:val="0"/>
          <w:sz w:val="24"/>
          <w:szCs w:val="24"/>
          <w:highlight w:val="none"/>
          <w:lang w:bidi="ar-SA"/>
        </w:rPr>
        <w:t>项目概况及要求</w:t>
      </w:r>
    </w:p>
    <w:p>
      <w:pPr>
        <w:ind w:firstLine="960" w:firstLineChars="400"/>
        <w:rPr>
          <w:rFonts w:ascii="宋体" w:cs="宋体"/>
          <w:color w:val="FF0000"/>
          <w:kern w:val="0"/>
          <w:sz w:val="24"/>
          <w:szCs w:val="24"/>
        </w:rPr>
      </w:pPr>
      <w:r>
        <w:rPr>
          <w:rFonts w:hint="eastAsia" w:ascii="宋体" w:cs="宋体"/>
          <w:color w:val="FF0000"/>
          <w:kern w:val="0"/>
          <w:sz w:val="24"/>
          <w:szCs w:val="24"/>
        </w:rPr>
        <w:t>1、项目概况：为认真贯彻习近平总书记关于防灾减灾重要指示批示精神，落实省委省政府关于加强地质灾害防御能力和水平的部署要求，抓实抓细地质灾害防治各项工作，省自然资源厅全面开展“天上看、地上查、动态管”地质灾害隐患排查工作，进一步掌握寿宁县南阳镇地质灾害风险底数和动态变化情况。</w:t>
      </w:r>
    </w:p>
    <w:p>
      <w:pPr>
        <w:ind w:firstLine="960" w:firstLineChars="400"/>
        <w:rPr>
          <w:rFonts w:ascii="宋体" w:cs="宋体"/>
          <w:color w:val="FF0000"/>
          <w:kern w:val="0"/>
          <w:sz w:val="24"/>
          <w:szCs w:val="24"/>
        </w:rPr>
      </w:pPr>
      <w:r>
        <w:rPr>
          <w:rFonts w:hint="eastAsia" w:ascii="宋体" w:cs="宋体"/>
          <w:color w:val="FF0000"/>
          <w:kern w:val="0"/>
          <w:sz w:val="24"/>
          <w:szCs w:val="24"/>
        </w:rPr>
        <w:t>2、要求：（1）技术要求：对福建省自然资源厅地质灾害隐患精准摸排（A</w:t>
      </w:r>
      <w:r>
        <w:rPr>
          <w:rFonts w:ascii="宋体" w:cs="宋体"/>
          <w:color w:val="FF0000"/>
          <w:kern w:val="0"/>
          <w:sz w:val="24"/>
          <w:szCs w:val="24"/>
        </w:rPr>
        <w:t>PP</w:t>
      </w:r>
      <w:r>
        <w:rPr>
          <w:rFonts w:hint="eastAsia" w:ascii="宋体" w:cs="宋体"/>
          <w:color w:val="FF0000"/>
          <w:kern w:val="0"/>
          <w:sz w:val="24"/>
          <w:szCs w:val="24"/>
        </w:rPr>
        <w:t>）系统下发的南阳镇1600个房前、屋后高陡边坡图斑进行实地排查，查明系统下发图斑对应的房屋是否存在及房屋切坡高度，根据《福建省地质灾害隐患排查管理系统用户手册》要求完成各图斑相应的信息填报及现场照片采集工作。</w:t>
      </w:r>
    </w:p>
    <w:p>
      <w:pPr>
        <w:ind w:firstLine="960" w:firstLineChars="400"/>
        <w:rPr>
          <w:rFonts w:ascii="宋体" w:cs="宋体"/>
          <w:color w:val="FF0000"/>
          <w:kern w:val="0"/>
          <w:sz w:val="24"/>
          <w:szCs w:val="24"/>
        </w:rPr>
      </w:pPr>
      <w:r>
        <w:rPr>
          <w:rFonts w:hint="eastAsia" w:ascii="宋体" w:cs="宋体"/>
          <w:color w:val="FF0000"/>
          <w:kern w:val="0"/>
          <w:sz w:val="24"/>
          <w:szCs w:val="24"/>
        </w:rPr>
        <w:t>（2）质量要求：完成南阳镇1600个房前、屋后高陡边坡图斑信息填报、现场照片采集任务，并通过乡镇、县局、市局审核及省自然资源厅抽查。</w:t>
      </w:r>
    </w:p>
    <w:p>
      <w:pPr>
        <w:ind w:firstLine="960" w:firstLineChars="400"/>
        <w:rPr>
          <w:rFonts w:ascii="宋体" w:cs="宋体"/>
          <w:color w:val="FF0000"/>
          <w:kern w:val="0"/>
          <w:sz w:val="24"/>
          <w:szCs w:val="24"/>
        </w:rPr>
      </w:pPr>
      <w:r>
        <w:rPr>
          <w:rFonts w:hint="eastAsia" w:ascii="宋体" w:cs="宋体"/>
          <w:color w:val="FF0000"/>
          <w:kern w:val="0"/>
          <w:sz w:val="24"/>
          <w:szCs w:val="24"/>
        </w:rPr>
        <w:t>（3）设备要求：5</w:t>
      </w:r>
      <w:r>
        <w:rPr>
          <w:rFonts w:ascii="宋体" w:cs="宋体"/>
          <w:color w:val="FF0000"/>
          <w:kern w:val="0"/>
          <w:sz w:val="24"/>
          <w:szCs w:val="24"/>
        </w:rPr>
        <w:t>G</w:t>
      </w:r>
      <w:r>
        <w:rPr>
          <w:rFonts w:hint="eastAsia" w:ascii="宋体" w:cs="宋体"/>
          <w:color w:val="FF0000"/>
          <w:kern w:val="0"/>
          <w:sz w:val="24"/>
          <w:szCs w:val="24"/>
        </w:rPr>
        <w:t>手机，安装福建省地质灾害隐患精准排查A</w:t>
      </w:r>
      <w:r>
        <w:rPr>
          <w:rFonts w:ascii="宋体" w:cs="宋体"/>
          <w:color w:val="FF0000"/>
          <w:kern w:val="0"/>
          <w:sz w:val="24"/>
          <w:szCs w:val="24"/>
        </w:rPr>
        <w:t>PP</w:t>
      </w:r>
      <w:r>
        <w:rPr>
          <w:rFonts w:hint="eastAsia" w:ascii="宋体" w:cs="宋体"/>
          <w:color w:val="FF0000"/>
          <w:kern w:val="0"/>
          <w:sz w:val="24"/>
          <w:szCs w:val="24"/>
        </w:rPr>
        <w:t>。</w:t>
      </w:r>
    </w:p>
    <w:p>
      <w:pPr>
        <w:ind w:firstLine="960" w:firstLineChars="400"/>
        <w:rPr>
          <w:rFonts w:ascii="宋体" w:cs="宋体"/>
          <w:color w:val="FF0000"/>
          <w:kern w:val="0"/>
          <w:sz w:val="24"/>
          <w:szCs w:val="24"/>
        </w:rPr>
      </w:pPr>
      <w:r>
        <w:rPr>
          <w:rFonts w:hint="eastAsia" w:ascii="宋体" w:cs="宋体"/>
          <w:color w:val="FF0000"/>
          <w:kern w:val="0"/>
          <w:sz w:val="24"/>
          <w:szCs w:val="24"/>
        </w:rPr>
        <w:t>（4）时间要求：中标企业单位应在收到中标通知书后10天内完成该项目，逾期按合同约定支付违约金。</w:t>
      </w:r>
    </w:p>
    <w:p>
      <w:pPr>
        <w:widowControl/>
        <w:spacing w:line="460" w:lineRule="exact"/>
        <w:jc w:val="left"/>
        <w:rPr>
          <w:rFonts w:hint="eastAsia" w:ascii="宋体" w:cs="宋体"/>
          <w:kern w:val="0"/>
          <w:sz w:val="24"/>
          <w:szCs w:val="24"/>
        </w:rPr>
      </w:pPr>
    </w:p>
    <w:p>
      <w:pPr>
        <w:spacing w:line="460" w:lineRule="exact"/>
        <w:rPr>
          <w:rFonts w:ascii="宋体" w:cs="宋体"/>
          <w:b/>
          <w:bCs/>
          <w:sz w:val="24"/>
          <w:szCs w:val="24"/>
        </w:rPr>
      </w:pPr>
      <w:r>
        <w:rPr>
          <w:rFonts w:hint="eastAsia" w:ascii="宋体" w:cs="宋体"/>
          <w:kern w:val="0"/>
          <w:sz w:val="24"/>
          <w:szCs w:val="24"/>
        </w:rPr>
        <w:t>二、</w:t>
      </w:r>
      <w:r>
        <w:rPr>
          <w:rFonts w:hint="eastAsia" w:ascii="宋体" w:cs="宋体"/>
          <w:b/>
          <w:bCs/>
          <w:sz w:val="24"/>
          <w:szCs w:val="24"/>
        </w:rPr>
        <w:t>技术和服务要求：</w:t>
      </w:r>
    </w:p>
    <w:p>
      <w:pPr>
        <w:pStyle w:val="3"/>
        <w:spacing w:before="75" w:beforeAutospacing="0" w:after="75" w:afterAutospacing="0" w:line="460" w:lineRule="exact"/>
        <w:ind w:firstLine="424" w:firstLineChars="177"/>
        <w:rPr>
          <w:color w:val="FF0000"/>
        </w:rPr>
      </w:pPr>
      <w:r>
        <w:rPr>
          <w:rFonts w:hint="eastAsia"/>
          <w:color w:val="FF0000"/>
        </w:rPr>
        <w:t>1、对福建省自然资源厅地质灾害隐患精准摸排（A</w:t>
      </w:r>
      <w:r>
        <w:rPr>
          <w:color w:val="FF0000"/>
        </w:rPr>
        <w:t>PP</w:t>
      </w:r>
      <w:r>
        <w:rPr>
          <w:rFonts w:hint="eastAsia"/>
          <w:color w:val="FF0000"/>
        </w:rPr>
        <w:t>）系统下发的南阳镇1600个房前、屋后高陡边坡图斑进行实地排查，查明系统下发图斑对应的房屋是否存在及房屋切坡高度，根据《福建省地质灾害隐患排查管理系统用户手册》要求完成各图斑相应的信息填报及现场照片采集工作。</w:t>
      </w:r>
    </w:p>
    <w:p>
      <w:pPr>
        <w:pStyle w:val="3"/>
        <w:spacing w:before="75" w:beforeAutospacing="0" w:after="75" w:afterAutospacing="0" w:line="460" w:lineRule="exact"/>
        <w:ind w:firstLine="424" w:firstLineChars="177"/>
        <w:rPr>
          <w:color w:val="FF0000"/>
        </w:rPr>
      </w:pPr>
      <w:r>
        <w:rPr>
          <w:rFonts w:hint="eastAsia"/>
          <w:color w:val="FF0000"/>
        </w:rPr>
        <w:t>2、中标企业单位应在收到中标通知书后</w:t>
      </w:r>
      <w:r>
        <w:rPr>
          <w:rFonts w:hint="eastAsia"/>
          <w:color w:val="FF0000"/>
          <w:lang w:val="en-US" w:eastAsia="zh-CN"/>
        </w:rPr>
        <w:t>20</w:t>
      </w:r>
      <w:r>
        <w:rPr>
          <w:rFonts w:hint="eastAsia"/>
          <w:color w:val="FF0000"/>
        </w:rPr>
        <w:t>天内，完成南阳镇1600个房前、屋后高陡边坡图斑信息填报、现场照片采集任务，并通过乡镇、县局、市局审核及省自然资源厅抽查。</w:t>
      </w:r>
    </w:p>
    <w:p>
      <w:pPr>
        <w:pStyle w:val="3"/>
        <w:spacing w:before="75" w:beforeAutospacing="0" w:after="75" w:afterAutospacing="0" w:line="460" w:lineRule="exact"/>
        <w:rPr>
          <w:b/>
          <w:bCs/>
          <w:highlight w:val="none"/>
        </w:rPr>
      </w:pPr>
      <w:r>
        <w:rPr>
          <w:b/>
          <w:bCs/>
          <w:highlight w:val="none"/>
        </w:rPr>
        <w:t>三、商务条件</w:t>
      </w:r>
    </w:p>
    <w:p>
      <w:pPr>
        <w:pStyle w:val="3"/>
        <w:spacing w:before="75" w:beforeAutospacing="0" w:after="75" w:afterAutospacing="0" w:line="460" w:lineRule="exact"/>
        <w:ind w:firstLine="424" w:firstLineChars="177"/>
        <w:rPr>
          <w:rFonts w:hint="eastAsia" w:ascii="新宋体" w:eastAsia="新宋体" w:cs="新宋体"/>
          <w:highlight w:val="none"/>
          <w:lang w:eastAsia="zh-CN" w:bidi="ar-SA"/>
        </w:rPr>
      </w:pPr>
      <w:r>
        <w:rPr>
          <w:highlight w:val="none"/>
        </w:rPr>
        <w:t>1</w:t>
      </w:r>
      <w:r>
        <w:rPr>
          <w:rFonts w:hint="eastAsia" w:ascii="新宋体" w:eastAsia="新宋体" w:cs="新宋体"/>
          <w:highlight w:val="none"/>
          <w:lang w:bidi="ar-SA"/>
        </w:rPr>
        <w:t>、交付地点：</w:t>
      </w:r>
      <w:r>
        <w:rPr>
          <w:rFonts w:hint="eastAsia" w:ascii="新宋体" w:eastAsia="新宋体" w:cs="新宋体"/>
          <w:highlight w:val="none"/>
          <w:lang w:val="en-US" w:eastAsia="zh-CN" w:bidi="ar-SA"/>
        </w:rPr>
        <w:t>采购人</w:t>
      </w:r>
      <w:r>
        <w:rPr>
          <w:rFonts w:hint="eastAsia" w:ascii="新宋体" w:eastAsia="新宋体" w:cs="新宋体"/>
          <w:highlight w:val="none"/>
          <w:lang w:bidi="ar-SA"/>
        </w:rPr>
        <w:t>指定地点</w:t>
      </w:r>
      <w:r>
        <w:rPr>
          <w:rFonts w:hint="eastAsia" w:ascii="新宋体" w:eastAsia="新宋体" w:cs="新宋体"/>
          <w:highlight w:val="none"/>
          <w:lang w:eastAsia="zh-CN" w:bidi="ar-SA"/>
        </w:rPr>
        <w:t>。</w:t>
      </w:r>
    </w:p>
    <w:p>
      <w:pPr>
        <w:pStyle w:val="3"/>
        <w:spacing w:before="75" w:beforeAutospacing="0" w:after="75" w:afterAutospacing="0" w:line="460" w:lineRule="exact"/>
        <w:ind w:firstLine="424" w:firstLineChars="177"/>
        <w:rPr>
          <w:rFonts w:hint="eastAsia" w:eastAsia="新宋体" w:cs="宋体"/>
          <w:szCs w:val="21"/>
          <w:highlight w:val="none"/>
          <w:lang w:val="en-US" w:eastAsia="zh-CN" w:bidi="ar-SA"/>
        </w:rPr>
      </w:pPr>
      <w:r>
        <w:rPr>
          <w:rFonts w:hint="eastAsia" w:ascii="新宋体" w:eastAsia="新宋体" w:cs="新宋体"/>
          <w:highlight w:val="none"/>
          <w:lang w:bidi="ar-SA"/>
        </w:rPr>
        <w:t>2、交付时间：</w:t>
      </w:r>
      <w:r>
        <w:rPr>
          <w:rFonts w:hint="eastAsia" w:eastAsia="新宋体" w:cs="宋体"/>
          <w:szCs w:val="21"/>
          <w:highlight w:val="none"/>
          <w:lang w:val="en-US" w:eastAsia="zh-CN" w:bidi="ar-SA"/>
        </w:rPr>
        <w:t xml:space="preserve"> 20天内</w:t>
      </w:r>
    </w:p>
    <w:p>
      <w:pPr>
        <w:pStyle w:val="3"/>
        <w:spacing w:before="75" w:beforeAutospacing="0" w:after="75" w:afterAutospacing="0" w:line="460" w:lineRule="exact"/>
        <w:ind w:firstLine="424" w:firstLineChars="177"/>
        <w:rPr>
          <w:rFonts w:hint="eastAsia" w:ascii="新宋体" w:eastAsia="新宋体" w:cs="新宋体"/>
          <w:b/>
          <w:highlight w:val="none"/>
          <w:lang w:bidi="ar-SA"/>
        </w:rPr>
      </w:pPr>
      <w:r>
        <w:rPr>
          <w:rFonts w:hint="eastAsia" w:eastAsia="新宋体" w:cs="宋体"/>
          <w:szCs w:val="21"/>
          <w:highlight w:val="none"/>
          <w:lang w:val="en-US" w:eastAsia="zh-CN" w:bidi="ar-SA"/>
        </w:rPr>
        <w:t xml:space="preserve"> </w:t>
      </w:r>
      <w:r>
        <w:rPr>
          <w:rFonts w:hint="eastAsia" w:ascii="新宋体" w:eastAsia="新宋体" w:cs="新宋体"/>
          <w:highlight w:val="none"/>
          <w:lang w:bidi="ar-SA"/>
        </w:rPr>
        <w:t>3、交付条件：按磋商文件和合同要求验收合格</w:t>
      </w:r>
      <w:r>
        <w:rPr>
          <w:rFonts w:hint="eastAsia" w:ascii="新宋体" w:eastAsia="新宋体" w:cs="新宋体"/>
          <w:b/>
          <w:highlight w:val="none"/>
          <w:lang w:bidi="ar-SA"/>
        </w:rPr>
        <w:t>。</w:t>
      </w:r>
    </w:p>
    <w:p>
      <w:pPr>
        <w:pStyle w:val="3"/>
        <w:spacing w:before="75" w:beforeAutospacing="0" w:after="75" w:afterAutospacing="0" w:line="460" w:lineRule="exact"/>
        <w:ind w:firstLine="424" w:firstLineChars="177"/>
        <w:rPr>
          <w:highlight w:val="none"/>
        </w:rPr>
      </w:pPr>
      <w:r>
        <w:rPr>
          <w:rFonts w:hint="eastAsia" w:ascii="新宋体" w:eastAsia="新宋体" w:cs="新宋体"/>
          <w:highlight w:val="none"/>
          <w:lang w:bidi="ar-SA"/>
        </w:rPr>
        <w:t>4、是否收取履约保证金：</w:t>
      </w:r>
      <w:r>
        <w:rPr>
          <w:rFonts w:hint="eastAsia" w:ascii="新宋体" w:eastAsia="新宋体" w:cs="新宋体"/>
          <w:b/>
          <w:bCs/>
          <w:highlight w:val="none"/>
          <w:lang w:eastAsia="zh-CN" w:bidi="ar-SA"/>
        </w:rPr>
        <w:t>否</w:t>
      </w:r>
      <w:r>
        <w:rPr>
          <w:b/>
          <w:highlight w:val="none"/>
        </w:rPr>
        <w:t>。</w:t>
      </w:r>
    </w:p>
    <w:p>
      <w:pPr>
        <w:pStyle w:val="3"/>
        <w:spacing w:before="75" w:beforeAutospacing="0" w:after="75" w:afterAutospacing="0" w:line="460" w:lineRule="exact"/>
        <w:ind w:firstLine="424" w:firstLineChars="177"/>
        <w:rPr>
          <w:rFonts w:hint="eastAsia" w:eastAsia="宋体"/>
          <w:highlight w:val="none"/>
          <w:lang w:eastAsia="zh-CN"/>
        </w:rPr>
      </w:pPr>
      <w:r>
        <w:rPr>
          <w:highlight w:val="none"/>
        </w:rPr>
        <w:t>5、是否邀请投标人参与验收</w:t>
      </w:r>
      <w:r>
        <w:rPr>
          <w:rFonts w:hint="eastAsia"/>
          <w:highlight w:val="none"/>
          <w:lang w:eastAsia="zh-CN"/>
        </w:rPr>
        <w:t>：</w:t>
      </w:r>
      <w:r>
        <w:rPr>
          <w:rFonts w:hint="eastAsia" w:ascii="新宋体" w:eastAsia="新宋体" w:cs="新宋体"/>
          <w:b/>
          <w:bCs/>
          <w:highlight w:val="none"/>
          <w:lang w:eastAsia="zh-CN" w:bidi="ar-SA"/>
        </w:rPr>
        <w:t>否</w:t>
      </w:r>
      <w:r>
        <w:rPr>
          <w:highlight w:val="none"/>
        </w:rPr>
        <w:t>。</w:t>
      </w:r>
    </w:p>
    <w:p>
      <w:pPr>
        <w:pStyle w:val="3"/>
        <w:spacing w:before="75" w:beforeAutospacing="0" w:after="75" w:afterAutospacing="0" w:line="460" w:lineRule="exact"/>
        <w:ind w:firstLine="424" w:firstLineChars="177"/>
        <w:rPr>
          <w:rFonts w:hint="eastAsia" w:ascii="新宋体" w:eastAsia="新宋体" w:cs="新宋体"/>
          <w:highlight w:val="none"/>
          <w:lang w:bidi="ar-SA"/>
        </w:rPr>
      </w:pPr>
      <w:r>
        <w:rPr>
          <w:rFonts w:hint="eastAsia" w:ascii="新宋体" w:eastAsia="新宋体" w:cs="新宋体"/>
          <w:highlight w:val="none"/>
          <w:lang w:bidi="ar-SA"/>
        </w:rPr>
        <w:t>6、验收方式数据表格</w:t>
      </w:r>
    </w:p>
    <w:tbl>
      <w:tblPr>
        <w:tblStyle w:val="4"/>
        <w:tblW w:w="8655" w:type="dxa"/>
        <w:tblInd w:w="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284"/>
        <w:gridCol w:w="737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1284" w:type="dxa"/>
            <w:tcBorders>
              <w:top w:val="outset" w:color="auto" w:sz="6" w:space="0"/>
              <w:left w:val="outset" w:color="auto" w:sz="6" w:space="0"/>
              <w:bottom w:val="outset" w:color="auto" w:sz="6" w:space="0"/>
              <w:right w:val="outset" w:color="auto" w:sz="6" w:space="0"/>
            </w:tcBorders>
            <w:noWrap w:val="0"/>
            <w:vAlign w:val="center"/>
          </w:tcPr>
          <w:p>
            <w:pPr>
              <w:widowControl/>
              <w:spacing w:line="360" w:lineRule="auto"/>
              <w:jc w:val="left"/>
              <w:rPr>
                <w:rFonts w:hint="eastAsia" w:ascii="新宋体" w:eastAsia="新宋体" w:cs="新宋体"/>
                <w:sz w:val="24"/>
                <w:szCs w:val="24"/>
                <w:highlight w:val="none"/>
                <w:lang w:bidi="ar-SA"/>
              </w:rPr>
            </w:pPr>
            <w:r>
              <w:rPr>
                <w:rFonts w:hint="eastAsia" w:ascii="新宋体" w:eastAsia="新宋体" w:cs="新宋体"/>
                <w:kern w:val="0"/>
                <w:sz w:val="24"/>
                <w:szCs w:val="24"/>
                <w:highlight w:val="none"/>
                <w:lang w:bidi="ar-SA"/>
              </w:rPr>
              <w:t>验收期次</w:t>
            </w:r>
          </w:p>
        </w:tc>
        <w:tc>
          <w:tcPr>
            <w:tcW w:w="7371" w:type="dxa"/>
            <w:tcBorders>
              <w:top w:val="outset" w:color="auto" w:sz="6" w:space="0"/>
              <w:left w:val="outset" w:color="auto" w:sz="6" w:space="0"/>
              <w:bottom w:val="outset" w:color="auto" w:sz="6" w:space="0"/>
              <w:right w:val="outset" w:color="auto" w:sz="6" w:space="0"/>
            </w:tcBorders>
            <w:noWrap w:val="0"/>
            <w:vAlign w:val="center"/>
          </w:tcPr>
          <w:p>
            <w:pPr>
              <w:widowControl/>
              <w:spacing w:line="360" w:lineRule="auto"/>
              <w:jc w:val="left"/>
              <w:rPr>
                <w:rFonts w:hint="eastAsia" w:ascii="新宋体" w:eastAsia="新宋体" w:cs="新宋体"/>
                <w:sz w:val="24"/>
                <w:szCs w:val="24"/>
                <w:highlight w:val="none"/>
                <w:lang w:bidi="ar-SA"/>
              </w:rPr>
            </w:pPr>
            <w:r>
              <w:rPr>
                <w:rFonts w:hint="eastAsia" w:ascii="新宋体" w:eastAsia="新宋体" w:cs="新宋体"/>
                <w:kern w:val="0"/>
                <w:sz w:val="24"/>
                <w:szCs w:val="24"/>
                <w:highlight w:val="none"/>
                <w:lang w:bidi="ar-SA"/>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284" w:type="dxa"/>
            <w:tcBorders>
              <w:top w:val="outset" w:color="auto" w:sz="6" w:space="0"/>
              <w:left w:val="outset" w:color="auto" w:sz="6" w:space="0"/>
              <w:bottom w:val="outset" w:color="auto" w:sz="6" w:space="0"/>
              <w:right w:val="outset" w:color="auto" w:sz="6" w:space="0"/>
            </w:tcBorders>
            <w:noWrap w:val="0"/>
            <w:vAlign w:val="center"/>
          </w:tcPr>
          <w:p>
            <w:pPr>
              <w:widowControl/>
              <w:spacing w:line="360" w:lineRule="auto"/>
              <w:jc w:val="left"/>
              <w:rPr>
                <w:rFonts w:hint="eastAsia" w:ascii="新宋体" w:eastAsia="新宋体" w:cs="新宋体"/>
                <w:sz w:val="24"/>
                <w:szCs w:val="24"/>
                <w:highlight w:val="none"/>
                <w:lang w:bidi="ar-SA"/>
              </w:rPr>
            </w:pPr>
            <w:r>
              <w:rPr>
                <w:rFonts w:hint="eastAsia" w:ascii="新宋体" w:eastAsia="新宋体" w:cs="新宋体"/>
                <w:kern w:val="0"/>
                <w:sz w:val="24"/>
                <w:szCs w:val="24"/>
                <w:highlight w:val="none"/>
                <w:lang w:bidi="ar-SA"/>
              </w:rPr>
              <w:t>1</w:t>
            </w:r>
          </w:p>
        </w:tc>
        <w:tc>
          <w:tcPr>
            <w:tcW w:w="7371" w:type="dxa"/>
            <w:tcBorders>
              <w:top w:val="outset" w:color="auto" w:sz="6" w:space="0"/>
              <w:left w:val="outset" w:color="auto" w:sz="6" w:space="0"/>
              <w:bottom w:val="outset" w:color="auto" w:sz="6" w:space="0"/>
              <w:right w:val="outset" w:color="auto" w:sz="6" w:space="0"/>
            </w:tcBorders>
            <w:noWrap w:val="0"/>
            <w:vAlign w:val="center"/>
          </w:tcPr>
          <w:p>
            <w:pPr>
              <w:widowControl/>
              <w:jc w:val="left"/>
              <w:rPr>
                <w:rFonts w:hint="eastAsia" w:ascii="宋体" w:cs="宋体"/>
                <w:kern w:val="0"/>
                <w:sz w:val="24"/>
                <w:szCs w:val="24"/>
                <w:highlight w:val="none"/>
                <w:lang w:bidi="ar-SA"/>
              </w:rPr>
            </w:pPr>
            <w:r>
              <w:rPr>
                <w:rFonts w:hint="eastAsia" w:ascii="宋体" w:cs="宋体"/>
                <w:kern w:val="0"/>
                <w:sz w:val="24"/>
                <w:szCs w:val="24"/>
                <w:highlight w:val="none"/>
                <w:lang w:bidi="ar-SA"/>
              </w:rPr>
              <w:t>按磋商文件和合同要求执行</w:t>
            </w:r>
          </w:p>
        </w:tc>
      </w:tr>
    </w:tbl>
    <w:p>
      <w:pPr>
        <w:widowControl/>
        <w:spacing w:line="360" w:lineRule="auto"/>
        <w:jc w:val="left"/>
        <w:rPr>
          <w:rFonts w:hint="eastAsia" w:ascii="新宋体" w:eastAsia="新宋体" w:cs="新宋体"/>
          <w:sz w:val="24"/>
          <w:szCs w:val="24"/>
          <w:highlight w:val="none"/>
          <w:lang w:bidi="ar-SA"/>
        </w:rPr>
      </w:pPr>
      <w:r>
        <w:rPr>
          <w:rFonts w:hint="eastAsia" w:ascii="新宋体" w:eastAsia="新宋体" w:cs="新宋体"/>
          <w:kern w:val="0"/>
          <w:sz w:val="24"/>
          <w:szCs w:val="24"/>
          <w:highlight w:val="none"/>
          <w:lang w:bidi="ar-SA"/>
        </w:rPr>
        <w:t>7、支付方式数据表格</w:t>
      </w:r>
    </w:p>
    <w:tbl>
      <w:tblPr>
        <w:tblStyle w:val="4"/>
        <w:tblW w:w="5009" w:type="pct"/>
        <w:tblInd w:w="7" w:type="dxa"/>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Layout w:type="autofit"/>
        <w:tblCellMar>
          <w:top w:w="0" w:type="dxa"/>
          <w:left w:w="0" w:type="dxa"/>
          <w:bottom w:w="0" w:type="dxa"/>
          <w:right w:w="0" w:type="dxa"/>
        </w:tblCellMar>
      </w:tblPr>
      <w:tblGrid>
        <w:gridCol w:w="1231"/>
        <w:gridCol w:w="1367"/>
        <w:gridCol w:w="5739"/>
      </w:tblGrid>
      <w:tr>
        <w:tblPrEx>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CellMar>
            <w:top w:w="0" w:type="dxa"/>
            <w:left w:w="0" w:type="dxa"/>
            <w:bottom w:w="0" w:type="dxa"/>
            <w:right w:w="0" w:type="dxa"/>
          </w:tblCellMar>
        </w:tblPrEx>
        <w:trPr>
          <w:tblHeader/>
        </w:trPr>
        <w:tc>
          <w:tcPr>
            <w:tcW w:w="1287"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widowControl/>
              <w:jc w:val="left"/>
              <w:rPr>
                <w:rFonts w:hint="eastAsia" w:ascii="宋体" w:cs="宋体"/>
                <w:kern w:val="0"/>
                <w:sz w:val="24"/>
                <w:szCs w:val="24"/>
                <w:highlight w:val="none"/>
                <w:lang w:bidi="ar-SA"/>
              </w:rPr>
            </w:pPr>
            <w:r>
              <w:rPr>
                <w:rFonts w:hint="eastAsia" w:ascii="宋体" w:cs="宋体"/>
                <w:kern w:val="0"/>
                <w:sz w:val="24"/>
                <w:szCs w:val="24"/>
                <w:highlight w:val="none"/>
                <w:lang w:bidi="ar-SA"/>
              </w:rPr>
              <w:t>支付期次</w:t>
            </w:r>
          </w:p>
        </w:tc>
        <w:tc>
          <w:tcPr>
            <w:tcW w:w="1417"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widowControl/>
              <w:jc w:val="left"/>
              <w:rPr>
                <w:rFonts w:hint="eastAsia" w:ascii="宋体" w:cs="宋体"/>
                <w:kern w:val="0"/>
                <w:sz w:val="24"/>
                <w:szCs w:val="24"/>
                <w:highlight w:val="none"/>
                <w:lang w:bidi="ar-SA"/>
              </w:rPr>
            </w:pPr>
            <w:r>
              <w:rPr>
                <w:rFonts w:hint="eastAsia" w:ascii="宋体" w:cs="宋体"/>
                <w:kern w:val="0"/>
                <w:sz w:val="24"/>
                <w:szCs w:val="24"/>
                <w:highlight w:val="none"/>
                <w:lang w:bidi="ar-SA"/>
              </w:rPr>
              <w:t>支付比例(%)</w:t>
            </w:r>
          </w:p>
        </w:tc>
        <w:tc>
          <w:tcPr>
            <w:tcW w:w="6042"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widowControl/>
              <w:jc w:val="left"/>
              <w:rPr>
                <w:rFonts w:hint="eastAsia" w:ascii="宋体" w:cs="宋体"/>
                <w:kern w:val="0"/>
                <w:sz w:val="24"/>
                <w:szCs w:val="24"/>
                <w:highlight w:val="none"/>
                <w:lang w:bidi="ar-SA"/>
              </w:rPr>
            </w:pPr>
            <w:r>
              <w:rPr>
                <w:rFonts w:hint="eastAsia" w:ascii="宋体" w:cs="宋体"/>
                <w:kern w:val="0"/>
                <w:sz w:val="24"/>
                <w:szCs w:val="24"/>
                <w:highlight w:val="none"/>
                <w:lang w:bidi="ar-SA"/>
              </w:rPr>
              <w:t>支付期次说明</w:t>
            </w:r>
          </w:p>
        </w:tc>
      </w:tr>
      <w:tr>
        <w:tblPrEx>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CellMar>
            <w:top w:w="0" w:type="dxa"/>
            <w:left w:w="0" w:type="dxa"/>
            <w:bottom w:w="0" w:type="dxa"/>
            <w:right w:w="0" w:type="dxa"/>
          </w:tblCellMar>
        </w:tblPrEx>
        <w:trPr>
          <w:trHeight w:val="368" w:hRule="atLeast"/>
        </w:trPr>
        <w:tc>
          <w:tcPr>
            <w:tcW w:w="1287"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spacing w:line="360" w:lineRule="auto"/>
              <w:jc w:val="center"/>
              <w:rPr>
                <w:rFonts w:hint="eastAsia" w:ascii="宋体" w:eastAsia="宋体" w:cs="宋体"/>
                <w:kern w:val="0"/>
                <w:sz w:val="24"/>
                <w:szCs w:val="24"/>
                <w:highlight w:val="none"/>
                <w:lang w:bidi="ar-SA"/>
              </w:rPr>
            </w:pPr>
            <w:r>
              <w:rPr>
                <w:rFonts w:hint="eastAsia" w:ascii="宋体" w:eastAsia="宋体" w:cs="宋体"/>
                <w:sz w:val="24"/>
                <w:szCs w:val="24"/>
                <w:highlight w:val="none"/>
                <w:lang w:bidi="ar-SA"/>
              </w:rPr>
              <w:t>1</w:t>
            </w:r>
          </w:p>
        </w:tc>
        <w:tc>
          <w:tcPr>
            <w:tcW w:w="1417"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spacing w:line="360" w:lineRule="auto"/>
              <w:jc w:val="center"/>
              <w:rPr>
                <w:rFonts w:hint="default" w:ascii="宋体" w:eastAsia="宋体" w:cs="宋体"/>
                <w:kern w:val="0"/>
                <w:sz w:val="24"/>
                <w:szCs w:val="24"/>
                <w:highlight w:val="none"/>
                <w:lang w:val="en-US" w:eastAsia="zh-CN" w:bidi="ar-SA"/>
              </w:rPr>
            </w:pPr>
            <w:r>
              <w:rPr>
                <w:rFonts w:hint="eastAsia" w:ascii="宋体" w:eastAsia="宋体" w:cs="宋体"/>
                <w:sz w:val="24"/>
                <w:szCs w:val="24"/>
                <w:highlight w:val="none"/>
                <w:lang w:bidi="ar-SA"/>
              </w:rPr>
              <w:t>10</w:t>
            </w:r>
            <w:r>
              <w:rPr>
                <w:rFonts w:hint="eastAsia" w:ascii="宋体" w:cs="宋体"/>
                <w:sz w:val="24"/>
                <w:szCs w:val="24"/>
                <w:highlight w:val="none"/>
                <w:lang w:val="en-US" w:eastAsia="zh-CN" w:bidi="ar-SA"/>
              </w:rPr>
              <w:t>0%</w:t>
            </w:r>
          </w:p>
        </w:tc>
        <w:tc>
          <w:tcPr>
            <w:tcW w:w="6042"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spacing w:line="360" w:lineRule="auto"/>
              <w:rPr>
                <w:rFonts w:hint="eastAsia" w:ascii="宋体" w:eastAsia="宋体" w:cs="宋体"/>
                <w:kern w:val="0"/>
                <w:sz w:val="24"/>
                <w:szCs w:val="24"/>
                <w:highlight w:val="none"/>
                <w:lang w:bidi="ar-SA"/>
              </w:rPr>
            </w:pPr>
            <w:r>
              <w:rPr>
                <w:rFonts w:hint="eastAsia" w:ascii="宋体" w:eastAsia="宋体" w:cs="宋体"/>
                <w:sz w:val="24"/>
                <w:szCs w:val="24"/>
                <w:highlight w:val="none"/>
                <w:lang w:bidi="ar-SA"/>
              </w:rPr>
              <w:t>通过乡镇、县局、市局审核后一次性支付</w:t>
            </w:r>
          </w:p>
        </w:tc>
      </w:tr>
    </w:tbl>
    <w:p>
      <w:pPr>
        <w:widowControl/>
        <w:spacing w:line="440" w:lineRule="exact"/>
        <w:jc w:val="left"/>
        <w:rPr>
          <w:rFonts w:hint="eastAsia" w:ascii="宋体"/>
          <w:b/>
          <w:bCs/>
          <w:sz w:val="24"/>
          <w:highlight w:val="none"/>
        </w:rPr>
      </w:pPr>
      <w:r>
        <w:rPr>
          <w:rFonts w:hint="eastAsia" w:ascii="宋体"/>
          <w:b/>
          <w:bCs/>
          <w:sz w:val="24"/>
          <w:highlight w:val="none"/>
        </w:rPr>
        <w:t>四、其他事项</w:t>
      </w:r>
    </w:p>
    <w:p>
      <w:pPr>
        <w:spacing w:line="360" w:lineRule="auto"/>
        <w:rPr>
          <w:rFonts w:hint="eastAsia" w:ascii="宋体" w:cs="宋体"/>
          <w:b/>
          <w:sz w:val="24"/>
          <w:szCs w:val="24"/>
          <w:highlight w:val="none"/>
          <w:lang w:bidi="ar-SA"/>
        </w:rPr>
      </w:pPr>
      <w:r>
        <w:rPr>
          <w:rFonts w:hint="eastAsia" w:ascii="宋体" w:cs="宋体"/>
          <w:b/>
          <w:szCs w:val="21"/>
          <w:highlight w:val="none"/>
          <w:lang w:bidi="ar-SA"/>
        </w:rPr>
        <w:t xml:space="preserve">   </w:t>
      </w:r>
      <w:r>
        <w:rPr>
          <w:rFonts w:hint="eastAsia" w:ascii="宋体" w:cs="宋体"/>
          <w:b/>
          <w:sz w:val="24"/>
          <w:szCs w:val="24"/>
          <w:highlight w:val="none"/>
          <w:lang w:bidi="ar-SA"/>
        </w:rPr>
        <w:t xml:space="preserve"> （一）如供应商有下列情况之一发生时，将被取消中标资格</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（1）供应商在投标有效期内撤销或修改其投标文件；</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（2）采购成交公告公示结束后，成交人无正当理由或拒绝领取成交通知书；</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（3）成交人在收到成交通知书后，无正当理由拒签合同协议书、成交人在与采购人签订合同时另行加入不合理条件或者更改合同的实质性内容的或未按磋商文件规定提交履约担保；</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（4）因成交人的违法行为导致中标被依法确认无效的；</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（5）法律、法规规定的其他情形。</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（二）</w:t>
      </w:r>
      <w:r>
        <w:rPr>
          <w:rFonts w:hint="eastAsia" w:ascii="宋体" w:cs="宋体"/>
          <w:b/>
          <w:sz w:val="24"/>
          <w:szCs w:val="24"/>
          <w:highlight w:val="none"/>
          <w:lang w:bidi="ar-SA"/>
        </w:rPr>
        <w:t>违约责任</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如果成交人有下述违约行为或磋商文件中规定的其它违约行为的情况，采购人可以向成交人发出书面违约通知，全部或部分地终止合同，在这些情况下，并不影响采购人向成交人提出的索赔：</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（1）成交人未能在合同规定的限期或采购人同意延长的最终限期内提供全部或部分服务项目、技术文件；并支付中标合同价款的5%的违约金；</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（2）成交人未能使合同的服务项目达到合同规定的最低技术要求，支付中标合同价款的5%的违约金；</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（3）成交人未能履行合同规定的其它义务（细微义务除外），且成交人在收到采购人发出的违约通知后30天内或经采购人书面认可延长的时间内未能纠正其违约行为，支付中标合同价款的5%的违约金。</w:t>
      </w:r>
    </w:p>
    <w:p>
      <w:pPr>
        <w:spacing w:line="360" w:lineRule="auto"/>
        <w:ind w:firstLine="484" w:firstLineChars="202"/>
        <w:rPr>
          <w:rFonts w:hint="eastAsia" w:ascii="宋体" w:cs="宋体"/>
          <w:sz w:val="24"/>
          <w:szCs w:val="24"/>
          <w:highlight w:val="none"/>
          <w:lang w:bidi="ar-SA"/>
        </w:rPr>
      </w:pPr>
      <w:r>
        <w:rPr>
          <w:rFonts w:hint="eastAsia" w:ascii="宋体" w:cs="宋体"/>
          <w:sz w:val="24"/>
          <w:szCs w:val="24"/>
          <w:highlight w:val="none"/>
          <w:lang w:bidi="ar-SA"/>
        </w:rPr>
        <w:t>在采购人上述条款规定，终止了全部或部分合同，采购人可以依其认为适当的条件和方法向成交人或其他人购买与合同被终止部分同种的服务项目，成交人应对采购人购买同种服务项目所超出的费用负责。而且成交人还应继续执行合同中未终止的部分。</w:t>
      </w:r>
    </w:p>
    <w:p>
      <w:pPr>
        <w:spacing w:line="360" w:lineRule="auto"/>
        <w:rPr>
          <w:rFonts w:hint="eastAsia" w:ascii="宋体" w:cs="宋体"/>
          <w:b/>
          <w:sz w:val="24"/>
          <w:szCs w:val="24"/>
          <w:highlight w:val="none"/>
          <w:lang w:bidi="ar-SA"/>
        </w:rPr>
      </w:pPr>
      <w:r>
        <w:rPr>
          <w:rFonts w:hint="eastAsia" w:ascii="宋体" w:cs="宋体"/>
          <w:b/>
          <w:sz w:val="24"/>
          <w:szCs w:val="24"/>
          <w:highlight w:val="none"/>
          <w:lang w:bidi="ar-SA"/>
        </w:rPr>
        <w:t xml:space="preserve">   （三）其他情况终止合同</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（1）如果成交人破产或发生资不抵债的情况，采购人可在任何时候以书面通知终止合同，而不给对方补偿。该终止合同将不损害或影响采购人已经采取或将要采取的补救措施的权利。</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（2）如果采购人认定成交人在竞标、采购和合同执行等过程中有腐败或欺诈行为，采购人有权在任何时候发出书面通知终止合同。</w:t>
      </w:r>
    </w:p>
    <w:p>
      <w:pPr>
        <w:spacing w:line="360" w:lineRule="auto"/>
        <w:rPr>
          <w:rFonts w:hint="eastAsia" w:ascii="宋体" w:cs="宋体"/>
          <w:sz w:val="24"/>
          <w:szCs w:val="24"/>
          <w:highlight w:val="none"/>
          <w:lang w:bidi="ar-SA"/>
        </w:rPr>
      </w:pPr>
      <w:r>
        <w:rPr>
          <w:rFonts w:hint="eastAsia" w:ascii="宋体" w:cs="宋体"/>
          <w:sz w:val="24"/>
          <w:szCs w:val="24"/>
          <w:highlight w:val="none"/>
          <w:lang w:bidi="ar-SA"/>
        </w:rPr>
        <w:t xml:space="preserve">    （3）如果合同履行过程中出现危害国家利益和社会公众利益的，采购人有权在任何时候发出书面通知终止合同。</w:t>
      </w:r>
    </w:p>
    <w:p>
      <w:r>
        <w:rPr>
          <w:rFonts w:hint="eastAsia" w:ascii="宋体" w:cs="宋体"/>
          <w:bCs/>
          <w:sz w:val="24"/>
          <w:szCs w:val="24"/>
          <w:highlight w:val="none"/>
          <w:lang w:bidi="ar-SA"/>
        </w:rPr>
        <w:t xml:space="preserve">    </w:t>
      </w:r>
      <w:r>
        <w:rPr>
          <w:rFonts w:hint="eastAsia" w:ascii="宋体" w:cs="宋体"/>
          <w:b/>
          <w:bCs/>
          <w:sz w:val="24"/>
          <w:szCs w:val="24"/>
          <w:highlight w:val="none"/>
          <w:lang w:bidi="ar-SA"/>
        </w:rPr>
        <w:t>（四）磋商文件如有未尽事宜，由采购人和成交人另行协商。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1ODg4OWY2OWU3Y2M0Njk4OTZkZTlkNTIzNGIxY2IifQ=="/>
  </w:docVars>
  <w:rsids>
    <w:rsidRoot w:val="34235031"/>
    <w:rsid w:val="342350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autoSpaceDE w:val="0"/>
      <w:autoSpaceDN w:val="0"/>
      <w:adjustRightInd w:val="0"/>
      <w:jc w:val="left"/>
    </w:pPr>
    <w:rPr>
      <w:rFonts w:ascii="宋体" w:eastAsia="宋体" w:cs="宋体"/>
      <w:kern w:val="0"/>
      <w:sz w:val="24"/>
      <w:szCs w:val="24"/>
      <w:lang w:bidi="ar-SA"/>
    </w:rPr>
  </w:style>
  <w:style w:type="paragraph" w:styleId="3">
    <w:name w:val="Normal (Web)"/>
    <w:basedOn w:val="1"/>
    <w:uiPriority w:val="0"/>
    <w:pPr>
      <w:widowControl/>
      <w:spacing w:before="100" w:beforeAutospacing="1" w:after="100" w:afterAutospacing="1"/>
      <w:jc w:val="left"/>
    </w:pPr>
    <w:rPr>
      <w:rFonts w:ascii="宋体" w:eastAsia="宋体" w:cs="宋体"/>
      <w:kern w:val="0"/>
      <w:sz w:val="24"/>
      <w:szCs w:val="24"/>
      <w:lang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2023-05-26T01:29:00Z</dcterms:created>
  <dc:creator>NTKO</dc:creator>
  <cp:lastModifiedBy>NTKO</cp:lastModifiedBy>
  <dcterms:modified xsi:type="dcterms:W3CDTF">2023-05-26T01:30:04Z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D4F9B57188E7420AA08950B00D6E2AC9_11</vt:lpwstr>
  </property>
</Properties>
</file>